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FE869" w14:textId="77777777" w:rsidR="008E7362" w:rsidRPr="00FD59AD" w:rsidRDefault="008E7362" w:rsidP="00D84CA9">
      <w:pPr>
        <w:jc w:val="both"/>
        <w:rPr>
          <w:b/>
        </w:rPr>
      </w:pPr>
      <w:r>
        <w:rPr>
          <w:b/>
        </w:rPr>
        <w:t xml:space="preserve">Memoria de </w:t>
      </w:r>
      <w:r w:rsidR="00FD59AD" w:rsidRPr="00FD59AD">
        <w:rPr>
          <w:b/>
        </w:rPr>
        <w:t>Factores de expansión</w:t>
      </w:r>
    </w:p>
    <w:p w14:paraId="0233C0D7" w14:textId="77777777" w:rsidR="00FD59AD" w:rsidRDefault="00F666B2" w:rsidP="00D84CA9">
      <w:pPr>
        <w:jc w:val="both"/>
      </w:pPr>
      <w:r>
        <w:t xml:space="preserve">El esquema de muestreo que se utilizó para colectar una muestra </w:t>
      </w:r>
      <w:r w:rsidR="00534A69">
        <w:t>del 10%</w:t>
      </w:r>
      <w:r>
        <w:t xml:space="preserve"> del Censo de 1930 fue un muestreo estratificado por conglomerados con selección sistemática. Cada municipio representó un estrato; en el censo de 1930 se colectó la información </w:t>
      </w:r>
      <w:r w:rsidR="008E7362">
        <w:t>en fojas, las cuales están foliadas consecutivamente, iniciando en cada municipio</w:t>
      </w:r>
      <w:r>
        <w:t xml:space="preserve">. Estas hojas fueron </w:t>
      </w:r>
      <w:r w:rsidR="00534A69">
        <w:t>las</w:t>
      </w:r>
      <w:r>
        <w:t xml:space="preserve"> unidades primarias de muestreo (UPM). De esta manera, la probabilidad de seleccionar una UPM dentro de cada estrato </w:t>
      </w:r>
      <w:r w:rsidR="00534A69">
        <w:t xml:space="preserve">se obtiene con </w:t>
      </w:r>
      <w:r>
        <w:t>la siguiente expresión:</w:t>
      </w:r>
    </w:p>
    <w:p w14:paraId="1679B088" w14:textId="77777777" w:rsidR="00F666B2" w:rsidRPr="00790EAD" w:rsidRDefault="008E7362" w:rsidP="00D84CA9">
      <w:pPr>
        <w:jc w:val="both"/>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hi</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den>
          </m:f>
        </m:oMath>
      </m:oMathPara>
    </w:p>
    <w:p w14:paraId="5575FC44" w14:textId="77777777" w:rsidR="00790EAD" w:rsidRDefault="00534A69" w:rsidP="00D84CA9">
      <w:pPr>
        <w:jc w:val="both"/>
        <w:rPr>
          <w:rFonts w:eastAsiaTheme="minorEastAsia"/>
        </w:rPr>
      </w:pPr>
      <w:r>
        <w:rPr>
          <w:rFonts w:eastAsiaTheme="minorEastAsia"/>
        </w:rPr>
        <w:t>d</w:t>
      </w:r>
      <w:r w:rsidR="00790EAD">
        <w:rPr>
          <w:rFonts w:eastAsiaTheme="minorEastAsia"/>
        </w:rPr>
        <w:t xml:space="preserve">onde </w:t>
      </w:r>
    </w:p>
    <w:p w14:paraId="2A5BA9A7" w14:textId="77777777" w:rsidR="00790EAD" w:rsidRDefault="008E7362" w:rsidP="00D84CA9">
      <w:pPr>
        <w:spacing w:line="240" w:lineRule="auto"/>
        <w:jc w:val="both"/>
        <w:rPr>
          <w:rFonts w:eastAsiaTheme="minorEastAsia"/>
        </w:rPr>
      </w:pPr>
      <m:oMath>
        <m:sSub>
          <m:sSubPr>
            <m:ctrlPr>
              <w:rPr>
                <w:rFonts w:ascii="Cambria Math" w:hAnsi="Cambria Math"/>
                <w:i/>
              </w:rPr>
            </m:ctrlPr>
          </m:sSubPr>
          <m:e>
            <m:r>
              <w:rPr>
                <w:rFonts w:ascii="Cambria Math" w:hAnsi="Cambria Math"/>
              </w:rPr>
              <m:t>P</m:t>
            </m:r>
          </m:e>
          <m:sub>
            <m:r>
              <w:rPr>
                <w:rFonts w:ascii="Cambria Math" w:hAnsi="Cambria Math"/>
              </w:rPr>
              <m:t>hi</m:t>
            </m:r>
          </m:sub>
        </m:sSub>
        <m:r>
          <w:rPr>
            <w:rFonts w:ascii="Cambria Math" w:eastAsiaTheme="minorEastAsia" w:hAnsi="Cambria Math"/>
          </w:rPr>
          <m:t>=</m:t>
        </m:r>
      </m:oMath>
      <w:r w:rsidR="00790EAD">
        <w:rPr>
          <w:rFonts w:eastAsiaTheme="minorEastAsia"/>
        </w:rPr>
        <w:t xml:space="preserve"> Probabilidad de selección de la i-ésima UPM del estrato </w:t>
      </w:r>
      <w:r w:rsidR="00790EAD" w:rsidRPr="008E7362">
        <w:rPr>
          <w:rFonts w:eastAsiaTheme="minorEastAsia"/>
          <w:i/>
        </w:rPr>
        <w:t>h</w:t>
      </w:r>
    </w:p>
    <w:p w14:paraId="19882331" w14:textId="77777777" w:rsidR="00790EAD" w:rsidRDefault="008E7362" w:rsidP="00D84CA9">
      <w:pPr>
        <w:spacing w:line="240" w:lineRule="auto"/>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r>
          <w:rPr>
            <w:rFonts w:ascii="Cambria Math" w:eastAsiaTheme="minorEastAsia" w:hAnsi="Cambria Math"/>
          </w:rPr>
          <m:t>=</m:t>
        </m:r>
      </m:oMath>
      <w:r w:rsidR="00790EAD">
        <w:rPr>
          <w:rFonts w:eastAsiaTheme="minorEastAsia"/>
        </w:rPr>
        <w:t xml:space="preserve"> Número de UPM</w:t>
      </w:r>
      <w:r w:rsidR="00D47DCF">
        <w:rPr>
          <w:rFonts w:eastAsiaTheme="minorEastAsia"/>
        </w:rPr>
        <w:t>’s</w:t>
      </w:r>
      <w:r w:rsidR="00790EAD">
        <w:rPr>
          <w:rFonts w:eastAsiaTheme="minorEastAsia"/>
        </w:rPr>
        <w:t xml:space="preserve"> (hojas o folios) a seleccionar en el estrato</w:t>
      </w:r>
      <w:r w:rsidR="00790EAD" w:rsidRPr="008E7362">
        <w:rPr>
          <w:rFonts w:eastAsiaTheme="minorEastAsia"/>
          <w:i/>
        </w:rPr>
        <w:t xml:space="preserve"> h</w:t>
      </w:r>
    </w:p>
    <w:p w14:paraId="16BAD922" w14:textId="77777777" w:rsidR="00790EAD" w:rsidRDefault="008E7362" w:rsidP="00D84CA9">
      <w:pPr>
        <w:spacing w:line="240" w:lineRule="auto"/>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r>
          <w:rPr>
            <w:rFonts w:ascii="Cambria Math" w:eastAsiaTheme="minorEastAsia" w:hAnsi="Cambria Math"/>
          </w:rPr>
          <m:t>=</m:t>
        </m:r>
      </m:oMath>
      <w:r w:rsidR="00790EAD">
        <w:rPr>
          <w:rFonts w:eastAsiaTheme="minorEastAsia"/>
        </w:rPr>
        <w:t xml:space="preserve"> Total de UPM</w:t>
      </w:r>
      <w:r w:rsidR="00D47DCF">
        <w:rPr>
          <w:rFonts w:eastAsiaTheme="minorEastAsia"/>
        </w:rPr>
        <w:t>’s</w:t>
      </w:r>
      <w:r w:rsidR="00790EAD">
        <w:rPr>
          <w:rFonts w:eastAsiaTheme="minorEastAsia"/>
        </w:rPr>
        <w:t xml:space="preserve"> en el estrato </w:t>
      </w:r>
      <w:r w:rsidR="00790EAD" w:rsidRPr="008E7362">
        <w:rPr>
          <w:rFonts w:eastAsiaTheme="minorEastAsia"/>
          <w:i/>
        </w:rPr>
        <w:t>h</w:t>
      </w:r>
    </w:p>
    <w:p w14:paraId="1928A806" w14:textId="77777777" w:rsidR="00534A69" w:rsidRPr="008E7362" w:rsidRDefault="00534A69" w:rsidP="00D84CA9">
      <w:pPr>
        <w:jc w:val="both"/>
      </w:pPr>
      <w:r>
        <w:t>Así, el factor de expan</w:t>
      </w:r>
      <w:r w:rsidR="008E7362">
        <w:t>sión asociado a cada UPM está</w:t>
      </w:r>
      <w:r>
        <w:t xml:space="preserve"> dado por el inverso de la probabil</w:t>
      </w:r>
      <w:r w:rsidR="006031EB">
        <w:t>idad de selección de cada UPM. P</w:t>
      </w:r>
      <w:r>
        <w:t xml:space="preserve">ara verificar la pertinencia de estos factores se hicieron estimaciones de la población total de cada municipio y se compararon </w:t>
      </w:r>
      <w:r w:rsidR="006031EB">
        <w:t>estas estimaciones con los totales de población municipales que están publicados en el sitio oficial del INEGI.</w:t>
      </w:r>
      <w:r w:rsidR="003874E2">
        <w:t xml:space="preserve"> Los resultados indicaron que estos factores sobreestiman a la población. </w:t>
      </w:r>
      <w:r w:rsidR="003874E2" w:rsidRPr="008E7362">
        <w:t>En la siguiente gráfica se muestran los resultados de la comparación.</w:t>
      </w:r>
    </w:p>
    <w:p w14:paraId="47C2AA46" w14:textId="77777777" w:rsidR="003874E2" w:rsidRPr="008E7362" w:rsidRDefault="003874E2" w:rsidP="00D84CA9">
      <w:pPr>
        <w:jc w:val="both"/>
        <w:rPr>
          <w:b/>
        </w:rPr>
      </w:pPr>
      <w:r w:rsidRPr="008E7362">
        <w:rPr>
          <w:b/>
        </w:rPr>
        <w:t>Gráfica 1. Porcentaje de municipios* de acuerdo al error relativo de la estimación de total poblacional con respecto al total poblacional real</w:t>
      </w:r>
    </w:p>
    <w:p w14:paraId="120B0CD5" w14:textId="77777777" w:rsidR="003874E2" w:rsidRPr="008E7362" w:rsidRDefault="003874E2" w:rsidP="00D84CA9">
      <w:pPr>
        <w:jc w:val="both"/>
      </w:pPr>
      <w:r w:rsidRPr="008E7362">
        <w:rPr>
          <w:noProof/>
          <w:lang w:val="es-ES" w:eastAsia="es-ES"/>
        </w:rPr>
        <w:drawing>
          <wp:inline distT="0" distB="0" distL="0" distR="0" wp14:anchorId="715C1EAA" wp14:editId="76115BD6">
            <wp:extent cx="5218422" cy="2412000"/>
            <wp:effectExtent l="0" t="0" r="190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8422" cy="2412000"/>
                    </a:xfrm>
                    <a:prstGeom prst="rect">
                      <a:avLst/>
                    </a:prstGeom>
                    <a:noFill/>
                    <a:ln>
                      <a:noFill/>
                    </a:ln>
                    <a:effectLst/>
                    <a:extLst/>
                  </pic:spPr>
                </pic:pic>
              </a:graphicData>
            </a:graphic>
          </wp:inline>
        </w:drawing>
      </w:r>
    </w:p>
    <w:p w14:paraId="4CF81335" w14:textId="77777777" w:rsidR="003874E2" w:rsidRPr="008E7362" w:rsidRDefault="003874E2" w:rsidP="00D84CA9">
      <w:pPr>
        <w:spacing w:after="0"/>
        <w:contextualSpacing/>
        <w:jc w:val="both"/>
        <w:rPr>
          <w:sz w:val="20"/>
        </w:rPr>
      </w:pPr>
      <w:r w:rsidRPr="008E7362">
        <w:rPr>
          <w:sz w:val="20"/>
        </w:rPr>
        <w:t>*</w:t>
      </w:r>
      <w:r w:rsidR="00343E52" w:rsidRPr="008E7362">
        <w:rPr>
          <w:sz w:val="20"/>
        </w:rPr>
        <w:t>En la gráfica se incluye el 98% de la información colectada</w:t>
      </w:r>
      <w:r w:rsidR="008E7362">
        <w:rPr>
          <w:sz w:val="20"/>
        </w:rPr>
        <w:t>, se realizó con los resultados preliminares de la base de datos capturados</w:t>
      </w:r>
      <w:r w:rsidR="00343E52" w:rsidRPr="008E7362">
        <w:rPr>
          <w:sz w:val="20"/>
        </w:rPr>
        <w:t>.</w:t>
      </w:r>
    </w:p>
    <w:p w14:paraId="6405AB33" w14:textId="77777777" w:rsidR="003874E2" w:rsidRPr="00170DDA" w:rsidRDefault="003874E2" w:rsidP="00D84CA9">
      <w:pPr>
        <w:jc w:val="both"/>
        <w:rPr>
          <w:sz w:val="20"/>
        </w:rPr>
      </w:pPr>
      <w:r w:rsidRPr="008E7362">
        <w:rPr>
          <w:sz w:val="20"/>
        </w:rPr>
        <w:t>Fuente: el</w:t>
      </w:r>
      <w:r w:rsidR="00343E52" w:rsidRPr="008E7362">
        <w:rPr>
          <w:sz w:val="20"/>
        </w:rPr>
        <w:t xml:space="preserve">aboración </w:t>
      </w:r>
      <w:r w:rsidR="00D96713" w:rsidRPr="008E7362">
        <w:rPr>
          <w:sz w:val="20"/>
        </w:rPr>
        <w:t xml:space="preserve">propia </w:t>
      </w:r>
      <w:r w:rsidR="008E7362">
        <w:rPr>
          <w:sz w:val="20"/>
        </w:rPr>
        <w:t xml:space="preserve">con datos de los microdatos del </w:t>
      </w:r>
      <w:r w:rsidR="00343E52" w:rsidRPr="008E7362">
        <w:rPr>
          <w:sz w:val="20"/>
        </w:rPr>
        <w:t>Censo de 1930.</w:t>
      </w:r>
    </w:p>
    <w:p w14:paraId="4885A04A" w14:textId="77777777" w:rsidR="003874E2" w:rsidRDefault="00AD7807" w:rsidP="00D84CA9">
      <w:pPr>
        <w:jc w:val="both"/>
      </w:pPr>
      <w:r>
        <w:lastRenderedPageBreak/>
        <w:t>Una posible explicación de estos errores podría ser que las hojas en las que se capturó el censo originalmente no siempre fueron llenadas completamente. Por tal motivo éstas no son homogéneas.</w:t>
      </w:r>
      <w:r w:rsidR="00D1566B">
        <w:t xml:space="preserve"> Para mejorar las estimaciones, se planteó una corrección a los factores de expansión mediante la incorporación de una equivalencia de UPM</w:t>
      </w:r>
      <w:r w:rsidR="00E870A0">
        <w:t xml:space="preserve"> dentro de un mismo estrato</w:t>
      </w:r>
      <w:r w:rsidR="00D1566B">
        <w:t>.</w:t>
      </w:r>
      <w:r w:rsidR="00E870A0">
        <w:t xml:space="preserve"> Así, el número equivalente de UPM</w:t>
      </w:r>
      <w:r w:rsidR="00D96713">
        <w:t>’s</w:t>
      </w:r>
      <w:r w:rsidR="00E870A0">
        <w:t xml:space="preserve"> muestreadas en el estrato h se obtuvo con la siguiente expresión:</w:t>
      </w:r>
    </w:p>
    <w:p w14:paraId="49630BC7" w14:textId="77777777" w:rsidR="00E870A0" w:rsidRDefault="008E7362" w:rsidP="00D84CA9">
      <w:pPr>
        <w:jc w:val="both"/>
      </w:pPr>
      <m:oMathPara>
        <m:oMath>
          <m:sSub>
            <m:sSubPr>
              <m:ctrlPr>
                <w:rPr>
                  <w:rFonts w:ascii="Cambria Math" w:hAnsi="Cambria Math"/>
                  <w:i/>
                </w:rPr>
              </m:ctrlPr>
            </m:sSubPr>
            <m:e>
              <m:r>
                <w:rPr>
                  <w:rFonts w:ascii="Cambria Math" w:hAnsi="Cambria Math"/>
                </w:rPr>
                <m:t>ne</m:t>
              </m:r>
            </m:e>
            <m:sub>
              <m:r>
                <w:rPr>
                  <w:rFonts w:ascii="Cambria Math" w:hAnsi="Cambria Math"/>
                </w:rPr>
                <m:t>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h</m:t>
                  </m:r>
                </m:sub>
              </m:sSub>
            </m:num>
            <m:den>
              <m:f>
                <m:fPr>
                  <m:type m:val="lin"/>
                  <m:ctrlPr>
                    <w:rPr>
                      <w:rFonts w:ascii="Cambria Math" w:hAnsi="Cambria Math"/>
                      <w:i/>
                    </w:rPr>
                  </m:ctrlPr>
                </m:fPr>
                <m:num>
                  <m:sSub>
                    <m:sSubPr>
                      <m:ctrlPr>
                        <w:rPr>
                          <w:rFonts w:ascii="Cambria Math" w:hAnsi="Cambria Math"/>
                          <w:i/>
                        </w:rPr>
                      </m:ctrlPr>
                    </m:sSubPr>
                    <m:e>
                      <m:r>
                        <w:rPr>
                          <w:rFonts w:ascii="Cambria Math" w:hAnsi="Cambria Math"/>
                        </w:rPr>
                        <m:t>PR</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den>
          </m:f>
        </m:oMath>
      </m:oMathPara>
    </w:p>
    <w:p w14:paraId="77C7A369" w14:textId="77777777" w:rsidR="003874E2" w:rsidRDefault="00E870A0" w:rsidP="00D84CA9">
      <w:pPr>
        <w:jc w:val="both"/>
      </w:pPr>
      <w:r>
        <w:t>donde</w:t>
      </w:r>
      <w:r w:rsidR="008E7362">
        <w:t>:</w:t>
      </w:r>
    </w:p>
    <w:p w14:paraId="40D4F658" w14:textId="77777777" w:rsidR="00E870A0" w:rsidRDefault="008E7362" w:rsidP="00D84CA9">
      <w:pPr>
        <w:jc w:val="both"/>
        <w:rPr>
          <w:rFonts w:eastAsiaTheme="minorEastAsia"/>
        </w:rPr>
      </w:pPr>
      <m:oMath>
        <m:sSub>
          <m:sSubPr>
            <m:ctrlPr>
              <w:rPr>
                <w:rFonts w:ascii="Cambria Math" w:hAnsi="Cambria Math"/>
                <w:i/>
              </w:rPr>
            </m:ctrlPr>
          </m:sSubPr>
          <m:e>
            <m:r>
              <w:rPr>
                <w:rFonts w:ascii="Cambria Math" w:hAnsi="Cambria Math"/>
              </w:rPr>
              <m:t>ne</m:t>
            </m:r>
          </m:e>
          <m:sub>
            <m:r>
              <w:rPr>
                <w:rFonts w:ascii="Cambria Math" w:hAnsi="Cambria Math"/>
              </w:rPr>
              <m:t>h</m:t>
            </m:r>
          </m:sub>
        </m:sSub>
        <m:r>
          <w:rPr>
            <w:rFonts w:ascii="Cambria Math" w:hAnsi="Cambria Math"/>
          </w:rPr>
          <m:t>=</m:t>
        </m:r>
      </m:oMath>
      <w:r w:rsidR="00E870A0">
        <w:rPr>
          <w:rFonts w:eastAsiaTheme="minorEastAsia"/>
        </w:rPr>
        <w:t xml:space="preserve"> Número equivalente de UPM’s en el estrato </w:t>
      </w:r>
      <w:r w:rsidR="00E870A0" w:rsidRPr="008E7362">
        <w:rPr>
          <w:rFonts w:eastAsiaTheme="minorEastAsia"/>
          <w:i/>
        </w:rPr>
        <w:t>h</w:t>
      </w:r>
    </w:p>
    <w:p w14:paraId="44FB69E8" w14:textId="77777777" w:rsidR="00E870A0" w:rsidRDefault="008E7362" w:rsidP="00D84CA9">
      <w:pPr>
        <w:jc w:val="both"/>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m:t>
        </m:r>
      </m:oMath>
      <w:r w:rsidR="00E870A0">
        <w:rPr>
          <w:rFonts w:eastAsiaTheme="minorEastAsia"/>
        </w:rPr>
        <w:t xml:space="preserve"> Total de UPM</w:t>
      </w:r>
      <w:r w:rsidR="00D47DCF">
        <w:rPr>
          <w:rFonts w:eastAsiaTheme="minorEastAsia"/>
        </w:rPr>
        <w:t>’s</w:t>
      </w:r>
      <w:r w:rsidR="00E870A0">
        <w:rPr>
          <w:rFonts w:eastAsiaTheme="minorEastAsia"/>
        </w:rPr>
        <w:t xml:space="preserve"> en el estrato</w:t>
      </w:r>
      <w:r w:rsidR="00E870A0" w:rsidRPr="008E7362">
        <w:rPr>
          <w:rFonts w:eastAsiaTheme="minorEastAsia"/>
          <w:i/>
        </w:rPr>
        <w:t xml:space="preserve"> h</w:t>
      </w:r>
    </w:p>
    <w:p w14:paraId="7C1ABE3F" w14:textId="77777777" w:rsidR="00E870A0" w:rsidRDefault="008E7362" w:rsidP="00D84CA9">
      <w:pPr>
        <w:jc w:val="both"/>
        <w:rPr>
          <w:rFonts w:eastAsiaTheme="minorEastAsia"/>
        </w:rPr>
      </w:pPr>
      <m:oMath>
        <m:sSub>
          <m:sSubPr>
            <m:ctrlPr>
              <w:rPr>
                <w:rFonts w:ascii="Cambria Math" w:hAnsi="Cambria Math"/>
                <w:i/>
              </w:rPr>
            </m:ctrlPr>
          </m:sSubPr>
          <m:e>
            <m:r>
              <w:rPr>
                <w:rFonts w:ascii="Cambria Math" w:hAnsi="Cambria Math"/>
              </w:rPr>
              <m:t>PM</m:t>
            </m:r>
          </m:e>
          <m:sub>
            <m:r>
              <w:rPr>
                <w:rFonts w:ascii="Cambria Math" w:hAnsi="Cambria Math"/>
              </w:rPr>
              <m:t>h</m:t>
            </m:r>
          </m:sub>
        </m:sSub>
        <m:r>
          <w:rPr>
            <w:rFonts w:ascii="Cambria Math" w:hAnsi="Cambria Math"/>
          </w:rPr>
          <m:t>=</m:t>
        </m:r>
      </m:oMath>
      <w:r w:rsidR="00E870A0">
        <w:rPr>
          <w:rFonts w:eastAsiaTheme="minorEastAsia"/>
        </w:rPr>
        <w:t xml:space="preserve"> Población muestreada en el estrato </w:t>
      </w:r>
      <w:r w:rsidR="00E870A0" w:rsidRPr="008E7362">
        <w:rPr>
          <w:rFonts w:eastAsiaTheme="minorEastAsia"/>
          <w:i/>
        </w:rPr>
        <w:t>h</w:t>
      </w:r>
    </w:p>
    <w:p w14:paraId="29017657" w14:textId="77777777" w:rsidR="00E870A0" w:rsidRDefault="008E7362" w:rsidP="00D84CA9">
      <w:pPr>
        <w:jc w:val="both"/>
        <w:rPr>
          <w:rFonts w:eastAsiaTheme="minorEastAsia"/>
        </w:rPr>
      </w:pPr>
      <m:oMath>
        <m:sSub>
          <m:sSubPr>
            <m:ctrlPr>
              <w:rPr>
                <w:rFonts w:ascii="Cambria Math" w:hAnsi="Cambria Math"/>
                <w:i/>
              </w:rPr>
            </m:ctrlPr>
          </m:sSubPr>
          <m:e>
            <m:r>
              <w:rPr>
                <w:rFonts w:ascii="Cambria Math" w:hAnsi="Cambria Math"/>
              </w:rPr>
              <m:t>PR</m:t>
            </m:r>
          </m:e>
          <m:sub>
            <m:r>
              <w:rPr>
                <w:rFonts w:ascii="Cambria Math" w:hAnsi="Cambria Math"/>
              </w:rPr>
              <m:t>h</m:t>
            </m:r>
          </m:sub>
        </m:sSub>
        <m:r>
          <w:rPr>
            <w:rFonts w:ascii="Cambria Math" w:eastAsiaTheme="minorEastAsia" w:hAnsi="Cambria Math"/>
          </w:rPr>
          <m:t>=</m:t>
        </m:r>
      </m:oMath>
      <w:r w:rsidR="00E870A0">
        <w:rPr>
          <w:rFonts w:eastAsiaTheme="minorEastAsia"/>
        </w:rPr>
        <w:t xml:space="preserve"> Población real en el estrato </w:t>
      </w:r>
      <w:r w:rsidR="00E870A0" w:rsidRPr="008E7362">
        <w:rPr>
          <w:rFonts w:eastAsiaTheme="minorEastAsia"/>
          <w:i/>
        </w:rPr>
        <w:t>h</w:t>
      </w:r>
    </w:p>
    <w:p w14:paraId="3825C065" w14:textId="77777777" w:rsidR="00E870A0" w:rsidRDefault="00E870A0" w:rsidP="00D84CA9">
      <w:pPr>
        <w:jc w:val="both"/>
        <w:rPr>
          <w:rFonts w:eastAsiaTheme="minorEastAsia"/>
        </w:rPr>
      </w:pPr>
      <w:r>
        <w:rPr>
          <w:rFonts w:eastAsiaTheme="minorEastAsia"/>
        </w:rPr>
        <w:t xml:space="preserve">Nótese que el número equivalente de UPM’s dentro de un estrato se obtiene </w:t>
      </w:r>
      <w:r w:rsidR="00D47DCF">
        <w:rPr>
          <w:rFonts w:eastAsiaTheme="minorEastAsia"/>
        </w:rPr>
        <w:t>al dividir</w:t>
      </w:r>
      <w:r>
        <w:rPr>
          <w:rFonts w:eastAsiaTheme="minorEastAsia"/>
        </w:rPr>
        <w:t xml:space="preserve"> la población muestreada entre el número promedio de personas de las UPM en dicho estrato.</w:t>
      </w:r>
      <w:r w:rsidR="00D47DCF">
        <w:rPr>
          <w:rFonts w:eastAsiaTheme="minorEastAsia"/>
        </w:rPr>
        <w:t xml:space="preserve"> Así, el factor de expansión corregido resulta con la siguiente expresión:</w:t>
      </w:r>
    </w:p>
    <w:p w14:paraId="1B52C5E6" w14:textId="77777777" w:rsidR="00D47DCF" w:rsidRPr="00790EAD" w:rsidRDefault="008E7362" w:rsidP="00D84CA9">
      <w:pPr>
        <w:jc w:val="both"/>
        <w:rPr>
          <w:rFonts w:eastAsiaTheme="minorEastAsia"/>
        </w:rPr>
      </w:pPr>
      <m:oMathPara>
        <m:oMath>
          <m:sSub>
            <m:sSubPr>
              <m:ctrlPr>
                <w:rPr>
                  <w:rFonts w:ascii="Cambria Math" w:hAnsi="Cambria Math"/>
                  <w:i/>
                </w:rPr>
              </m:ctrlPr>
            </m:sSubPr>
            <m:e>
              <m:r>
                <w:rPr>
                  <w:rFonts w:ascii="Cambria Math" w:hAnsi="Cambria Math"/>
                </w:rPr>
                <m:t>FC</m:t>
              </m:r>
            </m:e>
            <m:sub>
              <m:r>
                <w:rPr>
                  <w:rFonts w:ascii="Cambria Math" w:hAnsi="Cambria Math"/>
                </w:rPr>
                <m:t>hi</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num>
            <m:den>
              <m:sSub>
                <m:sSubPr>
                  <m:ctrlPr>
                    <w:rPr>
                      <w:rFonts w:ascii="Cambria Math" w:eastAsiaTheme="minorEastAsia" w:hAnsi="Cambria Math"/>
                      <w:i/>
                    </w:rPr>
                  </m:ctrlPr>
                </m:sSubPr>
                <m:e>
                  <m:r>
                    <w:rPr>
                      <w:rFonts w:ascii="Cambria Math" w:eastAsiaTheme="minorEastAsia" w:hAnsi="Cambria Math"/>
                    </w:rPr>
                    <m:t>ne</m:t>
                  </m:r>
                </m:e>
                <m:sub>
                  <m:r>
                    <w:rPr>
                      <w:rFonts w:ascii="Cambria Math" w:eastAsiaTheme="minorEastAsia" w:hAnsi="Cambria Math"/>
                    </w:rPr>
                    <m:t>h</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hAnsi="Cambria Math"/>
                      <w:i/>
                    </w:rPr>
                  </m:ctrlPr>
                </m:sSubPr>
                <m:e>
                  <m:r>
                    <w:rPr>
                      <w:rFonts w:ascii="Cambria Math" w:hAnsi="Cambria Math"/>
                    </w:rPr>
                    <m:t>PR</m:t>
                  </m:r>
                </m:e>
                <m:sub>
                  <m:r>
                    <w:rPr>
                      <w:rFonts w:ascii="Cambria Math" w:hAnsi="Cambria Math"/>
                    </w:rPr>
                    <m:t>h</m:t>
                  </m:r>
                </m:sub>
              </m:sSub>
            </m:num>
            <m:den>
              <m:sSub>
                <m:sSubPr>
                  <m:ctrlPr>
                    <w:rPr>
                      <w:rFonts w:ascii="Cambria Math" w:hAnsi="Cambria Math"/>
                      <w:i/>
                    </w:rPr>
                  </m:ctrlPr>
                </m:sSubPr>
                <m:e>
                  <m:r>
                    <w:rPr>
                      <w:rFonts w:ascii="Cambria Math" w:hAnsi="Cambria Math"/>
                    </w:rPr>
                    <m:t>PM</m:t>
                  </m:r>
                </m:e>
                <m:sub>
                  <m:r>
                    <w:rPr>
                      <w:rFonts w:ascii="Cambria Math" w:hAnsi="Cambria Math"/>
                    </w:rPr>
                    <m:t>h</m:t>
                  </m:r>
                </m:sub>
              </m:sSub>
            </m:den>
          </m:f>
        </m:oMath>
      </m:oMathPara>
    </w:p>
    <w:p w14:paraId="517ECEE9" w14:textId="77777777" w:rsidR="00D47DCF" w:rsidRDefault="00D47DCF" w:rsidP="00D84CA9">
      <w:pPr>
        <w:jc w:val="both"/>
      </w:pPr>
      <w:r>
        <w:t>donde</w:t>
      </w:r>
      <w:r w:rsidR="008E7362">
        <w:t>:</w:t>
      </w:r>
    </w:p>
    <w:p w14:paraId="08D4AFFE" w14:textId="77777777" w:rsidR="00D47DCF" w:rsidRDefault="008E7362" w:rsidP="00D84CA9">
      <w:pPr>
        <w:jc w:val="both"/>
        <w:rPr>
          <w:rFonts w:eastAsiaTheme="minorEastAsia"/>
        </w:rPr>
      </w:pPr>
      <m:oMath>
        <m:sSub>
          <m:sSubPr>
            <m:ctrlPr>
              <w:rPr>
                <w:rFonts w:ascii="Cambria Math" w:hAnsi="Cambria Math"/>
                <w:i/>
              </w:rPr>
            </m:ctrlPr>
          </m:sSubPr>
          <m:e>
            <m:r>
              <w:rPr>
                <w:rFonts w:ascii="Cambria Math" w:hAnsi="Cambria Math"/>
              </w:rPr>
              <m:t>FC</m:t>
            </m:r>
          </m:e>
          <m:sub>
            <m:r>
              <w:rPr>
                <w:rFonts w:ascii="Cambria Math" w:hAnsi="Cambria Math"/>
              </w:rPr>
              <m:t>hi</m:t>
            </m:r>
          </m:sub>
        </m:sSub>
        <m:r>
          <w:rPr>
            <w:rFonts w:ascii="Cambria Math" w:eastAsiaTheme="minorEastAsia" w:hAnsi="Cambria Math"/>
          </w:rPr>
          <m:t>=</m:t>
        </m:r>
      </m:oMath>
      <w:r w:rsidR="00D47DCF">
        <w:rPr>
          <w:rFonts w:eastAsiaTheme="minorEastAsia"/>
        </w:rPr>
        <w:t xml:space="preserve"> Factor de expansión corregido para la i-ésima UPM del estrato </w:t>
      </w:r>
      <w:r w:rsidR="00D47DCF" w:rsidRPr="008E7362">
        <w:rPr>
          <w:rFonts w:eastAsiaTheme="minorEastAsia"/>
          <w:i/>
        </w:rPr>
        <w:t>h</w:t>
      </w:r>
    </w:p>
    <w:p w14:paraId="6270539A" w14:textId="77777777" w:rsidR="00D47DCF" w:rsidRDefault="008E7362" w:rsidP="00D84CA9">
      <w:pPr>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m:t>
            </m:r>
          </m:sub>
        </m:sSub>
        <m:r>
          <w:rPr>
            <w:rFonts w:ascii="Cambria Math" w:eastAsiaTheme="minorEastAsia" w:hAnsi="Cambria Math"/>
          </w:rPr>
          <m:t>=</m:t>
        </m:r>
      </m:oMath>
      <w:r w:rsidR="00D47DCF">
        <w:rPr>
          <w:rFonts w:eastAsiaTheme="minorEastAsia"/>
        </w:rPr>
        <w:t xml:space="preserve"> Total de UPM’s en el estrato </w:t>
      </w:r>
      <w:r w:rsidR="00D47DCF" w:rsidRPr="008E7362">
        <w:rPr>
          <w:rFonts w:eastAsiaTheme="minorEastAsia"/>
          <w:i/>
        </w:rPr>
        <w:t>h</w:t>
      </w:r>
    </w:p>
    <w:p w14:paraId="0A441ADB" w14:textId="77777777" w:rsidR="00D47DCF" w:rsidRDefault="008E7362" w:rsidP="00D84CA9">
      <w:pPr>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ne</m:t>
            </m:r>
          </m:e>
          <m:sub>
            <m:r>
              <w:rPr>
                <w:rFonts w:ascii="Cambria Math" w:eastAsiaTheme="minorEastAsia" w:hAnsi="Cambria Math"/>
              </w:rPr>
              <m:t>h</m:t>
            </m:r>
          </m:sub>
        </m:sSub>
        <m:r>
          <w:rPr>
            <w:rFonts w:ascii="Cambria Math" w:eastAsiaTheme="minorEastAsia" w:hAnsi="Cambria Math"/>
          </w:rPr>
          <m:t>=</m:t>
        </m:r>
      </m:oMath>
      <w:r w:rsidR="00D47DCF">
        <w:rPr>
          <w:rFonts w:eastAsiaTheme="minorEastAsia"/>
        </w:rPr>
        <w:t xml:space="preserve"> Número equivalente de UPM’s en el estrato </w:t>
      </w:r>
      <w:r w:rsidR="00D47DCF" w:rsidRPr="008E7362">
        <w:rPr>
          <w:rFonts w:eastAsiaTheme="minorEastAsia"/>
          <w:i/>
        </w:rPr>
        <w:t>h</w:t>
      </w:r>
    </w:p>
    <w:p w14:paraId="71C70A37" w14:textId="77777777" w:rsidR="00D47DCF" w:rsidRDefault="00943E40" w:rsidP="00D84CA9">
      <w:pPr>
        <w:jc w:val="both"/>
      </w:pPr>
      <w:r>
        <w:t>Al aplicar estos nuevos factores de expansión a una nueva variable los errores relativos se ven disminuidos drásticamente. En la gráfica</w:t>
      </w:r>
      <w:r w:rsidR="001C3A5C">
        <w:t xml:space="preserve"> 2</w:t>
      </w:r>
      <w:r>
        <w:t xml:space="preserve"> se muestra un histograma con el porcentaj</w:t>
      </w:r>
      <w:r w:rsidR="00D96713">
        <w:t>e de municipios para cada interv</w:t>
      </w:r>
      <w:r>
        <w:t>alo de error relativo</w:t>
      </w:r>
      <w:r w:rsidR="00D96713">
        <w:t>,</w:t>
      </w:r>
      <w:r>
        <w:t xml:space="preserve"> cometido al estimar la población total de mujeres en cada municipio.</w:t>
      </w:r>
    </w:p>
    <w:p w14:paraId="7BDFC4D5" w14:textId="77777777" w:rsidR="008E7362" w:rsidRDefault="008E7362" w:rsidP="00D84CA9">
      <w:pPr>
        <w:jc w:val="both"/>
        <w:rPr>
          <w:b/>
        </w:rPr>
      </w:pPr>
    </w:p>
    <w:p w14:paraId="528F0C19" w14:textId="77777777" w:rsidR="008E7362" w:rsidRDefault="008E7362" w:rsidP="00D84CA9">
      <w:pPr>
        <w:jc w:val="both"/>
        <w:rPr>
          <w:b/>
        </w:rPr>
      </w:pPr>
    </w:p>
    <w:p w14:paraId="54D00A80" w14:textId="77777777" w:rsidR="008E7362" w:rsidRDefault="008E7362" w:rsidP="00D84CA9">
      <w:pPr>
        <w:jc w:val="both"/>
        <w:rPr>
          <w:b/>
        </w:rPr>
      </w:pPr>
    </w:p>
    <w:p w14:paraId="4C2FAE29" w14:textId="77777777" w:rsidR="008E7362" w:rsidRDefault="008E7362" w:rsidP="00D84CA9">
      <w:pPr>
        <w:jc w:val="both"/>
        <w:rPr>
          <w:b/>
        </w:rPr>
      </w:pPr>
    </w:p>
    <w:p w14:paraId="5C3936AE" w14:textId="77777777" w:rsidR="001C3A5C" w:rsidRPr="001C3A5C" w:rsidRDefault="001C3A5C" w:rsidP="00D84CA9">
      <w:pPr>
        <w:jc w:val="both"/>
        <w:rPr>
          <w:b/>
        </w:rPr>
      </w:pPr>
      <w:r w:rsidRPr="001C3A5C">
        <w:rPr>
          <w:b/>
        </w:rPr>
        <w:lastRenderedPageBreak/>
        <w:t>Gráfica 2. Porcentaje de municipios de acuerdo al error relativo de la estimación de total poblacional de mujeres con respecto al total poblacional real de mujeres</w:t>
      </w:r>
    </w:p>
    <w:p w14:paraId="19F39E9C" w14:textId="77777777" w:rsidR="001C3A5C" w:rsidRDefault="001C3A5C" w:rsidP="00D84CA9">
      <w:pPr>
        <w:jc w:val="both"/>
      </w:pPr>
      <w:r>
        <w:rPr>
          <w:noProof/>
          <w:lang w:val="es-ES" w:eastAsia="es-ES"/>
        </w:rPr>
        <w:drawing>
          <wp:inline distT="0" distB="0" distL="0" distR="0" wp14:anchorId="12FD1928" wp14:editId="12BAC31D">
            <wp:extent cx="5760000" cy="323564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3235644"/>
                    </a:xfrm>
                    <a:prstGeom prst="rect">
                      <a:avLst/>
                    </a:prstGeom>
                    <a:noFill/>
                  </pic:spPr>
                </pic:pic>
              </a:graphicData>
            </a:graphic>
          </wp:inline>
        </w:drawing>
      </w:r>
    </w:p>
    <w:p w14:paraId="321881A4" w14:textId="77777777" w:rsidR="001C3A5C" w:rsidRPr="00170DDA" w:rsidRDefault="001C3A5C" w:rsidP="00D84CA9">
      <w:pPr>
        <w:jc w:val="both"/>
        <w:rPr>
          <w:sz w:val="20"/>
        </w:rPr>
      </w:pPr>
      <w:r w:rsidRPr="001C3A5C">
        <w:rPr>
          <w:sz w:val="20"/>
        </w:rPr>
        <w:t>Fuente: elaboración propia con datos de</w:t>
      </w:r>
      <w:r w:rsidR="008E7362">
        <w:rPr>
          <w:sz w:val="20"/>
        </w:rPr>
        <w:t xml:space="preserve"> </w:t>
      </w:r>
      <w:r w:rsidRPr="001C3A5C">
        <w:rPr>
          <w:sz w:val="20"/>
        </w:rPr>
        <w:t>l</w:t>
      </w:r>
      <w:r w:rsidR="008E7362">
        <w:rPr>
          <w:sz w:val="20"/>
        </w:rPr>
        <w:t>os microdatos del</w:t>
      </w:r>
      <w:r w:rsidRPr="001C3A5C">
        <w:rPr>
          <w:sz w:val="20"/>
        </w:rPr>
        <w:t xml:space="preserve"> Censo de 1930.</w:t>
      </w:r>
    </w:p>
    <w:p w14:paraId="7132488B" w14:textId="77777777" w:rsidR="001C3A5C" w:rsidRDefault="001C3A5C" w:rsidP="00D84CA9">
      <w:pPr>
        <w:jc w:val="both"/>
      </w:pPr>
    </w:p>
    <w:p w14:paraId="3115DFC7" w14:textId="77777777" w:rsidR="00583303" w:rsidRPr="00583303" w:rsidRDefault="00583303" w:rsidP="00D84CA9">
      <w:pPr>
        <w:jc w:val="both"/>
        <w:rPr>
          <w:b/>
        </w:rPr>
      </w:pPr>
      <w:r w:rsidRPr="00583303">
        <w:rPr>
          <w:b/>
        </w:rPr>
        <w:t>Estimadores</w:t>
      </w:r>
    </w:p>
    <w:p w14:paraId="2F36A2B2" w14:textId="77777777" w:rsidR="00583303" w:rsidRDefault="00583303" w:rsidP="00D84CA9">
      <w:pPr>
        <w:jc w:val="both"/>
      </w:pPr>
      <w:r>
        <w:t>El estimador del total</w:t>
      </w:r>
      <w:r w:rsidR="00D96713">
        <w:t xml:space="preserve"> de una característica de interés,</w:t>
      </w:r>
      <w:r>
        <w:t xml:space="preserve"> para un dominio dado es:</w:t>
      </w:r>
    </w:p>
    <w:p w14:paraId="5E0C527D" w14:textId="77777777" w:rsidR="00583303" w:rsidRPr="00583303" w:rsidRDefault="008E7362" w:rsidP="00D84CA9">
      <w:pPr>
        <w:jc w:val="both"/>
      </w:pPr>
      <m:oMathPara>
        <m:oMathParaPr>
          <m:jc m:val="centerGroup"/>
        </m:oMathParaPr>
        <m:oMath>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h</m:t>
              </m:r>
            </m:sub>
            <m:sup/>
            <m:e>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h</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h</m:t>
              </m:r>
            </m:sub>
            <m:sup/>
            <m:e>
              <m:nary>
                <m:naryPr>
                  <m:chr m:val="∑"/>
                  <m:supHide m:val="1"/>
                  <m:ctrlPr>
                    <w:rPr>
                      <w:rFonts w:ascii="Cambria Math" w:hAnsi="Cambria Math"/>
                      <w:i/>
                      <w:iCs/>
                    </w:rPr>
                  </m:ctrlPr>
                </m:naryPr>
                <m:sub>
                  <m:r>
                    <w:rPr>
                      <w:rFonts w:ascii="Cambria Math" w:hAnsi="Cambria Math"/>
                    </w:rPr>
                    <m:t>i</m:t>
                  </m:r>
                </m:sub>
                <m:sup/>
                <m:e>
                  <m:sSub>
                    <m:sSubPr>
                      <m:ctrlPr>
                        <w:rPr>
                          <w:rFonts w:ascii="Cambria Math" w:hAnsi="Cambria Math"/>
                          <w:i/>
                          <w:iCs/>
                        </w:rPr>
                      </m:ctrlPr>
                    </m:sSubPr>
                    <m:e>
                      <m:r>
                        <w:rPr>
                          <w:rFonts w:ascii="Cambria Math" w:hAnsi="Cambria Math"/>
                        </w:rPr>
                        <m:t>FC</m:t>
                      </m:r>
                    </m:e>
                    <m:sub>
                      <m:r>
                        <w:rPr>
                          <w:rFonts w:ascii="Cambria Math" w:hAnsi="Cambria Math"/>
                        </w:rPr>
                        <m:t>hi</m:t>
                      </m:r>
                    </m:sub>
                  </m:sSub>
                  <m:nary>
                    <m:naryPr>
                      <m:chr m:val="∑"/>
                      <m:supHide m:val="1"/>
                      <m:ctrlPr>
                        <w:rPr>
                          <w:rFonts w:ascii="Cambria Math" w:hAnsi="Cambria Math"/>
                          <w:i/>
                          <w:iCs/>
                        </w:rPr>
                      </m:ctrlPr>
                    </m:naryPr>
                    <m:sub>
                      <m:r>
                        <w:rPr>
                          <w:rFonts w:ascii="Cambria Math" w:hAnsi="Cambria Math"/>
                        </w:rPr>
                        <m:t>k</m:t>
                      </m:r>
                    </m:sub>
                    <m:sup/>
                    <m:e>
                      <m:sSub>
                        <m:sSubPr>
                          <m:ctrlPr>
                            <w:rPr>
                              <w:rFonts w:ascii="Cambria Math" w:hAnsi="Cambria Math"/>
                              <w:i/>
                              <w:iCs/>
                            </w:rPr>
                          </m:ctrlPr>
                        </m:sSubPr>
                        <m:e>
                          <m:r>
                            <w:rPr>
                              <w:rFonts w:ascii="Cambria Math" w:hAnsi="Cambria Math"/>
                            </w:rPr>
                            <m:t>y</m:t>
                          </m:r>
                        </m:e>
                        <m:sub>
                          <m:r>
                            <w:rPr>
                              <w:rFonts w:ascii="Cambria Math" w:hAnsi="Cambria Math"/>
                            </w:rPr>
                            <m:t>hik</m:t>
                          </m:r>
                        </m:sub>
                      </m:sSub>
                    </m:e>
                  </m:nary>
                </m:e>
              </m:nary>
            </m:e>
          </m:nary>
        </m:oMath>
      </m:oMathPara>
    </w:p>
    <w:p w14:paraId="19C57EB9" w14:textId="77777777" w:rsidR="00583303" w:rsidRDefault="00583303" w:rsidP="00D84CA9">
      <w:pPr>
        <w:jc w:val="both"/>
      </w:pPr>
      <w:r>
        <w:t>donde</w:t>
      </w:r>
      <w:r w:rsidR="008E7362">
        <w:t>:</w:t>
      </w:r>
    </w:p>
    <w:p w14:paraId="489B359B" w14:textId="77777777" w:rsidR="00583303" w:rsidRDefault="008E7362" w:rsidP="00D84CA9">
      <w:pPr>
        <w:jc w:val="both"/>
      </w:pPr>
      <m:oMath>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r>
          <w:rPr>
            <w:rFonts w:ascii="Cambria Math" w:hAnsi="Cambria Math"/>
          </w:rPr>
          <m:t>=</m:t>
        </m:r>
      </m:oMath>
      <w:r w:rsidR="00583303" w:rsidRPr="00583303">
        <w:rPr>
          <w:i/>
          <w:iCs/>
        </w:rPr>
        <w:t xml:space="preserve"> </w:t>
      </w:r>
      <w:r w:rsidR="0045308C">
        <w:rPr>
          <w:iCs/>
        </w:rPr>
        <w:t xml:space="preserve">Estimador del total </w:t>
      </w:r>
      <w:r w:rsidR="00583303" w:rsidRPr="00583303">
        <w:t xml:space="preserve">para una característica en particular en el </w:t>
      </w:r>
      <w:r w:rsidR="0045308C">
        <w:t xml:space="preserve">dominio </w:t>
      </w:r>
      <w:r w:rsidR="0045308C" w:rsidRPr="008E7362">
        <w:rPr>
          <w:i/>
        </w:rPr>
        <w:t>d</w:t>
      </w:r>
    </w:p>
    <w:p w14:paraId="05645035" w14:textId="77777777" w:rsidR="0045308C" w:rsidRPr="00583303" w:rsidRDefault="008E7362" w:rsidP="00D84CA9">
      <w:pPr>
        <w:jc w:val="both"/>
      </w:pPr>
      <m:oMath>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r>
          <w:rPr>
            <w:rFonts w:ascii="Cambria Math" w:hAnsi="Cambria Math"/>
          </w:rPr>
          <m:t>=</m:t>
        </m:r>
      </m:oMath>
      <w:r w:rsidR="0045308C" w:rsidRPr="00583303">
        <w:rPr>
          <w:i/>
          <w:iCs/>
        </w:rPr>
        <w:t xml:space="preserve"> </w:t>
      </w:r>
      <w:r w:rsidR="0045308C">
        <w:rPr>
          <w:iCs/>
        </w:rPr>
        <w:t xml:space="preserve">Estimador del total </w:t>
      </w:r>
      <w:r w:rsidR="0045308C" w:rsidRPr="00583303">
        <w:t xml:space="preserve">para una característica en particular en el </w:t>
      </w:r>
      <w:r w:rsidR="0045308C">
        <w:t xml:space="preserve">estrato h del dominio </w:t>
      </w:r>
      <w:r w:rsidR="0045308C" w:rsidRPr="008E7362">
        <w:rPr>
          <w:i/>
        </w:rPr>
        <w:t>d</w:t>
      </w:r>
    </w:p>
    <w:p w14:paraId="7465AD02" w14:textId="77777777" w:rsidR="00583303" w:rsidRPr="00583303" w:rsidRDefault="008E7362" w:rsidP="00D84CA9">
      <w:pPr>
        <w:jc w:val="both"/>
      </w:pPr>
      <m:oMath>
        <m:sSub>
          <m:sSubPr>
            <m:ctrlPr>
              <w:rPr>
                <w:rFonts w:ascii="Cambria Math" w:hAnsi="Cambria Math"/>
                <w:i/>
                <w:iCs/>
              </w:rPr>
            </m:ctrlPr>
          </m:sSubPr>
          <m:e>
            <m:r>
              <w:rPr>
                <w:rFonts w:ascii="Cambria Math" w:hAnsi="Cambria Math"/>
              </w:rPr>
              <m:t>FC</m:t>
            </m:r>
          </m:e>
          <m:sub>
            <m:r>
              <w:rPr>
                <w:rFonts w:ascii="Cambria Math" w:hAnsi="Cambria Math"/>
              </w:rPr>
              <m:t>hi</m:t>
            </m:r>
          </m:sub>
        </m:sSub>
        <m:r>
          <w:rPr>
            <w:rFonts w:ascii="Cambria Math" w:hAnsi="Cambria Math"/>
          </w:rPr>
          <m:t>=</m:t>
        </m:r>
      </m:oMath>
      <w:r w:rsidR="00583303" w:rsidRPr="00583303">
        <w:t xml:space="preserve"> </w:t>
      </w:r>
      <w:r w:rsidR="00583303">
        <w:t>F</w:t>
      </w:r>
      <w:r w:rsidR="00583303" w:rsidRPr="00583303">
        <w:t>actor de expansión</w:t>
      </w:r>
      <w:r w:rsidR="00583303">
        <w:t xml:space="preserve"> corregido</w:t>
      </w:r>
      <w:r w:rsidR="00583303" w:rsidRPr="00583303">
        <w:t xml:space="preserve"> </w:t>
      </w:r>
      <w:r w:rsidR="00583303">
        <w:t>de la i-ésima</w:t>
      </w:r>
      <w:r w:rsidR="00583303" w:rsidRPr="00583303">
        <w:t xml:space="preserve"> UPM del </w:t>
      </w:r>
      <w:r w:rsidR="0045308C">
        <w:t>estrato</w:t>
      </w:r>
      <w:r w:rsidR="00583303" w:rsidRPr="00583303">
        <w:t xml:space="preserve"> h</w:t>
      </w:r>
      <w:r w:rsidR="0045308C">
        <w:t xml:space="preserve"> en el dominio </w:t>
      </w:r>
      <w:r w:rsidR="0045308C" w:rsidRPr="008E7362">
        <w:rPr>
          <w:i/>
        </w:rPr>
        <w:t>d</w:t>
      </w:r>
    </w:p>
    <w:p w14:paraId="7BAB28EC" w14:textId="77777777" w:rsidR="00583303" w:rsidRDefault="008E7362" w:rsidP="00D84CA9">
      <w:pPr>
        <w:jc w:val="both"/>
      </w:pPr>
      <m:oMath>
        <m:sSub>
          <m:sSubPr>
            <m:ctrlPr>
              <w:rPr>
                <w:rFonts w:ascii="Cambria Math" w:hAnsi="Cambria Math"/>
                <w:i/>
                <w:iCs/>
              </w:rPr>
            </m:ctrlPr>
          </m:sSubPr>
          <m:e>
            <m:r>
              <w:rPr>
                <w:rFonts w:ascii="Cambria Math" w:hAnsi="Cambria Math"/>
              </w:rPr>
              <m:t>y</m:t>
            </m:r>
          </m:e>
          <m:sub>
            <m:r>
              <w:rPr>
                <w:rFonts w:ascii="Cambria Math" w:hAnsi="Cambria Math"/>
              </w:rPr>
              <m:t>hik</m:t>
            </m:r>
          </m:sub>
        </m:sSub>
        <m:r>
          <w:rPr>
            <w:rFonts w:ascii="Cambria Math" w:eastAsiaTheme="minorEastAsia" w:hAnsi="Cambria Math"/>
          </w:rPr>
          <m:t>=</m:t>
        </m:r>
      </m:oMath>
      <w:r w:rsidR="00583303" w:rsidRPr="00583303">
        <w:t xml:space="preserve"> </w:t>
      </w:r>
      <w:r w:rsidR="00583303">
        <w:t>V</w:t>
      </w:r>
      <w:r w:rsidR="00583303" w:rsidRPr="00583303">
        <w:t>alor de la característica de interés, k-ésimo reg</w:t>
      </w:r>
      <w:r w:rsidR="00583303">
        <w:t>istro</w:t>
      </w:r>
      <w:r w:rsidR="00583303" w:rsidRPr="00583303">
        <w:t xml:space="preserve"> de la</w:t>
      </w:r>
      <w:r w:rsidR="00583303">
        <w:t xml:space="preserve"> i-ésima</w:t>
      </w:r>
      <w:r w:rsidR="00583303" w:rsidRPr="00583303">
        <w:t xml:space="preserve"> UPM</w:t>
      </w:r>
      <w:r w:rsidR="00583303">
        <w:t xml:space="preserve"> del </w:t>
      </w:r>
      <w:r w:rsidR="0045308C">
        <w:t>estrato</w:t>
      </w:r>
      <w:r w:rsidR="00583303">
        <w:t xml:space="preserve"> </w:t>
      </w:r>
      <w:r w:rsidR="00583303" w:rsidRPr="008E7362">
        <w:rPr>
          <w:i/>
        </w:rPr>
        <w:t>h</w:t>
      </w:r>
    </w:p>
    <w:p w14:paraId="704DE808" w14:textId="77777777" w:rsidR="00D96713" w:rsidRDefault="00D96713" w:rsidP="00D84CA9">
      <w:pPr>
        <w:jc w:val="both"/>
      </w:pPr>
      <w:r>
        <w:t xml:space="preserve">El estimador para la media de la característica de interés </w:t>
      </w:r>
      <w:r w:rsidR="0045308C">
        <w:t xml:space="preserve">en el dominio </w:t>
      </w:r>
      <w:r w:rsidR="0045308C" w:rsidRPr="008E7362">
        <w:rPr>
          <w:i/>
        </w:rPr>
        <w:t>d</w:t>
      </w:r>
      <w:r w:rsidR="0045308C">
        <w:t xml:space="preserve"> </w:t>
      </w:r>
      <w:r>
        <w:t>es:</w:t>
      </w:r>
    </w:p>
    <w:p w14:paraId="77CB764F" w14:textId="77777777" w:rsidR="00D96713" w:rsidRPr="001752FD" w:rsidRDefault="008E7362" w:rsidP="00D84CA9">
      <w:pPr>
        <w:spacing w:before="240"/>
        <w:jc w:val="both"/>
        <w:rPr>
          <w:rFonts w:eastAsiaTheme="minorEastAsia"/>
          <w:iCs/>
        </w:rPr>
      </w:pPr>
      <m:oMathPara>
        <m:oMath>
          <m:sSub>
            <m:sSubPr>
              <m:ctrlPr>
                <w:rPr>
                  <w:rFonts w:ascii="Cambria Math" w:hAnsi="Cambria Math"/>
                  <w:i/>
                  <w:iCs/>
                </w:rPr>
              </m:ctrlPr>
            </m:sSubPr>
            <m:e>
              <m:acc>
                <m:accPr>
                  <m:ctrlPr>
                    <w:rPr>
                      <w:rFonts w:ascii="Cambria Math" w:hAnsi="Cambria Math"/>
                      <w:i/>
                      <w:iCs/>
                    </w:rPr>
                  </m:ctrlPr>
                </m:accPr>
                <m:e>
                  <m:acc>
                    <m:accPr>
                      <m:chr m:val="̅"/>
                      <m:ctrlPr>
                        <w:rPr>
                          <w:rFonts w:ascii="Cambria Math" w:hAnsi="Cambria Math"/>
                          <w:i/>
                        </w:rPr>
                      </m:ctrlPr>
                    </m:accPr>
                    <m:e>
                      <m:r>
                        <w:rPr>
                          <w:rFonts w:ascii="Cambria Math" w:hAnsi="Cambria Math"/>
                        </w:rPr>
                        <m:t>Y</m:t>
                      </m:r>
                    </m:e>
                  </m:acc>
                </m:e>
              </m:acc>
            </m:e>
            <m:sub>
              <m:r>
                <w:rPr>
                  <w:rFonts w:ascii="Cambria Math" w:hAnsi="Cambria Math"/>
                </w:rPr>
                <m:t>d</m:t>
              </m:r>
            </m:sub>
          </m:sSub>
          <m:r>
            <w:rPr>
              <w:rFonts w:ascii="Cambria Math" w:eastAsiaTheme="minorEastAsia" w:hAnsi="Cambria Math"/>
            </w:rPr>
            <m:t>=</m:t>
          </m:r>
          <m:f>
            <m:fPr>
              <m:ctrlPr>
                <w:rPr>
                  <w:rFonts w:ascii="Cambria Math" w:hAnsi="Cambria Math"/>
                  <w:i/>
                  <w:iCs/>
                </w:rPr>
              </m:ctrlPr>
            </m:fPr>
            <m:num>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num>
            <m:den>
              <m:nary>
                <m:naryPr>
                  <m:chr m:val="∑"/>
                  <m:supHide m:val="1"/>
                  <m:ctrlPr>
                    <w:rPr>
                      <w:rFonts w:ascii="Cambria Math" w:hAnsi="Cambria Math"/>
                      <w:i/>
                      <w:iCs/>
                    </w:rPr>
                  </m:ctrlPr>
                </m:naryPr>
                <m:sub>
                  <m:r>
                    <w:rPr>
                      <w:rFonts w:ascii="Cambria Math" w:hAnsi="Cambria Math"/>
                    </w:rPr>
                    <m:t>i</m:t>
                  </m:r>
                </m:sub>
                <m:sup/>
                <m:e>
                  <m:sSub>
                    <m:sSubPr>
                      <m:ctrlPr>
                        <w:rPr>
                          <w:rFonts w:ascii="Cambria Math" w:hAnsi="Cambria Math"/>
                          <w:i/>
                          <w:iCs/>
                        </w:rPr>
                      </m:ctrlPr>
                    </m:sSubPr>
                    <m:e>
                      <m:r>
                        <w:rPr>
                          <w:rFonts w:ascii="Cambria Math" w:hAnsi="Cambria Math"/>
                        </w:rPr>
                        <m:t>FC</m:t>
                      </m:r>
                    </m:e>
                    <m:sub>
                      <m:r>
                        <w:rPr>
                          <w:rFonts w:ascii="Cambria Math" w:hAnsi="Cambria Math"/>
                        </w:rPr>
                        <m:t>hi</m:t>
                      </m:r>
                    </m:sub>
                  </m:sSub>
                </m:e>
              </m:nary>
            </m:den>
          </m:f>
        </m:oMath>
      </m:oMathPara>
    </w:p>
    <w:p w14:paraId="5386BB32" w14:textId="77777777" w:rsidR="001752FD" w:rsidRDefault="008E7362" w:rsidP="00D84CA9">
      <w:pPr>
        <w:spacing w:before="240"/>
        <w:jc w:val="both"/>
        <w:rPr>
          <w:rFonts w:eastAsiaTheme="minorEastAsia"/>
          <w:iCs/>
        </w:rPr>
      </w:pPr>
      <w:r>
        <w:rPr>
          <w:rFonts w:eastAsiaTheme="minorEastAsia"/>
          <w:iCs/>
        </w:rPr>
        <w:lastRenderedPageBreak/>
        <w:t>donde:</w:t>
      </w:r>
    </w:p>
    <w:p w14:paraId="72C848CC" w14:textId="77777777" w:rsidR="001752FD" w:rsidRDefault="008E7362" w:rsidP="00D84CA9">
      <w:pPr>
        <w:spacing w:before="240"/>
        <w:jc w:val="both"/>
        <w:rPr>
          <w:rFonts w:eastAsiaTheme="minorEastAsia"/>
          <w:iCs/>
        </w:rPr>
      </w:pPr>
      <m:oMath>
        <m:sSub>
          <m:sSubPr>
            <m:ctrlPr>
              <w:rPr>
                <w:rFonts w:ascii="Cambria Math" w:hAnsi="Cambria Math"/>
                <w:i/>
                <w:iCs/>
              </w:rPr>
            </m:ctrlPr>
          </m:sSubPr>
          <m:e>
            <m:acc>
              <m:accPr>
                <m:ctrlPr>
                  <w:rPr>
                    <w:rFonts w:ascii="Cambria Math" w:hAnsi="Cambria Math"/>
                    <w:i/>
                    <w:iCs/>
                  </w:rPr>
                </m:ctrlPr>
              </m:accPr>
              <m:e>
                <m:acc>
                  <m:accPr>
                    <m:chr m:val="̅"/>
                    <m:ctrlPr>
                      <w:rPr>
                        <w:rFonts w:ascii="Cambria Math" w:hAnsi="Cambria Math"/>
                        <w:i/>
                      </w:rPr>
                    </m:ctrlPr>
                  </m:accPr>
                  <m:e>
                    <m:r>
                      <w:rPr>
                        <w:rFonts w:ascii="Cambria Math" w:hAnsi="Cambria Math"/>
                      </w:rPr>
                      <m:t>Y</m:t>
                    </m:r>
                  </m:e>
                </m:acc>
              </m:e>
            </m:acc>
          </m:e>
          <m:sub>
            <m:r>
              <w:rPr>
                <w:rFonts w:ascii="Cambria Math" w:hAnsi="Cambria Math"/>
              </w:rPr>
              <m:t>d</m:t>
            </m:r>
          </m:sub>
        </m:sSub>
        <m:r>
          <w:rPr>
            <w:rFonts w:ascii="Cambria Math" w:eastAsiaTheme="minorEastAsia" w:hAnsi="Cambria Math"/>
          </w:rPr>
          <m:t>=</m:t>
        </m:r>
      </m:oMath>
      <w:r w:rsidR="001752FD">
        <w:rPr>
          <w:rFonts w:eastAsiaTheme="minorEastAsia"/>
          <w:iCs/>
        </w:rPr>
        <w:t xml:space="preserve"> Estimador de la media para una característica de interés en el </w:t>
      </w:r>
      <w:r w:rsidR="0045308C">
        <w:rPr>
          <w:rFonts w:eastAsiaTheme="minorEastAsia"/>
          <w:iCs/>
        </w:rPr>
        <w:t xml:space="preserve">dominio </w:t>
      </w:r>
      <w:r w:rsidR="0045308C" w:rsidRPr="008E7362">
        <w:rPr>
          <w:rFonts w:eastAsiaTheme="minorEastAsia"/>
          <w:i/>
          <w:iCs/>
        </w:rPr>
        <w:t>d</w:t>
      </w:r>
    </w:p>
    <w:p w14:paraId="089DBFEF" w14:textId="77777777" w:rsidR="0045308C" w:rsidRDefault="008E7362" w:rsidP="00D84CA9">
      <w:pPr>
        <w:jc w:val="both"/>
      </w:pPr>
      <m:oMath>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h</m:t>
            </m:r>
          </m:sub>
        </m:sSub>
        <m:r>
          <w:rPr>
            <w:rFonts w:ascii="Cambria Math" w:hAnsi="Cambria Math"/>
          </w:rPr>
          <m:t>=</m:t>
        </m:r>
      </m:oMath>
      <w:r w:rsidR="0045308C">
        <w:rPr>
          <w:rFonts w:eastAsiaTheme="minorEastAsia"/>
          <w:iCs/>
        </w:rPr>
        <w:t xml:space="preserve"> </w:t>
      </w:r>
      <w:r w:rsidR="0045308C">
        <w:rPr>
          <w:iCs/>
        </w:rPr>
        <w:t xml:space="preserve">Estimador del total </w:t>
      </w:r>
      <w:r w:rsidR="0045308C" w:rsidRPr="00583303">
        <w:t xml:space="preserve">para una característica </w:t>
      </w:r>
      <w:r w:rsidR="0045308C">
        <w:t>de interés</w:t>
      </w:r>
      <w:r w:rsidR="0045308C" w:rsidRPr="00583303">
        <w:t xml:space="preserve">en el </w:t>
      </w:r>
      <w:r w:rsidR="0045308C">
        <w:t xml:space="preserve">dominio </w:t>
      </w:r>
      <w:r w:rsidR="0045308C" w:rsidRPr="008E7362">
        <w:rPr>
          <w:i/>
        </w:rPr>
        <w:t>d</w:t>
      </w:r>
    </w:p>
    <w:p w14:paraId="26D8F730" w14:textId="77777777" w:rsidR="001752FD" w:rsidRDefault="008E7362" w:rsidP="00D84CA9">
      <w:pPr>
        <w:jc w:val="both"/>
      </w:pPr>
      <m:oMath>
        <m:sSub>
          <m:sSubPr>
            <m:ctrlPr>
              <w:rPr>
                <w:rFonts w:ascii="Cambria Math" w:hAnsi="Cambria Math"/>
                <w:i/>
                <w:iCs/>
              </w:rPr>
            </m:ctrlPr>
          </m:sSubPr>
          <m:e>
            <m:r>
              <w:rPr>
                <w:rFonts w:ascii="Cambria Math" w:hAnsi="Cambria Math"/>
              </w:rPr>
              <m:t>FC</m:t>
            </m:r>
          </m:e>
          <m:sub>
            <m:r>
              <w:rPr>
                <w:rFonts w:ascii="Cambria Math" w:hAnsi="Cambria Math"/>
              </w:rPr>
              <m:t>hi</m:t>
            </m:r>
          </m:sub>
        </m:sSub>
        <m:r>
          <w:rPr>
            <w:rFonts w:ascii="Cambria Math" w:hAnsi="Cambria Math"/>
          </w:rPr>
          <m:t>=</m:t>
        </m:r>
      </m:oMath>
      <w:r w:rsidR="001752FD" w:rsidRPr="00583303">
        <w:t xml:space="preserve"> </w:t>
      </w:r>
      <w:r w:rsidR="001752FD">
        <w:t>F</w:t>
      </w:r>
      <w:r w:rsidR="001752FD" w:rsidRPr="00583303">
        <w:t>actor de expansión</w:t>
      </w:r>
      <w:r w:rsidR="001752FD">
        <w:t xml:space="preserve"> corregido</w:t>
      </w:r>
      <w:r w:rsidR="001752FD" w:rsidRPr="00583303">
        <w:t xml:space="preserve"> </w:t>
      </w:r>
      <w:r w:rsidR="001752FD">
        <w:t xml:space="preserve">de la </w:t>
      </w:r>
      <w:r w:rsidR="001752FD" w:rsidRPr="008E7362">
        <w:rPr>
          <w:i/>
        </w:rPr>
        <w:t>i</w:t>
      </w:r>
      <w:r w:rsidR="001752FD">
        <w:t>-ésima</w:t>
      </w:r>
      <w:r w:rsidR="001752FD" w:rsidRPr="00583303">
        <w:t xml:space="preserve"> UPM del </w:t>
      </w:r>
      <w:r w:rsidR="0045308C">
        <w:t>estrato</w:t>
      </w:r>
      <w:r w:rsidR="001752FD" w:rsidRPr="00583303">
        <w:t xml:space="preserve"> h</w:t>
      </w:r>
      <w:r w:rsidR="0045308C">
        <w:t xml:space="preserve"> que pertenece al dominio </w:t>
      </w:r>
      <w:r w:rsidR="0045308C" w:rsidRPr="008E7362">
        <w:rPr>
          <w:i/>
        </w:rPr>
        <w:t>d</w:t>
      </w:r>
    </w:p>
    <w:p w14:paraId="6C8FAB3A" w14:textId="77777777" w:rsidR="002D69FC" w:rsidRDefault="002D69FC" w:rsidP="00D84CA9">
      <w:pPr>
        <w:jc w:val="both"/>
      </w:pPr>
      <w:r>
        <w:t>Las varianzas y los errores estándar de los estimadores anteriores pueden ser calculados con las siguientes expresiones:</w:t>
      </w:r>
    </w:p>
    <w:p w14:paraId="5EA8B226" w14:textId="77777777" w:rsidR="002D69FC" w:rsidRDefault="002D69FC" w:rsidP="00D84CA9">
      <w:pPr>
        <w:jc w:val="both"/>
      </w:pPr>
      <w:r>
        <w:t xml:space="preserve">Varianza del estimador del total en el dominio </w:t>
      </w:r>
      <w:r w:rsidRPr="008E7362">
        <w:rPr>
          <w:i/>
        </w:rPr>
        <w:t>d</w:t>
      </w:r>
      <w:r>
        <w:t>:</w:t>
      </w:r>
    </w:p>
    <w:p w14:paraId="08C7532B" w14:textId="77777777" w:rsidR="002D69FC" w:rsidRDefault="008E7362" w:rsidP="00D84CA9">
      <w:pPr>
        <w:jc w:val="both"/>
      </w:pPr>
      <m:oMathPara>
        <m:oMath>
          <m:acc>
            <m:accPr>
              <m:ctrlPr>
                <w:rPr>
                  <w:rFonts w:ascii="Cambria Math" w:hAnsi="Cambria Math"/>
                  <w:i/>
                </w:rPr>
              </m:ctrlPr>
            </m:accPr>
            <m:e>
              <m:r>
                <w:rPr>
                  <w:rFonts w:ascii="Cambria Math" w:hAnsi="Cambria Math"/>
                </w:rPr>
                <m:t>V</m:t>
              </m:r>
            </m:e>
          </m:acc>
          <m:d>
            <m:dPr>
              <m:ctrlPr>
                <w:rPr>
                  <w:rFonts w:ascii="Cambria Math" w:hAnsi="Cambria Math"/>
                  <w:i/>
                </w:rPr>
              </m:ctrlPr>
            </m:dPr>
            <m:e>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e>
          </m:d>
          <m:r>
            <w:rPr>
              <w:rFonts w:ascii="Cambria Math" w:eastAsiaTheme="minorEastAsia" w:hAnsi="Cambria Math"/>
            </w:rPr>
            <m:t>=</m:t>
          </m:r>
          <m:nary>
            <m:naryPr>
              <m:chr m:val="∑"/>
              <m:limLoc m:val="undOvr"/>
              <m:supHide m:val="1"/>
              <m:ctrlPr>
                <w:rPr>
                  <w:rFonts w:ascii="Cambria Math" w:hAnsi="Cambria Math"/>
                  <w:i/>
                </w:rPr>
              </m:ctrlPr>
            </m:naryPr>
            <m:sub>
              <m:r>
                <w:rPr>
                  <w:rFonts w:ascii="Cambria Math" w:hAnsi="Cambria Math"/>
                </w:rPr>
                <m:t>h</m:t>
              </m:r>
            </m:sub>
            <m:sup/>
            <m:e>
              <m:sSub>
                <m:sSubPr>
                  <m:ctrlPr>
                    <w:rPr>
                      <w:rFonts w:ascii="Cambria Math" w:hAnsi="Cambria Math"/>
                      <w:i/>
                      <w:iCs/>
                    </w:rPr>
                  </m:ctrlPr>
                </m:sSubPr>
                <m:e>
                  <m:acc>
                    <m:accPr>
                      <m:ctrlPr>
                        <w:rPr>
                          <w:rFonts w:ascii="Cambria Math" w:hAnsi="Cambria Math"/>
                          <w:i/>
                          <w:iCs/>
                        </w:rPr>
                      </m:ctrlPr>
                    </m:accPr>
                    <m:e>
                      <m:r>
                        <w:rPr>
                          <w:rFonts w:ascii="Cambria Math" w:hAnsi="Cambria Math"/>
                        </w:rPr>
                        <m:t>V</m:t>
                      </m:r>
                    </m:e>
                  </m:acc>
                  <m:r>
                    <w:rPr>
                      <w:rFonts w:ascii="Cambria Math" w:hAnsi="Cambria Math"/>
                    </w:rPr>
                    <m:t>(</m:t>
                  </m:r>
                  <m:acc>
                    <m:accPr>
                      <m:ctrlPr>
                        <w:rPr>
                          <w:rFonts w:ascii="Cambria Math" w:hAnsi="Cambria Math"/>
                          <w:i/>
                          <w:iCs/>
                        </w:rPr>
                      </m:ctrlPr>
                    </m:accPr>
                    <m:e>
                      <m:r>
                        <w:rPr>
                          <w:rFonts w:ascii="Cambria Math" w:hAnsi="Cambria Math"/>
                        </w:rPr>
                        <m:t>Y</m:t>
                      </m:r>
                    </m:e>
                  </m:acc>
                </m:e>
                <m:sub>
                  <m:r>
                    <w:rPr>
                      <w:rFonts w:ascii="Cambria Math" w:hAnsi="Cambria Math"/>
                    </w:rPr>
                    <m:t>h</m:t>
                  </m:r>
                </m:sub>
              </m:sSub>
              <m:r>
                <w:rPr>
                  <w:rFonts w:ascii="Cambria Math" w:hAnsi="Cambria Math"/>
                </w:rPr>
                <m:t>)</m:t>
              </m:r>
            </m:e>
          </m:nary>
          <m:r>
            <w:rPr>
              <w:rFonts w:ascii="Cambria Math" w:eastAsiaTheme="minorEastAsia" w:hAnsi="Cambria Math"/>
            </w:rPr>
            <m:t>=</m:t>
          </m:r>
          <m:nary>
            <m:naryPr>
              <m:chr m:val="∑"/>
              <m:limLoc m:val="undOvr"/>
              <m:supHide m:val="1"/>
              <m:ctrlPr>
                <w:rPr>
                  <w:rFonts w:ascii="Cambria Math" w:hAnsi="Cambria Math"/>
                  <w:i/>
                </w:rPr>
              </m:ctrlPr>
            </m:naryPr>
            <m:sub>
              <m:r>
                <w:rPr>
                  <w:rFonts w:ascii="Cambria Math" w:hAnsi="Cambria Math"/>
                </w:rPr>
                <m:t>h</m:t>
              </m:r>
            </m:sub>
            <m:sup/>
            <m:e>
              <m:sSubSup>
                <m:sSubSupPr>
                  <m:ctrlPr>
                    <w:rPr>
                      <w:rFonts w:ascii="Cambria Math" w:hAnsi="Cambria Math"/>
                      <w:i/>
                      <w:iCs/>
                    </w:rPr>
                  </m:ctrlPr>
                </m:sSubSupPr>
                <m:e>
                  <m:r>
                    <w:rPr>
                      <w:rFonts w:ascii="Cambria Math" w:hAnsi="Cambria Math"/>
                    </w:rPr>
                    <m:t>PR</m:t>
                  </m:r>
                </m:e>
                <m:sub>
                  <m:r>
                    <w:rPr>
                      <w:rFonts w:ascii="Cambria Math" w:hAnsi="Cambria Math"/>
                    </w:rPr>
                    <m:t>h</m:t>
                  </m:r>
                </m:sub>
                <m:sup>
                  <m:r>
                    <w:rPr>
                      <w:rFonts w:ascii="Cambria Math" w:hAnsi="Cambria Math"/>
                    </w:rPr>
                    <m:t>2</m:t>
                  </m:r>
                </m:sup>
              </m:sSubSup>
              <m:d>
                <m:dPr>
                  <m:ctrlPr>
                    <w:rPr>
                      <w:rFonts w:ascii="Cambria Math" w:hAnsi="Cambria Math"/>
                      <w:i/>
                      <w:iCs/>
                    </w:rPr>
                  </m:ctrlPr>
                </m:dPr>
                <m:e>
                  <m:r>
                    <w:rPr>
                      <w:rFonts w:ascii="Cambria Math" w:hAnsi="Cambria Math"/>
                    </w:rPr>
                    <m:t>1-</m:t>
                  </m:r>
                  <m:f>
                    <m:fPr>
                      <m:ctrlPr>
                        <w:rPr>
                          <w:rFonts w:ascii="Cambria Math" w:hAnsi="Cambria Math"/>
                          <w:i/>
                          <w:iCs/>
                        </w:rPr>
                      </m:ctrlPr>
                    </m:fPr>
                    <m:num>
                      <m:sSub>
                        <m:sSubPr>
                          <m:ctrlPr>
                            <w:rPr>
                              <w:rFonts w:ascii="Cambria Math" w:hAnsi="Cambria Math"/>
                              <w:i/>
                              <w:iCs/>
                            </w:rPr>
                          </m:ctrlPr>
                        </m:sSubPr>
                        <m:e>
                          <m:r>
                            <w:rPr>
                              <w:rFonts w:ascii="Cambria Math" w:hAnsi="Cambria Math"/>
                            </w:rPr>
                            <m:t>PM</m:t>
                          </m:r>
                        </m:e>
                        <m:sub>
                          <m:r>
                            <w:rPr>
                              <w:rFonts w:ascii="Cambria Math" w:hAnsi="Cambria Math"/>
                            </w:rPr>
                            <m:t>h</m:t>
                          </m:r>
                        </m:sub>
                      </m:sSub>
                    </m:num>
                    <m:den>
                      <m:sSub>
                        <m:sSubPr>
                          <m:ctrlPr>
                            <w:rPr>
                              <w:rFonts w:ascii="Cambria Math" w:hAnsi="Cambria Math"/>
                              <w:i/>
                              <w:iCs/>
                            </w:rPr>
                          </m:ctrlPr>
                        </m:sSubPr>
                        <m:e>
                          <m:r>
                            <w:rPr>
                              <w:rFonts w:ascii="Cambria Math" w:hAnsi="Cambria Math"/>
                            </w:rPr>
                            <m:t>PR</m:t>
                          </m:r>
                        </m:e>
                        <m:sub>
                          <m:r>
                            <w:rPr>
                              <w:rFonts w:ascii="Cambria Math" w:hAnsi="Cambria Math"/>
                            </w:rPr>
                            <m:t>h</m:t>
                          </m:r>
                        </m:sub>
                      </m:sSub>
                    </m:den>
                  </m:f>
                </m:e>
              </m:d>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S</m:t>
                          </m:r>
                        </m:e>
                      </m:acc>
                    </m:e>
                    <m:sub>
                      <m:r>
                        <w:rPr>
                          <w:rFonts w:ascii="Cambria Math" w:hAnsi="Cambria Math"/>
                        </w:rPr>
                        <m:t>h</m:t>
                      </m:r>
                    </m:sub>
                    <m:sup>
                      <m:r>
                        <w:rPr>
                          <w:rFonts w:ascii="Cambria Math" w:hAnsi="Cambria Math"/>
                        </w:rPr>
                        <m:t>2</m:t>
                      </m:r>
                    </m:sup>
                  </m:sSubSup>
                </m:num>
                <m:den>
                  <m:sSub>
                    <m:sSubPr>
                      <m:ctrlPr>
                        <w:rPr>
                          <w:rFonts w:ascii="Cambria Math" w:hAnsi="Cambria Math"/>
                          <w:i/>
                          <w:iCs/>
                        </w:rPr>
                      </m:ctrlPr>
                    </m:sSubPr>
                    <m:e>
                      <m:r>
                        <w:rPr>
                          <w:rFonts w:ascii="Cambria Math" w:hAnsi="Cambria Math"/>
                        </w:rPr>
                        <m:t>PM</m:t>
                      </m:r>
                    </m:e>
                    <m:sub>
                      <m:r>
                        <w:rPr>
                          <w:rFonts w:ascii="Cambria Math" w:hAnsi="Cambria Math"/>
                        </w:rPr>
                        <m:t>h</m:t>
                      </m:r>
                    </m:sub>
                  </m:sSub>
                </m:den>
              </m:f>
            </m:e>
          </m:nary>
        </m:oMath>
      </m:oMathPara>
    </w:p>
    <w:p w14:paraId="61CE59A8" w14:textId="77777777" w:rsidR="0002638B" w:rsidRDefault="0002638B" w:rsidP="00D84CA9">
      <w:pPr>
        <w:jc w:val="both"/>
      </w:pPr>
      <w:r>
        <w:t>donde</w:t>
      </w:r>
      <w:r w:rsidR="008E7362">
        <w:t>:</w:t>
      </w:r>
    </w:p>
    <w:p w14:paraId="44527559" w14:textId="77777777" w:rsidR="0002638B" w:rsidRDefault="008E7362" w:rsidP="00D84CA9">
      <w:pPr>
        <w:jc w:val="both"/>
      </w:pPr>
      <m:oMathPara>
        <m:oMath>
          <m:sSubSup>
            <m:sSubSupPr>
              <m:ctrlPr>
                <w:rPr>
                  <w:rFonts w:ascii="Cambria Math" w:hAnsi="Cambria Math"/>
                  <w:i/>
                  <w:iCs/>
                </w:rPr>
              </m:ctrlPr>
            </m:sSubSupPr>
            <m:e>
              <m:acc>
                <m:accPr>
                  <m:ctrlPr>
                    <w:rPr>
                      <w:rFonts w:ascii="Cambria Math" w:hAnsi="Cambria Math"/>
                      <w:i/>
                      <w:iCs/>
                    </w:rPr>
                  </m:ctrlPr>
                </m:accPr>
                <m:e>
                  <m:r>
                    <w:rPr>
                      <w:rFonts w:ascii="Cambria Math" w:hAnsi="Cambria Math"/>
                    </w:rPr>
                    <m:t>S</m:t>
                  </m:r>
                </m:e>
              </m:acc>
            </m:e>
            <m:sub>
              <m:r>
                <w:rPr>
                  <w:rFonts w:ascii="Cambria Math" w:hAnsi="Cambria Math"/>
                </w:rPr>
                <m:t>h</m:t>
              </m:r>
            </m:sub>
            <m:sup>
              <m:r>
                <w:rPr>
                  <w:rFonts w:ascii="Cambria Math" w:hAnsi="Cambria Math"/>
                </w:rPr>
                <m:t>2</m:t>
              </m:r>
            </m:sup>
          </m:sSubSup>
          <m:r>
            <w:rPr>
              <w:rFonts w:ascii="Cambria Math" w:hAnsi="Cambria Math"/>
            </w:rPr>
            <m:t>=</m:t>
          </m:r>
          <m:nary>
            <m:naryPr>
              <m:chr m:val="∑"/>
              <m:supHide m:val="1"/>
              <m:ctrlPr>
                <w:rPr>
                  <w:rFonts w:ascii="Cambria Math" w:hAnsi="Cambria Math"/>
                  <w:i/>
                  <w:iCs/>
                </w:rPr>
              </m:ctrlPr>
            </m:naryPr>
            <m:sub>
              <m:r>
                <w:rPr>
                  <w:rFonts w:ascii="Cambria Math" w:hAnsi="Cambria Math"/>
                </w:rPr>
                <m:t>i</m:t>
              </m:r>
            </m:sub>
            <m:sup/>
            <m:e>
              <m:nary>
                <m:naryPr>
                  <m:chr m:val="∑"/>
                  <m:supHide m:val="1"/>
                  <m:ctrlPr>
                    <w:rPr>
                      <w:rFonts w:ascii="Cambria Math" w:hAnsi="Cambria Math"/>
                      <w:i/>
                      <w:iCs/>
                    </w:rPr>
                  </m:ctrlPr>
                </m:naryPr>
                <m:sub>
                  <m:r>
                    <w:rPr>
                      <w:rFonts w:ascii="Cambria Math" w:hAnsi="Cambria Math"/>
                    </w:rPr>
                    <m:t>k</m:t>
                  </m:r>
                </m:sub>
                <m:sup/>
                <m:e>
                  <m:f>
                    <m:fPr>
                      <m:ctrlPr>
                        <w:rPr>
                          <w:rFonts w:ascii="Cambria Math" w:hAnsi="Cambria Math"/>
                          <w:i/>
                          <w:iCs/>
                        </w:rPr>
                      </m:ctrlPr>
                    </m:fPr>
                    <m:num>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y</m:t>
                                  </m:r>
                                </m:e>
                                <m:sub>
                                  <m:r>
                                    <w:rPr>
                                      <w:rFonts w:ascii="Cambria Math" w:hAnsi="Cambria Math"/>
                                    </w:rPr>
                                    <m:t>hik</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h</m:t>
                                  </m:r>
                                </m:sub>
                              </m:sSub>
                            </m:e>
                          </m:d>
                        </m:e>
                        <m:sup>
                          <m:r>
                            <w:rPr>
                              <w:rFonts w:ascii="Cambria Math" w:hAnsi="Cambria Math"/>
                            </w:rPr>
                            <m:t>2</m:t>
                          </m:r>
                        </m:sup>
                      </m:sSup>
                    </m:num>
                    <m:den>
                      <m:sSub>
                        <m:sSubPr>
                          <m:ctrlPr>
                            <w:rPr>
                              <w:rFonts w:ascii="Cambria Math" w:hAnsi="Cambria Math"/>
                              <w:i/>
                              <w:iCs/>
                            </w:rPr>
                          </m:ctrlPr>
                        </m:sSubPr>
                        <m:e>
                          <m:r>
                            <w:rPr>
                              <w:rFonts w:ascii="Cambria Math" w:hAnsi="Cambria Math"/>
                            </w:rPr>
                            <m:t>PM</m:t>
                          </m:r>
                        </m:e>
                        <m:sub>
                          <m:r>
                            <w:rPr>
                              <w:rFonts w:ascii="Cambria Math" w:hAnsi="Cambria Math"/>
                            </w:rPr>
                            <m:t>h</m:t>
                          </m:r>
                        </m:sub>
                      </m:sSub>
                      <m:r>
                        <w:rPr>
                          <w:rFonts w:ascii="Cambria Math" w:hAnsi="Cambria Math"/>
                        </w:rPr>
                        <m:t>-1</m:t>
                      </m:r>
                    </m:den>
                  </m:f>
                </m:e>
              </m:nary>
            </m:e>
          </m:nary>
        </m:oMath>
      </m:oMathPara>
    </w:p>
    <w:p w14:paraId="2A6C9FB7" w14:textId="77777777" w:rsidR="002D69FC" w:rsidRDefault="00164006" w:rsidP="00D84CA9">
      <w:pPr>
        <w:jc w:val="both"/>
      </w:pPr>
      <w:r>
        <w:t>Para obtener el error estándar del estimador del total, basta con calcular la raz cuadrado del estimador de la varianza.</w:t>
      </w:r>
    </w:p>
    <w:p w14:paraId="2437F4CB" w14:textId="77777777" w:rsidR="002D69FC" w:rsidRDefault="0002638B" w:rsidP="00D84CA9">
      <w:pPr>
        <w:jc w:val="both"/>
      </w:pPr>
      <w:r>
        <w:t>Para la varianza del estimador de la media, nótese que éste se puede expresar en términos de la varianza del estimador del total, de la siguiente manera:</w:t>
      </w:r>
    </w:p>
    <w:p w14:paraId="11B6C3E6" w14:textId="77777777" w:rsidR="0084529D" w:rsidRPr="00A95A59" w:rsidRDefault="008E7362" w:rsidP="00D84CA9">
      <w:pPr>
        <w:jc w:val="both"/>
        <w:rPr>
          <w:rFonts w:eastAsiaTheme="minorEastAsia"/>
        </w:rPr>
      </w:pPr>
      <m:oMathPara>
        <m:oMath>
          <m:acc>
            <m:accPr>
              <m:ctrlPr>
                <w:rPr>
                  <w:rFonts w:ascii="Cambria Math" w:hAnsi="Cambria Math"/>
                  <w:i/>
                </w:rPr>
              </m:ctrlPr>
            </m:accPr>
            <m:e>
              <m:r>
                <w:rPr>
                  <w:rFonts w:ascii="Cambria Math" w:hAnsi="Cambria Math"/>
                </w:rPr>
                <m:t>V</m:t>
              </m:r>
            </m:e>
          </m:acc>
          <m:d>
            <m:dPr>
              <m:ctrlPr>
                <w:rPr>
                  <w:rFonts w:ascii="Cambria Math" w:hAnsi="Cambria Math"/>
                  <w:i/>
                </w:rPr>
              </m:ctrlPr>
            </m:dPr>
            <m:e>
              <m:sSub>
                <m:sSubPr>
                  <m:ctrlPr>
                    <w:rPr>
                      <w:rFonts w:ascii="Cambria Math" w:hAnsi="Cambria Math"/>
                      <w:i/>
                      <w:iCs/>
                    </w:rPr>
                  </m:ctrlPr>
                </m:sSubPr>
                <m:e>
                  <m:acc>
                    <m:accPr>
                      <m:ctrlPr>
                        <w:rPr>
                          <w:rFonts w:ascii="Cambria Math" w:hAnsi="Cambria Math"/>
                          <w:i/>
                          <w:iCs/>
                        </w:rPr>
                      </m:ctrlPr>
                    </m:accPr>
                    <m:e>
                      <m:acc>
                        <m:accPr>
                          <m:chr m:val="̅"/>
                          <m:ctrlPr>
                            <w:rPr>
                              <w:rFonts w:ascii="Cambria Math" w:hAnsi="Cambria Math"/>
                              <w:i/>
                            </w:rPr>
                          </m:ctrlPr>
                        </m:accPr>
                        <m:e>
                          <m:r>
                            <w:rPr>
                              <w:rFonts w:ascii="Cambria Math" w:hAnsi="Cambria Math"/>
                            </w:rPr>
                            <m:t>Y</m:t>
                          </m:r>
                        </m:e>
                      </m:acc>
                    </m:e>
                  </m:acc>
                </m:e>
                <m:sub>
                  <m:r>
                    <w:rPr>
                      <w:rFonts w:ascii="Cambria Math" w:hAnsi="Cambria Math"/>
                    </w:rPr>
                    <m:t>d</m:t>
                  </m:r>
                </m:sub>
              </m:sSub>
            </m:e>
          </m:d>
          <m:r>
            <w:rPr>
              <w:rFonts w:ascii="Cambria Math" w:eastAsiaTheme="minorEastAsia" w:hAnsi="Cambria Math"/>
            </w:rPr>
            <m:t>=</m:t>
          </m:r>
          <m:acc>
            <m:accPr>
              <m:ctrlPr>
                <w:rPr>
                  <w:rFonts w:ascii="Cambria Math" w:hAnsi="Cambria Math"/>
                  <w:i/>
                </w:rPr>
              </m:ctrlPr>
            </m:accPr>
            <m:e>
              <m:r>
                <w:rPr>
                  <w:rFonts w:ascii="Cambria Math" w:hAnsi="Cambria Math"/>
                </w:rPr>
                <m:t>V</m:t>
              </m:r>
            </m:e>
          </m:acc>
          <m:d>
            <m:dPr>
              <m:ctrlPr>
                <w:rPr>
                  <w:rFonts w:ascii="Cambria Math" w:hAnsi="Cambria Math"/>
                  <w:i/>
                </w:rPr>
              </m:ctrlPr>
            </m:dPr>
            <m:e>
              <m:f>
                <m:fPr>
                  <m:ctrlPr>
                    <w:rPr>
                      <w:rFonts w:ascii="Cambria Math" w:hAnsi="Cambria Math"/>
                      <w:i/>
                      <w:iCs/>
                    </w:rPr>
                  </m:ctrlPr>
                </m:fPr>
                <m:num>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num>
                <m:den>
                  <m:nary>
                    <m:naryPr>
                      <m:chr m:val="∑"/>
                      <m:supHide m:val="1"/>
                      <m:ctrlPr>
                        <w:rPr>
                          <w:rFonts w:ascii="Cambria Math" w:hAnsi="Cambria Math"/>
                          <w:i/>
                          <w:iCs/>
                        </w:rPr>
                      </m:ctrlPr>
                    </m:naryPr>
                    <m:sub>
                      <m:r>
                        <w:rPr>
                          <w:rFonts w:ascii="Cambria Math" w:hAnsi="Cambria Math"/>
                        </w:rPr>
                        <m:t>i</m:t>
                      </m:r>
                    </m:sub>
                    <m:sup/>
                    <m:e>
                      <m:sSub>
                        <m:sSubPr>
                          <m:ctrlPr>
                            <w:rPr>
                              <w:rFonts w:ascii="Cambria Math" w:hAnsi="Cambria Math"/>
                              <w:i/>
                              <w:iCs/>
                            </w:rPr>
                          </m:ctrlPr>
                        </m:sSubPr>
                        <m:e>
                          <m:r>
                            <w:rPr>
                              <w:rFonts w:ascii="Cambria Math" w:hAnsi="Cambria Math"/>
                            </w:rPr>
                            <m:t>FC</m:t>
                          </m:r>
                        </m:e>
                        <m:sub>
                          <m:r>
                            <w:rPr>
                              <w:rFonts w:ascii="Cambria Math" w:hAnsi="Cambria Math"/>
                            </w:rPr>
                            <m:t>hi</m:t>
                          </m:r>
                        </m:sub>
                      </m:sSub>
                    </m:e>
                  </m:nary>
                </m:den>
              </m:f>
            </m:e>
          </m:d>
          <m:r>
            <w:rPr>
              <w:rFonts w:ascii="Cambria Math" w:eastAsiaTheme="minorEastAsia" w:hAnsi="Cambria Math"/>
            </w:rPr>
            <m:t>=</m:t>
          </m:r>
          <m:f>
            <m:fPr>
              <m:ctrlPr>
                <w:rPr>
                  <w:rFonts w:ascii="Cambria Math" w:eastAsiaTheme="minorEastAsia" w:hAnsi="Cambria Math"/>
                  <w:i/>
                </w:rPr>
              </m:ctrlPr>
            </m:fPr>
            <m:num>
              <m:acc>
                <m:accPr>
                  <m:ctrlPr>
                    <w:rPr>
                      <w:rFonts w:ascii="Cambria Math" w:hAnsi="Cambria Math"/>
                      <w:i/>
                    </w:rPr>
                  </m:ctrlPr>
                </m:accPr>
                <m:e>
                  <m:r>
                    <w:rPr>
                      <w:rFonts w:ascii="Cambria Math" w:hAnsi="Cambria Math"/>
                    </w:rPr>
                    <m:t>V</m:t>
                  </m:r>
                </m:e>
              </m:acc>
              <m:d>
                <m:dPr>
                  <m:ctrlPr>
                    <w:rPr>
                      <w:rFonts w:ascii="Cambria Math" w:hAnsi="Cambria Math"/>
                      <w:i/>
                    </w:rPr>
                  </m:ctrlPr>
                </m:dPr>
                <m:e>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d</m:t>
                      </m:r>
                    </m:sub>
                  </m:sSub>
                </m:e>
              </m:d>
            </m:num>
            <m:den>
              <m:sSup>
                <m:sSupPr>
                  <m:ctrlPr>
                    <w:rPr>
                      <w:rFonts w:ascii="Cambria Math" w:eastAsiaTheme="minorEastAsia" w:hAnsi="Cambria Math"/>
                      <w:i/>
                    </w:rPr>
                  </m:ctrlPr>
                </m:sSupPr>
                <m:e>
                  <m:d>
                    <m:dPr>
                      <m:ctrlPr>
                        <w:rPr>
                          <w:rFonts w:ascii="Cambria Math" w:eastAsiaTheme="minorEastAsia" w:hAnsi="Cambria Math"/>
                          <w:i/>
                        </w:rPr>
                      </m:ctrlPr>
                    </m:dPr>
                    <m:e>
                      <m:nary>
                        <m:naryPr>
                          <m:chr m:val="∑"/>
                          <m:supHide m:val="1"/>
                          <m:ctrlPr>
                            <w:rPr>
                              <w:rFonts w:ascii="Cambria Math" w:hAnsi="Cambria Math"/>
                              <w:i/>
                              <w:iCs/>
                            </w:rPr>
                          </m:ctrlPr>
                        </m:naryPr>
                        <m:sub>
                          <m:r>
                            <w:rPr>
                              <w:rFonts w:ascii="Cambria Math" w:hAnsi="Cambria Math"/>
                            </w:rPr>
                            <m:t>i</m:t>
                          </m:r>
                        </m:sub>
                        <m:sup/>
                        <m:e>
                          <m:sSub>
                            <m:sSubPr>
                              <m:ctrlPr>
                                <w:rPr>
                                  <w:rFonts w:ascii="Cambria Math" w:hAnsi="Cambria Math"/>
                                  <w:i/>
                                  <w:iCs/>
                                </w:rPr>
                              </m:ctrlPr>
                            </m:sSubPr>
                            <m:e>
                              <m:r>
                                <w:rPr>
                                  <w:rFonts w:ascii="Cambria Math" w:hAnsi="Cambria Math"/>
                                </w:rPr>
                                <m:t>FC</m:t>
                              </m:r>
                            </m:e>
                            <m:sub>
                              <m:r>
                                <w:rPr>
                                  <w:rFonts w:ascii="Cambria Math" w:hAnsi="Cambria Math"/>
                                </w:rPr>
                                <m:t>hi</m:t>
                              </m:r>
                            </m:sub>
                          </m:sSub>
                        </m:e>
                      </m:nary>
                    </m:e>
                  </m:d>
                </m:e>
                <m:sup>
                  <m:r>
                    <w:rPr>
                      <w:rFonts w:ascii="Cambria Math" w:eastAsiaTheme="minorEastAsia" w:hAnsi="Cambria Math"/>
                    </w:rPr>
                    <m:t>2</m:t>
                  </m:r>
                </m:sup>
              </m:sSup>
            </m:den>
          </m:f>
        </m:oMath>
      </m:oMathPara>
    </w:p>
    <w:p w14:paraId="2B861237" w14:textId="77777777" w:rsidR="00A95A59" w:rsidRPr="00583303" w:rsidRDefault="00A95A59" w:rsidP="00D84CA9">
      <w:pPr>
        <w:jc w:val="both"/>
      </w:pPr>
      <w:r>
        <w:rPr>
          <w:rFonts w:eastAsiaTheme="minorEastAsia"/>
        </w:rPr>
        <w:t>No obstante, las estimaciones que se presentan aquí fueron calculadas mediante el paque</w:t>
      </w:r>
      <w:r w:rsidR="003A2BB9">
        <w:rPr>
          <w:rFonts w:eastAsiaTheme="minorEastAsia"/>
        </w:rPr>
        <w:t>te</w:t>
      </w:r>
      <w:r>
        <w:rPr>
          <w:rFonts w:eastAsiaTheme="minorEastAsia"/>
        </w:rPr>
        <w:t xml:space="preserve"> SAS 9.2 con el procedimiento </w:t>
      </w:r>
      <w:r w:rsidRPr="00A95A59">
        <w:rPr>
          <w:rFonts w:eastAsiaTheme="minorEastAsia"/>
        </w:rPr>
        <w:t>PROC SURVEYMEANS</w:t>
      </w:r>
      <w:r>
        <w:rPr>
          <w:rFonts w:eastAsiaTheme="minorEastAsia"/>
        </w:rPr>
        <w:t>, que utiliza una aproximación mediante series de Taylor para calcular las varianzas de los estimadores.</w:t>
      </w:r>
    </w:p>
    <w:p w14:paraId="5175A2A5" w14:textId="77777777" w:rsidR="001752FD" w:rsidRDefault="001752FD" w:rsidP="00D84CA9">
      <w:pPr>
        <w:spacing w:before="240"/>
        <w:jc w:val="both"/>
        <w:rPr>
          <w:b/>
        </w:rPr>
      </w:pPr>
      <w:r w:rsidRPr="001C3A5C">
        <w:rPr>
          <w:b/>
        </w:rPr>
        <w:t>Otras estimaciones</w:t>
      </w:r>
    </w:p>
    <w:p w14:paraId="28ED658A" w14:textId="77777777" w:rsidR="001A5656" w:rsidRDefault="00A1519E" w:rsidP="00D84CA9">
      <w:pPr>
        <w:spacing w:before="240"/>
        <w:jc w:val="both"/>
      </w:pPr>
      <w:r>
        <w:t xml:space="preserve">Para corroborar la pertinencia del ajuste hecho a los factores de expansión, se hicieron estimaciones para otras variables a escala estatal, ya que en las publicaciones del </w:t>
      </w:r>
      <w:r w:rsidRPr="00A1519E">
        <w:t>Censo de Población y Vivienda 1930</w:t>
      </w:r>
      <w:r>
        <w:t xml:space="preserve"> del INEGI se pueden encontrar totales a escala para </w:t>
      </w:r>
      <w:r w:rsidR="008E7362" w:rsidRPr="008E7362">
        <w:t>algunas</w:t>
      </w:r>
      <w:r w:rsidRPr="008E7362">
        <w:t xml:space="preserve"> variables del censo</w:t>
      </w:r>
      <w:r>
        <w:t>. De esta manera, es posible comparar dichos totales con las estimaciones que se obtienen a esta escala usando los factores expansión ajustados. Véase la siguiente tabla, donde se presenta tanto los valores reales como las estimaciones de la población del estado de Tabasco según estado civil.</w:t>
      </w:r>
    </w:p>
    <w:p w14:paraId="365D318E" w14:textId="77777777" w:rsidR="00D84CA9" w:rsidRDefault="00D84CA9" w:rsidP="00D84CA9">
      <w:pPr>
        <w:spacing w:before="240"/>
        <w:jc w:val="both"/>
        <w:rPr>
          <w:b/>
        </w:rPr>
      </w:pPr>
    </w:p>
    <w:p w14:paraId="3042E6EF" w14:textId="77777777" w:rsidR="004E7F4F" w:rsidRPr="00A1519E" w:rsidRDefault="00A1519E" w:rsidP="00D84CA9">
      <w:pPr>
        <w:spacing w:before="240"/>
        <w:jc w:val="both"/>
        <w:rPr>
          <w:b/>
        </w:rPr>
      </w:pPr>
      <w:r w:rsidRPr="00A1519E">
        <w:rPr>
          <w:b/>
        </w:rPr>
        <w:lastRenderedPageBreak/>
        <w:t>Tabla 1. Valores reales y estimaciones de la población de Tabasco clasificada por estado ci</w:t>
      </w:r>
      <w:r w:rsidR="004E7F4F">
        <w:rPr>
          <w:b/>
        </w:rPr>
        <w:t>v</w:t>
      </w:r>
      <w:r w:rsidRPr="00A1519E">
        <w:rPr>
          <w:b/>
        </w:rPr>
        <w:t xml:space="preserve">il </w:t>
      </w:r>
      <w:bookmarkStart w:id="0" w:name="_GoBack"/>
      <w:bookmarkEnd w:id="0"/>
      <w:r w:rsidRPr="00A1519E">
        <w:rPr>
          <w:b/>
        </w:rPr>
        <w:t>según sexo, en 1930</w:t>
      </w:r>
      <w:r w:rsidR="00D84CA9">
        <w:rPr>
          <w:b/>
        </w:rPr>
        <w:t>.</w:t>
      </w:r>
    </w:p>
    <w:tbl>
      <w:tblPr>
        <w:tblW w:w="5000" w:type="pct"/>
        <w:tblCellMar>
          <w:left w:w="70" w:type="dxa"/>
          <w:right w:w="70" w:type="dxa"/>
        </w:tblCellMar>
        <w:tblLook w:val="04A0" w:firstRow="1" w:lastRow="0" w:firstColumn="1" w:lastColumn="0" w:noHBand="0" w:noVBand="1"/>
      </w:tblPr>
      <w:tblGrid>
        <w:gridCol w:w="2473"/>
        <w:gridCol w:w="1085"/>
        <w:gridCol w:w="1086"/>
        <w:gridCol w:w="1085"/>
        <w:gridCol w:w="1086"/>
        <w:gridCol w:w="1122"/>
        <w:gridCol w:w="1041"/>
      </w:tblGrid>
      <w:tr w:rsidR="004E7F4F" w:rsidRPr="004E7F4F" w14:paraId="258E9946" w14:textId="77777777" w:rsidTr="00D84CA9">
        <w:trPr>
          <w:trHeight w:val="255"/>
        </w:trPr>
        <w:tc>
          <w:tcPr>
            <w:tcW w:w="1377" w:type="pct"/>
            <w:vMerge w:val="restart"/>
            <w:tcBorders>
              <w:top w:val="nil"/>
              <w:left w:val="nil"/>
              <w:bottom w:val="nil"/>
              <w:right w:val="nil"/>
            </w:tcBorders>
            <w:shd w:val="clear" w:color="auto" w:fill="auto"/>
            <w:noWrap/>
            <w:vAlign w:val="center"/>
            <w:hideMark/>
          </w:tcPr>
          <w:p w14:paraId="11A22A35" w14:textId="77777777" w:rsidR="004E7F4F" w:rsidRPr="004E7F4F" w:rsidRDefault="004E7F4F" w:rsidP="00D84CA9">
            <w:pPr>
              <w:spacing w:after="0" w:line="240" w:lineRule="auto"/>
              <w:jc w:val="center"/>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Estado Civil</w:t>
            </w:r>
          </w:p>
        </w:tc>
        <w:tc>
          <w:tcPr>
            <w:tcW w:w="1209" w:type="pct"/>
            <w:gridSpan w:val="2"/>
            <w:tcBorders>
              <w:top w:val="nil"/>
              <w:left w:val="nil"/>
              <w:bottom w:val="nil"/>
              <w:right w:val="nil"/>
            </w:tcBorders>
            <w:shd w:val="clear" w:color="auto" w:fill="auto"/>
            <w:noWrap/>
            <w:vAlign w:val="bottom"/>
            <w:hideMark/>
          </w:tcPr>
          <w:p w14:paraId="1539DC64" w14:textId="77777777" w:rsidR="004E7F4F" w:rsidRPr="004E7F4F" w:rsidRDefault="004E7F4F" w:rsidP="00D84CA9">
            <w:pPr>
              <w:spacing w:after="0" w:line="240" w:lineRule="auto"/>
              <w:jc w:val="center"/>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Real</w:t>
            </w:r>
          </w:p>
        </w:tc>
        <w:tc>
          <w:tcPr>
            <w:tcW w:w="1209" w:type="pct"/>
            <w:gridSpan w:val="2"/>
            <w:tcBorders>
              <w:top w:val="nil"/>
              <w:left w:val="nil"/>
              <w:bottom w:val="nil"/>
              <w:right w:val="nil"/>
            </w:tcBorders>
            <w:shd w:val="clear" w:color="auto" w:fill="auto"/>
            <w:noWrap/>
            <w:vAlign w:val="bottom"/>
            <w:hideMark/>
          </w:tcPr>
          <w:p w14:paraId="67C8B773" w14:textId="77777777" w:rsidR="004E7F4F" w:rsidRPr="004E7F4F" w:rsidRDefault="004E7F4F" w:rsidP="00D84CA9">
            <w:pPr>
              <w:spacing w:after="0" w:line="240" w:lineRule="auto"/>
              <w:jc w:val="center"/>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Estimado</w:t>
            </w:r>
          </w:p>
        </w:tc>
        <w:tc>
          <w:tcPr>
            <w:tcW w:w="1205" w:type="pct"/>
            <w:gridSpan w:val="2"/>
            <w:tcBorders>
              <w:top w:val="nil"/>
              <w:left w:val="nil"/>
              <w:bottom w:val="nil"/>
              <w:right w:val="nil"/>
            </w:tcBorders>
            <w:shd w:val="clear" w:color="auto" w:fill="auto"/>
            <w:noWrap/>
            <w:vAlign w:val="bottom"/>
            <w:hideMark/>
          </w:tcPr>
          <w:p w14:paraId="1A32AFCA" w14:textId="77777777" w:rsidR="004E7F4F" w:rsidRPr="004E7F4F" w:rsidRDefault="004E7F4F" w:rsidP="00D84CA9">
            <w:pPr>
              <w:spacing w:after="0" w:line="240" w:lineRule="auto"/>
              <w:jc w:val="center"/>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Error relativo</w:t>
            </w:r>
          </w:p>
        </w:tc>
      </w:tr>
      <w:tr w:rsidR="004E7F4F" w:rsidRPr="004E7F4F" w14:paraId="1F230799" w14:textId="77777777" w:rsidTr="00D84CA9">
        <w:trPr>
          <w:trHeight w:val="255"/>
        </w:trPr>
        <w:tc>
          <w:tcPr>
            <w:tcW w:w="1377" w:type="pct"/>
            <w:vMerge/>
            <w:tcBorders>
              <w:top w:val="nil"/>
              <w:left w:val="nil"/>
              <w:bottom w:val="single" w:sz="4" w:space="0" w:color="7F7F7F" w:themeColor="text1" w:themeTint="80"/>
              <w:right w:val="nil"/>
            </w:tcBorders>
            <w:vAlign w:val="center"/>
            <w:hideMark/>
          </w:tcPr>
          <w:p w14:paraId="6A9AD171" w14:textId="77777777" w:rsidR="004E7F4F" w:rsidRPr="004E7F4F" w:rsidRDefault="004E7F4F" w:rsidP="00D84CA9">
            <w:pPr>
              <w:spacing w:after="0" w:line="240" w:lineRule="auto"/>
              <w:jc w:val="both"/>
              <w:rPr>
                <w:rFonts w:ascii="MS Sans Serif" w:eastAsia="Times New Roman" w:hAnsi="MS Sans Serif" w:cs="Times New Roman"/>
                <w:b/>
                <w:bCs/>
                <w:sz w:val="20"/>
                <w:szCs w:val="20"/>
                <w:lang w:eastAsia="es-MX"/>
              </w:rPr>
            </w:pPr>
          </w:p>
        </w:tc>
        <w:tc>
          <w:tcPr>
            <w:tcW w:w="604" w:type="pct"/>
            <w:tcBorders>
              <w:top w:val="nil"/>
              <w:left w:val="nil"/>
              <w:bottom w:val="single" w:sz="4" w:space="0" w:color="7F7F7F" w:themeColor="text1" w:themeTint="80"/>
              <w:right w:val="nil"/>
            </w:tcBorders>
            <w:shd w:val="clear" w:color="auto" w:fill="auto"/>
            <w:noWrap/>
            <w:vAlign w:val="bottom"/>
            <w:hideMark/>
          </w:tcPr>
          <w:p w14:paraId="5061D309"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Hombres</w:t>
            </w:r>
          </w:p>
        </w:tc>
        <w:tc>
          <w:tcPr>
            <w:tcW w:w="605" w:type="pct"/>
            <w:tcBorders>
              <w:top w:val="nil"/>
              <w:left w:val="nil"/>
              <w:bottom w:val="single" w:sz="4" w:space="0" w:color="7F7F7F" w:themeColor="text1" w:themeTint="80"/>
              <w:right w:val="nil"/>
            </w:tcBorders>
            <w:shd w:val="clear" w:color="auto" w:fill="auto"/>
            <w:noWrap/>
            <w:vAlign w:val="bottom"/>
            <w:hideMark/>
          </w:tcPr>
          <w:p w14:paraId="53E9EB31"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Mujeres</w:t>
            </w:r>
          </w:p>
        </w:tc>
        <w:tc>
          <w:tcPr>
            <w:tcW w:w="604" w:type="pct"/>
            <w:tcBorders>
              <w:top w:val="nil"/>
              <w:left w:val="nil"/>
              <w:bottom w:val="single" w:sz="4" w:space="0" w:color="7F7F7F" w:themeColor="text1" w:themeTint="80"/>
              <w:right w:val="nil"/>
            </w:tcBorders>
            <w:shd w:val="clear" w:color="auto" w:fill="auto"/>
            <w:noWrap/>
            <w:vAlign w:val="bottom"/>
            <w:hideMark/>
          </w:tcPr>
          <w:p w14:paraId="4FF0985B"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Hombres</w:t>
            </w:r>
          </w:p>
        </w:tc>
        <w:tc>
          <w:tcPr>
            <w:tcW w:w="605" w:type="pct"/>
            <w:tcBorders>
              <w:top w:val="nil"/>
              <w:left w:val="nil"/>
              <w:bottom w:val="single" w:sz="4" w:space="0" w:color="7F7F7F" w:themeColor="text1" w:themeTint="80"/>
              <w:right w:val="nil"/>
            </w:tcBorders>
            <w:shd w:val="clear" w:color="auto" w:fill="auto"/>
            <w:noWrap/>
            <w:vAlign w:val="bottom"/>
            <w:hideMark/>
          </w:tcPr>
          <w:p w14:paraId="5C11C7EE"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Mujeres</w:t>
            </w:r>
          </w:p>
        </w:tc>
        <w:tc>
          <w:tcPr>
            <w:tcW w:w="625" w:type="pct"/>
            <w:tcBorders>
              <w:top w:val="nil"/>
              <w:left w:val="nil"/>
              <w:bottom w:val="single" w:sz="4" w:space="0" w:color="7F7F7F" w:themeColor="text1" w:themeTint="80"/>
              <w:right w:val="nil"/>
            </w:tcBorders>
            <w:shd w:val="clear" w:color="auto" w:fill="auto"/>
            <w:noWrap/>
            <w:vAlign w:val="bottom"/>
            <w:hideMark/>
          </w:tcPr>
          <w:p w14:paraId="312FCC61"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Hombres</w:t>
            </w:r>
          </w:p>
        </w:tc>
        <w:tc>
          <w:tcPr>
            <w:tcW w:w="580" w:type="pct"/>
            <w:tcBorders>
              <w:top w:val="nil"/>
              <w:left w:val="nil"/>
              <w:bottom w:val="single" w:sz="4" w:space="0" w:color="7F7F7F" w:themeColor="text1" w:themeTint="80"/>
              <w:right w:val="nil"/>
            </w:tcBorders>
            <w:shd w:val="clear" w:color="auto" w:fill="auto"/>
            <w:noWrap/>
            <w:vAlign w:val="bottom"/>
            <w:hideMark/>
          </w:tcPr>
          <w:p w14:paraId="11C073B1" w14:textId="77777777" w:rsidR="004E7F4F" w:rsidRPr="004E7F4F" w:rsidRDefault="004E7F4F" w:rsidP="00D84CA9">
            <w:pPr>
              <w:spacing w:after="0" w:line="240" w:lineRule="auto"/>
              <w:jc w:val="both"/>
              <w:rPr>
                <w:rFonts w:ascii="MS Sans Serif" w:eastAsia="Times New Roman" w:hAnsi="MS Sans Serif" w:cs="Times New Roman"/>
                <w:b/>
                <w:sz w:val="20"/>
                <w:szCs w:val="20"/>
                <w:lang w:eastAsia="es-MX"/>
              </w:rPr>
            </w:pPr>
            <w:r w:rsidRPr="004E7F4F">
              <w:rPr>
                <w:rFonts w:ascii="MS Sans Serif" w:eastAsia="Times New Roman" w:hAnsi="MS Sans Serif" w:cs="Times New Roman"/>
                <w:b/>
                <w:sz w:val="20"/>
                <w:szCs w:val="20"/>
                <w:lang w:eastAsia="es-MX"/>
              </w:rPr>
              <w:t>Mujeres</w:t>
            </w:r>
          </w:p>
        </w:tc>
      </w:tr>
      <w:tr w:rsidR="004E7F4F" w:rsidRPr="004E7F4F" w14:paraId="19837996" w14:textId="77777777" w:rsidTr="00D84CA9">
        <w:trPr>
          <w:trHeight w:val="255"/>
        </w:trPr>
        <w:tc>
          <w:tcPr>
            <w:tcW w:w="1377" w:type="pct"/>
            <w:tcBorders>
              <w:top w:val="single" w:sz="4" w:space="0" w:color="7F7F7F" w:themeColor="text1" w:themeTint="80"/>
              <w:left w:val="nil"/>
              <w:bottom w:val="nil"/>
              <w:right w:val="nil"/>
            </w:tcBorders>
            <w:shd w:val="clear" w:color="auto" w:fill="auto"/>
            <w:noWrap/>
            <w:vAlign w:val="bottom"/>
            <w:hideMark/>
          </w:tcPr>
          <w:p w14:paraId="1DE73833" w14:textId="77777777" w:rsidR="004E7F4F" w:rsidRPr="004E7F4F" w:rsidRDefault="004E7F4F" w:rsidP="00D84CA9">
            <w:pPr>
              <w:spacing w:after="0" w:line="240" w:lineRule="auto"/>
              <w:jc w:val="both"/>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Solteros</w:t>
            </w:r>
          </w:p>
        </w:tc>
        <w:tc>
          <w:tcPr>
            <w:tcW w:w="604" w:type="pct"/>
            <w:tcBorders>
              <w:top w:val="single" w:sz="4" w:space="0" w:color="7F7F7F" w:themeColor="text1" w:themeTint="80"/>
              <w:left w:val="nil"/>
              <w:bottom w:val="nil"/>
              <w:right w:val="nil"/>
            </w:tcBorders>
            <w:shd w:val="clear" w:color="auto" w:fill="auto"/>
            <w:noWrap/>
            <w:vAlign w:val="bottom"/>
            <w:hideMark/>
          </w:tcPr>
          <w:p w14:paraId="4A63B82C"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34,792.00</w:t>
            </w:r>
          </w:p>
        </w:tc>
        <w:tc>
          <w:tcPr>
            <w:tcW w:w="605" w:type="pct"/>
            <w:tcBorders>
              <w:top w:val="single" w:sz="4" w:space="0" w:color="7F7F7F" w:themeColor="text1" w:themeTint="80"/>
              <w:left w:val="nil"/>
              <w:bottom w:val="nil"/>
              <w:right w:val="nil"/>
            </w:tcBorders>
            <w:shd w:val="clear" w:color="auto" w:fill="auto"/>
            <w:noWrap/>
            <w:vAlign w:val="bottom"/>
            <w:hideMark/>
          </w:tcPr>
          <w:p w14:paraId="6E9D39F0"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37,752.00</w:t>
            </w:r>
          </w:p>
        </w:tc>
        <w:tc>
          <w:tcPr>
            <w:tcW w:w="604" w:type="pct"/>
            <w:tcBorders>
              <w:top w:val="single" w:sz="4" w:space="0" w:color="7F7F7F" w:themeColor="text1" w:themeTint="80"/>
              <w:left w:val="nil"/>
              <w:bottom w:val="nil"/>
              <w:right w:val="nil"/>
            </w:tcBorders>
            <w:shd w:val="clear" w:color="auto" w:fill="auto"/>
            <w:noWrap/>
            <w:vAlign w:val="bottom"/>
            <w:hideMark/>
          </w:tcPr>
          <w:p w14:paraId="20C490BE"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34,587.43</w:t>
            </w:r>
          </w:p>
        </w:tc>
        <w:tc>
          <w:tcPr>
            <w:tcW w:w="605" w:type="pct"/>
            <w:tcBorders>
              <w:top w:val="single" w:sz="4" w:space="0" w:color="7F7F7F" w:themeColor="text1" w:themeTint="80"/>
              <w:left w:val="nil"/>
              <w:bottom w:val="nil"/>
              <w:right w:val="nil"/>
            </w:tcBorders>
            <w:shd w:val="clear" w:color="auto" w:fill="auto"/>
            <w:noWrap/>
            <w:vAlign w:val="bottom"/>
            <w:hideMark/>
          </w:tcPr>
          <w:p w14:paraId="2FF199DF"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38,322.79</w:t>
            </w:r>
          </w:p>
        </w:tc>
        <w:tc>
          <w:tcPr>
            <w:tcW w:w="625" w:type="pct"/>
            <w:tcBorders>
              <w:top w:val="single" w:sz="4" w:space="0" w:color="7F7F7F" w:themeColor="text1" w:themeTint="80"/>
              <w:left w:val="nil"/>
              <w:bottom w:val="nil"/>
              <w:right w:val="nil"/>
            </w:tcBorders>
            <w:shd w:val="clear" w:color="auto" w:fill="auto"/>
            <w:noWrap/>
            <w:vAlign w:val="bottom"/>
            <w:hideMark/>
          </w:tcPr>
          <w:p w14:paraId="62A8D979"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0.59%</w:t>
            </w:r>
          </w:p>
        </w:tc>
        <w:tc>
          <w:tcPr>
            <w:tcW w:w="580" w:type="pct"/>
            <w:tcBorders>
              <w:top w:val="single" w:sz="4" w:space="0" w:color="7F7F7F" w:themeColor="text1" w:themeTint="80"/>
              <w:left w:val="nil"/>
              <w:bottom w:val="nil"/>
              <w:right w:val="nil"/>
            </w:tcBorders>
            <w:shd w:val="clear" w:color="auto" w:fill="auto"/>
            <w:noWrap/>
            <w:vAlign w:val="bottom"/>
            <w:hideMark/>
          </w:tcPr>
          <w:p w14:paraId="02ABF285"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-1.51%</w:t>
            </w:r>
          </w:p>
        </w:tc>
      </w:tr>
      <w:tr w:rsidR="004E7F4F" w:rsidRPr="004E7F4F" w14:paraId="200045A4" w14:textId="77777777" w:rsidTr="00D84CA9">
        <w:trPr>
          <w:trHeight w:val="255"/>
        </w:trPr>
        <w:tc>
          <w:tcPr>
            <w:tcW w:w="1377" w:type="pct"/>
            <w:tcBorders>
              <w:top w:val="nil"/>
              <w:left w:val="nil"/>
              <w:bottom w:val="nil"/>
              <w:right w:val="nil"/>
            </w:tcBorders>
            <w:shd w:val="clear" w:color="auto" w:fill="auto"/>
            <w:noWrap/>
            <w:vAlign w:val="bottom"/>
            <w:hideMark/>
          </w:tcPr>
          <w:p w14:paraId="63DC3BD8" w14:textId="77777777" w:rsidR="004E7F4F" w:rsidRPr="004E7F4F" w:rsidRDefault="004E7F4F" w:rsidP="00D84CA9">
            <w:pPr>
              <w:spacing w:after="0" w:line="240" w:lineRule="auto"/>
              <w:jc w:val="both"/>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Casados</w:t>
            </w:r>
          </w:p>
        </w:tc>
        <w:tc>
          <w:tcPr>
            <w:tcW w:w="604" w:type="pct"/>
            <w:tcBorders>
              <w:top w:val="nil"/>
              <w:left w:val="nil"/>
              <w:bottom w:val="nil"/>
              <w:right w:val="nil"/>
            </w:tcBorders>
            <w:shd w:val="clear" w:color="auto" w:fill="auto"/>
            <w:noWrap/>
            <w:vAlign w:val="bottom"/>
            <w:hideMark/>
          </w:tcPr>
          <w:p w14:paraId="12F0C1D6"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18,641.00</w:t>
            </w:r>
          </w:p>
        </w:tc>
        <w:tc>
          <w:tcPr>
            <w:tcW w:w="605" w:type="pct"/>
            <w:tcBorders>
              <w:top w:val="nil"/>
              <w:left w:val="nil"/>
              <w:bottom w:val="nil"/>
              <w:right w:val="nil"/>
            </w:tcBorders>
            <w:shd w:val="clear" w:color="auto" w:fill="auto"/>
            <w:noWrap/>
            <w:vAlign w:val="bottom"/>
            <w:hideMark/>
          </w:tcPr>
          <w:p w14:paraId="3948E597"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19,280.00</w:t>
            </w:r>
          </w:p>
        </w:tc>
        <w:tc>
          <w:tcPr>
            <w:tcW w:w="604" w:type="pct"/>
            <w:tcBorders>
              <w:top w:val="nil"/>
              <w:left w:val="nil"/>
              <w:bottom w:val="nil"/>
              <w:right w:val="nil"/>
            </w:tcBorders>
            <w:shd w:val="clear" w:color="auto" w:fill="auto"/>
            <w:noWrap/>
            <w:vAlign w:val="bottom"/>
            <w:hideMark/>
          </w:tcPr>
          <w:p w14:paraId="3C9CAA32"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18,742.26</w:t>
            </w:r>
          </w:p>
        </w:tc>
        <w:tc>
          <w:tcPr>
            <w:tcW w:w="605" w:type="pct"/>
            <w:tcBorders>
              <w:top w:val="nil"/>
              <w:left w:val="nil"/>
              <w:bottom w:val="nil"/>
              <w:right w:val="nil"/>
            </w:tcBorders>
            <w:shd w:val="clear" w:color="auto" w:fill="auto"/>
            <w:noWrap/>
            <w:vAlign w:val="bottom"/>
            <w:hideMark/>
          </w:tcPr>
          <w:p w14:paraId="613A1FEC"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19,649.71</w:t>
            </w:r>
          </w:p>
        </w:tc>
        <w:tc>
          <w:tcPr>
            <w:tcW w:w="625" w:type="pct"/>
            <w:tcBorders>
              <w:top w:val="nil"/>
              <w:left w:val="nil"/>
              <w:bottom w:val="nil"/>
              <w:right w:val="nil"/>
            </w:tcBorders>
            <w:shd w:val="clear" w:color="auto" w:fill="auto"/>
            <w:noWrap/>
            <w:vAlign w:val="bottom"/>
            <w:hideMark/>
          </w:tcPr>
          <w:p w14:paraId="0DE77FD2"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-0.54%</w:t>
            </w:r>
          </w:p>
        </w:tc>
        <w:tc>
          <w:tcPr>
            <w:tcW w:w="580" w:type="pct"/>
            <w:tcBorders>
              <w:top w:val="nil"/>
              <w:left w:val="nil"/>
              <w:bottom w:val="nil"/>
              <w:right w:val="nil"/>
            </w:tcBorders>
            <w:shd w:val="clear" w:color="auto" w:fill="auto"/>
            <w:noWrap/>
            <w:vAlign w:val="bottom"/>
            <w:hideMark/>
          </w:tcPr>
          <w:p w14:paraId="051F6206"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-1.92%</w:t>
            </w:r>
          </w:p>
        </w:tc>
      </w:tr>
      <w:tr w:rsidR="004E7F4F" w:rsidRPr="004E7F4F" w14:paraId="5E40708F" w14:textId="77777777" w:rsidTr="00D84CA9">
        <w:trPr>
          <w:trHeight w:val="255"/>
        </w:trPr>
        <w:tc>
          <w:tcPr>
            <w:tcW w:w="1377" w:type="pct"/>
            <w:tcBorders>
              <w:top w:val="nil"/>
              <w:left w:val="nil"/>
              <w:right w:val="nil"/>
            </w:tcBorders>
            <w:shd w:val="clear" w:color="auto" w:fill="auto"/>
            <w:noWrap/>
            <w:vAlign w:val="bottom"/>
            <w:hideMark/>
          </w:tcPr>
          <w:p w14:paraId="457C66AA" w14:textId="77777777" w:rsidR="004E7F4F" w:rsidRPr="004E7F4F" w:rsidRDefault="004E7F4F" w:rsidP="00D84CA9">
            <w:pPr>
              <w:spacing w:after="0" w:line="240" w:lineRule="auto"/>
              <w:jc w:val="both"/>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Viudos</w:t>
            </w:r>
          </w:p>
        </w:tc>
        <w:tc>
          <w:tcPr>
            <w:tcW w:w="604" w:type="pct"/>
            <w:tcBorders>
              <w:top w:val="nil"/>
              <w:left w:val="nil"/>
              <w:right w:val="nil"/>
            </w:tcBorders>
            <w:shd w:val="clear" w:color="auto" w:fill="auto"/>
            <w:noWrap/>
            <w:vAlign w:val="bottom"/>
            <w:hideMark/>
          </w:tcPr>
          <w:p w14:paraId="507B698A"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1,987.00</w:t>
            </w:r>
          </w:p>
        </w:tc>
        <w:tc>
          <w:tcPr>
            <w:tcW w:w="605" w:type="pct"/>
            <w:tcBorders>
              <w:top w:val="nil"/>
              <w:left w:val="nil"/>
              <w:right w:val="nil"/>
            </w:tcBorders>
            <w:shd w:val="clear" w:color="auto" w:fill="auto"/>
            <w:noWrap/>
            <w:vAlign w:val="bottom"/>
            <w:hideMark/>
          </w:tcPr>
          <w:p w14:paraId="298CAE8C"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8,470.00</w:t>
            </w:r>
          </w:p>
        </w:tc>
        <w:tc>
          <w:tcPr>
            <w:tcW w:w="604" w:type="pct"/>
            <w:tcBorders>
              <w:top w:val="nil"/>
              <w:left w:val="nil"/>
              <w:right w:val="nil"/>
            </w:tcBorders>
            <w:shd w:val="clear" w:color="auto" w:fill="auto"/>
            <w:noWrap/>
            <w:vAlign w:val="bottom"/>
            <w:hideMark/>
          </w:tcPr>
          <w:p w14:paraId="1510FB6A"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2,109.41</w:t>
            </w:r>
          </w:p>
        </w:tc>
        <w:tc>
          <w:tcPr>
            <w:tcW w:w="605" w:type="pct"/>
            <w:tcBorders>
              <w:top w:val="nil"/>
              <w:left w:val="nil"/>
              <w:right w:val="nil"/>
            </w:tcBorders>
            <w:shd w:val="clear" w:color="auto" w:fill="auto"/>
            <w:noWrap/>
            <w:vAlign w:val="bottom"/>
            <w:hideMark/>
          </w:tcPr>
          <w:p w14:paraId="4789E115"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8,835.05</w:t>
            </w:r>
          </w:p>
        </w:tc>
        <w:tc>
          <w:tcPr>
            <w:tcW w:w="625" w:type="pct"/>
            <w:tcBorders>
              <w:top w:val="nil"/>
              <w:left w:val="nil"/>
              <w:right w:val="nil"/>
            </w:tcBorders>
            <w:shd w:val="clear" w:color="auto" w:fill="auto"/>
            <w:noWrap/>
            <w:vAlign w:val="bottom"/>
            <w:hideMark/>
          </w:tcPr>
          <w:p w14:paraId="0F8CB8BA"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-6.16%</w:t>
            </w:r>
          </w:p>
        </w:tc>
        <w:tc>
          <w:tcPr>
            <w:tcW w:w="580" w:type="pct"/>
            <w:tcBorders>
              <w:top w:val="nil"/>
              <w:left w:val="nil"/>
              <w:right w:val="nil"/>
            </w:tcBorders>
            <w:shd w:val="clear" w:color="auto" w:fill="auto"/>
            <w:noWrap/>
            <w:vAlign w:val="bottom"/>
            <w:hideMark/>
          </w:tcPr>
          <w:p w14:paraId="24975FBC"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-4.31%</w:t>
            </w:r>
          </w:p>
        </w:tc>
      </w:tr>
      <w:tr w:rsidR="004E7F4F" w:rsidRPr="004E7F4F" w14:paraId="5B7B1DBF" w14:textId="77777777" w:rsidTr="00D84CA9">
        <w:trPr>
          <w:trHeight w:val="255"/>
        </w:trPr>
        <w:tc>
          <w:tcPr>
            <w:tcW w:w="1377" w:type="pct"/>
            <w:tcBorders>
              <w:top w:val="nil"/>
              <w:left w:val="nil"/>
              <w:bottom w:val="single" w:sz="4" w:space="0" w:color="7F7F7F" w:themeColor="text1" w:themeTint="80"/>
              <w:right w:val="nil"/>
            </w:tcBorders>
            <w:shd w:val="clear" w:color="auto" w:fill="auto"/>
            <w:noWrap/>
            <w:vAlign w:val="bottom"/>
            <w:hideMark/>
          </w:tcPr>
          <w:p w14:paraId="692AFFCE" w14:textId="77777777" w:rsidR="004E7F4F" w:rsidRPr="004E7F4F" w:rsidRDefault="004E7F4F" w:rsidP="00D84CA9">
            <w:pPr>
              <w:spacing w:after="0" w:line="240" w:lineRule="auto"/>
              <w:jc w:val="both"/>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Divorciados</w:t>
            </w:r>
          </w:p>
        </w:tc>
        <w:tc>
          <w:tcPr>
            <w:tcW w:w="604" w:type="pct"/>
            <w:tcBorders>
              <w:top w:val="nil"/>
              <w:left w:val="nil"/>
              <w:bottom w:val="single" w:sz="4" w:space="0" w:color="7F7F7F" w:themeColor="text1" w:themeTint="80"/>
              <w:right w:val="nil"/>
            </w:tcBorders>
            <w:shd w:val="clear" w:color="auto" w:fill="auto"/>
            <w:noWrap/>
            <w:vAlign w:val="bottom"/>
            <w:hideMark/>
          </w:tcPr>
          <w:p w14:paraId="31A46438"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123.00</w:t>
            </w:r>
          </w:p>
        </w:tc>
        <w:tc>
          <w:tcPr>
            <w:tcW w:w="605" w:type="pct"/>
            <w:tcBorders>
              <w:top w:val="nil"/>
              <w:left w:val="nil"/>
              <w:bottom w:val="single" w:sz="4" w:space="0" w:color="7F7F7F" w:themeColor="text1" w:themeTint="80"/>
              <w:right w:val="nil"/>
            </w:tcBorders>
            <w:shd w:val="clear" w:color="auto" w:fill="auto"/>
            <w:noWrap/>
            <w:vAlign w:val="bottom"/>
            <w:hideMark/>
          </w:tcPr>
          <w:p w14:paraId="0AA57EC8"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287.00</w:t>
            </w:r>
          </w:p>
        </w:tc>
        <w:tc>
          <w:tcPr>
            <w:tcW w:w="604" w:type="pct"/>
            <w:tcBorders>
              <w:top w:val="nil"/>
              <w:left w:val="nil"/>
              <w:bottom w:val="single" w:sz="4" w:space="0" w:color="7F7F7F" w:themeColor="text1" w:themeTint="80"/>
              <w:right w:val="nil"/>
            </w:tcBorders>
            <w:shd w:val="clear" w:color="auto" w:fill="auto"/>
            <w:noWrap/>
            <w:vAlign w:val="bottom"/>
            <w:hideMark/>
          </w:tcPr>
          <w:p w14:paraId="09FD683F"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180.46</w:t>
            </w:r>
          </w:p>
        </w:tc>
        <w:tc>
          <w:tcPr>
            <w:tcW w:w="605" w:type="pct"/>
            <w:tcBorders>
              <w:top w:val="nil"/>
              <w:left w:val="nil"/>
              <w:bottom w:val="single" w:sz="4" w:space="0" w:color="7F7F7F" w:themeColor="text1" w:themeTint="80"/>
              <w:right w:val="nil"/>
            </w:tcBorders>
            <w:shd w:val="clear" w:color="auto" w:fill="auto"/>
            <w:noWrap/>
            <w:vAlign w:val="bottom"/>
            <w:hideMark/>
          </w:tcPr>
          <w:p w14:paraId="5994E518"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371.30</w:t>
            </w:r>
          </w:p>
        </w:tc>
        <w:tc>
          <w:tcPr>
            <w:tcW w:w="625" w:type="pct"/>
            <w:tcBorders>
              <w:top w:val="nil"/>
              <w:left w:val="nil"/>
              <w:bottom w:val="single" w:sz="4" w:space="0" w:color="7F7F7F" w:themeColor="text1" w:themeTint="80"/>
              <w:right w:val="nil"/>
            </w:tcBorders>
            <w:shd w:val="clear" w:color="auto" w:fill="auto"/>
            <w:noWrap/>
            <w:vAlign w:val="bottom"/>
            <w:hideMark/>
          </w:tcPr>
          <w:p w14:paraId="4025AA00"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-46.72%</w:t>
            </w:r>
          </w:p>
        </w:tc>
        <w:tc>
          <w:tcPr>
            <w:tcW w:w="580" w:type="pct"/>
            <w:tcBorders>
              <w:top w:val="nil"/>
              <w:left w:val="nil"/>
              <w:bottom w:val="single" w:sz="4" w:space="0" w:color="7F7F7F" w:themeColor="text1" w:themeTint="80"/>
              <w:right w:val="nil"/>
            </w:tcBorders>
            <w:shd w:val="clear" w:color="auto" w:fill="auto"/>
            <w:noWrap/>
            <w:vAlign w:val="bottom"/>
            <w:hideMark/>
          </w:tcPr>
          <w:p w14:paraId="7FF7AB7F" w14:textId="77777777" w:rsidR="004E7F4F" w:rsidRPr="004E7F4F" w:rsidRDefault="004E7F4F" w:rsidP="00D84CA9">
            <w:pPr>
              <w:spacing w:after="0" w:line="240" w:lineRule="auto"/>
              <w:jc w:val="right"/>
              <w:rPr>
                <w:rFonts w:ascii="MS Sans Serif" w:eastAsia="Times New Roman" w:hAnsi="MS Sans Serif" w:cs="Times New Roman"/>
                <w:sz w:val="20"/>
                <w:szCs w:val="20"/>
                <w:lang w:eastAsia="es-MX"/>
              </w:rPr>
            </w:pPr>
            <w:r w:rsidRPr="004E7F4F">
              <w:rPr>
                <w:rFonts w:ascii="MS Sans Serif" w:eastAsia="Times New Roman" w:hAnsi="MS Sans Serif" w:cs="Times New Roman"/>
                <w:sz w:val="20"/>
                <w:szCs w:val="20"/>
                <w:lang w:eastAsia="es-MX"/>
              </w:rPr>
              <w:t>-29.37%</w:t>
            </w:r>
          </w:p>
        </w:tc>
      </w:tr>
      <w:tr w:rsidR="004E7F4F" w:rsidRPr="004E7F4F" w14:paraId="392C884F" w14:textId="77777777" w:rsidTr="00D84CA9">
        <w:trPr>
          <w:trHeight w:val="255"/>
        </w:trPr>
        <w:tc>
          <w:tcPr>
            <w:tcW w:w="1377"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1D3116E9" w14:textId="77777777" w:rsidR="004E7F4F" w:rsidRPr="004E7F4F" w:rsidRDefault="004E7F4F" w:rsidP="00D84CA9">
            <w:pPr>
              <w:spacing w:after="0" w:line="240" w:lineRule="auto"/>
              <w:jc w:val="both"/>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Total</w:t>
            </w:r>
          </w:p>
        </w:tc>
        <w:tc>
          <w:tcPr>
            <w:tcW w:w="604"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7F48990B"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55,543.00</w:t>
            </w:r>
          </w:p>
        </w:tc>
        <w:tc>
          <w:tcPr>
            <w:tcW w:w="605"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1F24483D"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65,789.00</w:t>
            </w:r>
          </w:p>
        </w:tc>
        <w:tc>
          <w:tcPr>
            <w:tcW w:w="604"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4DF40EC5"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55,619.56</w:t>
            </w:r>
          </w:p>
        </w:tc>
        <w:tc>
          <w:tcPr>
            <w:tcW w:w="605"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26E787C4"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67,178.85</w:t>
            </w:r>
          </w:p>
        </w:tc>
        <w:tc>
          <w:tcPr>
            <w:tcW w:w="625"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1B5028C5"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-0.14%</w:t>
            </w:r>
          </w:p>
        </w:tc>
        <w:tc>
          <w:tcPr>
            <w:tcW w:w="580" w:type="pct"/>
            <w:tcBorders>
              <w:top w:val="single" w:sz="4" w:space="0" w:color="7F7F7F" w:themeColor="text1" w:themeTint="80"/>
              <w:left w:val="nil"/>
              <w:bottom w:val="single" w:sz="4" w:space="0" w:color="7F7F7F" w:themeColor="text1" w:themeTint="80"/>
              <w:right w:val="nil"/>
            </w:tcBorders>
            <w:shd w:val="clear" w:color="auto" w:fill="auto"/>
            <w:noWrap/>
            <w:vAlign w:val="bottom"/>
            <w:hideMark/>
          </w:tcPr>
          <w:p w14:paraId="6D38DABD" w14:textId="77777777" w:rsidR="004E7F4F" w:rsidRPr="004E7F4F" w:rsidRDefault="004E7F4F" w:rsidP="00D84CA9">
            <w:pPr>
              <w:spacing w:after="0" w:line="240" w:lineRule="auto"/>
              <w:jc w:val="right"/>
              <w:rPr>
                <w:rFonts w:ascii="MS Sans Serif" w:eastAsia="Times New Roman" w:hAnsi="MS Sans Serif" w:cs="Times New Roman"/>
                <w:b/>
                <w:bCs/>
                <w:sz w:val="20"/>
                <w:szCs w:val="20"/>
                <w:lang w:eastAsia="es-MX"/>
              </w:rPr>
            </w:pPr>
            <w:r w:rsidRPr="004E7F4F">
              <w:rPr>
                <w:rFonts w:ascii="MS Sans Serif" w:eastAsia="Times New Roman" w:hAnsi="MS Sans Serif" w:cs="Times New Roman"/>
                <w:b/>
                <w:bCs/>
                <w:sz w:val="20"/>
                <w:szCs w:val="20"/>
                <w:lang w:eastAsia="es-MX"/>
              </w:rPr>
              <w:t>-2.11%</w:t>
            </w:r>
          </w:p>
        </w:tc>
      </w:tr>
    </w:tbl>
    <w:p w14:paraId="7C761E14" w14:textId="77777777" w:rsidR="008E7362" w:rsidRDefault="008E7362" w:rsidP="00D84CA9">
      <w:pPr>
        <w:spacing w:after="0" w:line="240" w:lineRule="auto"/>
        <w:jc w:val="both"/>
        <w:rPr>
          <w:sz w:val="18"/>
        </w:rPr>
      </w:pPr>
      <w:r w:rsidRPr="008E7362">
        <w:rPr>
          <w:rFonts w:ascii="MS Sans Serif" w:eastAsia="Times New Roman" w:hAnsi="MS Sans Serif" w:cs="Times New Roman"/>
          <w:b/>
          <w:bCs/>
          <w:sz w:val="16"/>
          <w:szCs w:val="20"/>
          <w:lang w:eastAsia="es-MX"/>
        </w:rPr>
        <w:t>Fuente: Microdatos</w:t>
      </w:r>
      <w:r w:rsidRPr="008E7362">
        <w:rPr>
          <w:sz w:val="18"/>
        </w:rPr>
        <w:t xml:space="preserve"> del Censo de 1930 elaborados por el proyecto, y tabulados básicos de INEGI.</w:t>
      </w:r>
    </w:p>
    <w:p w14:paraId="5A6CEE3C" w14:textId="77777777" w:rsidR="008E7362" w:rsidRDefault="008E7362" w:rsidP="00D84CA9">
      <w:pPr>
        <w:spacing w:after="0" w:line="240" w:lineRule="auto"/>
        <w:jc w:val="both"/>
        <w:rPr>
          <w:sz w:val="18"/>
        </w:rPr>
      </w:pPr>
    </w:p>
    <w:p w14:paraId="1FFC4F23" w14:textId="77777777" w:rsidR="008E7362" w:rsidRPr="00D84CA9" w:rsidRDefault="008E7362" w:rsidP="00D84CA9">
      <w:pPr>
        <w:spacing w:after="0" w:line="240" w:lineRule="auto"/>
        <w:jc w:val="both"/>
      </w:pPr>
      <w:r w:rsidRPr="00D84CA9">
        <w:t>Se presenta el resultado para el Estado de Tabasco, ya que es la única entidad donde no se extraviaron boletas, los comparativos con otras entidades, se realizaran una vez que se ejecute la propuesta de inclusión de datos faltantes.</w:t>
      </w:r>
    </w:p>
    <w:p w14:paraId="2D74B54D" w14:textId="77777777" w:rsidR="00A1519E" w:rsidRPr="00A1519E" w:rsidRDefault="0079406B" w:rsidP="00D84CA9">
      <w:pPr>
        <w:spacing w:before="240"/>
        <w:jc w:val="both"/>
      </w:pPr>
      <w:r>
        <w:t>Evidentemente, los errores reales cometidos en las estimaciones son muy bajos cuando la característica de interés es representativa de la población de estudio. Esto confirma que la modificación realizada a los factores de expansión hace que las estimaciones sean más precisas comparadas con las que  se obtuvieron con los factores de expansión originales.</w:t>
      </w:r>
    </w:p>
    <w:sectPr w:rsidR="00A1519E" w:rsidRPr="00A1519E">
      <w:headerReference w:type="even" r:id="rId9"/>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212B8" w14:textId="77777777" w:rsidR="00D84CA9" w:rsidRDefault="00D84CA9" w:rsidP="00D84CA9">
      <w:pPr>
        <w:spacing w:after="0" w:line="240" w:lineRule="auto"/>
      </w:pPr>
      <w:r>
        <w:separator/>
      </w:r>
    </w:p>
  </w:endnote>
  <w:endnote w:type="continuationSeparator" w:id="0">
    <w:p w14:paraId="1A7CFEA5" w14:textId="77777777" w:rsidR="00D84CA9" w:rsidRDefault="00D84CA9" w:rsidP="00D84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67B17" w14:textId="77777777" w:rsidR="00D84CA9" w:rsidRPr="00D84CA9" w:rsidRDefault="00D84CA9" w:rsidP="00D84CA9">
    <w:pPr>
      <w:pStyle w:val="Piedepgina"/>
      <w:jc w:val="center"/>
      <w:rPr>
        <w:b/>
        <w:i/>
        <w:color w:val="943634" w:themeColor="accent2" w:themeShade="BF"/>
      </w:rPr>
    </w:pPr>
    <w:r w:rsidRPr="00D84CA9">
      <w:rPr>
        <w:b/>
        <w:i/>
        <w:color w:val="943634" w:themeColor="accent2" w:themeShade="BF"/>
      </w:rPr>
      <w:t>Muestreo Probabilístico para la Recuperación de los Microdatos del Censo de 1930</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BF020" w14:textId="77777777" w:rsidR="00D84CA9" w:rsidRDefault="00D84CA9" w:rsidP="00D84CA9">
      <w:pPr>
        <w:spacing w:after="0" w:line="240" w:lineRule="auto"/>
      </w:pPr>
      <w:r>
        <w:separator/>
      </w:r>
    </w:p>
  </w:footnote>
  <w:footnote w:type="continuationSeparator" w:id="0">
    <w:p w14:paraId="12726419" w14:textId="77777777" w:rsidR="00D84CA9" w:rsidRDefault="00D84CA9" w:rsidP="00D84CA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191D3" w14:textId="77777777" w:rsidR="00D84CA9" w:rsidRDefault="00D84CA9" w:rsidP="00AE252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A340C89" w14:textId="77777777" w:rsidR="00D84CA9" w:rsidRDefault="00D84CA9" w:rsidP="00D84CA9">
    <w:pPr>
      <w:pStyle w:val="Encabezado"/>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E454A" w14:textId="77777777" w:rsidR="00D84CA9" w:rsidRDefault="00D84CA9" w:rsidP="00AE252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14F368" w14:textId="77777777" w:rsidR="00D84CA9" w:rsidRPr="00D84CA9" w:rsidRDefault="00D84CA9" w:rsidP="00D84CA9">
    <w:pPr>
      <w:pStyle w:val="Encabezado"/>
      <w:pBdr>
        <w:bottom w:val="single" w:sz="4" w:space="1" w:color="auto"/>
      </w:pBdr>
      <w:ind w:right="360"/>
      <w:rPr>
        <w:b/>
        <w:color w:val="943634" w:themeColor="accent2" w:themeShade="BF"/>
      </w:rPr>
    </w:pPr>
    <w:r w:rsidRPr="00D84CA9">
      <w:rPr>
        <w:b/>
        <w:color w:val="943634" w:themeColor="accent2" w:themeShade="BF"/>
      </w:rPr>
      <w:t xml:space="preserve">Memoria de Expansión de Microdatos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F19"/>
    <w:rsid w:val="0002638B"/>
    <w:rsid w:val="00164006"/>
    <w:rsid w:val="00170DDA"/>
    <w:rsid w:val="001752FD"/>
    <w:rsid w:val="001A5656"/>
    <w:rsid w:val="001C3A5C"/>
    <w:rsid w:val="002C1155"/>
    <w:rsid w:val="002D69FC"/>
    <w:rsid w:val="00343E52"/>
    <w:rsid w:val="003874E2"/>
    <w:rsid w:val="003A2BB9"/>
    <w:rsid w:val="0045308C"/>
    <w:rsid w:val="004E7F4F"/>
    <w:rsid w:val="00534A69"/>
    <w:rsid w:val="00583303"/>
    <w:rsid w:val="006031EB"/>
    <w:rsid w:val="00790EAD"/>
    <w:rsid w:val="0079406B"/>
    <w:rsid w:val="0084529D"/>
    <w:rsid w:val="008B3DBA"/>
    <w:rsid w:val="008E7362"/>
    <w:rsid w:val="00943E40"/>
    <w:rsid w:val="00A1519E"/>
    <w:rsid w:val="00A95A59"/>
    <w:rsid w:val="00AC5E4C"/>
    <w:rsid w:val="00AD7807"/>
    <w:rsid w:val="00AE3414"/>
    <w:rsid w:val="00AE706A"/>
    <w:rsid w:val="00C47507"/>
    <w:rsid w:val="00C70F19"/>
    <w:rsid w:val="00D1566B"/>
    <w:rsid w:val="00D47DCF"/>
    <w:rsid w:val="00D84CA9"/>
    <w:rsid w:val="00D96713"/>
    <w:rsid w:val="00E870A0"/>
    <w:rsid w:val="00F666B2"/>
    <w:rsid w:val="00FD59A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8D5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6B2"/>
    <w:rPr>
      <w:color w:val="808080"/>
    </w:rPr>
  </w:style>
  <w:style w:type="paragraph" w:styleId="Textodeglobo">
    <w:name w:val="Balloon Text"/>
    <w:basedOn w:val="Normal"/>
    <w:link w:val="TextodegloboCar"/>
    <w:uiPriority w:val="99"/>
    <w:semiHidden/>
    <w:unhideWhenUsed/>
    <w:rsid w:val="00F666B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66B2"/>
    <w:rPr>
      <w:rFonts w:ascii="Tahoma" w:hAnsi="Tahoma" w:cs="Tahoma"/>
      <w:sz w:val="16"/>
      <w:szCs w:val="16"/>
    </w:rPr>
  </w:style>
  <w:style w:type="paragraph" w:styleId="Encabezado">
    <w:name w:val="header"/>
    <w:basedOn w:val="Normal"/>
    <w:link w:val="EncabezadoCar"/>
    <w:uiPriority w:val="99"/>
    <w:unhideWhenUsed/>
    <w:rsid w:val="00D84CA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84CA9"/>
  </w:style>
  <w:style w:type="paragraph" w:styleId="Piedepgina">
    <w:name w:val="footer"/>
    <w:basedOn w:val="Normal"/>
    <w:link w:val="PiedepginaCar"/>
    <w:uiPriority w:val="99"/>
    <w:unhideWhenUsed/>
    <w:rsid w:val="00D84CA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84CA9"/>
  </w:style>
  <w:style w:type="character" w:styleId="Nmerodepgina">
    <w:name w:val="page number"/>
    <w:basedOn w:val="Fuentedeprrafopredeter"/>
    <w:uiPriority w:val="99"/>
    <w:semiHidden/>
    <w:unhideWhenUsed/>
    <w:rsid w:val="00D84CA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6B2"/>
    <w:rPr>
      <w:color w:val="808080"/>
    </w:rPr>
  </w:style>
  <w:style w:type="paragraph" w:styleId="Textodeglobo">
    <w:name w:val="Balloon Text"/>
    <w:basedOn w:val="Normal"/>
    <w:link w:val="TextodegloboCar"/>
    <w:uiPriority w:val="99"/>
    <w:semiHidden/>
    <w:unhideWhenUsed/>
    <w:rsid w:val="00F666B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66B2"/>
    <w:rPr>
      <w:rFonts w:ascii="Tahoma" w:hAnsi="Tahoma" w:cs="Tahoma"/>
      <w:sz w:val="16"/>
      <w:szCs w:val="16"/>
    </w:rPr>
  </w:style>
  <w:style w:type="paragraph" w:styleId="Encabezado">
    <w:name w:val="header"/>
    <w:basedOn w:val="Normal"/>
    <w:link w:val="EncabezadoCar"/>
    <w:uiPriority w:val="99"/>
    <w:unhideWhenUsed/>
    <w:rsid w:val="00D84CA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84CA9"/>
  </w:style>
  <w:style w:type="paragraph" w:styleId="Piedepgina">
    <w:name w:val="footer"/>
    <w:basedOn w:val="Normal"/>
    <w:link w:val="PiedepginaCar"/>
    <w:uiPriority w:val="99"/>
    <w:unhideWhenUsed/>
    <w:rsid w:val="00D84CA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84CA9"/>
  </w:style>
  <w:style w:type="character" w:styleId="Nmerodepgina">
    <w:name w:val="page number"/>
    <w:basedOn w:val="Fuentedeprrafopredeter"/>
    <w:uiPriority w:val="99"/>
    <w:semiHidden/>
    <w:unhideWhenUsed/>
    <w:rsid w:val="00D84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266550">
      <w:bodyDiv w:val="1"/>
      <w:marLeft w:val="0"/>
      <w:marRight w:val="0"/>
      <w:marTop w:val="0"/>
      <w:marBottom w:val="0"/>
      <w:divBdr>
        <w:top w:val="none" w:sz="0" w:space="0" w:color="auto"/>
        <w:left w:val="none" w:sz="0" w:space="0" w:color="auto"/>
        <w:bottom w:val="none" w:sz="0" w:space="0" w:color="auto"/>
        <w:right w:val="none" w:sz="0" w:space="0" w:color="auto"/>
      </w:divBdr>
    </w:div>
    <w:div w:id="913397176">
      <w:bodyDiv w:val="1"/>
      <w:marLeft w:val="0"/>
      <w:marRight w:val="0"/>
      <w:marTop w:val="0"/>
      <w:marBottom w:val="0"/>
      <w:divBdr>
        <w:top w:val="none" w:sz="0" w:space="0" w:color="auto"/>
        <w:left w:val="none" w:sz="0" w:space="0" w:color="auto"/>
        <w:bottom w:val="none" w:sz="0" w:space="0" w:color="auto"/>
        <w:right w:val="none" w:sz="0" w:space="0" w:color="auto"/>
      </w:divBdr>
    </w:div>
    <w:div w:id="1296334570">
      <w:bodyDiv w:val="1"/>
      <w:marLeft w:val="0"/>
      <w:marRight w:val="0"/>
      <w:marTop w:val="0"/>
      <w:marBottom w:val="0"/>
      <w:divBdr>
        <w:top w:val="none" w:sz="0" w:space="0" w:color="auto"/>
        <w:left w:val="none" w:sz="0" w:space="0" w:color="auto"/>
        <w:bottom w:val="none" w:sz="0" w:space="0" w:color="auto"/>
        <w:right w:val="none" w:sz="0" w:space="0" w:color="auto"/>
      </w:divBdr>
    </w:div>
    <w:div w:id="1311325151">
      <w:bodyDiv w:val="1"/>
      <w:marLeft w:val="0"/>
      <w:marRight w:val="0"/>
      <w:marTop w:val="0"/>
      <w:marBottom w:val="0"/>
      <w:divBdr>
        <w:top w:val="none" w:sz="0" w:space="0" w:color="auto"/>
        <w:left w:val="none" w:sz="0" w:space="0" w:color="auto"/>
        <w:bottom w:val="none" w:sz="0" w:space="0" w:color="auto"/>
        <w:right w:val="none" w:sz="0" w:space="0" w:color="auto"/>
      </w:divBdr>
    </w:div>
    <w:div w:id="1379696636">
      <w:bodyDiv w:val="1"/>
      <w:marLeft w:val="0"/>
      <w:marRight w:val="0"/>
      <w:marTop w:val="0"/>
      <w:marBottom w:val="0"/>
      <w:divBdr>
        <w:top w:val="none" w:sz="0" w:space="0" w:color="auto"/>
        <w:left w:val="none" w:sz="0" w:space="0" w:color="auto"/>
        <w:bottom w:val="none" w:sz="0" w:space="0" w:color="auto"/>
        <w:right w:val="none" w:sz="0" w:space="0" w:color="auto"/>
      </w:divBdr>
    </w:div>
    <w:div w:id="194618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5</Pages>
  <Words>1076</Words>
  <Characters>5918</Characters>
  <Application>Microsoft Macintosh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Roxana Ivette Arana Ovalle</cp:lastModifiedBy>
  <cp:revision>27</cp:revision>
  <dcterms:created xsi:type="dcterms:W3CDTF">2014-05-11T19:58:00Z</dcterms:created>
  <dcterms:modified xsi:type="dcterms:W3CDTF">2014-05-13T05:22:00Z</dcterms:modified>
</cp:coreProperties>
</file>