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638BF" w14:textId="77777777" w:rsidR="00D138D4" w:rsidRDefault="00D138D4" w:rsidP="00D138D4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bookmarkStart w:id="0" w:name="_GoBack"/>
      <w:bookmarkEnd w:id="0"/>
    </w:p>
    <w:p w14:paraId="0E9CABE1" w14:textId="43A3537A" w:rsidR="00F855F0" w:rsidRPr="00D138D4" w:rsidRDefault="00F855F0" w:rsidP="00D138D4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D138D4">
        <w:rPr>
          <w:rFonts w:cs="Arial"/>
          <w:b/>
          <w:bCs/>
          <w:color w:val="000000" w:themeColor="text1"/>
          <w:sz w:val="24"/>
          <w:lang w:val="es-MX"/>
        </w:rPr>
        <w:t>“</w:t>
      </w:r>
      <w:bookmarkStart w:id="1" w:name="OLE_LINK1"/>
      <w:bookmarkStart w:id="2" w:name="OLE_LINK2"/>
      <w:bookmarkStart w:id="3" w:name="_Hlk296948821"/>
      <w:r w:rsidRPr="00D138D4">
        <w:rPr>
          <w:rFonts w:cs="Arial"/>
          <w:b/>
          <w:bCs/>
          <w:color w:val="000000" w:themeColor="text1"/>
          <w:sz w:val="24"/>
          <w:lang w:val="es-MX"/>
        </w:rPr>
        <w:t>ESTADÍSTICAS A PROPÓSITO DEL DÍA DE MUERTOS”</w:t>
      </w:r>
      <w:bookmarkEnd w:id="1"/>
      <w:bookmarkEnd w:id="2"/>
      <w:bookmarkEnd w:id="3"/>
    </w:p>
    <w:p w14:paraId="2B7AA0C5" w14:textId="77777777" w:rsidR="00F855F0" w:rsidRPr="00D138D4" w:rsidRDefault="00F855F0" w:rsidP="00D138D4">
      <w:pPr>
        <w:jc w:val="center"/>
        <w:rPr>
          <w:rFonts w:cs="Arial"/>
          <w:bCs/>
          <w:color w:val="000000" w:themeColor="text1"/>
          <w:sz w:val="24"/>
          <w:lang w:val="es-MX"/>
        </w:rPr>
      </w:pPr>
      <w:r w:rsidRPr="00D138D4">
        <w:rPr>
          <w:rFonts w:cs="Arial"/>
          <w:bCs/>
          <w:color w:val="000000" w:themeColor="text1"/>
          <w:sz w:val="24"/>
          <w:lang w:val="es-MX"/>
        </w:rPr>
        <w:t>DATOS NACIONALES</w:t>
      </w:r>
    </w:p>
    <w:p w14:paraId="1A766ABA" w14:textId="77777777" w:rsidR="00F855F0" w:rsidRPr="00082CA5" w:rsidRDefault="00F855F0" w:rsidP="00F855F0">
      <w:pPr>
        <w:spacing w:before="120" w:line="276" w:lineRule="auto"/>
        <w:jc w:val="center"/>
        <w:rPr>
          <w:rFonts w:cs="Arial"/>
          <w:bCs/>
          <w:color w:val="002060"/>
          <w:sz w:val="2"/>
          <w:szCs w:val="2"/>
        </w:rPr>
      </w:pPr>
    </w:p>
    <w:p w14:paraId="4BE92E26" w14:textId="25E8DE8D" w:rsidR="00F855F0" w:rsidRPr="002F2A7F" w:rsidRDefault="00335C60" w:rsidP="002F2A7F">
      <w:pPr>
        <w:numPr>
          <w:ilvl w:val="0"/>
          <w:numId w:val="1"/>
        </w:numPr>
        <w:spacing w:before="80" w:after="40" w:line="276" w:lineRule="auto"/>
        <w:ind w:left="284" w:right="959" w:hanging="284"/>
        <w:rPr>
          <w:rFonts w:cs="Arial"/>
        </w:rPr>
      </w:pPr>
      <w:r w:rsidRPr="002F2A7F">
        <w:rPr>
          <w:rFonts w:cs="Arial"/>
        </w:rPr>
        <w:t>Con base en los registros administrativos</w:t>
      </w:r>
      <w:r w:rsidR="005D1ECC" w:rsidRPr="002F2A7F">
        <w:rPr>
          <w:rFonts w:cs="Arial"/>
        </w:rPr>
        <w:t>,</w:t>
      </w:r>
      <w:r w:rsidR="00F855F0" w:rsidRPr="002F2A7F">
        <w:rPr>
          <w:rFonts w:cs="Arial"/>
        </w:rPr>
        <w:t xml:space="preserve"> </w:t>
      </w:r>
      <w:r w:rsidR="002F2A7F" w:rsidRPr="002F2A7F">
        <w:rPr>
          <w:rFonts w:cs="Arial"/>
        </w:rPr>
        <w:t xml:space="preserve">durante 2018 </w:t>
      </w:r>
      <w:r w:rsidR="00F855F0" w:rsidRPr="002F2A7F">
        <w:rPr>
          <w:rFonts w:cs="Arial"/>
        </w:rPr>
        <w:t xml:space="preserve">fallecieron </w:t>
      </w:r>
      <w:r w:rsidR="00C506FE" w:rsidRPr="002F2A7F">
        <w:rPr>
          <w:rFonts w:cs="Arial"/>
        </w:rPr>
        <w:t>16 035</w:t>
      </w:r>
      <w:r w:rsidR="00F855F0" w:rsidRPr="002F2A7F">
        <w:rPr>
          <w:rFonts w:cs="Arial"/>
        </w:rPr>
        <w:t xml:space="preserve"> personas por accidentes </w:t>
      </w:r>
      <w:r w:rsidR="00F32244" w:rsidRPr="002F2A7F">
        <w:rPr>
          <w:rFonts w:cs="Arial"/>
        </w:rPr>
        <w:t>por vehículo de</w:t>
      </w:r>
      <w:r w:rsidR="00F855F0" w:rsidRPr="002F2A7F">
        <w:rPr>
          <w:rFonts w:cs="Arial"/>
        </w:rPr>
        <w:t xml:space="preserve"> transporte</w:t>
      </w:r>
      <w:r w:rsidR="00EA4E01" w:rsidRPr="002F2A7F">
        <w:rPr>
          <w:rFonts w:cs="Arial"/>
        </w:rPr>
        <w:t>,</w:t>
      </w:r>
      <w:r w:rsidR="00F855F0" w:rsidRPr="002F2A7F">
        <w:rPr>
          <w:rFonts w:cs="Arial"/>
        </w:rPr>
        <w:t xml:space="preserve"> lo que representa 2.</w:t>
      </w:r>
      <w:r w:rsidR="003313FD" w:rsidRPr="002F2A7F">
        <w:rPr>
          <w:rFonts w:cs="Arial"/>
        </w:rPr>
        <w:t>2</w:t>
      </w:r>
      <w:r w:rsidR="00F855F0" w:rsidRPr="002F2A7F">
        <w:rPr>
          <w:rFonts w:cs="Arial"/>
        </w:rPr>
        <w:t>% del total de las defunciones registradas en ese año.</w:t>
      </w:r>
    </w:p>
    <w:p w14:paraId="4B9C33B5" w14:textId="77777777" w:rsidR="00F855F0" w:rsidRPr="002F2A7F" w:rsidRDefault="00F855F0" w:rsidP="002F2A7F">
      <w:pPr>
        <w:pStyle w:val="Textocomentario"/>
        <w:spacing w:before="80" w:after="40" w:line="276" w:lineRule="auto"/>
        <w:ind w:left="284" w:right="959"/>
        <w:rPr>
          <w:rFonts w:cs="Arial"/>
          <w:sz w:val="2"/>
          <w:szCs w:val="2"/>
          <w:highlight w:val="yellow"/>
        </w:rPr>
      </w:pPr>
    </w:p>
    <w:p w14:paraId="427880AB" w14:textId="77777777" w:rsidR="00F855F0" w:rsidRPr="002F2A7F" w:rsidRDefault="00F855F0" w:rsidP="002F2A7F">
      <w:pPr>
        <w:numPr>
          <w:ilvl w:val="0"/>
          <w:numId w:val="1"/>
        </w:numPr>
        <w:spacing w:before="80" w:after="40" w:line="276" w:lineRule="auto"/>
        <w:ind w:left="284" w:right="959" w:hanging="284"/>
        <w:rPr>
          <w:rFonts w:cs="Arial"/>
        </w:rPr>
      </w:pPr>
      <w:r w:rsidRPr="002F2A7F">
        <w:rPr>
          <w:rFonts w:cs="Arial"/>
        </w:rPr>
        <w:t xml:space="preserve">En México, </w:t>
      </w:r>
      <w:r w:rsidR="004D2002" w:rsidRPr="002F2A7F">
        <w:rPr>
          <w:rFonts w:cs="Arial"/>
        </w:rPr>
        <w:t>casi</w:t>
      </w:r>
      <w:r w:rsidRPr="002F2A7F">
        <w:rPr>
          <w:rFonts w:cs="Arial"/>
        </w:rPr>
        <w:t xml:space="preserve"> la cuarta parte (2</w:t>
      </w:r>
      <w:r w:rsidR="00913FE8" w:rsidRPr="002F2A7F">
        <w:rPr>
          <w:rFonts w:cs="Arial"/>
        </w:rPr>
        <w:t>3</w:t>
      </w:r>
      <w:r w:rsidRPr="002F2A7F">
        <w:rPr>
          <w:rFonts w:cs="Arial"/>
        </w:rPr>
        <w:t>.</w:t>
      </w:r>
      <w:r w:rsidR="00913FE8" w:rsidRPr="002F2A7F">
        <w:rPr>
          <w:rFonts w:cs="Arial"/>
        </w:rPr>
        <w:t>4</w:t>
      </w:r>
      <w:r w:rsidRPr="002F2A7F">
        <w:rPr>
          <w:rFonts w:cs="Arial"/>
        </w:rPr>
        <w:t xml:space="preserve">%) de </w:t>
      </w:r>
      <w:r w:rsidR="00370548" w:rsidRPr="002F2A7F">
        <w:rPr>
          <w:rFonts w:cs="Arial"/>
        </w:rPr>
        <w:t>las personas que fallecieron en accidentes de tránsito</w:t>
      </w:r>
      <w:r w:rsidRPr="002F2A7F">
        <w:rPr>
          <w:rFonts w:cs="Arial"/>
        </w:rPr>
        <w:t xml:space="preserve"> eran peatones.</w:t>
      </w:r>
    </w:p>
    <w:p w14:paraId="23ECF8C3" w14:textId="77777777" w:rsidR="00F855F0" w:rsidRPr="002F2A7F" w:rsidRDefault="00F855F0" w:rsidP="002F2A7F">
      <w:pPr>
        <w:numPr>
          <w:ilvl w:val="0"/>
          <w:numId w:val="1"/>
        </w:numPr>
        <w:spacing w:before="80" w:after="40" w:line="276" w:lineRule="auto"/>
        <w:ind w:left="284" w:right="959" w:hanging="284"/>
        <w:rPr>
          <w:rFonts w:cs="Arial"/>
        </w:rPr>
      </w:pPr>
      <w:r w:rsidRPr="002F2A7F">
        <w:rPr>
          <w:rFonts w:cs="Arial"/>
        </w:rPr>
        <w:t>Las entidades que reportan las tasas</w:t>
      </w:r>
      <w:r w:rsidR="00E56114" w:rsidRPr="002F2A7F">
        <w:rPr>
          <w:rFonts w:cs="Arial"/>
        </w:rPr>
        <w:t xml:space="preserve"> de defunción m</w:t>
      </w:r>
      <w:r w:rsidRPr="002F2A7F">
        <w:rPr>
          <w:rFonts w:cs="Arial"/>
        </w:rPr>
        <w:t xml:space="preserve">ás altas por accidentes de transporte son </w:t>
      </w:r>
      <w:r w:rsidR="00913FE8" w:rsidRPr="002F2A7F">
        <w:rPr>
          <w:rFonts w:cs="Arial"/>
        </w:rPr>
        <w:t>Zacatecas, Nayarit, Durango</w:t>
      </w:r>
      <w:r w:rsidR="00C506FE" w:rsidRPr="002F2A7F">
        <w:rPr>
          <w:rFonts w:cs="Arial"/>
        </w:rPr>
        <w:t xml:space="preserve"> y Sinaloa,</w:t>
      </w:r>
      <w:r w:rsidRPr="002F2A7F">
        <w:rPr>
          <w:rFonts w:cs="Arial"/>
          <w:color w:val="00B0F0"/>
        </w:rPr>
        <w:t xml:space="preserve"> </w:t>
      </w:r>
      <w:r w:rsidRPr="002F2A7F">
        <w:rPr>
          <w:rFonts w:cs="Arial"/>
        </w:rPr>
        <w:t>las cuales son superiores a 2</w:t>
      </w:r>
      <w:r w:rsidR="00C9733C" w:rsidRPr="002F2A7F">
        <w:rPr>
          <w:rFonts w:cs="Arial"/>
        </w:rPr>
        <w:t>0</w:t>
      </w:r>
      <w:r w:rsidRPr="002F2A7F">
        <w:rPr>
          <w:rFonts w:cs="Arial"/>
        </w:rPr>
        <w:t xml:space="preserve"> defunciones por cada 100 </w:t>
      </w:r>
      <w:r w:rsidR="00EA4E01" w:rsidRPr="002F2A7F">
        <w:rPr>
          <w:rFonts w:cs="Arial"/>
        </w:rPr>
        <w:t>000</w:t>
      </w:r>
      <w:r w:rsidRPr="002F2A7F">
        <w:rPr>
          <w:rFonts w:cs="Arial"/>
        </w:rPr>
        <w:t xml:space="preserve"> habitantes.</w:t>
      </w:r>
    </w:p>
    <w:p w14:paraId="5510261B" w14:textId="77777777" w:rsidR="00F855F0" w:rsidRPr="000323CF" w:rsidRDefault="00F855F0" w:rsidP="00F855F0">
      <w:pPr>
        <w:pStyle w:val="Prrafodelista"/>
        <w:rPr>
          <w:rFonts w:cs="Arial"/>
          <w:b/>
          <w:bCs/>
          <w:sz w:val="2"/>
          <w:szCs w:val="2"/>
          <w:highlight w:val="yellow"/>
        </w:rPr>
      </w:pPr>
    </w:p>
    <w:p w14:paraId="6792CEC5" w14:textId="77777777" w:rsidR="00F855F0" w:rsidRPr="000323CF" w:rsidRDefault="00F855F0" w:rsidP="00F855F0">
      <w:pPr>
        <w:pStyle w:val="Prrafodelista"/>
        <w:rPr>
          <w:rFonts w:cs="Arial"/>
          <w:b/>
          <w:bCs/>
          <w:sz w:val="2"/>
          <w:szCs w:val="2"/>
          <w:highlight w:val="yellow"/>
        </w:rPr>
      </w:pPr>
    </w:p>
    <w:p w14:paraId="06134A2A" w14:textId="27EDB0C7" w:rsidR="00280C79" w:rsidRPr="000323CF" w:rsidRDefault="00F855F0" w:rsidP="002F2A7F">
      <w:pPr>
        <w:tabs>
          <w:tab w:val="left" w:pos="1418"/>
        </w:tabs>
        <w:adjustRightInd w:val="0"/>
        <w:spacing w:before="120" w:after="360" w:line="288" w:lineRule="auto"/>
        <w:ind w:left="-567" w:right="108"/>
        <w:rPr>
          <w:rFonts w:eastAsia="Calibri"/>
          <w:szCs w:val="22"/>
        </w:rPr>
      </w:pPr>
      <w:r w:rsidRPr="000323CF">
        <w:rPr>
          <w:rFonts w:eastAsia="Calibri"/>
          <w:szCs w:val="22"/>
        </w:rPr>
        <w:t>El Día de Muertos es una celebración mexicana de origen prehispánico</w:t>
      </w:r>
      <w:r w:rsidR="002F2A7F">
        <w:rPr>
          <w:rFonts w:eastAsia="Calibri"/>
          <w:szCs w:val="22"/>
        </w:rPr>
        <w:t>. E</w:t>
      </w:r>
      <w:r w:rsidRPr="000323CF">
        <w:rPr>
          <w:rFonts w:eastAsia="Calibri"/>
          <w:szCs w:val="22"/>
        </w:rPr>
        <w:t xml:space="preserve">n 2003 la Organización de las Naciones Unidas para la Educación, la Ciencia y la Cultura (UNESCO) declaró esta festividad como Patrimonio Cultural e Inmaterial de la Humanidad (UNESCO, s/f). Por lo anterior y con el </w:t>
      </w:r>
      <w:r w:rsidR="00EA4E01" w:rsidRPr="000323CF">
        <w:rPr>
          <w:rFonts w:eastAsia="Calibri"/>
          <w:szCs w:val="22"/>
        </w:rPr>
        <w:t xml:space="preserve">propósito </w:t>
      </w:r>
      <w:r w:rsidRPr="000323CF">
        <w:rPr>
          <w:rFonts w:eastAsia="Calibri"/>
          <w:szCs w:val="22"/>
        </w:rPr>
        <w:t xml:space="preserve">de tomar conciencia sobre temas preventivos que tienen como objetivo prolongar la sobrevivencia de la población, el Instituto </w:t>
      </w:r>
      <w:r w:rsidRPr="000323CF">
        <w:rPr>
          <w:rFonts w:eastAsia="Calibri"/>
          <w:szCs w:val="22"/>
        </w:rPr>
        <w:lastRenderedPageBreak/>
        <w:t xml:space="preserve">Nacional de Estadística y Geografía (INEGI) presenta indicadores asociados a las defunciones </w:t>
      </w:r>
      <w:r w:rsidRPr="00F32244">
        <w:rPr>
          <w:rFonts w:eastAsia="Calibri"/>
          <w:szCs w:val="22"/>
        </w:rPr>
        <w:t>acontec</w:t>
      </w:r>
      <w:r w:rsidR="00E67A70" w:rsidRPr="00F32244">
        <w:rPr>
          <w:rFonts w:eastAsia="Calibri"/>
          <w:szCs w:val="22"/>
        </w:rPr>
        <w:t>idas por accidentes de tránsito.</w:t>
      </w:r>
    </w:p>
    <w:p w14:paraId="2D10E4A2" w14:textId="77777777" w:rsidR="00F855F0" w:rsidRPr="002F2A7F" w:rsidRDefault="00F855F0" w:rsidP="002F2A7F">
      <w:pPr>
        <w:tabs>
          <w:tab w:val="left" w:pos="1418"/>
        </w:tabs>
        <w:adjustRightInd w:val="0"/>
        <w:spacing w:after="240" w:line="288" w:lineRule="auto"/>
        <w:ind w:left="-567" w:right="108"/>
        <w:rPr>
          <w:rFonts w:eastAsia="Calibri"/>
          <w:color w:val="000000" w:themeColor="text1"/>
          <w:szCs w:val="22"/>
        </w:rPr>
      </w:pPr>
      <w:r w:rsidRPr="002F2A7F">
        <w:rPr>
          <w:b/>
          <w:bCs/>
          <w:color w:val="000000" w:themeColor="text1"/>
          <w:szCs w:val="22"/>
          <w:lang w:val="es-MX"/>
        </w:rPr>
        <w:t>MONTO Y ESTRUCTURA</w:t>
      </w:r>
    </w:p>
    <w:p w14:paraId="7267A481" w14:textId="77777777" w:rsidR="002F2A7F" w:rsidRDefault="00F855F0" w:rsidP="002F2A7F">
      <w:pPr>
        <w:tabs>
          <w:tab w:val="left" w:pos="1418"/>
        </w:tabs>
        <w:adjustRightInd w:val="0"/>
        <w:spacing w:before="120" w:after="240" w:line="288" w:lineRule="auto"/>
        <w:ind w:left="-567" w:right="108"/>
      </w:pPr>
      <w:r w:rsidRPr="000323CF">
        <w:rPr>
          <w:rFonts w:cs="Arial"/>
        </w:rPr>
        <w:t xml:space="preserve">Los accidentes de tránsito deben ser considerados un problema de salud pública y de acuerdo con la Organización Mundial de la Salud (OMS) y </w:t>
      </w:r>
      <w:r w:rsidR="00EA4E01" w:rsidRPr="000323CF">
        <w:rPr>
          <w:rFonts w:cs="Arial"/>
        </w:rPr>
        <w:t>e</w:t>
      </w:r>
      <w:r w:rsidRPr="000323CF">
        <w:rPr>
          <w:rFonts w:cs="Arial"/>
        </w:rPr>
        <w:t xml:space="preserve">l Banco Mundial (BM) </w:t>
      </w:r>
      <w:r w:rsidR="00B71AF9" w:rsidRPr="000323CF">
        <w:rPr>
          <w:rFonts w:cs="Arial"/>
        </w:rPr>
        <w:t>“</w:t>
      </w:r>
      <w:r w:rsidRPr="000323CF">
        <w:rPr>
          <w:rFonts w:cs="Arial"/>
        </w:rPr>
        <w:t>su</w:t>
      </w:r>
      <w:r w:rsidRPr="000323CF">
        <w:t xml:space="preserve"> prevención eficaz y sostenible </w:t>
      </w:r>
      <w:r w:rsidR="00B71AF9" w:rsidRPr="000323CF">
        <w:t>requiere</w:t>
      </w:r>
      <w:r w:rsidRPr="000323CF">
        <w:t xml:space="preserve"> </w:t>
      </w:r>
      <w:r w:rsidR="00B71AF9" w:rsidRPr="000323CF">
        <w:t>una colaboración multisectorial</w:t>
      </w:r>
      <w:r w:rsidRPr="000323CF">
        <w:t xml:space="preserve"> concertad</w:t>
      </w:r>
      <w:r w:rsidR="00B71AF9" w:rsidRPr="000323CF">
        <w:t>a</w:t>
      </w:r>
      <w:r w:rsidRPr="000323CF">
        <w:t>” (OMS-BM, 2004, p</w:t>
      </w:r>
      <w:r w:rsidR="005D4831">
        <w:t>:</w:t>
      </w:r>
      <w:r w:rsidRPr="000323CF">
        <w:t xml:space="preserve"> 1) y debe</w:t>
      </w:r>
      <w:r w:rsidR="00F8785D">
        <w:t>n</w:t>
      </w:r>
      <w:r w:rsidRPr="000323CF">
        <w:t xml:space="preserve"> ser abordado</w:t>
      </w:r>
      <w:r w:rsidR="00DB65C9">
        <w:t>s</w:t>
      </w:r>
      <w:r w:rsidRPr="000323CF">
        <w:t xml:space="preserve"> de forma sistémica a fin de disminuir la exposición a riesgos (OMS-BM, 2004</w:t>
      </w:r>
      <w:r w:rsidR="00A90C00" w:rsidRPr="000323CF">
        <w:t xml:space="preserve">). </w:t>
      </w:r>
    </w:p>
    <w:p w14:paraId="7C1FD73E" w14:textId="64A393BD" w:rsidR="00F855F0" w:rsidRPr="000323CF" w:rsidRDefault="00F855F0" w:rsidP="002F2A7F">
      <w:pPr>
        <w:tabs>
          <w:tab w:val="left" w:pos="1418"/>
        </w:tabs>
        <w:adjustRightInd w:val="0"/>
        <w:spacing w:before="120" w:after="240" w:line="288" w:lineRule="auto"/>
        <w:ind w:left="-567" w:right="108"/>
      </w:pPr>
      <w:r w:rsidRPr="000323CF">
        <w:t xml:space="preserve">Para dar un contexto global sobre la magnitud de este problema, </w:t>
      </w:r>
      <w:r w:rsidRPr="000323CF">
        <w:rPr>
          <w:rFonts w:cs="Arial"/>
        </w:rPr>
        <w:t>la Organización de las Naciones Unidas (ONU) señala que</w:t>
      </w:r>
      <w:r w:rsidR="00EA4E01" w:rsidRPr="000323CF">
        <w:rPr>
          <w:rFonts w:cs="Arial"/>
        </w:rPr>
        <w:t>,</w:t>
      </w:r>
      <w:r w:rsidRPr="000323CF">
        <w:rPr>
          <w:rFonts w:cs="Arial"/>
        </w:rPr>
        <w:t xml:space="preserve"> a pesar de que se han implementado mejoras en la seguridad vial, “las cifras de víctimas fatales y de lesionados siguen siendo alarmantes. Los accidentes de tráfico matan a alrededor de 1.25 millones de personas por año. El 90% de esas personas se encuentran en países de ingresos medianos y bajos” (ONU, 2015, s/p). </w:t>
      </w:r>
    </w:p>
    <w:p w14:paraId="6C914ECC" w14:textId="74548CA6" w:rsidR="00F855F0" w:rsidRDefault="00F855F0" w:rsidP="002F2A7F">
      <w:pPr>
        <w:tabs>
          <w:tab w:val="left" w:pos="1418"/>
        </w:tabs>
        <w:adjustRightInd w:val="0"/>
        <w:spacing w:before="120" w:after="240" w:line="288" w:lineRule="auto"/>
        <w:ind w:left="-567" w:right="108"/>
        <w:rPr>
          <w:rFonts w:cs="Arial"/>
          <w:szCs w:val="22"/>
        </w:rPr>
      </w:pPr>
      <w:r w:rsidRPr="000323CF">
        <w:rPr>
          <w:rFonts w:cs="Arial"/>
        </w:rPr>
        <w:t xml:space="preserve">Por </w:t>
      </w:r>
      <w:r w:rsidR="00EA4E01" w:rsidRPr="000323CF">
        <w:rPr>
          <w:rFonts w:cs="Arial"/>
        </w:rPr>
        <w:t xml:space="preserve">las repercusiones que </w:t>
      </w:r>
      <w:r w:rsidR="0069364A" w:rsidRPr="000323CF">
        <w:rPr>
          <w:rFonts w:cs="Arial"/>
        </w:rPr>
        <w:t xml:space="preserve">los accidentes de transporte </w:t>
      </w:r>
      <w:r w:rsidR="00EA4E01" w:rsidRPr="000323CF">
        <w:rPr>
          <w:rFonts w:cs="Arial"/>
        </w:rPr>
        <w:t>tiene</w:t>
      </w:r>
      <w:r w:rsidR="0069364A" w:rsidRPr="000323CF">
        <w:rPr>
          <w:rFonts w:cs="Arial"/>
        </w:rPr>
        <w:t>n en las víctimas y sus</w:t>
      </w:r>
      <w:r w:rsidR="00EA4E01" w:rsidRPr="000323CF">
        <w:rPr>
          <w:rFonts w:cs="Arial"/>
        </w:rPr>
        <w:t xml:space="preserve"> </w:t>
      </w:r>
      <w:r w:rsidRPr="000323CF">
        <w:rPr>
          <w:rFonts w:cs="Arial"/>
        </w:rPr>
        <w:t>familia</w:t>
      </w:r>
      <w:r w:rsidR="0069364A" w:rsidRPr="000323CF">
        <w:rPr>
          <w:rFonts w:cs="Arial"/>
        </w:rPr>
        <w:t>res</w:t>
      </w:r>
      <w:r w:rsidRPr="000323CF">
        <w:rPr>
          <w:rFonts w:cs="Arial"/>
        </w:rPr>
        <w:t xml:space="preserve">, la comunidad internacional </w:t>
      </w:r>
      <w:r w:rsidR="003472EA" w:rsidRPr="000323CF">
        <w:rPr>
          <w:rFonts w:cs="Arial"/>
        </w:rPr>
        <w:t>retoma</w:t>
      </w:r>
      <w:r w:rsidRPr="000323CF">
        <w:rPr>
          <w:rFonts w:cs="Arial"/>
        </w:rPr>
        <w:t xml:space="preserve"> esta problemática en los Objetivos de Desarrollo Sustentable (ODS) a fin de </w:t>
      </w:r>
      <w:r w:rsidRPr="000323CF">
        <w:rPr>
          <w:rFonts w:cs="Arial"/>
        </w:rPr>
        <w:lastRenderedPageBreak/>
        <w:t>atenderla con una visión integral y de fond</w:t>
      </w:r>
      <w:r w:rsidR="0069364A" w:rsidRPr="000323CF">
        <w:rPr>
          <w:rFonts w:cs="Arial"/>
        </w:rPr>
        <w:t>o en todos los países miembros</w:t>
      </w:r>
      <w:r w:rsidR="005D4831">
        <w:rPr>
          <w:rFonts w:cs="Arial"/>
        </w:rPr>
        <w:t xml:space="preserve"> y con ello </w:t>
      </w:r>
      <w:r w:rsidRPr="000323CF">
        <w:rPr>
          <w:rFonts w:cs="Arial"/>
        </w:rPr>
        <w:t>mejora</w:t>
      </w:r>
      <w:r w:rsidR="005D4831">
        <w:rPr>
          <w:rFonts w:cs="Arial"/>
        </w:rPr>
        <w:t>r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las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expectativas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de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vida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de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la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población.</w:t>
      </w:r>
      <w:r w:rsidR="0069364A" w:rsidRPr="000323CF">
        <w:rPr>
          <w:rFonts w:cs="Arial"/>
        </w:rPr>
        <w:t xml:space="preserve"> </w:t>
      </w:r>
      <w:r w:rsidR="005D4831">
        <w:rPr>
          <w:rFonts w:cs="Arial"/>
        </w:rPr>
        <w:t>El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objetivo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3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de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>los</w:t>
      </w:r>
      <w:r w:rsidR="0069364A" w:rsidRPr="000323CF">
        <w:rPr>
          <w:rFonts w:cs="Arial"/>
        </w:rPr>
        <w:t xml:space="preserve"> ODS,</w:t>
      </w:r>
      <w:r w:rsidRPr="000323CF">
        <w:rPr>
          <w:rFonts w:cs="Arial"/>
        </w:rPr>
        <w:t xml:space="preserve"> pretende</w:t>
      </w:r>
      <w:r w:rsidR="0069364A" w:rsidRPr="000323CF">
        <w:rPr>
          <w:rFonts w:cs="Arial"/>
        </w:rPr>
        <w:t xml:space="preserve"> </w:t>
      </w:r>
      <w:r w:rsidRPr="000323CF">
        <w:rPr>
          <w:rFonts w:cs="Arial"/>
        </w:rPr>
        <w:t xml:space="preserve">“para 2020 reducir a la mitad </w:t>
      </w:r>
      <w:r w:rsidRPr="003A6E57">
        <w:rPr>
          <w:rFonts w:cs="Arial"/>
        </w:rPr>
        <w:t>el número de muertes y lesiones causadas por accidentes de tráfico en el mundo” (OMS, s/f</w:t>
      </w:r>
      <w:r w:rsidR="00674E77" w:rsidRPr="003A6E57">
        <w:rPr>
          <w:rFonts w:cs="Arial"/>
        </w:rPr>
        <w:t xml:space="preserve"> </w:t>
      </w:r>
      <w:r w:rsidRPr="003A6E57">
        <w:rPr>
          <w:rFonts w:cs="Arial"/>
        </w:rPr>
        <w:t>a</w:t>
      </w:r>
      <w:r w:rsidR="00674E77" w:rsidRPr="003A6E57">
        <w:rPr>
          <w:rFonts w:cs="Arial"/>
        </w:rPr>
        <w:t>,</w:t>
      </w:r>
      <w:r w:rsidR="001E2E86" w:rsidRPr="003A6E57">
        <w:rPr>
          <w:rFonts w:cs="Arial"/>
        </w:rPr>
        <w:t xml:space="preserve"> s/p</w:t>
      </w:r>
      <w:r w:rsidRPr="003A6E57">
        <w:rPr>
          <w:rFonts w:cs="Arial"/>
        </w:rPr>
        <w:t>). En México, e</w:t>
      </w:r>
      <w:r w:rsidRPr="003A6E57">
        <w:rPr>
          <w:rFonts w:cs="Arial"/>
          <w:szCs w:val="22"/>
        </w:rPr>
        <w:t xml:space="preserve">l número de defunciones por accidentes </w:t>
      </w:r>
      <w:r w:rsidR="001E21C6" w:rsidRPr="003A6E57">
        <w:rPr>
          <w:rFonts w:cs="Arial"/>
          <w:szCs w:val="22"/>
        </w:rPr>
        <w:t>por</w:t>
      </w:r>
      <w:r w:rsidRPr="003A6E57">
        <w:rPr>
          <w:rFonts w:cs="Arial"/>
          <w:szCs w:val="22"/>
        </w:rPr>
        <w:t xml:space="preserve"> </w:t>
      </w:r>
      <w:r w:rsidR="001E21C6" w:rsidRPr="003A6E57">
        <w:rPr>
          <w:rFonts w:cs="Arial"/>
          <w:szCs w:val="22"/>
        </w:rPr>
        <w:t xml:space="preserve">vehículo de </w:t>
      </w:r>
      <w:r w:rsidRPr="003A6E57">
        <w:rPr>
          <w:rFonts w:cs="Arial"/>
          <w:szCs w:val="22"/>
        </w:rPr>
        <w:t>transporte registradas en 201</w:t>
      </w:r>
      <w:r w:rsidR="00C721B0" w:rsidRPr="003A6E57">
        <w:rPr>
          <w:rFonts w:cs="Arial"/>
          <w:szCs w:val="22"/>
        </w:rPr>
        <w:t>8</w:t>
      </w:r>
      <w:r w:rsidRPr="003A6E57">
        <w:rPr>
          <w:rFonts w:cs="Arial"/>
          <w:szCs w:val="22"/>
        </w:rPr>
        <w:t xml:space="preserve"> es de </w:t>
      </w:r>
      <w:r w:rsidR="00C506FE" w:rsidRPr="003A6E57">
        <w:rPr>
          <w:rFonts w:cs="Arial"/>
          <w:bCs/>
        </w:rPr>
        <w:t>16 035</w:t>
      </w:r>
      <w:r w:rsidRPr="003A6E57">
        <w:rPr>
          <w:rFonts w:cs="Arial"/>
          <w:szCs w:val="22"/>
        </w:rPr>
        <w:t>, lo que representa 2.</w:t>
      </w:r>
      <w:r w:rsidR="009E21B5" w:rsidRPr="003A6E57">
        <w:rPr>
          <w:rFonts w:cs="Arial"/>
          <w:szCs w:val="22"/>
        </w:rPr>
        <w:t>2</w:t>
      </w:r>
      <w:r w:rsidRPr="003A6E57">
        <w:rPr>
          <w:rFonts w:cs="Arial"/>
          <w:szCs w:val="22"/>
        </w:rPr>
        <w:t>% de las defunciones totales (</w:t>
      </w:r>
      <w:r w:rsidR="00C506FE" w:rsidRPr="003A6E57">
        <w:rPr>
          <w:rFonts w:cs="Arial"/>
          <w:szCs w:val="22"/>
        </w:rPr>
        <w:t>722 611</w:t>
      </w:r>
      <w:r w:rsidRPr="003A6E57">
        <w:rPr>
          <w:rFonts w:cs="Arial"/>
          <w:szCs w:val="22"/>
        </w:rPr>
        <w:t>) y 4</w:t>
      </w:r>
      <w:r w:rsidR="009E21B5" w:rsidRPr="003A6E57">
        <w:rPr>
          <w:rFonts w:cs="Arial"/>
          <w:szCs w:val="22"/>
        </w:rPr>
        <w:t>6</w:t>
      </w:r>
      <w:r w:rsidRPr="003A6E57">
        <w:rPr>
          <w:rFonts w:cs="Arial"/>
          <w:szCs w:val="22"/>
        </w:rPr>
        <w:t>.</w:t>
      </w:r>
      <w:r w:rsidR="009E21B5" w:rsidRPr="003A6E57">
        <w:rPr>
          <w:rFonts w:cs="Arial"/>
          <w:szCs w:val="22"/>
        </w:rPr>
        <w:t>4</w:t>
      </w:r>
      <w:r w:rsidRPr="003A6E57">
        <w:rPr>
          <w:rFonts w:cs="Arial"/>
          <w:szCs w:val="22"/>
        </w:rPr>
        <w:t>% de todas las defunciones catalogadas como accidentes (3</w:t>
      </w:r>
      <w:r w:rsidR="009E21B5" w:rsidRPr="003A6E57">
        <w:rPr>
          <w:rFonts w:cs="Arial"/>
          <w:szCs w:val="22"/>
        </w:rPr>
        <w:t>4 5</w:t>
      </w:r>
      <w:r w:rsidR="00C506FE" w:rsidRPr="003A6E57">
        <w:rPr>
          <w:rFonts w:cs="Arial"/>
          <w:szCs w:val="22"/>
        </w:rPr>
        <w:t>8</w:t>
      </w:r>
      <w:r w:rsidR="009E21B5" w:rsidRPr="003A6E57">
        <w:rPr>
          <w:rFonts w:cs="Arial"/>
          <w:szCs w:val="22"/>
        </w:rPr>
        <w:t>9</w:t>
      </w:r>
      <w:r w:rsidRPr="003A6E57">
        <w:rPr>
          <w:rFonts w:cs="Arial"/>
          <w:szCs w:val="22"/>
        </w:rPr>
        <w:t xml:space="preserve">). </w:t>
      </w:r>
    </w:p>
    <w:p w14:paraId="6AA4B28A" w14:textId="77777777" w:rsidR="002F2A7F" w:rsidRPr="003A6E57" w:rsidRDefault="002F2A7F" w:rsidP="002F2A7F">
      <w:pPr>
        <w:tabs>
          <w:tab w:val="left" w:pos="1418"/>
        </w:tabs>
        <w:adjustRightInd w:val="0"/>
        <w:spacing w:before="120" w:after="240" w:line="288" w:lineRule="auto"/>
        <w:ind w:left="-567" w:right="108"/>
        <w:rPr>
          <w:rFonts w:cs="Arial"/>
        </w:rPr>
      </w:pPr>
    </w:p>
    <w:p w14:paraId="1D88C9E5" w14:textId="77777777" w:rsidR="00F855F0" w:rsidRPr="00A01FF6" w:rsidRDefault="00F855F0" w:rsidP="00F855F0">
      <w:pPr>
        <w:rPr>
          <w:rFonts w:cs="Arial"/>
          <w:b/>
          <w:bCs/>
        </w:rPr>
      </w:pPr>
      <w:r>
        <w:rPr>
          <w:rFonts w:cs="Arial"/>
          <w:b/>
          <w:bCs/>
        </w:rPr>
        <w:t>D</w:t>
      </w:r>
      <w:r w:rsidRPr="00A01FF6">
        <w:rPr>
          <w:rFonts w:cs="Arial"/>
          <w:b/>
          <w:bCs/>
        </w:rPr>
        <w:t>istribución porcentual de defunciones</w:t>
      </w:r>
      <w:r w:rsidR="00F8785D">
        <w:rPr>
          <w:rFonts w:cs="Arial"/>
          <w:b/>
          <w:bCs/>
        </w:rPr>
        <w:t xml:space="preserve"> por</w:t>
      </w:r>
      <w:r w:rsidRPr="00A01FF6">
        <w:rPr>
          <w:rFonts w:cs="Arial"/>
          <w:b/>
          <w:bCs/>
        </w:rPr>
        <w:t xml:space="preserve"> accident</w:t>
      </w:r>
      <w:r w:rsidR="00DB65C9">
        <w:rPr>
          <w:rFonts w:cs="Arial"/>
          <w:b/>
          <w:bCs/>
        </w:rPr>
        <w:t>es</w:t>
      </w:r>
      <w:r w:rsidRPr="00A01FF6">
        <w:rPr>
          <w:rFonts w:cs="Arial"/>
          <w:b/>
          <w:bCs/>
        </w:rPr>
        <w:t xml:space="preserve"> </w:t>
      </w:r>
      <w:r w:rsidR="00F8785D">
        <w:rPr>
          <w:rFonts w:cs="Arial"/>
          <w:b/>
          <w:bCs/>
        </w:rPr>
        <w:t>según</w:t>
      </w:r>
      <w:r w:rsidRPr="00A01FF6">
        <w:rPr>
          <w:rFonts w:cs="Arial"/>
          <w:b/>
          <w:bCs/>
        </w:rPr>
        <w:t xml:space="preserve"> tipo de accidente</w:t>
      </w:r>
    </w:p>
    <w:p w14:paraId="23B60B51" w14:textId="5E7525F3" w:rsidR="00F855F0" w:rsidRPr="003A6E57" w:rsidRDefault="00F855F0" w:rsidP="00F855F0">
      <w:pPr>
        <w:rPr>
          <w:rFonts w:cs="Arial"/>
          <w:b/>
          <w:bCs/>
        </w:rPr>
      </w:pPr>
      <w:r w:rsidRPr="003A6E57">
        <w:rPr>
          <w:rFonts w:cs="Arial"/>
          <w:b/>
          <w:bCs/>
        </w:rPr>
        <w:t>201</w:t>
      </w:r>
      <w:r w:rsidR="009E21B5" w:rsidRPr="003A6E57">
        <w:rPr>
          <w:rFonts w:cs="Arial"/>
          <w:b/>
          <w:bCs/>
        </w:rPr>
        <w:t>8</w:t>
      </w:r>
    </w:p>
    <w:p w14:paraId="19DCF3F3" w14:textId="4F3DBB8F" w:rsidR="007363C2" w:rsidRDefault="00154A80" w:rsidP="00154A80">
      <w:pPr>
        <w:ind w:left="-567"/>
        <w:rPr>
          <w:rFonts w:cs="Arial"/>
          <w:b/>
          <w:bCs/>
        </w:rPr>
      </w:pPr>
      <w:r w:rsidRPr="003A6E57">
        <w:rPr>
          <w:noProof/>
          <w:lang w:val="en-US" w:eastAsia="en-US"/>
        </w:rPr>
        <w:drawing>
          <wp:anchor distT="0" distB="0" distL="114300" distR="114300" simplePos="0" relativeHeight="251697152" behindDoc="0" locked="0" layoutInCell="1" allowOverlap="1" wp14:anchorId="35405970" wp14:editId="2CF3D485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200650" cy="31508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77CBB" w14:textId="77777777" w:rsidR="007363C2" w:rsidRDefault="007363C2" w:rsidP="00B31068">
      <w:pPr>
        <w:jc w:val="center"/>
        <w:rPr>
          <w:rFonts w:cs="Arial"/>
          <w:b/>
          <w:bCs/>
        </w:rPr>
      </w:pPr>
    </w:p>
    <w:p w14:paraId="04C8E868" w14:textId="77777777" w:rsidR="007363C2" w:rsidRDefault="007363C2" w:rsidP="00F855F0">
      <w:pPr>
        <w:rPr>
          <w:rFonts w:cs="Arial"/>
          <w:b/>
          <w:bCs/>
        </w:rPr>
      </w:pPr>
    </w:p>
    <w:p w14:paraId="2A88826C" w14:textId="77777777" w:rsidR="00B31068" w:rsidRDefault="00B31068" w:rsidP="00B31068">
      <w:pPr>
        <w:rPr>
          <w:rFonts w:cs="Arial"/>
          <w:b/>
          <w:bCs/>
        </w:rPr>
      </w:pPr>
    </w:p>
    <w:p w14:paraId="52003C41" w14:textId="77777777" w:rsidR="00B31068" w:rsidRDefault="00B31068" w:rsidP="00B31068">
      <w:pPr>
        <w:rPr>
          <w:rFonts w:cs="Arial"/>
          <w:b/>
          <w:bCs/>
        </w:rPr>
      </w:pPr>
    </w:p>
    <w:p w14:paraId="6E146D57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20B399BE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251DE0AC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0640E760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02F90CE5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27705774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1BD7C1B4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3F2EE896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059DA64D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0C01895B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31FF1012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21185C3B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3E97072B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42FADE41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2D2D3117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39C11227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3EE230FE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067E5D6A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38D25684" w14:textId="77777777" w:rsidR="00B31068" w:rsidRDefault="00B31068" w:rsidP="00B31068">
      <w:pPr>
        <w:rPr>
          <w:rFonts w:cs="Arial"/>
          <w:bCs/>
          <w:sz w:val="16"/>
          <w:szCs w:val="16"/>
        </w:rPr>
      </w:pPr>
    </w:p>
    <w:p w14:paraId="4BABA26C" w14:textId="77777777" w:rsidR="00154A80" w:rsidRDefault="00154A80" w:rsidP="00B31068">
      <w:pPr>
        <w:rPr>
          <w:rFonts w:cs="Arial"/>
          <w:bCs/>
          <w:sz w:val="16"/>
          <w:szCs w:val="16"/>
        </w:rPr>
      </w:pPr>
    </w:p>
    <w:p w14:paraId="43F1CEB1" w14:textId="77777777" w:rsidR="00154A80" w:rsidRDefault="00154A80" w:rsidP="00B31068">
      <w:pPr>
        <w:rPr>
          <w:rFonts w:cs="Arial"/>
          <w:bCs/>
          <w:sz w:val="16"/>
          <w:szCs w:val="16"/>
        </w:rPr>
      </w:pPr>
    </w:p>
    <w:p w14:paraId="784DE9D4" w14:textId="1282EE04" w:rsidR="00F855F0" w:rsidRPr="003A6E57" w:rsidRDefault="00F855F0" w:rsidP="00B31068">
      <w:pPr>
        <w:rPr>
          <w:rFonts w:cs="Arial"/>
          <w:bCs/>
          <w:sz w:val="16"/>
          <w:szCs w:val="16"/>
        </w:rPr>
      </w:pPr>
      <w:r w:rsidRPr="002B4C2A">
        <w:rPr>
          <w:rFonts w:cs="Arial"/>
          <w:bCs/>
          <w:sz w:val="16"/>
          <w:szCs w:val="16"/>
        </w:rPr>
        <w:t xml:space="preserve">Nota: </w:t>
      </w:r>
      <w:r w:rsidRPr="003A6E57">
        <w:rPr>
          <w:rFonts w:cs="Arial"/>
          <w:bCs/>
          <w:sz w:val="16"/>
          <w:szCs w:val="16"/>
        </w:rPr>
        <w:t>La causa de accidentes de transporte corresponde a la clasificación de la lista especial de tabulados (tabulación 1 para la mortalidad). CIE-10.</w:t>
      </w:r>
    </w:p>
    <w:p w14:paraId="60106F16" w14:textId="77777777" w:rsidR="00F855F0" w:rsidRPr="003A6E57" w:rsidRDefault="00F855F0" w:rsidP="00F855F0">
      <w:pPr>
        <w:autoSpaceDE w:val="0"/>
        <w:autoSpaceDN w:val="0"/>
        <w:adjustRightInd w:val="0"/>
        <w:spacing w:after="20"/>
        <w:rPr>
          <w:rFonts w:cs="Arial"/>
          <w:bCs/>
          <w:sz w:val="4"/>
          <w:szCs w:val="4"/>
        </w:rPr>
      </w:pPr>
    </w:p>
    <w:p w14:paraId="71828F9B" w14:textId="77777777" w:rsidR="00F855F0" w:rsidRPr="003A6E57" w:rsidRDefault="00F855F0" w:rsidP="00F855F0">
      <w:pPr>
        <w:autoSpaceDE w:val="0"/>
        <w:autoSpaceDN w:val="0"/>
        <w:adjustRightInd w:val="0"/>
        <w:spacing w:before="40"/>
        <w:rPr>
          <w:rFonts w:cs="Arial"/>
          <w:bCs/>
          <w:sz w:val="16"/>
          <w:szCs w:val="16"/>
        </w:rPr>
      </w:pPr>
      <w:r w:rsidRPr="003A6E57">
        <w:rPr>
          <w:rFonts w:cs="Arial"/>
          <w:bCs/>
          <w:sz w:val="16"/>
          <w:szCs w:val="16"/>
        </w:rPr>
        <w:t>Fuente: INEGI. Estadísticas de mortalidad 201</w:t>
      </w:r>
      <w:r w:rsidR="00DB5355" w:rsidRPr="003A6E57">
        <w:rPr>
          <w:rFonts w:cs="Arial"/>
          <w:bCs/>
          <w:sz w:val="16"/>
          <w:szCs w:val="16"/>
        </w:rPr>
        <w:t xml:space="preserve">8. </w:t>
      </w:r>
    </w:p>
    <w:p w14:paraId="38CC2DBD" w14:textId="77777777" w:rsidR="00F855F0" w:rsidRPr="00A35849" w:rsidRDefault="00F855F0" w:rsidP="00F855F0">
      <w:pPr>
        <w:spacing w:before="120" w:after="240"/>
        <w:rPr>
          <w:b/>
          <w:bCs/>
          <w:color w:val="666699"/>
          <w:sz w:val="2"/>
          <w:szCs w:val="2"/>
          <w:lang w:val="es-MX"/>
        </w:rPr>
      </w:pPr>
    </w:p>
    <w:p w14:paraId="0C036C07" w14:textId="77777777" w:rsidR="00F855F0" w:rsidRPr="002F2A7F" w:rsidRDefault="00F855F0" w:rsidP="002F2A7F">
      <w:pPr>
        <w:spacing w:before="120" w:after="240"/>
        <w:ind w:left="-567"/>
        <w:rPr>
          <w:b/>
          <w:color w:val="000000" w:themeColor="text1"/>
        </w:rPr>
      </w:pPr>
      <w:r w:rsidRPr="002F2A7F">
        <w:rPr>
          <w:b/>
          <w:bCs/>
          <w:color w:val="000000" w:themeColor="text1"/>
          <w:szCs w:val="22"/>
          <w:lang w:val="es-MX"/>
        </w:rPr>
        <w:t>TENDENCIA HISTÓRICA</w:t>
      </w:r>
    </w:p>
    <w:p w14:paraId="7A53FD24" w14:textId="7EA068EE" w:rsidR="00616CE1" w:rsidRPr="003A6E57" w:rsidRDefault="00011B1F" w:rsidP="002F2A7F">
      <w:pPr>
        <w:tabs>
          <w:tab w:val="left" w:pos="1418"/>
        </w:tabs>
        <w:adjustRightInd w:val="0"/>
        <w:spacing w:before="120" w:after="240" w:line="264" w:lineRule="auto"/>
        <w:ind w:left="-567" w:right="51"/>
        <w:rPr>
          <w:rFonts w:cs="Arial"/>
        </w:rPr>
      </w:pPr>
      <w:r w:rsidRPr="003A6E57">
        <w:rPr>
          <w:rFonts w:cs="Arial"/>
        </w:rPr>
        <w:t>E</w:t>
      </w:r>
      <w:r w:rsidR="00F855F0" w:rsidRPr="003A6E57">
        <w:rPr>
          <w:rFonts w:cs="Arial"/>
        </w:rPr>
        <w:t>n 200</w:t>
      </w:r>
      <w:r w:rsidR="006D737E" w:rsidRPr="003A6E57">
        <w:rPr>
          <w:rFonts w:cs="Arial"/>
        </w:rPr>
        <w:t>6</w:t>
      </w:r>
      <w:r w:rsidR="00F855F0" w:rsidRPr="003A6E57">
        <w:rPr>
          <w:rFonts w:cs="Arial"/>
        </w:rPr>
        <w:t xml:space="preserve"> fallecieron </w:t>
      </w:r>
      <w:r w:rsidR="006D737E" w:rsidRPr="003A6E57">
        <w:rPr>
          <w:rFonts w:cs="Arial"/>
        </w:rPr>
        <w:t>17 454</w:t>
      </w:r>
      <w:r w:rsidR="00F855F0" w:rsidRPr="003A6E57">
        <w:rPr>
          <w:rFonts w:cs="Arial"/>
        </w:rPr>
        <w:t xml:space="preserve"> personas por </w:t>
      </w:r>
      <w:r w:rsidRPr="003A6E57">
        <w:rPr>
          <w:rFonts w:cs="Arial"/>
        </w:rPr>
        <w:t>accidentes de transporte</w:t>
      </w:r>
      <w:r w:rsidR="00F855F0" w:rsidRPr="003A6E57">
        <w:rPr>
          <w:rFonts w:cs="Arial"/>
        </w:rPr>
        <w:t>, lo que en términos porcentuales represent</w:t>
      </w:r>
      <w:r w:rsidR="00154A80">
        <w:rPr>
          <w:rFonts w:cs="Arial"/>
        </w:rPr>
        <w:t>ó</w:t>
      </w:r>
      <w:r w:rsidR="00F855F0" w:rsidRPr="003A6E57">
        <w:rPr>
          <w:rFonts w:cs="Arial"/>
        </w:rPr>
        <w:t xml:space="preserve"> 3.</w:t>
      </w:r>
      <w:r w:rsidR="006D737E" w:rsidRPr="003A6E57">
        <w:rPr>
          <w:rFonts w:cs="Arial"/>
        </w:rPr>
        <w:t>5</w:t>
      </w:r>
      <w:r w:rsidR="00F855F0" w:rsidRPr="003A6E57">
        <w:rPr>
          <w:rFonts w:cs="Arial"/>
        </w:rPr>
        <w:t>% del total de las defunciones registradas en ese año</w:t>
      </w:r>
      <w:r w:rsidR="00154A80">
        <w:rPr>
          <w:rFonts w:cs="Arial"/>
        </w:rPr>
        <w:t>. R</w:t>
      </w:r>
      <w:r w:rsidR="00F855F0" w:rsidRPr="003A6E57">
        <w:rPr>
          <w:rFonts w:cs="Arial"/>
        </w:rPr>
        <w:t xml:space="preserve">especto al </w:t>
      </w:r>
      <w:r w:rsidR="00F918C4" w:rsidRPr="003A6E57">
        <w:rPr>
          <w:rFonts w:cs="Arial"/>
        </w:rPr>
        <w:t>porcentaje</w:t>
      </w:r>
      <w:r w:rsidR="00F855F0" w:rsidRPr="003A6E57">
        <w:rPr>
          <w:rFonts w:cs="Arial"/>
        </w:rPr>
        <w:t xml:space="preserve"> observado en 201</w:t>
      </w:r>
      <w:r w:rsidR="00DB5355" w:rsidRPr="003A6E57">
        <w:rPr>
          <w:rFonts w:cs="Arial"/>
        </w:rPr>
        <w:t>8</w:t>
      </w:r>
      <w:r w:rsidRPr="003A6E57">
        <w:rPr>
          <w:rFonts w:cs="Arial"/>
        </w:rPr>
        <w:t xml:space="preserve"> (</w:t>
      </w:r>
      <w:r w:rsidR="00F918C4" w:rsidRPr="003A6E57">
        <w:rPr>
          <w:rFonts w:cs="Arial"/>
        </w:rPr>
        <w:t>2.2%</w:t>
      </w:r>
      <w:r w:rsidRPr="003A6E57">
        <w:rPr>
          <w:rFonts w:cs="Arial"/>
        </w:rPr>
        <w:t>)</w:t>
      </w:r>
      <w:r w:rsidR="00F855F0" w:rsidRPr="003A6E57">
        <w:rPr>
          <w:rFonts w:cs="Arial"/>
        </w:rPr>
        <w:t>, h</w:t>
      </w:r>
      <w:r w:rsidR="00154A80">
        <w:rPr>
          <w:rFonts w:cs="Arial"/>
        </w:rPr>
        <w:t>ubo</w:t>
      </w:r>
      <w:r w:rsidR="00F855F0" w:rsidRPr="003A6E57">
        <w:rPr>
          <w:rFonts w:cs="Arial"/>
        </w:rPr>
        <w:t xml:space="preserve"> una disminución de </w:t>
      </w:r>
      <w:r w:rsidR="00F918C4" w:rsidRPr="003A6E57">
        <w:rPr>
          <w:rFonts w:cs="Arial"/>
        </w:rPr>
        <w:t>1.3</w:t>
      </w:r>
      <w:r w:rsidR="00D63FFC" w:rsidRPr="003A6E57">
        <w:rPr>
          <w:rFonts w:cs="Arial"/>
        </w:rPr>
        <w:t xml:space="preserve"> </w:t>
      </w:r>
      <w:r w:rsidR="00F918C4" w:rsidRPr="003A6E57">
        <w:rPr>
          <w:rFonts w:cs="Arial"/>
        </w:rPr>
        <w:t>puntos porcentuales</w:t>
      </w:r>
      <w:r w:rsidRPr="003A6E57">
        <w:rPr>
          <w:rFonts w:cs="Arial"/>
        </w:rPr>
        <w:t xml:space="preserve">. </w:t>
      </w:r>
    </w:p>
    <w:p w14:paraId="03233B8D" w14:textId="6AE66C24" w:rsidR="00F855F0" w:rsidRPr="003A6E57" w:rsidRDefault="00616CE1" w:rsidP="002F2A7F">
      <w:pPr>
        <w:tabs>
          <w:tab w:val="left" w:pos="1418"/>
        </w:tabs>
        <w:adjustRightInd w:val="0"/>
        <w:spacing w:before="120" w:after="240" w:line="264" w:lineRule="auto"/>
        <w:ind w:left="-567" w:right="51"/>
        <w:rPr>
          <w:rFonts w:cs="Arial"/>
        </w:rPr>
      </w:pPr>
      <w:r w:rsidRPr="003A6E57">
        <w:rPr>
          <w:rFonts w:cs="Arial"/>
        </w:rPr>
        <w:t>L</w:t>
      </w:r>
      <w:r w:rsidR="00F855F0" w:rsidRPr="003A6E57">
        <w:rPr>
          <w:rFonts w:cs="Arial"/>
        </w:rPr>
        <w:t xml:space="preserve">a ONU argumenta que esta disminución es observada en muchos países </w:t>
      </w:r>
      <w:r w:rsidR="00F8785D" w:rsidRPr="003A6E57">
        <w:rPr>
          <w:rFonts w:cs="Arial"/>
        </w:rPr>
        <w:t>y se explica como</w:t>
      </w:r>
      <w:r w:rsidR="00F855F0" w:rsidRPr="003A6E57">
        <w:rPr>
          <w:rFonts w:cs="Arial"/>
        </w:rPr>
        <w:t xml:space="preserve"> “progresos mundiales en materia de legislación sobre seguridad vial, ya que está demostrado que la adopción y observancia de leyes integrales sobre los factores de riesgo fundamentales </w:t>
      </w:r>
      <w:r w:rsidR="00F855F0" w:rsidRPr="003A6E57">
        <w:rPr>
          <w:rFonts w:cs="Arial"/>
        </w:rPr>
        <w:lastRenderedPageBreak/>
        <w:t xml:space="preserve">(exceso de velocidad, conducción bajo los efectos del alcohol y no utilización del casco de motociclista, del cinturón de seguridad y de sistemas de retención para niños) ha reducido las lesiones causadas </w:t>
      </w:r>
      <w:r w:rsidR="00674E77" w:rsidRPr="003A6E57">
        <w:rPr>
          <w:rFonts w:cs="Arial"/>
        </w:rPr>
        <w:t>por el tránsito” (OMS, 2013a, p:</w:t>
      </w:r>
      <w:r w:rsidR="00F855F0" w:rsidRPr="003A6E57">
        <w:rPr>
          <w:rFonts w:cs="Arial"/>
        </w:rPr>
        <w:t xml:space="preserve"> 5). </w:t>
      </w:r>
    </w:p>
    <w:p w14:paraId="79B0523B" w14:textId="466A3779" w:rsidR="00F855F0" w:rsidRPr="003A6E57" w:rsidRDefault="00F855F0" w:rsidP="002F2A7F">
      <w:pPr>
        <w:tabs>
          <w:tab w:val="left" w:pos="1418"/>
        </w:tabs>
        <w:adjustRightInd w:val="0"/>
        <w:spacing w:before="120" w:after="360" w:line="264" w:lineRule="auto"/>
        <w:ind w:left="-567" w:right="51"/>
        <w:rPr>
          <w:rFonts w:cs="Arial"/>
        </w:rPr>
      </w:pPr>
      <w:r w:rsidRPr="003A6E57">
        <w:rPr>
          <w:rFonts w:cs="Arial"/>
        </w:rPr>
        <w:t>Según la OMS “los hombres tienen más probabilidades que las mujeres de verse involucrados en accidentes de tránsito” (OMS, 2018, s/p). En 20</w:t>
      </w:r>
      <w:r w:rsidR="00CC36E7" w:rsidRPr="003A6E57">
        <w:rPr>
          <w:rFonts w:cs="Arial"/>
        </w:rPr>
        <w:t>0</w:t>
      </w:r>
      <w:r w:rsidR="008D4F5A" w:rsidRPr="003A6E57">
        <w:rPr>
          <w:rFonts w:cs="Arial"/>
        </w:rPr>
        <w:t>6</w:t>
      </w:r>
      <w:r w:rsidRPr="003A6E57">
        <w:rPr>
          <w:rFonts w:cs="Arial"/>
        </w:rPr>
        <w:t xml:space="preserve">, </w:t>
      </w:r>
      <w:r w:rsidR="00033245" w:rsidRPr="003A6E57">
        <w:rPr>
          <w:rFonts w:cs="Arial"/>
        </w:rPr>
        <w:t xml:space="preserve">en nuestro país, </w:t>
      </w:r>
      <w:r w:rsidRPr="003A6E57">
        <w:rPr>
          <w:rFonts w:cs="Arial"/>
        </w:rPr>
        <w:t>el porcentaje de defunciones masculinas</w:t>
      </w:r>
      <w:r w:rsidR="00011B1F" w:rsidRPr="003A6E57">
        <w:rPr>
          <w:rFonts w:cs="Arial"/>
        </w:rPr>
        <w:t xml:space="preserve"> registradas</w:t>
      </w:r>
      <w:r w:rsidRPr="003A6E57">
        <w:rPr>
          <w:rFonts w:cs="Arial"/>
        </w:rPr>
        <w:t xml:space="preserve"> por accidentes de tránsito respecto al total de fallecidos del mismo sexo </w:t>
      </w:r>
      <w:r w:rsidR="005D1ECC">
        <w:rPr>
          <w:rFonts w:cs="Arial"/>
        </w:rPr>
        <w:t>fue</w:t>
      </w:r>
      <w:r w:rsidRPr="003A6E57">
        <w:rPr>
          <w:rFonts w:cs="Arial"/>
        </w:rPr>
        <w:t xml:space="preserve"> de </w:t>
      </w:r>
      <w:r w:rsidR="001677DF" w:rsidRPr="003A6E57">
        <w:rPr>
          <w:rFonts w:cs="Arial"/>
        </w:rPr>
        <w:t>5</w:t>
      </w:r>
      <w:r w:rsidRPr="003A6E57">
        <w:rPr>
          <w:rFonts w:cs="Arial"/>
        </w:rPr>
        <w:t>%</w:t>
      </w:r>
      <w:r w:rsidR="00154A80">
        <w:rPr>
          <w:rFonts w:cs="Arial"/>
        </w:rPr>
        <w:t>,</w:t>
      </w:r>
      <w:r w:rsidRPr="003A6E57">
        <w:rPr>
          <w:rFonts w:cs="Arial"/>
        </w:rPr>
        <w:t xml:space="preserve"> </w:t>
      </w:r>
      <w:r w:rsidR="00C53ABB" w:rsidRPr="003A6E57">
        <w:rPr>
          <w:rFonts w:cs="Arial"/>
        </w:rPr>
        <w:t xml:space="preserve">casi </w:t>
      </w:r>
      <w:r w:rsidRPr="003A6E57">
        <w:rPr>
          <w:rFonts w:cs="Arial"/>
        </w:rPr>
        <w:t>tres veces mayor al de las mujeres (1.</w:t>
      </w:r>
      <w:r w:rsidR="008A5D29" w:rsidRPr="003A6E57">
        <w:rPr>
          <w:rFonts w:cs="Arial"/>
        </w:rPr>
        <w:t>7</w:t>
      </w:r>
      <w:r w:rsidRPr="003A6E57">
        <w:rPr>
          <w:rFonts w:cs="Arial"/>
        </w:rPr>
        <w:t xml:space="preserve"> por ciento)</w:t>
      </w:r>
      <w:r w:rsidR="000D5845" w:rsidRPr="003A6E57">
        <w:rPr>
          <w:rFonts w:cs="Arial"/>
        </w:rPr>
        <w:t>.</w:t>
      </w:r>
      <w:r w:rsidRPr="003A6E57">
        <w:rPr>
          <w:rFonts w:cs="Arial"/>
        </w:rPr>
        <w:t xml:space="preserve"> </w:t>
      </w:r>
      <w:r w:rsidR="000D5845" w:rsidRPr="003A6E57">
        <w:rPr>
          <w:rFonts w:cs="Arial"/>
        </w:rPr>
        <w:t>C</w:t>
      </w:r>
      <w:r w:rsidRPr="003A6E57">
        <w:rPr>
          <w:rFonts w:cs="Arial"/>
        </w:rPr>
        <w:t>on algunas variaciones, esta brecha es una tendencia observable en la última década</w:t>
      </w:r>
      <w:r w:rsidR="00154A80">
        <w:rPr>
          <w:rFonts w:cs="Arial"/>
        </w:rPr>
        <w:t>. E</w:t>
      </w:r>
      <w:r w:rsidR="001D4ED6" w:rsidRPr="003A6E57">
        <w:rPr>
          <w:rFonts w:cs="Arial"/>
        </w:rPr>
        <w:t xml:space="preserve">n </w:t>
      </w:r>
      <w:r w:rsidR="0034429A" w:rsidRPr="003A6E57">
        <w:rPr>
          <w:rFonts w:cs="Arial"/>
        </w:rPr>
        <w:t>2018</w:t>
      </w:r>
      <w:r w:rsidR="00790E7D" w:rsidRPr="003A6E57">
        <w:rPr>
          <w:rFonts w:cs="Arial"/>
        </w:rPr>
        <w:t xml:space="preserve"> </w:t>
      </w:r>
      <w:r w:rsidR="000D5845" w:rsidRPr="003A6E57">
        <w:rPr>
          <w:rFonts w:cs="Arial"/>
        </w:rPr>
        <w:t xml:space="preserve">este porcentaje en los hombres </w:t>
      </w:r>
      <w:r w:rsidR="00154A80">
        <w:rPr>
          <w:rFonts w:cs="Arial"/>
        </w:rPr>
        <w:t>es</w:t>
      </w:r>
      <w:r w:rsidR="000D5845" w:rsidRPr="003A6E57">
        <w:rPr>
          <w:rFonts w:cs="Arial"/>
        </w:rPr>
        <w:t xml:space="preserve"> de</w:t>
      </w:r>
      <w:r w:rsidR="001D4ED6" w:rsidRPr="003A6E57">
        <w:rPr>
          <w:rFonts w:cs="Arial"/>
        </w:rPr>
        <w:t xml:space="preserve"> 3.</w:t>
      </w:r>
      <w:r w:rsidR="00DB5355" w:rsidRPr="003A6E57">
        <w:rPr>
          <w:rFonts w:cs="Arial"/>
        </w:rPr>
        <w:t>2</w:t>
      </w:r>
      <w:r w:rsidR="001D4ED6" w:rsidRPr="003A6E57">
        <w:rPr>
          <w:rFonts w:cs="Arial"/>
        </w:rPr>
        <w:t>%</w:t>
      </w:r>
      <w:r w:rsidR="000D5845" w:rsidRPr="003A6E57">
        <w:rPr>
          <w:rFonts w:cs="Arial"/>
        </w:rPr>
        <w:t>,</w:t>
      </w:r>
      <w:r w:rsidR="001D4ED6" w:rsidRPr="003A6E57">
        <w:rPr>
          <w:rFonts w:cs="Arial"/>
        </w:rPr>
        <w:t xml:space="preserve"> </w:t>
      </w:r>
      <w:r w:rsidR="000D5845" w:rsidRPr="003A6E57">
        <w:rPr>
          <w:rFonts w:cs="Arial"/>
        </w:rPr>
        <w:t>mientras que en las mujeres es de</w:t>
      </w:r>
      <w:r w:rsidR="001D4ED6" w:rsidRPr="003A6E57">
        <w:rPr>
          <w:rFonts w:cs="Arial"/>
        </w:rPr>
        <w:t xml:space="preserve"> </w:t>
      </w:r>
      <w:r w:rsidR="00F8785D" w:rsidRPr="003A6E57">
        <w:rPr>
          <w:rFonts w:cs="Arial"/>
        </w:rPr>
        <w:t>uno</w:t>
      </w:r>
      <w:r w:rsidR="000D5845" w:rsidRPr="003A6E57">
        <w:rPr>
          <w:rFonts w:cs="Arial"/>
        </w:rPr>
        <w:t xml:space="preserve"> por ciento</w:t>
      </w:r>
      <w:r w:rsidR="001D4ED6" w:rsidRPr="003A6E57">
        <w:rPr>
          <w:rFonts w:cs="Arial"/>
        </w:rPr>
        <w:t>.</w:t>
      </w:r>
    </w:p>
    <w:p w14:paraId="161E3149" w14:textId="77777777" w:rsidR="00F855F0" w:rsidRDefault="00F855F0" w:rsidP="00F855F0">
      <w:pPr>
        <w:tabs>
          <w:tab w:val="left" w:pos="1418"/>
        </w:tabs>
        <w:adjustRightInd w:val="0"/>
        <w:spacing w:before="120" w:line="264" w:lineRule="auto"/>
        <w:ind w:right="51"/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Pr="0034286A">
        <w:rPr>
          <w:rFonts w:cs="Arial"/>
          <w:b/>
          <w:bCs/>
        </w:rPr>
        <w:t xml:space="preserve">orcentaje de defunciones </w:t>
      </w:r>
      <w:r w:rsidR="0048076F">
        <w:rPr>
          <w:rFonts w:cs="Arial"/>
          <w:b/>
          <w:bCs/>
        </w:rPr>
        <w:t>por</w:t>
      </w:r>
      <w:r w:rsidRPr="0034286A">
        <w:rPr>
          <w:rFonts w:cs="Arial"/>
          <w:b/>
          <w:bCs/>
        </w:rPr>
        <w:t xml:space="preserve"> accidentes de transporte</w:t>
      </w:r>
      <w:r w:rsidRPr="000D470E">
        <w:rPr>
          <w:rFonts w:cs="Arial"/>
          <w:b/>
          <w:bCs/>
          <w:vertAlign w:val="superscript"/>
        </w:rPr>
        <w:t>1</w:t>
      </w:r>
      <w:r w:rsidRPr="0034286A">
        <w:rPr>
          <w:rFonts w:cs="Arial"/>
          <w:b/>
          <w:bCs/>
        </w:rPr>
        <w:t xml:space="preserve"> </w:t>
      </w:r>
      <w:r w:rsidR="0048076F">
        <w:rPr>
          <w:rFonts w:cs="Arial"/>
          <w:b/>
          <w:bCs/>
        </w:rPr>
        <w:t>según</w:t>
      </w:r>
      <w:r>
        <w:rPr>
          <w:rFonts w:cs="Arial"/>
          <w:b/>
          <w:bCs/>
        </w:rPr>
        <w:t xml:space="preserve"> sexo</w:t>
      </w:r>
    </w:p>
    <w:p w14:paraId="1F5585AE" w14:textId="77777777" w:rsidR="00F855F0" w:rsidRPr="003A6E57" w:rsidRDefault="00F855F0" w:rsidP="00F855F0">
      <w:pPr>
        <w:tabs>
          <w:tab w:val="left" w:pos="1418"/>
        </w:tabs>
        <w:adjustRightInd w:val="0"/>
        <w:spacing w:line="264" w:lineRule="auto"/>
        <w:ind w:right="51"/>
        <w:rPr>
          <w:rFonts w:cs="Arial"/>
          <w:b/>
          <w:bCs/>
        </w:rPr>
      </w:pPr>
      <w:r w:rsidRPr="003A6E57">
        <w:rPr>
          <w:rFonts w:cs="Arial"/>
          <w:b/>
          <w:bCs/>
        </w:rPr>
        <w:t>200</w:t>
      </w:r>
      <w:r w:rsidR="008A5D29" w:rsidRPr="003A6E57">
        <w:rPr>
          <w:rFonts w:cs="Arial"/>
          <w:b/>
          <w:bCs/>
        </w:rPr>
        <w:t>6</w:t>
      </w:r>
      <w:r w:rsidRPr="003A6E57">
        <w:rPr>
          <w:rFonts w:cs="Arial"/>
          <w:b/>
          <w:bCs/>
        </w:rPr>
        <w:t xml:space="preserve"> a 201</w:t>
      </w:r>
      <w:r w:rsidR="00DB5355" w:rsidRPr="003A6E57">
        <w:rPr>
          <w:rFonts w:cs="Arial"/>
          <w:b/>
          <w:bCs/>
        </w:rPr>
        <w:t>8</w:t>
      </w:r>
    </w:p>
    <w:p w14:paraId="2EF6149E" w14:textId="77777777" w:rsidR="007363C2" w:rsidRDefault="00F77B0C" w:rsidP="00F855F0">
      <w:pPr>
        <w:tabs>
          <w:tab w:val="left" w:pos="1418"/>
        </w:tabs>
        <w:adjustRightInd w:val="0"/>
        <w:spacing w:line="264" w:lineRule="auto"/>
        <w:ind w:right="51"/>
        <w:rPr>
          <w:rFonts w:cs="Arial"/>
          <w:b/>
          <w:bCs/>
          <w:color w:val="FF0000"/>
        </w:rPr>
      </w:pPr>
      <w:r w:rsidRPr="00760B88">
        <w:rPr>
          <w:noProof/>
          <w:lang w:val="en-US" w:eastAsia="en-US"/>
        </w:rPr>
        <w:lastRenderedPageBreak/>
        <w:drawing>
          <wp:anchor distT="0" distB="0" distL="114300" distR="114300" simplePos="0" relativeHeight="251691008" behindDoc="0" locked="0" layoutInCell="1" allowOverlap="1" wp14:anchorId="11E6F655" wp14:editId="6484D339">
            <wp:simplePos x="0" y="0"/>
            <wp:positionH relativeFrom="margin">
              <wp:posOffset>248920</wp:posOffset>
            </wp:positionH>
            <wp:positionV relativeFrom="paragraph">
              <wp:posOffset>210185</wp:posOffset>
            </wp:positionV>
            <wp:extent cx="5717540" cy="3295015"/>
            <wp:effectExtent l="0" t="0" r="0" b="6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1B1EA" w14:textId="77777777" w:rsidR="00F855F0" w:rsidRDefault="00F855F0" w:rsidP="004740DF">
      <w:pPr>
        <w:autoSpaceDE w:val="0"/>
        <w:autoSpaceDN w:val="0"/>
        <w:adjustRightInd w:val="0"/>
        <w:spacing w:after="20"/>
        <w:jc w:val="center"/>
        <w:rPr>
          <w:rFonts w:cs="Arial"/>
          <w:bCs/>
          <w:sz w:val="16"/>
          <w:szCs w:val="16"/>
        </w:rPr>
      </w:pPr>
    </w:p>
    <w:p w14:paraId="5793208B" w14:textId="77777777" w:rsidR="00F855F0" w:rsidRDefault="00F855F0" w:rsidP="00F855F0">
      <w:pPr>
        <w:tabs>
          <w:tab w:val="left" w:pos="1418"/>
        </w:tabs>
        <w:adjustRightInd w:val="0"/>
        <w:ind w:right="51"/>
        <w:rPr>
          <w:rFonts w:cs="Arial"/>
          <w:b/>
          <w:bCs/>
        </w:rPr>
      </w:pPr>
      <w:r w:rsidRPr="000D470E">
        <w:rPr>
          <w:rFonts w:cs="Arial"/>
          <w:bCs/>
          <w:sz w:val="20"/>
          <w:szCs w:val="20"/>
          <w:vertAlign w:val="superscript"/>
        </w:rPr>
        <w:t>1</w:t>
      </w:r>
      <w:r>
        <w:rPr>
          <w:rFonts w:cs="Arial"/>
          <w:bCs/>
          <w:sz w:val="16"/>
          <w:szCs w:val="16"/>
        </w:rPr>
        <w:t xml:space="preserve"> </w:t>
      </w:r>
      <w:r w:rsidRPr="000D470E">
        <w:rPr>
          <w:rFonts w:cs="Arial"/>
          <w:bCs/>
          <w:sz w:val="16"/>
          <w:szCs w:val="16"/>
        </w:rPr>
        <w:t>Respecto al total de defunciones registradas</w:t>
      </w:r>
      <w:r>
        <w:rPr>
          <w:rFonts w:cs="Arial"/>
          <w:bCs/>
          <w:sz w:val="16"/>
          <w:szCs w:val="16"/>
        </w:rPr>
        <w:t>.</w:t>
      </w:r>
      <w:r>
        <w:rPr>
          <w:rFonts w:cs="Arial"/>
          <w:b/>
          <w:bCs/>
        </w:rPr>
        <w:t xml:space="preserve"> </w:t>
      </w:r>
    </w:p>
    <w:p w14:paraId="425459B9" w14:textId="77777777" w:rsidR="00F855F0" w:rsidRPr="000D470E" w:rsidRDefault="00F855F0" w:rsidP="00F855F0">
      <w:pPr>
        <w:autoSpaceDE w:val="0"/>
        <w:autoSpaceDN w:val="0"/>
        <w:adjustRightInd w:val="0"/>
        <w:spacing w:after="20"/>
        <w:rPr>
          <w:rFonts w:cs="Arial"/>
          <w:bCs/>
          <w:sz w:val="2"/>
          <w:szCs w:val="2"/>
        </w:rPr>
      </w:pPr>
      <w:r>
        <w:rPr>
          <w:rFonts w:cs="Arial"/>
          <w:bCs/>
          <w:sz w:val="16"/>
          <w:szCs w:val="16"/>
        </w:rPr>
        <w:t xml:space="preserve"> </w:t>
      </w:r>
    </w:p>
    <w:p w14:paraId="3902F742" w14:textId="77777777" w:rsidR="00F855F0" w:rsidRDefault="00F855F0" w:rsidP="00E440B5">
      <w:pPr>
        <w:adjustRightInd w:val="0"/>
        <w:ind w:left="426" w:right="51" w:hanging="426"/>
        <w:rPr>
          <w:rFonts w:cs="Arial"/>
          <w:bCs/>
          <w:sz w:val="16"/>
          <w:szCs w:val="16"/>
        </w:rPr>
      </w:pPr>
      <w:r w:rsidRPr="002B4C2A">
        <w:rPr>
          <w:rFonts w:cs="Arial"/>
          <w:bCs/>
          <w:sz w:val="16"/>
          <w:szCs w:val="16"/>
        </w:rPr>
        <w:t>Nota: La causa</w:t>
      </w:r>
      <w:r>
        <w:rPr>
          <w:rFonts w:cs="Arial"/>
          <w:bCs/>
          <w:sz w:val="16"/>
          <w:szCs w:val="16"/>
        </w:rPr>
        <w:t xml:space="preserve"> de accidentes de transporte corresponde a la</w:t>
      </w:r>
      <w:r w:rsidRPr="002B4C2A">
        <w:rPr>
          <w:rFonts w:cs="Arial"/>
          <w:bCs/>
          <w:sz w:val="16"/>
          <w:szCs w:val="16"/>
        </w:rPr>
        <w:t xml:space="preserve"> clasifica</w:t>
      </w:r>
      <w:r>
        <w:rPr>
          <w:rFonts w:cs="Arial"/>
          <w:bCs/>
          <w:sz w:val="16"/>
          <w:szCs w:val="16"/>
        </w:rPr>
        <w:t xml:space="preserve">ción de la </w:t>
      </w:r>
      <w:r w:rsidRPr="002B4C2A">
        <w:rPr>
          <w:rFonts w:cs="Arial"/>
          <w:bCs/>
          <w:sz w:val="16"/>
          <w:szCs w:val="16"/>
        </w:rPr>
        <w:t>lista especial de tabulados (tabulación 1 para la mortalidad). CIE-10.</w:t>
      </w:r>
    </w:p>
    <w:p w14:paraId="41D46BC7" w14:textId="77777777" w:rsidR="00F855F0" w:rsidRPr="000D470E" w:rsidRDefault="00F855F0" w:rsidP="00F855F0">
      <w:pPr>
        <w:autoSpaceDE w:val="0"/>
        <w:autoSpaceDN w:val="0"/>
        <w:adjustRightInd w:val="0"/>
        <w:spacing w:after="20"/>
        <w:rPr>
          <w:rFonts w:cs="Arial"/>
          <w:bCs/>
          <w:sz w:val="4"/>
          <w:szCs w:val="4"/>
        </w:rPr>
      </w:pPr>
    </w:p>
    <w:p w14:paraId="0D37921B" w14:textId="77777777" w:rsidR="00F855F0" w:rsidRDefault="00F855F0" w:rsidP="00F855F0">
      <w:pPr>
        <w:autoSpaceDE w:val="0"/>
        <w:autoSpaceDN w:val="0"/>
        <w:adjustRightInd w:val="0"/>
        <w:spacing w:before="40"/>
        <w:rPr>
          <w:rFonts w:cs="Arial"/>
          <w:bCs/>
          <w:sz w:val="16"/>
          <w:szCs w:val="16"/>
        </w:rPr>
      </w:pPr>
      <w:r w:rsidRPr="000323CF">
        <w:rPr>
          <w:rFonts w:cs="Arial"/>
          <w:bCs/>
          <w:sz w:val="16"/>
          <w:szCs w:val="16"/>
        </w:rPr>
        <w:t>Fuente: INEGI. Estadísticas de mortalidad</w:t>
      </w:r>
      <w:r w:rsidRPr="008A5D29">
        <w:rPr>
          <w:rFonts w:cs="Arial"/>
          <w:bCs/>
          <w:sz w:val="16"/>
          <w:szCs w:val="16"/>
        </w:rPr>
        <w:t xml:space="preserve"> </w:t>
      </w:r>
      <w:r w:rsidR="00C34246" w:rsidRPr="008A5D29">
        <w:rPr>
          <w:rFonts w:cs="Arial"/>
          <w:bCs/>
          <w:sz w:val="16"/>
          <w:szCs w:val="16"/>
        </w:rPr>
        <w:t>200</w:t>
      </w:r>
      <w:r w:rsidR="008A5D29" w:rsidRPr="008A5D29">
        <w:rPr>
          <w:rFonts w:cs="Arial"/>
          <w:bCs/>
          <w:sz w:val="16"/>
          <w:szCs w:val="16"/>
        </w:rPr>
        <w:t>6</w:t>
      </w:r>
      <w:r w:rsidR="00507760" w:rsidRPr="008A5D29">
        <w:rPr>
          <w:rFonts w:cs="Arial"/>
          <w:bCs/>
          <w:sz w:val="16"/>
          <w:szCs w:val="16"/>
        </w:rPr>
        <w:t xml:space="preserve"> </w:t>
      </w:r>
      <w:r w:rsidR="001D4ED6" w:rsidRPr="000D5845">
        <w:rPr>
          <w:rFonts w:cs="Arial"/>
          <w:bCs/>
          <w:sz w:val="16"/>
          <w:szCs w:val="16"/>
        </w:rPr>
        <w:t xml:space="preserve">a </w:t>
      </w:r>
      <w:r w:rsidRPr="000323CF">
        <w:rPr>
          <w:rFonts w:cs="Arial"/>
          <w:bCs/>
          <w:sz w:val="16"/>
          <w:szCs w:val="16"/>
        </w:rPr>
        <w:t>201</w:t>
      </w:r>
      <w:r w:rsidR="00E41422">
        <w:rPr>
          <w:rFonts w:cs="Arial"/>
          <w:bCs/>
          <w:sz w:val="16"/>
          <w:szCs w:val="16"/>
        </w:rPr>
        <w:t>8</w:t>
      </w:r>
      <w:r w:rsidR="00E440B5">
        <w:rPr>
          <w:rFonts w:cs="Arial"/>
          <w:bCs/>
          <w:sz w:val="16"/>
          <w:szCs w:val="16"/>
        </w:rPr>
        <w:t>. Base de datos.</w:t>
      </w:r>
    </w:p>
    <w:p w14:paraId="27ECBCFF" w14:textId="77777777" w:rsidR="00F855F0" w:rsidRDefault="00F855F0" w:rsidP="00F855F0">
      <w:pPr>
        <w:rPr>
          <w:rFonts w:eastAsia="Calibri"/>
          <w:szCs w:val="22"/>
        </w:rPr>
      </w:pPr>
    </w:p>
    <w:p w14:paraId="401B5C67" w14:textId="77777777" w:rsidR="00F855F0" w:rsidRPr="00154A80" w:rsidRDefault="00F855F0" w:rsidP="00154A80">
      <w:pPr>
        <w:tabs>
          <w:tab w:val="left" w:pos="1418"/>
        </w:tabs>
        <w:adjustRightInd w:val="0"/>
        <w:spacing w:before="120" w:after="240" w:line="264" w:lineRule="auto"/>
        <w:ind w:left="-567" w:right="51"/>
        <w:rPr>
          <w:rFonts w:eastAsia="Calibri"/>
          <w:color w:val="000000" w:themeColor="text1"/>
          <w:szCs w:val="22"/>
        </w:rPr>
      </w:pPr>
      <w:r w:rsidRPr="00154A80">
        <w:rPr>
          <w:b/>
          <w:bCs/>
          <w:color w:val="000000" w:themeColor="text1"/>
          <w:szCs w:val="22"/>
          <w:lang w:val="es-MX"/>
        </w:rPr>
        <w:t>DEFUNCIONES POR TIPO DE ACCIDENTE DE TRANSPORTE</w:t>
      </w:r>
      <w:r w:rsidRPr="00154A80">
        <w:rPr>
          <w:rFonts w:eastAsia="Calibri"/>
          <w:color w:val="000000" w:themeColor="text1"/>
          <w:szCs w:val="22"/>
        </w:rPr>
        <w:t xml:space="preserve"> </w:t>
      </w:r>
    </w:p>
    <w:p w14:paraId="74B4A61E" w14:textId="5410BB93" w:rsidR="004079DC" w:rsidRPr="00154A80" w:rsidRDefault="00F855F0" w:rsidP="00154A80">
      <w:pPr>
        <w:tabs>
          <w:tab w:val="left" w:pos="1418"/>
        </w:tabs>
        <w:adjustRightInd w:val="0"/>
        <w:spacing w:before="120" w:after="240" w:line="264" w:lineRule="auto"/>
        <w:ind w:left="-567" w:right="51"/>
        <w:rPr>
          <w:rFonts w:eastAsia="Calibri"/>
          <w:color w:val="000000" w:themeColor="text1"/>
          <w:szCs w:val="22"/>
        </w:rPr>
      </w:pPr>
      <w:r w:rsidRPr="00154A80">
        <w:rPr>
          <w:rFonts w:eastAsia="Calibri"/>
          <w:color w:val="000000" w:themeColor="text1"/>
          <w:szCs w:val="22"/>
        </w:rPr>
        <w:t>A nivel mundial más de la quinta parte de personas que fallec</w:t>
      </w:r>
      <w:r w:rsidR="00154A80">
        <w:rPr>
          <w:rFonts w:eastAsia="Calibri"/>
          <w:color w:val="000000" w:themeColor="text1"/>
          <w:szCs w:val="22"/>
        </w:rPr>
        <w:t>en</w:t>
      </w:r>
      <w:r w:rsidRPr="00154A80">
        <w:rPr>
          <w:rFonts w:eastAsia="Calibri"/>
          <w:color w:val="000000" w:themeColor="text1"/>
          <w:szCs w:val="22"/>
        </w:rPr>
        <w:t xml:space="preserve"> a causa de un accidente de tránsito son peatones (OMS, 2013b). En México</w:t>
      </w:r>
      <w:r w:rsidR="004079DC" w:rsidRPr="00154A80">
        <w:rPr>
          <w:rFonts w:eastAsia="Calibri"/>
          <w:color w:val="000000" w:themeColor="text1"/>
          <w:szCs w:val="22"/>
        </w:rPr>
        <w:t xml:space="preserve"> para el año 2006</w:t>
      </w:r>
      <w:r w:rsidRPr="00154A80">
        <w:rPr>
          <w:rFonts w:eastAsia="Calibri"/>
          <w:color w:val="000000" w:themeColor="text1"/>
          <w:szCs w:val="22"/>
        </w:rPr>
        <w:t xml:space="preserve"> </w:t>
      </w:r>
      <w:r w:rsidR="00F8785D" w:rsidRPr="00154A80">
        <w:rPr>
          <w:rFonts w:eastAsia="Calibri"/>
          <w:color w:val="000000" w:themeColor="text1"/>
          <w:szCs w:val="22"/>
        </w:rPr>
        <w:t>los peatones represent</w:t>
      </w:r>
      <w:r w:rsidR="00DB65C9" w:rsidRPr="00154A80">
        <w:rPr>
          <w:rFonts w:eastAsia="Calibri"/>
          <w:color w:val="000000" w:themeColor="text1"/>
          <w:szCs w:val="22"/>
        </w:rPr>
        <w:t>a</w:t>
      </w:r>
      <w:r w:rsidR="00B6399A">
        <w:rPr>
          <w:rFonts w:eastAsia="Calibri"/>
          <w:color w:val="000000" w:themeColor="text1"/>
          <w:szCs w:val="22"/>
        </w:rPr>
        <w:t>ron</w:t>
      </w:r>
      <w:r w:rsidR="00F8785D" w:rsidRPr="00154A80">
        <w:rPr>
          <w:rFonts w:eastAsia="Calibri"/>
          <w:color w:val="000000" w:themeColor="text1"/>
          <w:szCs w:val="22"/>
        </w:rPr>
        <w:t xml:space="preserve"> </w:t>
      </w:r>
      <w:r w:rsidR="004079DC" w:rsidRPr="00154A80">
        <w:rPr>
          <w:rFonts w:eastAsia="Calibri"/>
          <w:color w:val="000000" w:themeColor="text1"/>
          <w:szCs w:val="22"/>
        </w:rPr>
        <w:t>30.9</w:t>
      </w:r>
      <w:r w:rsidRPr="00154A80">
        <w:rPr>
          <w:rFonts w:eastAsia="Calibri"/>
          <w:color w:val="000000" w:themeColor="text1"/>
          <w:szCs w:val="22"/>
        </w:rPr>
        <w:t>%</w:t>
      </w:r>
      <w:r w:rsidR="0049110A" w:rsidRPr="00154A80">
        <w:rPr>
          <w:rFonts w:eastAsia="Calibri"/>
          <w:color w:val="000000" w:themeColor="text1"/>
          <w:szCs w:val="22"/>
        </w:rPr>
        <w:t xml:space="preserve"> de los accidentes de transporte</w:t>
      </w:r>
      <w:r w:rsidRPr="00154A80">
        <w:rPr>
          <w:rFonts w:eastAsia="Calibri"/>
          <w:color w:val="000000" w:themeColor="text1"/>
          <w:szCs w:val="22"/>
        </w:rPr>
        <w:t>, seguid</w:t>
      </w:r>
      <w:r w:rsidR="00DB65C9" w:rsidRPr="00154A80">
        <w:rPr>
          <w:rFonts w:eastAsia="Calibri"/>
          <w:color w:val="000000" w:themeColor="text1"/>
          <w:szCs w:val="22"/>
        </w:rPr>
        <w:t>os</w:t>
      </w:r>
      <w:r w:rsidRPr="00154A80">
        <w:rPr>
          <w:rFonts w:eastAsia="Calibri"/>
          <w:color w:val="000000" w:themeColor="text1"/>
          <w:szCs w:val="22"/>
        </w:rPr>
        <w:t xml:space="preserve"> por </w:t>
      </w:r>
      <w:r w:rsidR="00DB65C9" w:rsidRPr="00154A80">
        <w:rPr>
          <w:rFonts w:eastAsia="Calibri"/>
          <w:color w:val="000000" w:themeColor="text1"/>
          <w:szCs w:val="22"/>
        </w:rPr>
        <w:t xml:space="preserve">los </w:t>
      </w:r>
      <w:r w:rsidRPr="00154A80">
        <w:rPr>
          <w:rFonts w:eastAsia="Calibri"/>
          <w:color w:val="000000" w:themeColor="text1"/>
          <w:szCs w:val="22"/>
        </w:rPr>
        <w:t>ocupantes de automóvil (</w:t>
      </w:r>
      <w:r w:rsidR="004079DC" w:rsidRPr="00154A80">
        <w:rPr>
          <w:rFonts w:eastAsia="Calibri"/>
          <w:color w:val="000000" w:themeColor="text1"/>
          <w:szCs w:val="22"/>
        </w:rPr>
        <w:t>19.1</w:t>
      </w:r>
      <w:r w:rsidRPr="00154A80">
        <w:rPr>
          <w:rFonts w:eastAsia="Calibri"/>
          <w:color w:val="000000" w:themeColor="text1"/>
          <w:szCs w:val="22"/>
        </w:rPr>
        <w:t>%)</w:t>
      </w:r>
      <w:r w:rsidR="004079DC" w:rsidRPr="00154A80">
        <w:rPr>
          <w:rFonts w:eastAsia="Calibri"/>
          <w:color w:val="000000" w:themeColor="text1"/>
          <w:szCs w:val="22"/>
        </w:rPr>
        <w:t xml:space="preserve"> y</w:t>
      </w:r>
      <w:r w:rsidRPr="00154A80">
        <w:rPr>
          <w:rFonts w:eastAsia="Calibri"/>
          <w:color w:val="000000" w:themeColor="text1"/>
          <w:szCs w:val="22"/>
        </w:rPr>
        <w:t xml:space="preserve"> </w:t>
      </w:r>
      <w:r w:rsidR="0049110A" w:rsidRPr="00154A80">
        <w:rPr>
          <w:rFonts w:eastAsia="Calibri"/>
          <w:color w:val="000000" w:themeColor="text1"/>
          <w:szCs w:val="22"/>
        </w:rPr>
        <w:t xml:space="preserve">los </w:t>
      </w:r>
      <w:r w:rsidRPr="00154A80">
        <w:rPr>
          <w:rFonts w:eastAsia="Calibri"/>
          <w:color w:val="000000" w:themeColor="text1"/>
          <w:szCs w:val="22"/>
        </w:rPr>
        <w:t>motociclistas (</w:t>
      </w:r>
      <w:r w:rsidR="004079DC" w:rsidRPr="00154A80">
        <w:rPr>
          <w:rFonts w:eastAsia="Calibri"/>
          <w:color w:val="000000" w:themeColor="text1"/>
          <w:szCs w:val="22"/>
        </w:rPr>
        <w:t>2.7</w:t>
      </w:r>
      <w:r w:rsidR="00154A80">
        <w:rPr>
          <w:rFonts w:eastAsia="Calibri"/>
          <w:color w:val="000000" w:themeColor="text1"/>
          <w:szCs w:val="22"/>
        </w:rPr>
        <w:t>%</w:t>
      </w:r>
      <w:r w:rsidR="0048076F" w:rsidRPr="00154A80">
        <w:rPr>
          <w:rFonts w:eastAsia="Calibri"/>
          <w:color w:val="000000" w:themeColor="text1"/>
          <w:szCs w:val="22"/>
        </w:rPr>
        <w:t>)</w:t>
      </w:r>
      <w:r w:rsidR="004079DC" w:rsidRPr="00154A80">
        <w:rPr>
          <w:rFonts w:eastAsia="Calibri"/>
          <w:color w:val="000000" w:themeColor="text1"/>
          <w:szCs w:val="22"/>
        </w:rPr>
        <w:t>.</w:t>
      </w:r>
      <w:r w:rsidRPr="00154A80">
        <w:rPr>
          <w:rFonts w:eastAsia="Calibri"/>
          <w:color w:val="000000" w:themeColor="text1"/>
          <w:szCs w:val="22"/>
        </w:rPr>
        <w:t xml:space="preserve"> </w:t>
      </w:r>
      <w:r w:rsidR="004079DC" w:rsidRPr="00154A80">
        <w:rPr>
          <w:rFonts w:eastAsia="Calibri"/>
          <w:color w:val="000000" w:themeColor="text1"/>
          <w:szCs w:val="22"/>
        </w:rPr>
        <w:t xml:space="preserve">Respecto a 2018, estas causas de muerte muestran una disminución en las defunciones </w:t>
      </w:r>
      <w:r w:rsidR="005D1ECC" w:rsidRPr="00154A80">
        <w:rPr>
          <w:rFonts w:eastAsia="Calibri"/>
          <w:color w:val="000000" w:themeColor="text1"/>
          <w:szCs w:val="22"/>
        </w:rPr>
        <w:t>de peatone</w:t>
      </w:r>
      <w:r w:rsidR="004079DC" w:rsidRPr="00154A80">
        <w:rPr>
          <w:rFonts w:eastAsia="Calibri"/>
          <w:color w:val="000000" w:themeColor="text1"/>
          <w:szCs w:val="22"/>
        </w:rPr>
        <w:t xml:space="preserve">s (23.4%) y </w:t>
      </w:r>
      <w:r w:rsidR="0049110A" w:rsidRPr="00154A80">
        <w:rPr>
          <w:rFonts w:eastAsia="Calibri"/>
          <w:color w:val="000000" w:themeColor="text1"/>
          <w:szCs w:val="22"/>
        </w:rPr>
        <w:t>en los</w:t>
      </w:r>
      <w:r w:rsidR="004079DC" w:rsidRPr="00154A80">
        <w:rPr>
          <w:rFonts w:eastAsia="Calibri"/>
          <w:color w:val="000000" w:themeColor="text1"/>
          <w:szCs w:val="22"/>
        </w:rPr>
        <w:t xml:space="preserve"> ocupante</w:t>
      </w:r>
      <w:r w:rsidR="005D1ECC" w:rsidRPr="00154A80">
        <w:rPr>
          <w:rFonts w:eastAsia="Calibri"/>
          <w:color w:val="000000" w:themeColor="text1"/>
          <w:szCs w:val="22"/>
        </w:rPr>
        <w:t>s</w:t>
      </w:r>
      <w:r w:rsidR="004079DC" w:rsidRPr="00154A80">
        <w:rPr>
          <w:rFonts w:eastAsia="Calibri"/>
          <w:color w:val="000000" w:themeColor="text1"/>
          <w:szCs w:val="22"/>
        </w:rPr>
        <w:t xml:space="preserve"> de automóvil (</w:t>
      </w:r>
      <w:r w:rsidR="0049110A" w:rsidRPr="00154A80">
        <w:rPr>
          <w:rFonts w:eastAsia="Calibri"/>
          <w:color w:val="000000" w:themeColor="text1"/>
          <w:szCs w:val="22"/>
        </w:rPr>
        <w:t>12.3</w:t>
      </w:r>
      <w:r w:rsidR="004079DC" w:rsidRPr="00154A80">
        <w:rPr>
          <w:rFonts w:eastAsia="Calibri"/>
          <w:color w:val="000000" w:themeColor="text1"/>
          <w:szCs w:val="22"/>
        </w:rPr>
        <w:t>%), mientras que l</w:t>
      </w:r>
      <w:r w:rsidR="0049110A" w:rsidRPr="00154A80">
        <w:rPr>
          <w:rFonts w:eastAsia="Calibri"/>
          <w:color w:val="000000" w:themeColor="text1"/>
          <w:szCs w:val="22"/>
        </w:rPr>
        <w:t>os fallecimientos por motocicleta aumenta</w:t>
      </w:r>
      <w:r w:rsidR="00B6399A">
        <w:rPr>
          <w:rFonts w:eastAsia="Calibri"/>
          <w:color w:val="000000" w:themeColor="text1"/>
          <w:szCs w:val="22"/>
        </w:rPr>
        <w:t>ro</w:t>
      </w:r>
      <w:r w:rsidR="0049110A" w:rsidRPr="00154A80">
        <w:rPr>
          <w:rFonts w:eastAsia="Calibri"/>
          <w:color w:val="000000" w:themeColor="text1"/>
          <w:szCs w:val="22"/>
        </w:rPr>
        <w:t>n considerablemente (11.8 por ciento)</w:t>
      </w:r>
      <w:r w:rsidR="005D1ECC" w:rsidRPr="00154A80">
        <w:rPr>
          <w:rFonts w:eastAsia="Calibri"/>
          <w:color w:val="000000" w:themeColor="text1"/>
          <w:szCs w:val="22"/>
        </w:rPr>
        <w:t>.</w:t>
      </w:r>
      <w:r w:rsidR="004079DC" w:rsidRPr="00154A80">
        <w:rPr>
          <w:rFonts w:eastAsia="Calibri"/>
          <w:color w:val="000000" w:themeColor="text1"/>
          <w:szCs w:val="22"/>
        </w:rPr>
        <w:t xml:space="preserve">  </w:t>
      </w:r>
    </w:p>
    <w:p w14:paraId="5155D0C6" w14:textId="20F8D32A" w:rsidR="00F855F0" w:rsidRPr="00154A80" w:rsidRDefault="007F2F53" w:rsidP="00154A80">
      <w:pPr>
        <w:tabs>
          <w:tab w:val="left" w:pos="1418"/>
        </w:tabs>
        <w:adjustRightInd w:val="0"/>
        <w:spacing w:before="120" w:after="240" w:line="264" w:lineRule="auto"/>
        <w:ind w:left="-567" w:right="51"/>
        <w:rPr>
          <w:rFonts w:eastAsia="Calibri"/>
          <w:color w:val="000000" w:themeColor="text1"/>
          <w:szCs w:val="22"/>
        </w:rPr>
      </w:pPr>
      <w:r w:rsidRPr="00154A80">
        <w:rPr>
          <w:rFonts w:eastAsia="Calibri"/>
          <w:color w:val="000000" w:themeColor="text1"/>
          <w:szCs w:val="22"/>
        </w:rPr>
        <w:t>L</w:t>
      </w:r>
      <w:r w:rsidR="00F855F0" w:rsidRPr="00154A80">
        <w:rPr>
          <w:rFonts w:eastAsia="Calibri"/>
          <w:color w:val="000000" w:themeColor="text1"/>
          <w:szCs w:val="22"/>
        </w:rPr>
        <w:t xml:space="preserve">a ONU señala que la población </w:t>
      </w:r>
      <w:r w:rsidRPr="00154A80">
        <w:rPr>
          <w:rFonts w:eastAsia="Calibri"/>
          <w:color w:val="000000" w:themeColor="text1"/>
          <w:szCs w:val="22"/>
        </w:rPr>
        <w:t>de ciclistas y peatones es</w:t>
      </w:r>
      <w:r w:rsidR="00F855F0" w:rsidRPr="00154A80">
        <w:rPr>
          <w:rFonts w:eastAsia="Calibri"/>
          <w:color w:val="000000" w:themeColor="text1"/>
          <w:szCs w:val="22"/>
        </w:rPr>
        <w:t xml:space="preserve"> más vulnerable en un accidente de transporte, y su seguridad es estratégica en una cultura que necesita intensificar los desplazamien</w:t>
      </w:r>
      <w:r w:rsidR="00F8785D" w:rsidRPr="00154A80">
        <w:rPr>
          <w:rFonts w:eastAsia="Calibri"/>
          <w:color w:val="000000" w:themeColor="text1"/>
          <w:szCs w:val="22"/>
        </w:rPr>
        <w:t xml:space="preserve">tos sustentables </w:t>
      </w:r>
      <w:r w:rsidR="00F8785D" w:rsidRPr="00154A80">
        <w:rPr>
          <w:rFonts w:eastAsia="Calibri"/>
          <w:color w:val="000000" w:themeColor="text1"/>
          <w:szCs w:val="22"/>
        </w:rPr>
        <w:lastRenderedPageBreak/>
        <w:t>(OMS, 2013a).</w:t>
      </w:r>
      <w:r w:rsidR="00C11E1E" w:rsidRPr="00154A80">
        <w:rPr>
          <w:rFonts w:eastAsia="Calibri"/>
          <w:color w:val="000000" w:themeColor="text1"/>
          <w:szCs w:val="22"/>
        </w:rPr>
        <w:t xml:space="preserve"> </w:t>
      </w:r>
      <w:r w:rsidR="00C81E8E" w:rsidRPr="00154A80">
        <w:rPr>
          <w:rFonts w:eastAsia="Calibri"/>
          <w:color w:val="000000" w:themeColor="text1"/>
          <w:szCs w:val="22"/>
        </w:rPr>
        <w:t>L</w:t>
      </w:r>
      <w:r w:rsidR="00DE6D4C" w:rsidRPr="00154A80">
        <w:rPr>
          <w:rFonts w:eastAsia="Calibri"/>
          <w:color w:val="000000" w:themeColor="text1"/>
          <w:szCs w:val="22"/>
        </w:rPr>
        <w:t xml:space="preserve">a OMS </w:t>
      </w:r>
      <w:r w:rsidR="00F855F0" w:rsidRPr="00154A80">
        <w:rPr>
          <w:rFonts w:eastAsia="Calibri"/>
          <w:color w:val="000000" w:themeColor="text1"/>
          <w:szCs w:val="22"/>
        </w:rPr>
        <w:t xml:space="preserve">argumenta que </w:t>
      </w:r>
      <w:r w:rsidR="00716B9D" w:rsidRPr="00154A80">
        <w:rPr>
          <w:rFonts w:eastAsia="Calibri"/>
          <w:color w:val="000000" w:themeColor="text1"/>
          <w:szCs w:val="22"/>
        </w:rPr>
        <w:t>“usar correctamente un casco de motociclista puede reducir el riesgo de muerte casi en un 40% y el riesgo de lesiones graves en más del 70</w:t>
      </w:r>
      <w:r w:rsidR="000A6F62" w:rsidRPr="00154A80">
        <w:rPr>
          <w:rFonts w:eastAsia="Calibri"/>
          <w:color w:val="000000" w:themeColor="text1"/>
          <w:szCs w:val="22"/>
        </w:rPr>
        <w:t xml:space="preserve"> por ciento</w:t>
      </w:r>
      <w:r w:rsidR="00716B9D" w:rsidRPr="00154A80">
        <w:rPr>
          <w:rFonts w:eastAsia="Calibri"/>
          <w:color w:val="000000" w:themeColor="text1"/>
          <w:szCs w:val="22"/>
        </w:rPr>
        <w:t xml:space="preserve">. El uso del cinturón de seguridad disminuye entre un 45% y un 50% el riesgo de defunción de los ocupantes delanteros de un vehículo. En cuanto a los ocupantes de los asientos traseros, el cinturón reduce en un 25% el riesgo de defunción y de traumatismos graves” </w:t>
      </w:r>
      <w:r w:rsidR="00F855F0" w:rsidRPr="00154A80">
        <w:rPr>
          <w:rFonts w:eastAsia="Calibri"/>
          <w:color w:val="000000" w:themeColor="text1"/>
          <w:szCs w:val="22"/>
        </w:rPr>
        <w:t>(OMS, s/f b</w:t>
      </w:r>
      <w:r w:rsidR="007460B8" w:rsidRPr="00154A80">
        <w:rPr>
          <w:rFonts w:eastAsia="Calibri"/>
          <w:color w:val="000000" w:themeColor="text1"/>
          <w:szCs w:val="22"/>
        </w:rPr>
        <w:t>, s/p.</w:t>
      </w:r>
      <w:r w:rsidR="00F855F0" w:rsidRPr="00154A80">
        <w:rPr>
          <w:rFonts w:eastAsia="Calibri"/>
          <w:color w:val="000000" w:themeColor="text1"/>
          <w:szCs w:val="22"/>
        </w:rPr>
        <w:t xml:space="preserve">). </w:t>
      </w:r>
    </w:p>
    <w:p w14:paraId="643709C7" w14:textId="6F2DC8E2" w:rsidR="00F855F0" w:rsidRPr="000D6EE8" w:rsidRDefault="00F855F0" w:rsidP="00B6399A">
      <w:pPr>
        <w:spacing w:before="100" w:beforeAutospacing="1" w:after="100" w:afterAutospacing="1"/>
        <w:ind w:left="-567"/>
        <w:rPr>
          <w:rFonts w:eastAsia="Calibri"/>
          <w:szCs w:val="22"/>
        </w:rPr>
      </w:pPr>
      <w:r w:rsidRPr="000323CF">
        <w:rPr>
          <w:rFonts w:eastAsia="Calibri"/>
          <w:szCs w:val="22"/>
        </w:rPr>
        <w:t xml:space="preserve">Reducir la velocidad y no conducir alcoholizado son otras de las muchas medidas recomendadas </w:t>
      </w:r>
      <w:r w:rsidR="003E73A5" w:rsidRPr="000323CF">
        <w:rPr>
          <w:rFonts w:eastAsia="Calibri"/>
          <w:szCs w:val="22"/>
        </w:rPr>
        <w:t xml:space="preserve">por las organizaciones internacionales </w:t>
      </w:r>
      <w:r w:rsidRPr="000323CF">
        <w:rPr>
          <w:rFonts w:eastAsia="Calibri"/>
          <w:szCs w:val="22"/>
        </w:rPr>
        <w:t xml:space="preserve">para disminuir la </w:t>
      </w:r>
      <w:r w:rsidR="00674E77">
        <w:rPr>
          <w:rFonts w:eastAsia="Calibri"/>
          <w:szCs w:val="22"/>
        </w:rPr>
        <w:t xml:space="preserve">probabilidad de </w:t>
      </w:r>
      <w:r w:rsidRPr="000323CF">
        <w:rPr>
          <w:rFonts w:eastAsia="Calibri"/>
          <w:szCs w:val="22"/>
        </w:rPr>
        <w:t>un accidente de tránsito</w:t>
      </w:r>
      <w:r w:rsidR="003E73A5" w:rsidRPr="000323CF">
        <w:rPr>
          <w:rFonts w:eastAsia="Calibri"/>
          <w:szCs w:val="22"/>
        </w:rPr>
        <w:t>.</w:t>
      </w:r>
      <w:r w:rsidRPr="000323CF">
        <w:rPr>
          <w:rFonts w:eastAsia="Calibri"/>
          <w:szCs w:val="22"/>
        </w:rPr>
        <w:t xml:space="preserve"> </w:t>
      </w:r>
      <w:r w:rsidR="003E73A5" w:rsidRPr="000323CF">
        <w:rPr>
          <w:rFonts w:eastAsia="Calibri"/>
          <w:szCs w:val="22"/>
        </w:rPr>
        <w:t>P</w:t>
      </w:r>
      <w:r w:rsidRPr="000323CF">
        <w:rPr>
          <w:rFonts w:eastAsia="Calibri"/>
          <w:szCs w:val="22"/>
        </w:rPr>
        <w:t>or lo que</w:t>
      </w:r>
      <w:r w:rsidR="00674E77">
        <w:rPr>
          <w:rFonts w:eastAsia="Calibri"/>
          <w:szCs w:val="22"/>
        </w:rPr>
        <w:t>,</w:t>
      </w:r>
      <w:r w:rsidRPr="000323CF">
        <w:rPr>
          <w:rFonts w:eastAsia="Calibri"/>
          <w:szCs w:val="22"/>
        </w:rPr>
        <w:t xml:space="preserve"> desde una perspectiva sistémica</w:t>
      </w:r>
      <w:r w:rsidR="00B6399A">
        <w:rPr>
          <w:rFonts w:eastAsia="Calibri"/>
          <w:szCs w:val="22"/>
        </w:rPr>
        <w:t>,</w:t>
      </w:r>
      <w:r w:rsidRPr="000323CF">
        <w:rPr>
          <w:rFonts w:eastAsia="Calibri"/>
          <w:szCs w:val="22"/>
        </w:rPr>
        <w:t xml:space="preserve"> los usuarios de algún medio de transport</w:t>
      </w:r>
      <w:r w:rsidR="00B6399A">
        <w:rPr>
          <w:rFonts w:eastAsia="Calibri"/>
          <w:szCs w:val="22"/>
        </w:rPr>
        <w:t>e</w:t>
      </w:r>
      <w:r w:rsidR="00DB0A47">
        <w:rPr>
          <w:rFonts w:eastAsia="Calibri"/>
          <w:szCs w:val="22"/>
        </w:rPr>
        <w:t>,</w:t>
      </w:r>
      <w:r w:rsidRPr="000323CF">
        <w:rPr>
          <w:rFonts w:eastAsia="Calibri"/>
          <w:szCs w:val="22"/>
        </w:rPr>
        <w:t xml:space="preserve"> </w:t>
      </w:r>
      <w:r w:rsidR="00B83E34" w:rsidRPr="000323CF">
        <w:rPr>
          <w:rFonts w:eastAsia="Calibri"/>
          <w:szCs w:val="22"/>
        </w:rPr>
        <w:t>así como los peatones</w:t>
      </w:r>
      <w:r w:rsidR="00674E77">
        <w:rPr>
          <w:rFonts w:eastAsia="Calibri"/>
          <w:szCs w:val="22"/>
        </w:rPr>
        <w:t>,</w:t>
      </w:r>
      <w:r w:rsidRPr="000323CF">
        <w:rPr>
          <w:rFonts w:eastAsia="Calibri"/>
          <w:szCs w:val="22"/>
        </w:rPr>
        <w:t xml:space="preserve"> pueden acatar medidas preventivas para disminuir su incidencia</w:t>
      </w:r>
      <w:r>
        <w:rPr>
          <w:rFonts w:eastAsia="Calibri"/>
          <w:szCs w:val="22"/>
        </w:rPr>
        <w:t>.</w:t>
      </w:r>
    </w:p>
    <w:p w14:paraId="2E7F0CEF" w14:textId="77777777" w:rsidR="00F855F0" w:rsidRPr="003A6E57" w:rsidRDefault="00F855F0" w:rsidP="00F855F0">
      <w:pPr>
        <w:rPr>
          <w:rFonts w:cs="Arial"/>
          <w:b/>
          <w:bCs/>
        </w:rPr>
      </w:pPr>
      <w:r w:rsidRPr="003F2DAA">
        <w:rPr>
          <w:rFonts w:cs="Arial"/>
          <w:b/>
          <w:bCs/>
        </w:rPr>
        <w:t xml:space="preserve">Distribución porcentual de </w:t>
      </w:r>
      <w:r>
        <w:rPr>
          <w:rFonts w:cs="Arial"/>
          <w:b/>
          <w:bCs/>
        </w:rPr>
        <w:t>d</w:t>
      </w:r>
      <w:r w:rsidRPr="003F2DAA">
        <w:rPr>
          <w:rFonts w:cs="Arial"/>
          <w:b/>
          <w:bCs/>
        </w:rPr>
        <w:t xml:space="preserve">efunciones </w:t>
      </w:r>
      <w:r>
        <w:rPr>
          <w:rFonts w:cs="Arial"/>
          <w:b/>
          <w:bCs/>
        </w:rPr>
        <w:t>por</w:t>
      </w:r>
      <w:r w:rsidRPr="003F2DAA">
        <w:rPr>
          <w:rFonts w:cs="Arial"/>
          <w:b/>
          <w:bCs/>
        </w:rPr>
        <w:t xml:space="preserve"> accidentes de transporte </w:t>
      </w:r>
      <w:r w:rsidR="0048076F">
        <w:rPr>
          <w:rFonts w:cs="Arial"/>
          <w:b/>
          <w:bCs/>
        </w:rPr>
        <w:t>según</w:t>
      </w:r>
      <w:r w:rsidRPr="003F2DA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tipo de </w:t>
      </w:r>
      <w:r w:rsidRPr="003A6E57">
        <w:rPr>
          <w:rFonts w:cs="Arial"/>
          <w:b/>
          <w:bCs/>
        </w:rPr>
        <w:t>accidente de transporte</w:t>
      </w:r>
    </w:p>
    <w:p w14:paraId="5B1FE70B" w14:textId="77777777" w:rsidR="00F855F0" w:rsidRPr="003A6E57" w:rsidRDefault="008D6CF5" w:rsidP="0051469D">
      <w:pPr>
        <w:rPr>
          <w:rFonts w:cs="Arial"/>
          <w:b/>
          <w:bCs/>
        </w:rPr>
      </w:pPr>
      <w:r w:rsidRPr="003A6E57">
        <w:rPr>
          <w:rFonts w:cs="Arial"/>
          <w:b/>
          <w:bCs/>
        </w:rPr>
        <w:t xml:space="preserve">2006 y </w:t>
      </w:r>
      <w:r w:rsidR="00F855F0" w:rsidRPr="003A6E57">
        <w:rPr>
          <w:rFonts w:cs="Arial"/>
          <w:b/>
          <w:bCs/>
        </w:rPr>
        <w:t>201</w:t>
      </w:r>
      <w:r w:rsidR="0051469D" w:rsidRPr="003A6E57">
        <w:rPr>
          <w:rFonts w:cs="Arial"/>
          <w:b/>
          <w:bCs/>
        </w:rPr>
        <w:t>8</w:t>
      </w:r>
    </w:p>
    <w:p w14:paraId="71EF7001" w14:textId="77777777" w:rsidR="00A83BC2" w:rsidRDefault="004079DC" w:rsidP="0051469D">
      <w:pPr>
        <w:rPr>
          <w:rFonts w:cs="Arial"/>
          <w:b/>
          <w:bCs/>
        </w:rPr>
      </w:pPr>
      <w:r w:rsidRPr="004079DC">
        <w:rPr>
          <w:noProof/>
          <w:lang w:val="en-US" w:eastAsia="en-US"/>
        </w:rPr>
        <w:lastRenderedPageBreak/>
        <w:drawing>
          <wp:inline distT="0" distB="0" distL="0" distR="0" wp14:anchorId="56A82DD3" wp14:editId="0CF2E068">
            <wp:extent cx="6009640" cy="36061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8BC7F" w14:textId="77777777" w:rsidR="00A83BC2" w:rsidRDefault="00A83BC2" w:rsidP="0051469D">
      <w:pPr>
        <w:rPr>
          <w:rFonts w:cs="Arial"/>
          <w:bCs/>
          <w:sz w:val="16"/>
          <w:szCs w:val="16"/>
        </w:rPr>
      </w:pPr>
    </w:p>
    <w:p w14:paraId="2953F76E" w14:textId="77777777" w:rsidR="00EC11CB" w:rsidRDefault="00EC11CB" w:rsidP="00E440B5">
      <w:pPr>
        <w:adjustRightInd w:val="0"/>
        <w:ind w:left="426" w:right="51" w:hanging="426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Nota: A la clasificación de o</w:t>
      </w:r>
      <w:r w:rsidRPr="00EC11CB">
        <w:rPr>
          <w:rFonts w:cs="Arial"/>
          <w:bCs/>
          <w:sz w:val="16"/>
          <w:szCs w:val="16"/>
        </w:rPr>
        <w:t>tros accidentes de transporte terrestre (V80-V89), se incluyeron</w:t>
      </w:r>
      <w:r>
        <w:rPr>
          <w:rFonts w:cs="Arial"/>
          <w:bCs/>
          <w:sz w:val="16"/>
          <w:szCs w:val="16"/>
        </w:rPr>
        <w:t xml:space="preserve"> otras tres causas: o</w:t>
      </w:r>
      <w:r w:rsidRPr="00EC11CB">
        <w:rPr>
          <w:rFonts w:cs="Arial"/>
          <w:bCs/>
          <w:sz w:val="16"/>
          <w:szCs w:val="16"/>
        </w:rPr>
        <w:t>cupante de vehículo de motor de tres ruedas lesionado en accidente de transporte (V30-V39)</w:t>
      </w:r>
      <w:r>
        <w:rPr>
          <w:rFonts w:cs="Arial"/>
          <w:bCs/>
          <w:sz w:val="16"/>
          <w:szCs w:val="16"/>
        </w:rPr>
        <w:t>; a</w:t>
      </w:r>
      <w:r w:rsidRPr="00EC11CB">
        <w:rPr>
          <w:rFonts w:cs="Arial"/>
          <w:bCs/>
          <w:sz w:val="16"/>
          <w:szCs w:val="16"/>
        </w:rPr>
        <w:t>ccidentes de transporte por agua (V90-V94)</w:t>
      </w:r>
      <w:r>
        <w:rPr>
          <w:rFonts w:cs="Arial"/>
          <w:bCs/>
          <w:sz w:val="16"/>
          <w:szCs w:val="16"/>
        </w:rPr>
        <w:t xml:space="preserve"> y a</w:t>
      </w:r>
      <w:r w:rsidRPr="00EC11CB">
        <w:rPr>
          <w:rFonts w:cs="Arial"/>
          <w:bCs/>
          <w:sz w:val="16"/>
          <w:szCs w:val="16"/>
        </w:rPr>
        <w:t>ccidentes de transporte aéreo y espacial (V95-V97).</w:t>
      </w:r>
    </w:p>
    <w:p w14:paraId="1547FFA5" w14:textId="77777777" w:rsidR="00EC11CB" w:rsidRPr="00F67FBD" w:rsidRDefault="00EC11CB" w:rsidP="00EC11CB">
      <w:pPr>
        <w:autoSpaceDE w:val="0"/>
        <w:autoSpaceDN w:val="0"/>
        <w:adjustRightInd w:val="0"/>
        <w:rPr>
          <w:rFonts w:cs="Arial"/>
          <w:bCs/>
          <w:sz w:val="10"/>
          <w:szCs w:val="10"/>
        </w:rPr>
      </w:pPr>
    </w:p>
    <w:p w14:paraId="062717C4" w14:textId="2A22E46F" w:rsidR="00F855F0" w:rsidRPr="000D5845" w:rsidRDefault="00F855F0" w:rsidP="00F855F0">
      <w:pPr>
        <w:autoSpaceDE w:val="0"/>
        <w:autoSpaceDN w:val="0"/>
        <w:adjustRightInd w:val="0"/>
        <w:rPr>
          <w:rFonts w:cs="Arial"/>
          <w:bCs/>
          <w:sz w:val="16"/>
          <w:szCs w:val="16"/>
        </w:rPr>
      </w:pPr>
      <w:r w:rsidRPr="00F67FBD">
        <w:rPr>
          <w:rFonts w:cs="Arial"/>
          <w:bCs/>
          <w:sz w:val="16"/>
          <w:szCs w:val="16"/>
        </w:rPr>
        <w:t xml:space="preserve">Fuente: INEGI. Estadísticas de mortalidad </w:t>
      </w:r>
      <w:r w:rsidR="00DB0A47">
        <w:rPr>
          <w:rFonts w:cs="Arial"/>
          <w:bCs/>
          <w:sz w:val="16"/>
          <w:szCs w:val="16"/>
        </w:rPr>
        <w:t xml:space="preserve">2016 y </w:t>
      </w:r>
      <w:r w:rsidRPr="00F67FBD">
        <w:rPr>
          <w:rFonts w:cs="Arial"/>
          <w:bCs/>
          <w:sz w:val="16"/>
          <w:szCs w:val="16"/>
        </w:rPr>
        <w:t>201</w:t>
      </w:r>
      <w:r w:rsidR="0051469D" w:rsidRPr="00F67FBD">
        <w:rPr>
          <w:rFonts w:cs="Arial"/>
          <w:bCs/>
          <w:sz w:val="16"/>
          <w:szCs w:val="16"/>
        </w:rPr>
        <w:t>8</w:t>
      </w:r>
      <w:r w:rsidR="00E440B5">
        <w:rPr>
          <w:rFonts w:cs="Arial"/>
          <w:bCs/>
          <w:sz w:val="16"/>
          <w:szCs w:val="16"/>
        </w:rPr>
        <w:t>.</w:t>
      </w:r>
    </w:p>
    <w:p w14:paraId="24C75DDF" w14:textId="77777777" w:rsidR="00F855F0" w:rsidRDefault="00F855F0" w:rsidP="00F855F0">
      <w:pPr>
        <w:autoSpaceDE w:val="0"/>
        <w:autoSpaceDN w:val="0"/>
        <w:adjustRightInd w:val="0"/>
        <w:spacing w:before="40"/>
        <w:rPr>
          <w:rFonts w:cs="Arial"/>
          <w:bCs/>
          <w:sz w:val="16"/>
          <w:szCs w:val="16"/>
        </w:rPr>
      </w:pPr>
    </w:p>
    <w:p w14:paraId="0F68F92C" w14:textId="77777777" w:rsidR="00F855F0" w:rsidRDefault="00F855F0" w:rsidP="00F855F0">
      <w:pPr>
        <w:tabs>
          <w:tab w:val="left" w:pos="1418"/>
        </w:tabs>
        <w:adjustRightInd w:val="0"/>
        <w:spacing w:after="120" w:line="264" w:lineRule="auto"/>
        <w:ind w:right="51"/>
        <w:rPr>
          <w:b/>
          <w:bCs/>
          <w:color w:val="666699"/>
          <w:sz w:val="2"/>
          <w:szCs w:val="2"/>
          <w:lang w:val="es-MX"/>
        </w:rPr>
      </w:pPr>
    </w:p>
    <w:p w14:paraId="492BD990" w14:textId="77777777" w:rsidR="00F855F0" w:rsidRPr="00B6399A" w:rsidRDefault="00A25893" w:rsidP="00B6399A">
      <w:pPr>
        <w:tabs>
          <w:tab w:val="left" w:pos="1418"/>
        </w:tabs>
        <w:adjustRightInd w:val="0"/>
        <w:spacing w:after="240" w:line="264" w:lineRule="auto"/>
        <w:ind w:left="-567" w:right="51"/>
        <w:rPr>
          <w:b/>
          <w:bCs/>
          <w:color w:val="000000" w:themeColor="text1"/>
          <w:szCs w:val="22"/>
          <w:lang w:val="es-MX"/>
        </w:rPr>
      </w:pPr>
      <w:r w:rsidRPr="00B6399A">
        <w:rPr>
          <w:b/>
          <w:bCs/>
          <w:color w:val="000000" w:themeColor="text1"/>
          <w:szCs w:val="22"/>
          <w:lang w:val="es-MX"/>
        </w:rPr>
        <w:t>DEFUNCIONES DE ACCIDENT</w:t>
      </w:r>
      <w:r w:rsidR="004F0026" w:rsidRPr="00B6399A">
        <w:rPr>
          <w:b/>
          <w:bCs/>
          <w:color w:val="000000" w:themeColor="text1"/>
          <w:szCs w:val="22"/>
          <w:lang w:val="es-MX"/>
        </w:rPr>
        <w:t>E</w:t>
      </w:r>
      <w:r w:rsidRPr="00B6399A">
        <w:rPr>
          <w:b/>
          <w:bCs/>
          <w:color w:val="000000" w:themeColor="text1"/>
          <w:szCs w:val="22"/>
          <w:lang w:val="es-MX"/>
        </w:rPr>
        <w:t xml:space="preserve">S DE TRANSPORTE POR </w:t>
      </w:r>
      <w:r w:rsidR="00F855F0" w:rsidRPr="00B6399A">
        <w:rPr>
          <w:b/>
          <w:bCs/>
          <w:color w:val="000000" w:themeColor="text1"/>
          <w:szCs w:val="22"/>
          <w:lang w:val="es-MX"/>
        </w:rPr>
        <w:t>GRUPOS DE EDAD Y SEXO</w:t>
      </w:r>
    </w:p>
    <w:p w14:paraId="32463537" w14:textId="56236350" w:rsidR="003D094C" w:rsidRPr="00B6399A" w:rsidRDefault="00F855F0" w:rsidP="00B6399A">
      <w:pPr>
        <w:adjustRightInd w:val="0"/>
        <w:spacing w:before="60" w:after="240" w:line="264" w:lineRule="auto"/>
        <w:ind w:left="-567" w:right="51"/>
        <w:rPr>
          <w:rFonts w:cs="Arial"/>
          <w:color w:val="000000" w:themeColor="text1"/>
          <w:szCs w:val="22"/>
        </w:rPr>
      </w:pPr>
      <w:r w:rsidRPr="00B6399A">
        <w:rPr>
          <w:rFonts w:cs="Arial"/>
          <w:color w:val="000000" w:themeColor="text1"/>
          <w:szCs w:val="22"/>
        </w:rPr>
        <w:lastRenderedPageBreak/>
        <w:t>Las defunciones por accidentes de transporte se hacen presentes desde temprana edad</w:t>
      </w:r>
      <w:r w:rsidR="00DB0A47">
        <w:rPr>
          <w:rFonts w:cs="Arial"/>
          <w:color w:val="000000" w:themeColor="text1"/>
          <w:szCs w:val="22"/>
        </w:rPr>
        <w:t xml:space="preserve">. El </w:t>
      </w:r>
      <w:r w:rsidR="0051469D" w:rsidRPr="00B6399A">
        <w:rPr>
          <w:rFonts w:cs="Arial"/>
          <w:color w:val="000000" w:themeColor="text1"/>
          <w:szCs w:val="22"/>
        </w:rPr>
        <w:t>1</w:t>
      </w:r>
      <w:r w:rsidR="00FF6710" w:rsidRPr="00B6399A">
        <w:rPr>
          <w:rFonts w:cs="Arial"/>
          <w:color w:val="000000" w:themeColor="text1"/>
          <w:szCs w:val="22"/>
        </w:rPr>
        <w:t>.</w:t>
      </w:r>
      <w:r w:rsidR="0051469D" w:rsidRPr="00B6399A">
        <w:rPr>
          <w:rFonts w:cs="Arial"/>
          <w:color w:val="000000" w:themeColor="text1"/>
          <w:szCs w:val="22"/>
        </w:rPr>
        <w:t>7</w:t>
      </w:r>
      <w:r w:rsidRPr="00B6399A">
        <w:rPr>
          <w:rFonts w:cs="Arial"/>
          <w:color w:val="000000" w:themeColor="text1"/>
          <w:szCs w:val="22"/>
        </w:rPr>
        <w:t>% y 3.</w:t>
      </w:r>
      <w:r w:rsidR="0051469D" w:rsidRPr="00B6399A">
        <w:rPr>
          <w:rFonts w:cs="Arial"/>
          <w:color w:val="000000" w:themeColor="text1"/>
          <w:szCs w:val="22"/>
        </w:rPr>
        <w:t>6</w:t>
      </w:r>
      <w:r w:rsidRPr="00B6399A">
        <w:rPr>
          <w:rFonts w:cs="Arial"/>
          <w:color w:val="000000" w:themeColor="text1"/>
          <w:szCs w:val="22"/>
        </w:rPr>
        <w:t>% de las defunciones por esta causa, ocurren en niños y niñas de 1 a 4 años y de 5 a 14 años, respectivamente. En los jóvenes de 15 a 29 años se concentra el mayor porcentaje de defunciones (3</w:t>
      </w:r>
      <w:r w:rsidR="0051469D" w:rsidRPr="00B6399A">
        <w:rPr>
          <w:rFonts w:cs="Arial"/>
          <w:color w:val="000000" w:themeColor="text1"/>
          <w:szCs w:val="22"/>
        </w:rPr>
        <w:t>2</w:t>
      </w:r>
      <w:r w:rsidRPr="00B6399A">
        <w:rPr>
          <w:rFonts w:cs="Arial"/>
          <w:color w:val="000000" w:themeColor="text1"/>
          <w:szCs w:val="22"/>
        </w:rPr>
        <w:t>.</w:t>
      </w:r>
      <w:r w:rsidR="0051469D" w:rsidRPr="00B6399A">
        <w:rPr>
          <w:rFonts w:cs="Arial"/>
          <w:color w:val="000000" w:themeColor="text1"/>
          <w:szCs w:val="22"/>
        </w:rPr>
        <w:t>2</w:t>
      </w:r>
      <w:r w:rsidRPr="00B6399A">
        <w:rPr>
          <w:rFonts w:cs="Arial"/>
          <w:color w:val="000000" w:themeColor="text1"/>
          <w:szCs w:val="22"/>
        </w:rPr>
        <w:t>%), seguidos por el grupo de 30 a 44 años (2</w:t>
      </w:r>
      <w:r w:rsidR="009651C4" w:rsidRPr="00B6399A">
        <w:rPr>
          <w:rFonts w:cs="Arial"/>
          <w:color w:val="000000" w:themeColor="text1"/>
          <w:szCs w:val="22"/>
        </w:rPr>
        <w:t>5.</w:t>
      </w:r>
      <w:r w:rsidR="0051469D" w:rsidRPr="00B6399A">
        <w:rPr>
          <w:rFonts w:cs="Arial"/>
          <w:color w:val="000000" w:themeColor="text1"/>
          <w:szCs w:val="22"/>
        </w:rPr>
        <w:t>5</w:t>
      </w:r>
      <w:r w:rsidRPr="00B6399A">
        <w:rPr>
          <w:rFonts w:cs="Arial"/>
          <w:color w:val="000000" w:themeColor="text1"/>
          <w:szCs w:val="22"/>
        </w:rPr>
        <w:t xml:space="preserve"> por ciento).</w:t>
      </w:r>
    </w:p>
    <w:p w14:paraId="4A7458E5" w14:textId="77777777" w:rsidR="00F77B0C" w:rsidRDefault="00F77B0C" w:rsidP="004F0026">
      <w:pPr>
        <w:tabs>
          <w:tab w:val="left" w:pos="1418"/>
        </w:tabs>
        <w:adjustRightInd w:val="0"/>
        <w:spacing w:before="120" w:line="264" w:lineRule="auto"/>
        <w:ind w:right="51"/>
        <w:rPr>
          <w:rFonts w:cs="Arial"/>
          <w:b/>
          <w:bCs/>
        </w:rPr>
      </w:pPr>
    </w:p>
    <w:p w14:paraId="6C8321D4" w14:textId="77777777" w:rsidR="00F77B0C" w:rsidRDefault="00F77B0C" w:rsidP="004F0026">
      <w:pPr>
        <w:tabs>
          <w:tab w:val="left" w:pos="1418"/>
        </w:tabs>
        <w:adjustRightInd w:val="0"/>
        <w:spacing w:before="120" w:line="264" w:lineRule="auto"/>
        <w:ind w:right="51"/>
        <w:rPr>
          <w:rFonts w:cs="Arial"/>
          <w:b/>
          <w:bCs/>
        </w:rPr>
      </w:pPr>
    </w:p>
    <w:p w14:paraId="7DB5BDA5" w14:textId="77777777" w:rsidR="00F77B0C" w:rsidRDefault="00F77B0C" w:rsidP="004F0026">
      <w:pPr>
        <w:tabs>
          <w:tab w:val="left" w:pos="1418"/>
        </w:tabs>
        <w:adjustRightInd w:val="0"/>
        <w:spacing w:before="120" w:line="264" w:lineRule="auto"/>
        <w:ind w:right="51"/>
        <w:rPr>
          <w:rFonts w:cs="Arial"/>
          <w:b/>
          <w:bCs/>
        </w:rPr>
      </w:pPr>
    </w:p>
    <w:p w14:paraId="4039580E" w14:textId="77777777" w:rsidR="004F0026" w:rsidRPr="007A1A9C" w:rsidRDefault="00232505" w:rsidP="004F0026">
      <w:pPr>
        <w:tabs>
          <w:tab w:val="left" w:pos="1418"/>
        </w:tabs>
        <w:adjustRightInd w:val="0"/>
        <w:spacing w:before="120" w:line="264" w:lineRule="auto"/>
        <w:ind w:right="51"/>
        <w:rPr>
          <w:rFonts w:cs="Arial"/>
          <w:b/>
          <w:bCs/>
        </w:rPr>
      </w:pPr>
      <w:r w:rsidRPr="0017748F">
        <w:rPr>
          <w:noProof/>
          <w:color w:val="00B0F0"/>
          <w:lang w:val="en-US" w:eastAsia="en-US"/>
        </w:rPr>
        <w:drawing>
          <wp:anchor distT="0" distB="0" distL="114300" distR="114300" simplePos="0" relativeHeight="251693056" behindDoc="0" locked="0" layoutInCell="1" allowOverlap="1" wp14:anchorId="5C97A6B5" wp14:editId="40E35F0C">
            <wp:simplePos x="0" y="0"/>
            <wp:positionH relativeFrom="page">
              <wp:posOffset>3175635</wp:posOffset>
            </wp:positionH>
            <wp:positionV relativeFrom="paragraph">
              <wp:posOffset>226695</wp:posOffset>
            </wp:positionV>
            <wp:extent cx="2776855" cy="2124075"/>
            <wp:effectExtent l="0" t="0" r="4445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9" t="3839" r="5668" b="6570"/>
                    <a:stretch/>
                  </pic:blipFill>
                  <pic:spPr bwMode="auto">
                    <a:xfrm>
                      <a:off x="0" y="0"/>
                      <a:ext cx="277685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026">
        <w:rPr>
          <w:rFonts w:cs="Arial"/>
          <w:b/>
          <w:bCs/>
        </w:rPr>
        <w:t>Distribución p</w:t>
      </w:r>
      <w:r w:rsidR="004F0026" w:rsidRPr="0034286A">
        <w:rPr>
          <w:rFonts w:cs="Arial"/>
          <w:b/>
          <w:bCs/>
        </w:rPr>
        <w:t>orcent</w:t>
      </w:r>
      <w:r w:rsidR="004F0026">
        <w:rPr>
          <w:rFonts w:cs="Arial"/>
          <w:b/>
          <w:bCs/>
        </w:rPr>
        <w:t>ual</w:t>
      </w:r>
      <w:r w:rsidR="004F0026" w:rsidRPr="0034286A">
        <w:rPr>
          <w:rFonts w:cs="Arial"/>
          <w:b/>
          <w:bCs/>
        </w:rPr>
        <w:t xml:space="preserve"> de </w:t>
      </w:r>
      <w:r w:rsidR="004F0026">
        <w:rPr>
          <w:rFonts w:cs="Arial"/>
          <w:b/>
          <w:bCs/>
        </w:rPr>
        <w:t>d</w:t>
      </w:r>
      <w:r w:rsidR="004F0026" w:rsidRPr="0034286A">
        <w:rPr>
          <w:rFonts w:cs="Arial"/>
          <w:b/>
          <w:bCs/>
        </w:rPr>
        <w:t xml:space="preserve">efunciones por accidentes de transporte </w:t>
      </w:r>
      <w:r w:rsidR="004F0026">
        <w:rPr>
          <w:rFonts w:cs="Arial"/>
          <w:b/>
          <w:bCs/>
        </w:rPr>
        <w:t xml:space="preserve">según grupo de edad </w:t>
      </w:r>
      <w:r w:rsidR="004F0026" w:rsidRPr="007A1A9C">
        <w:rPr>
          <w:rFonts w:cs="Arial"/>
          <w:b/>
          <w:bCs/>
        </w:rPr>
        <w:t xml:space="preserve">de la persona fallecida </w:t>
      </w:r>
    </w:p>
    <w:p w14:paraId="72F3E753" w14:textId="77777777" w:rsidR="004F0026" w:rsidRPr="003A6E57" w:rsidRDefault="004F0026" w:rsidP="004F0026">
      <w:pPr>
        <w:tabs>
          <w:tab w:val="left" w:pos="1418"/>
        </w:tabs>
        <w:adjustRightInd w:val="0"/>
        <w:spacing w:line="264" w:lineRule="auto"/>
        <w:ind w:right="51"/>
        <w:rPr>
          <w:rFonts w:cs="Arial"/>
          <w:b/>
          <w:bCs/>
        </w:rPr>
      </w:pPr>
      <w:r w:rsidRPr="003A6E57">
        <w:rPr>
          <w:rFonts w:cs="Arial"/>
          <w:b/>
          <w:bCs/>
        </w:rPr>
        <w:t>201</w:t>
      </w:r>
      <w:r w:rsidR="0051469D" w:rsidRPr="003A6E57">
        <w:rPr>
          <w:rFonts w:cs="Arial"/>
          <w:b/>
          <w:bCs/>
        </w:rPr>
        <w:t>8</w:t>
      </w:r>
    </w:p>
    <w:p w14:paraId="11FE5DFB" w14:textId="77777777" w:rsidR="007D2352" w:rsidRDefault="007D2352" w:rsidP="004F0026">
      <w:pPr>
        <w:adjustRightInd w:val="0"/>
        <w:rPr>
          <w:sz w:val="16"/>
          <w:szCs w:val="16"/>
        </w:rPr>
      </w:pPr>
    </w:p>
    <w:p w14:paraId="66681F5A" w14:textId="77777777" w:rsidR="00F77B0C" w:rsidRDefault="00F77B0C" w:rsidP="004F0026">
      <w:pPr>
        <w:adjustRightInd w:val="0"/>
        <w:rPr>
          <w:sz w:val="16"/>
          <w:szCs w:val="16"/>
        </w:rPr>
      </w:pPr>
    </w:p>
    <w:p w14:paraId="4387B03D" w14:textId="77777777" w:rsidR="007D2352" w:rsidRDefault="007D2352" w:rsidP="004F0026">
      <w:pPr>
        <w:adjustRightInd w:val="0"/>
        <w:rPr>
          <w:sz w:val="16"/>
          <w:szCs w:val="16"/>
        </w:rPr>
      </w:pPr>
    </w:p>
    <w:p w14:paraId="4780E741" w14:textId="77777777" w:rsidR="007D2352" w:rsidRDefault="007D2352" w:rsidP="004F0026">
      <w:pPr>
        <w:adjustRightInd w:val="0"/>
        <w:rPr>
          <w:sz w:val="16"/>
          <w:szCs w:val="16"/>
        </w:rPr>
      </w:pPr>
    </w:p>
    <w:p w14:paraId="37349350" w14:textId="77777777" w:rsidR="007D2352" w:rsidRDefault="007D2352" w:rsidP="004F0026">
      <w:pPr>
        <w:adjustRightInd w:val="0"/>
        <w:rPr>
          <w:sz w:val="16"/>
          <w:szCs w:val="16"/>
        </w:rPr>
      </w:pPr>
    </w:p>
    <w:p w14:paraId="770430B6" w14:textId="77777777" w:rsidR="007D2352" w:rsidRDefault="007D2352" w:rsidP="004F0026">
      <w:pPr>
        <w:adjustRightInd w:val="0"/>
        <w:rPr>
          <w:sz w:val="16"/>
          <w:szCs w:val="16"/>
        </w:rPr>
      </w:pPr>
    </w:p>
    <w:p w14:paraId="76CDAF59" w14:textId="77777777" w:rsidR="007D2352" w:rsidRDefault="007D2352" w:rsidP="004F0026">
      <w:pPr>
        <w:adjustRightInd w:val="0"/>
        <w:rPr>
          <w:sz w:val="16"/>
          <w:szCs w:val="16"/>
        </w:rPr>
      </w:pPr>
    </w:p>
    <w:p w14:paraId="4BCCE5A3" w14:textId="77777777" w:rsidR="007D2352" w:rsidRDefault="007D2352" w:rsidP="004F0026">
      <w:pPr>
        <w:adjustRightInd w:val="0"/>
        <w:rPr>
          <w:sz w:val="16"/>
          <w:szCs w:val="16"/>
        </w:rPr>
      </w:pPr>
    </w:p>
    <w:p w14:paraId="0E92853F" w14:textId="77777777" w:rsidR="007D2352" w:rsidRDefault="007D2352" w:rsidP="004F0026">
      <w:pPr>
        <w:adjustRightInd w:val="0"/>
        <w:rPr>
          <w:sz w:val="16"/>
          <w:szCs w:val="16"/>
        </w:rPr>
      </w:pPr>
    </w:p>
    <w:p w14:paraId="260E6C00" w14:textId="77777777" w:rsidR="007D2352" w:rsidRDefault="007D2352" w:rsidP="004F0026">
      <w:pPr>
        <w:adjustRightInd w:val="0"/>
        <w:rPr>
          <w:sz w:val="16"/>
          <w:szCs w:val="16"/>
        </w:rPr>
      </w:pPr>
    </w:p>
    <w:p w14:paraId="1251F2A0" w14:textId="77777777" w:rsidR="007D2352" w:rsidRDefault="007D2352" w:rsidP="004F0026">
      <w:pPr>
        <w:adjustRightInd w:val="0"/>
        <w:rPr>
          <w:sz w:val="16"/>
          <w:szCs w:val="16"/>
        </w:rPr>
      </w:pPr>
    </w:p>
    <w:p w14:paraId="6CD5A78F" w14:textId="77777777" w:rsidR="00F77B0C" w:rsidRDefault="00F77B0C" w:rsidP="004F0026">
      <w:pPr>
        <w:adjustRightInd w:val="0"/>
        <w:rPr>
          <w:sz w:val="16"/>
          <w:szCs w:val="16"/>
        </w:rPr>
      </w:pPr>
    </w:p>
    <w:p w14:paraId="5B8A0512" w14:textId="77777777" w:rsidR="00F77B0C" w:rsidRDefault="00F77B0C" w:rsidP="004F0026">
      <w:pPr>
        <w:adjustRightInd w:val="0"/>
        <w:rPr>
          <w:sz w:val="16"/>
          <w:szCs w:val="16"/>
        </w:rPr>
      </w:pPr>
    </w:p>
    <w:p w14:paraId="58F16193" w14:textId="77777777" w:rsidR="00F77B0C" w:rsidRDefault="00F77B0C" w:rsidP="004F0026">
      <w:pPr>
        <w:adjustRightInd w:val="0"/>
        <w:rPr>
          <w:sz w:val="16"/>
          <w:szCs w:val="16"/>
        </w:rPr>
      </w:pPr>
    </w:p>
    <w:p w14:paraId="3F391CAB" w14:textId="77777777" w:rsidR="00232505" w:rsidRDefault="00232505" w:rsidP="004F0026">
      <w:pPr>
        <w:adjustRightInd w:val="0"/>
        <w:rPr>
          <w:sz w:val="16"/>
          <w:szCs w:val="16"/>
        </w:rPr>
      </w:pPr>
    </w:p>
    <w:p w14:paraId="0D0DA4EA" w14:textId="77777777" w:rsidR="004F0026" w:rsidRDefault="004F0026" w:rsidP="004F0026">
      <w:pPr>
        <w:adjustRightInd w:val="0"/>
        <w:rPr>
          <w:sz w:val="16"/>
          <w:szCs w:val="16"/>
        </w:rPr>
      </w:pPr>
      <w:r w:rsidRPr="00533711">
        <w:rPr>
          <w:sz w:val="16"/>
          <w:szCs w:val="16"/>
        </w:rPr>
        <w:t xml:space="preserve">Nota: </w:t>
      </w:r>
      <w:r>
        <w:rPr>
          <w:sz w:val="16"/>
          <w:szCs w:val="16"/>
        </w:rPr>
        <w:t>No se grafica el no especificado.</w:t>
      </w:r>
    </w:p>
    <w:p w14:paraId="5F7C61D9" w14:textId="77777777" w:rsidR="004F0026" w:rsidRPr="003A6E57" w:rsidRDefault="004F0026" w:rsidP="004F0026">
      <w:pPr>
        <w:autoSpaceDE w:val="0"/>
        <w:autoSpaceDN w:val="0"/>
        <w:adjustRightInd w:val="0"/>
        <w:spacing w:before="40"/>
        <w:rPr>
          <w:rFonts w:cs="Arial"/>
          <w:bCs/>
          <w:sz w:val="16"/>
          <w:szCs w:val="16"/>
        </w:rPr>
      </w:pPr>
      <w:r w:rsidRPr="002B4C2A">
        <w:rPr>
          <w:rFonts w:cs="Arial"/>
          <w:bCs/>
          <w:sz w:val="16"/>
          <w:szCs w:val="16"/>
        </w:rPr>
        <w:t>Fuente: INEGI.</w:t>
      </w:r>
      <w:r>
        <w:rPr>
          <w:rFonts w:cs="Arial"/>
          <w:bCs/>
          <w:sz w:val="16"/>
          <w:szCs w:val="16"/>
        </w:rPr>
        <w:t xml:space="preserve"> </w:t>
      </w:r>
      <w:r w:rsidRPr="00D87AF3">
        <w:rPr>
          <w:rFonts w:cs="Arial"/>
          <w:bCs/>
          <w:sz w:val="16"/>
          <w:szCs w:val="16"/>
        </w:rPr>
        <w:t xml:space="preserve">Estadísticas de </w:t>
      </w:r>
      <w:r w:rsidRPr="003A6E57">
        <w:rPr>
          <w:rFonts w:cs="Arial"/>
          <w:bCs/>
          <w:sz w:val="16"/>
          <w:szCs w:val="16"/>
        </w:rPr>
        <w:t>mortalidad 201</w:t>
      </w:r>
      <w:r w:rsidR="0051469D" w:rsidRPr="003A6E57">
        <w:rPr>
          <w:rFonts w:cs="Arial"/>
          <w:bCs/>
          <w:sz w:val="16"/>
          <w:szCs w:val="16"/>
        </w:rPr>
        <w:t>8</w:t>
      </w:r>
      <w:r w:rsidR="00E440B5" w:rsidRPr="003A6E57">
        <w:rPr>
          <w:rFonts w:cs="Arial"/>
          <w:bCs/>
          <w:sz w:val="16"/>
          <w:szCs w:val="16"/>
        </w:rPr>
        <w:t>.</w:t>
      </w:r>
    </w:p>
    <w:p w14:paraId="41C2AE8E" w14:textId="77777777" w:rsidR="004F0026" w:rsidRPr="004F0026" w:rsidRDefault="004F0026" w:rsidP="003D094C">
      <w:pPr>
        <w:adjustRightInd w:val="0"/>
        <w:spacing w:before="120" w:after="240" w:line="264" w:lineRule="auto"/>
        <w:ind w:right="51"/>
        <w:rPr>
          <w:rFonts w:cs="Arial"/>
          <w:sz w:val="2"/>
          <w:szCs w:val="2"/>
        </w:rPr>
      </w:pPr>
    </w:p>
    <w:p w14:paraId="64AF4690" w14:textId="77777777" w:rsidR="000B7361" w:rsidRDefault="00C34727" w:rsidP="00B6399A">
      <w:pPr>
        <w:adjustRightInd w:val="0"/>
        <w:spacing w:before="120" w:after="240" w:line="264" w:lineRule="auto"/>
        <w:ind w:left="-567" w:right="51"/>
        <w:rPr>
          <w:rFonts w:cs="Arial"/>
          <w:szCs w:val="22"/>
        </w:rPr>
      </w:pPr>
      <w:r w:rsidRPr="003A6E57">
        <w:rPr>
          <w:rFonts w:cs="Arial"/>
          <w:szCs w:val="22"/>
        </w:rPr>
        <w:t>En los</w:t>
      </w:r>
      <w:r w:rsidR="00113B92" w:rsidRPr="003A6E57">
        <w:rPr>
          <w:rFonts w:cs="Arial"/>
          <w:szCs w:val="22"/>
        </w:rPr>
        <w:t xml:space="preserve"> jóvenes de 15 y 29 años los accidentes de tr</w:t>
      </w:r>
      <w:r w:rsidR="00AC3A2A" w:rsidRPr="003A6E57">
        <w:rPr>
          <w:rFonts w:cs="Arial"/>
          <w:szCs w:val="22"/>
        </w:rPr>
        <w:t>ansporte</w:t>
      </w:r>
      <w:r w:rsidR="00113B92" w:rsidRPr="003A6E57">
        <w:rPr>
          <w:rFonts w:cs="Arial"/>
          <w:szCs w:val="22"/>
        </w:rPr>
        <w:t xml:space="preserve"> a nivel mundial </w:t>
      </w:r>
      <w:r w:rsidR="00DB65C9" w:rsidRPr="003A6E57">
        <w:rPr>
          <w:rFonts w:cs="Arial"/>
          <w:szCs w:val="22"/>
        </w:rPr>
        <w:t xml:space="preserve">son </w:t>
      </w:r>
      <w:r w:rsidR="00113B92" w:rsidRPr="003A6E57">
        <w:rPr>
          <w:rFonts w:cs="Arial"/>
          <w:szCs w:val="22"/>
        </w:rPr>
        <w:t>la primera causa de muerte (OPS</w:t>
      </w:r>
      <w:r w:rsidR="00820C24" w:rsidRPr="003A6E57">
        <w:rPr>
          <w:rFonts w:cs="Arial"/>
          <w:szCs w:val="22"/>
        </w:rPr>
        <w:t>-OMS</w:t>
      </w:r>
      <w:r w:rsidR="00113B92" w:rsidRPr="003A6E57">
        <w:rPr>
          <w:rFonts w:cs="Arial"/>
          <w:szCs w:val="22"/>
        </w:rPr>
        <w:t>, s/f</w:t>
      </w:r>
      <w:r w:rsidR="00113B92" w:rsidRPr="000B7361">
        <w:rPr>
          <w:rFonts w:cs="Arial"/>
          <w:szCs w:val="22"/>
        </w:rPr>
        <w:t>). En México</w:t>
      </w:r>
      <w:r w:rsidR="000B7361">
        <w:rPr>
          <w:rFonts w:cs="Arial"/>
          <w:szCs w:val="22"/>
        </w:rPr>
        <w:t xml:space="preserve"> fallecen</w:t>
      </w:r>
      <w:r w:rsidR="00CD4C01">
        <w:rPr>
          <w:rFonts w:cs="Arial"/>
          <w:szCs w:val="22"/>
        </w:rPr>
        <w:t xml:space="preserve"> un total</w:t>
      </w:r>
      <w:r w:rsidR="000B7361">
        <w:rPr>
          <w:rFonts w:cs="Arial"/>
          <w:szCs w:val="22"/>
        </w:rPr>
        <w:t xml:space="preserve"> 41 616 jóvenes y de estos 12.4% </w:t>
      </w:r>
      <w:r w:rsidR="00CD4C01">
        <w:rPr>
          <w:rFonts w:cs="Arial"/>
          <w:szCs w:val="22"/>
        </w:rPr>
        <w:t>son por accidentes de transporte (</w:t>
      </w:r>
      <w:r w:rsidR="00113B92" w:rsidRPr="000B7361">
        <w:rPr>
          <w:rFonts w:cs="Arial"/>
          <w:szCs w:val="22"/>
        </w:rPr>
        <w:t>5 1</w:t>
      </w:r>
      <w:r w:rsidR="005C1FC1" w:rsidRPr="000B7361">
        <w:rPr>
          <w:rFonts w:cs="Arial"/>
          <w:szCs w:val="22"/>
        </w:rPr>
        <w:t>69</w:t>
      </w:r>
      <w:r w:rsidR="00CD4C01">
        <w:rPr>
          <w:rFonts w:cs="Arial"/>
          <w:szCs w:val="22"/>
        </w:rPr>
        <w:t>)</w:t>
      </w:r>
      <w:r w:rsidR="00226A46">
        <w:rPr>
          <w:rFonts w:cs="Arial"/>
          <w:szCs w:val="22"/>
        </w:rPr>
        <w:t xml:space="preserve">. Las causas vinculadas a dichos fallecimientos son </w:t>
      </w:r>
      <w:r w:rsidR="00621AB9">
        <w:rPr>
          <w:rFonts w:cs="Arial"/>
          <w:szCs w:val="22"/>
        </w:rPr>
        <w:t>los accidentes de motocicleta (</w:t>
      </w:r>
      <w:r w:rsidR="00113B92" w:rsidRPr="000B7361">
        <w:rPr>
          <w:rFonts w:cs="Arial"/>
          <w:szCs w:val="22"/>
        </w:rPr>
        <w:t>20.1%</w:t>
      </w:r>
      <w:r w:rsidR="00621AB9">
        <w:rPr>
          <w:rFonts w:cs="Arial"/>
          <w:szCs w:val="22"/>
        </w:rPr>
        <w:t>)</w:t>
      </w:r>
      <w:r w:rsidR="00113B92" w:rsidRPr="000B7361">
        <w:rPr>
          <w:rFonts w:cs="Arial"/>
          <w:szCs w:val="22"/>
        </w:rPr>
        <w:t>,</w:t>
      </w:r>
      <w:r w:rsidR="00226A46">
        <w:rPr>
          <w:rFonts w:cs="Arial"/>
          <w:szCs w:val="22"/>
        </w:rPr>
        <w:t xml:space="preserve"> seguidos por los </w:t>
      </w:r>
      <w:r w:rsidR="00113B92" w:rsidRPr="000B7361">
        <w:rPr>
          <w:rFonts w:cs="Arial"/>
          <w:szCs w:val="22"/>
        </w:rPr>
        <w:t>p</w:t>
      </w:r>
      <w:r w:rsidR="0085500C" w:rsidRPr="000B7361">
        <w:rPr>
          <w:rFonts w:cs="Arial"/>
          <w:szCs w:val="22"/>
        </w:rPr>
        <w:t>eat</w:t>
      </w:r>
      <w:r w:rsidR="00113B92" w:rsidRPr="000B7361">
        <w:rPr>
          <w:rFonts w:cs="Arial"/>
          <w:szCs w:val="22"/>
        </w:rPr>
        <w:t>ones</w:t>
      </w:r>
      <w:r w:rsidR="00226A46">
        <w:rPr>
          <w:rFonts w:cs="Arial"/>
          <w:szCs w:val="22"/>
        </w:rPr>
        <w:t xml:space="preserve"> (</w:t>
      </w:r>
      <w:r w:rsidR="00226A46" w:rsidRPr="000B7361">
        <w:rPr>
          <w:rFonts w:cs="Arial"/>
          <w:szCs w:val="22"/>
        </w:rPr>
        <w:t>13.8%</w:t>
      </w:r>
      <w:r w:rsidR="00226A46">
        <w:rPr>
          <w:rFonts w:cs="Arial"/>
          <w:szCs w:val="22"/>
        </w:rPr>
        <w:t>)</w:t>
      </w:r>
      <w:r w:rsidR="00226A46" w:rsidRPr="000B7361">
        <w:rPr>
          <w:rFonts w:cs="Arial"/>
          <w:szCs w:val="22"/>
        </w:rPr>
        <w:t xml:space="preserve"> </w:t>
      </w:r>
      <w:r w:rsidR="00113B92" w:rsidRPr="000B7361">
        <w:rPr>
          <w:rFonts w:cs="Arial"/>
          <w:szCs w:val="22"/>
        </w:rPr>
        <w:t xml:space="preserve">y </w:t>
      </w:r>
      <w:r w:rsidR="00226A46">
        <w:rPr>
          <w:rFonts w:cs="Arial"/>
          <w:szCs w:val="22"/>
        </w:rPr>
        <w:t xml:space="preserve">los </w:t>
      </w:r>
      <w:r w:rsidR="00113B92" w:rsidRPr="000B7361">
        <w:rPr>
          <w:rFonts w:cs="Arial"/>
          <w:szCs w:val="22"/>
        </w:rPr>
        <w:t>ocupantes de automóvil</w:t>
      </w:r>
      <w:r w:rsidR="00226A46">
        <w:rPr>
          <w:rFonts w:cs="Arial"/>
          <w:szCs w:val="22"/>
        </w:rPr>
        <w:t xml:space="preserve"> (</w:t>
      </w:r>
      <w:r w:rsidR="00226A46" w:rsidRPr="000B7361">
        <w:rPr>
          <w:rFonts w:cs="Arial"/>
          <w:szCs w:val="22"/>
        </w:rPr>
        <w:t>13.1</w:t>
      </w:r>
      <w:r w:rsidR="00226A46">
        <w:rPr>
          <w:rFonts w:cs="Arial"/>
          <w:szCs w:val="22"/>
        </w:rPr>
        <w:t xml:space="preserve"> por ciento)</w:t>
      </w:r>
      <w:r w:rsidR="00113B92" w:rsidRPr="000B7361">
        <w:rPr>
          <w:rFonts w:cs="Arial"/>
          <w:szCs w:val="22"/>
        </w:rPr>
        <w:t>.</w:t>
      </w:r>
      <w:r w:rsidR="00113B92" w:rsidRPr="003A6E57">
        <w:rPr>
          <w:rFonts w:cs="Arial"/>
          <w:szCs w:val="22"/>
        </w:rPr>
        <w:t xml:space="preserve"> </w:t>
      </w:r>
      <w:r w:rsidR="00CD4C01">
        <w:t xml:space="preserve">Llama la atención que </w:t>
      </w:r>
      <w:r w:rsidR="00226A46">
        <w:t>en</w:t>
      </w:r>
      <w:r w:rsidR="00CD4C01">
        <w:t xml:space="preserve"> la población de menos de 1 año las defunciones de peatones ocupan la tercera causa (4.4%); para el grupo de 1 a 4 años (32.1%) y los escolares </w:t>
      </w:r>
      <w:r w:rsidR="00226A46">
        <w:t xml:space="preserve">de 5 a 14 años </w:t>
      </w:r>
      <w:r w:rsidR="00CD4C01">
        <w:t>(21.2%) se ubica como la principal causa; lo mismo sucede para la población de 30 a 59 años (22.8%) y la de 60 años o más (40.4 por ciento).</w:t>
      </w:r>
    </w:p>
    <w:p w14:paraId="3332FF5E" w14:textId="77777777" w:rsidR="004516B8" w:rsidRPr="000F4B32" w:rsidRDefault="000F4B32" w:rsidP="004516B8">
      <w:pPr>
        <w:rPr>
          <w:rFonts w:cs="Arial"/>
          <w:b/>
          <w:bCs/>
          <w:lang w:val="es-MX"/>
        </w:rPr>
      </w:pPr>
      <w:r w:rsidRPr="000F4B32">
        <w:rPr>
          <w:rFonts w:cs="Arial"/>
          <w:b/>
          <w:bCs/>
        </w:rPr>
        <w:t>Distribución porcentual de las principales causas de defunción de los accidentes de transporte por grupos de edad según causas de muerte</w:t>
      </w:r>
      <w:r w:rsidR="004516B8" w:rsidRPr="000F4B32">
        <w:rPr>
          <w:rFonts w:cs="Arial"/>
          <w:b/>
          <w:bCs/>
          <w:vertAlign w:val="superscript"/>
        </w:rPr>
        <w:t>1</w:t>
      </w:r>
      <w:r w:rsidR="004516B8" w:rsidRPr="000F4B32">
        <w:rPr>
          <w:rFonts w:cs="Arial"/>
          <w:b/>
          <w:bCs/>
        </w:rPr>
        <w:t xml:space="preserve"> </w:t>
      </w:r>
    </w:p>
    <w:p w14:paraId="467B990E" w14:textId="77777777" w:rsidR="004516B8" w:rsidRDefault="004516B8" w:rsidP="004516B8">
      <w:pPr>
        <w:pStyle w:val="TEXTO"/>
        <w:rPr>
          <w:b/>
          <w:bCs/>
          <w:color w:val="auto"/>
          <w:szCs w:val="24"/>
        </w:rPr>
      </w:pPr>
      <w:r w:rsidRPr="000F4B32">
        <w:rPr>
          <w:b/>
          <w:bCs/>
          <w:color w:val="auto"/>
          <w:szCs w:val="24"/>
        </w:rPr>
        <w:t>201</w:t>
      </w:r>
      <w:r w:rsidR="00BA76D9" w:rsidRPr="000F4B32">
        <w:rPr>
          <w:b/>
          <w:bCs/>
          <w:color w:val="auto"/>
          <w:szCs w:val="24"/>
        </w:rPr>
        <w:t>8</w:t>
      </w:r>
    </w:p>
    <w:p w14:paraId="0EAB9B1C" w14:textId="77777777" w:rsidR="007B0A53" w:rsidRPr="005C6C77" w:rsidRDefault="007B0A53" w:rsidP="004516B8">
      <w:pPr>
        <w:pStyle w:val="TEXTO"/>
        <w:rPr>
          <w:b/>
          <w:bCs/>
          <w:color w:val="00B0F0"/>
          <w:sz w:val="2"/>
          <w:szCs w:val="2"/>
        </w:rPr>
      </w:pPr>
    </w:p>
    <w:p w14:paraId="686A3FA9" w14:textId="77777777" w:rsidR="004516B8" w:rsidRDefault="00232505" w:rsidP="00F77B0C">
      <w:pPr>
        <w:jc w:val="left"/>
        <w:rPr>
          <w:rFonts w:cs="Arial"/>
          <w:vertAlign w:val="superscript"/>
        </w:rPr>
      </w:pPr>
      <w:r w:rsidRPr="00232505">
        <w:rPr>
          <w:noProof/>
          <w:lang w:val="en-US" w:eastAsia="en-US"/>
        </w:rPr>
        <w:lastRenderedPageBreak/>
        <w:drawing>
          <wp:inline distT="0" distB="0" distL="0" distR="0" wp14:anchorId="6DC21B69" wp14:editId="1235FA3E">
            <wp:extent cx="6066790" cy="261543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287" cy="262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922F7" w14:textId="77777777" w:rsidR="004516B8" w:rsidRPr="005C6C77" w:rsidRDefault="004516B8" w:rsidP="004516B8">
      <w:pPr>
        <w:ind w:left="142" w:hanging="142"/>
        <w:rPr>
          <w:rFonts w:cs="Arial"/>
          <w:sz w:val="6"/>
          <w:szCs w:val="6"/>
          <w:vertAlign w:val="superscript"/>
        </w:rPr>
      </w:pPr>
    </w:p>
    <w:p w14:paraId="125F3F24" w14:textId="77777777" w:rsidR="004516B8" w:rsidRPr="00D459EE" w:rsidRDefault="00362198" w:rsidP="004516B8">
      <w:pPr>
        <w:ind w:left="142" w:hanging="142"/>
        <w:rPr>
          <w:rFonts w:cs="Arial"/>
          <w:sz w:val="16"/>
          <w:szCs w:val="16"/>
        </w:rPr>
      </w:pPr>
      <w:r w:rsidRPr="00362198">
        <w:rPr>
          <w:rFonts w:cs="Arial"/>
          <w:sz w:val="16"/>
          <w:szCs w:val="16"/>
          <w:vertAlign w:val="superscript"/>
        </w:rPr>
        <w:t>1</w:t>
      </w:r>
      <w:r>
        <w:rPr>
          <w:rFonts w:cs="Arial"/>
          <w:sz w:val="16"/>
          <w:szCs w:val="16"/>
        </w:rPr>
        <w:t xml:space="preserve"> </w:t>
      </w:r>
      <w:r w:rsidR="004516B8" w:rsidRPr="00D459EE">
        <w:rPr>
          <w:rFonts w:cs="Arial"/>
          <w:sz w:val="16"/>
          <w:szCs w:val="16"/>
        </w:rPr>
        <w:t>Lista especial de tabulados (tabulación 1 para la mortalidad). CIE-10.</w:t>
      </w:r>
    </w:p>
    <w:p w14:paraId="6B0600A6" w14:textId="77777777" w:rsidR="004516B8" w:rsidRPr="00D459EE" w:rsidRDefault="004516B8" w:rsidP="004516B8">
      <w:pPr>
        <w:autoSpaceDE w:val="0"/>
        <w:autoSpaceDN w:val="0"/>
        <w:adjustRightInd w:val="0"/>
        <w:spacing w:before="40"/>
        <w:rPr>
          <w:rFonts w:eastAsia="Calibri" w:cs="Arial"/>
          <w:bCs/>
          <w:sz w:val="16"/>
          <w:szCs w:val="16"/>
        </w:rPr>
      </w:pPr>
      <w:r w:rsidRPr="00D459EE">
        <w:rPr>
          <w:rFonts w:eastAsia="Calibri" w:cs="Arial"/>
          <w:bCs/>
          <w:sz w:val="16"/>
          <w:szCs w:val="16"/>
        </w:rPr>
        <w:t>Fuente: INEGI</w:t>
      </w:r>
      <w:r w:rsidRPr="00D459EE">
        <w:rPr>
          <w:rFonts w:cs="Arial"/>
          <w:bCs/>
          <w:sz w:val="16"/>
          <w:szCs w:val="16"/>
        </w:rPr>
        <w:t xml:space="preserve">. </w:t>
      </w:r>
      <w:r w:rsidRPr="00D87AF3">
        <w:rPr>
          <w:rFonts w:cs="Arial"/>
          <w:bCs/>
          <w:color w:val="000000"/>
          <w:sz w:val="16"/>
          <w:szCs w:val="16"/>
        </w:rPr>
        <w:t xml:space="preserve">Estadísticas de </w:t>
      </w:r>
      <w:r w:rsidRPr="000323CF">
        <w:rPr>
          <w:rFonts w:cs="Arial"/>
          <w:bCs/>
          <w:sz w:val="16"/>
          <w:szCs w:val="16"/>
        </w:rPr>
        <w:t>mortalidad</w:t>
      </w:r>
      <w:r w:rsidRPr="000323CF">
        <w:rPr>
          <w:rFonts w:eastAsia="Calibri" w:cs="Arial"/>
          <w:bCs/>
          <w:sz w:val="16"/>
          <w:szCs w:val="16"/>
        </w:rPr>
        <w:t xml:space="preserve"> 201</w:t>
      </w:r>
      <w:r w:rsidR="00B554D8">
        <w:rPr>
          <w:rFonts w:eastAsia="Calibri" w:cs="Arial"/>
          <w:bCs/>
          <w:sz w:val="16"/>
          <w:szCs w:val="16"/>
        </w:rPr>
        <w:t>8</w:t>
      </w:r>
      <w:r w:rsidRPr="000323CF">
        <w:rPr>
          <w:rFonts w:eastAsia="Calibri" w:cs="Arial"/>
          <w:bCs/>
          <w:sz w:val="16"/>
          <w:szCs w:val="16"/>
        </w:rPr>
        <w:t>.</w:t>
      </w:r>
    </w:p>
    <w:p w14:paraId="6053BF76" w14:textId="77777777" w:rsidR="00F855F0" w:rsidRPr="00DB0A47" w:rsidRDefault="00F855F0" w:rsidP="00DB0A47">
      <w:pPr>
        <w:adjustRightInd w:val="0"/>
        <w:spacing w:before="120" w:after="240" w:line="288" w:lineRule="auto"/>
        <w:ind w:left="-567" w:right="51"/>
        <w:rPr>
          <w:b/>
          <w:bCs/>
          <w:color w:val="000000" w:themeColor="text1"/>
          <w:szCs w:val="22"/>
          <w:lang w:val="es-MX"/>
        </w:rPr>
      </w:pPr>
      <w:r w:rsidRPr="00DB0A47">
        <w:rPr>
          <w:b/>
          <w:bCs/>
          <w:color w:val="000000" w:themeColor="text1"/>
          <w:szCs w:val="22"/>
          <w:lang w:val="es-MX"/>
        </w:rPr>
        <w:t>ENTIDAD FEDERATIVA</w:t>
      </w:r>
    </w:p>
    <w:p w14:paraId="07E50616" w14:textId="0BED3461" w:rsidR="00F855F0" w:rsidRPr="00DB0A47" w:rsidRDefault="00FF2C45" w:rsidP="00DB0A47">
      <w:pPr>
        <w:ind w:left="-567"/>
        <w:rPr>
          <w:rFonts w:cs="Arial"/>
          <w:bCs/>
          <w:color w:val="000000" w:themeColor="text1"/>
        </w:rPr>
      </w:pPr>
      <w:r w:rsidRPr="00DB0A47">
        <w:rPr>
          <w:color w:val="000000" w:themeColor="text1"/>
          <w:lang w:val="es-MX"/>
        </w:rPr>
        <w:t xml:space="preserve">A nivel nacional la tasa de defunciones </w:t>
      </w:r>
      <w:r w:rsidR="00882A65" w:rsidRPr="00DB0A47">
        <w:rPr>
          <w:color w:val="000000" w:themeColor="text1"/>
          <w:lang w:val="es-MX"/>
        </w:rPr>
        <w:t xml:space="preserve">por </w:t>
      </w:r>
      <w:r w:rsidRPr="00DB0A47">
        <w:rPr>
          <w:color w:val="000000" w:themeColor="text1"/>
          <w:lang w:val="es-MX"/>
        </w:rPr>
        <w:t>accidentes de transporte en 2018 es de 1</w:t>
      </w:r>
      <w:r w:rsidR="00DB65C9" w:rsidRPr="00DB0A47">
        <w:rPr>
          <w:color w:val="000000" w:themeColor="text1"/>
          <w:lang w:val="es-MX"/>
        </w:rPr>
        <w:t>2.8</w:t>
      </w:r>
      <w:r w:rsidRPr="00DB0A47">
        <w:rPr>
          <w:color w:val="000000" w:themeColor="text1"/>
          <w:lang w:val="es-MX"/>
        </w:rPr>
        <w:t xml:space="preserve"> defunciones por cada 100 000 habitantes</w:t>
      </w:r>
      <w:r w:rsidR="00DB0A47">
        <w:rPr>
          <w:color w:val="000000" w:themeColor="text1"/>
          <w:lang w:val="es-MX"/>
        </w:rPr>
        <w:t xml:space="preserve">. </w:t>
      </w:r>
      <w:r w:rsidRPr="00DB0A47">
        <w:rPr>
          <w:color w:val="000000" w:themeColor="text1"/>
          <w:lang w:val="es-MX"/>
        </w:rPr>
        <w:t xml:space="preserve">20 entidades superan este valor y 12 reportan tasas inferiores. </w:t>
      </w:r>
      <w:r w:rsidR="00F855F0" w:rsidRPr="00DB0A47">
        <w:rPr>
          <w:rFonts w:cs="Arial"/>
          <w:bCs/>
          <w:color w:val="000000" w:themeColor="text1"/>
        </w:rPr>
        <w:t>Las entidades federativas</w:t>
      </w:r>
      <w:r w:rsidR="00F855F0" w:rsidRPr="00DB0A47">
        <w:rPr>
          <w:rStyle w:val="Refdenotaalpie"/>
          <w:rFonts w:cs="Arial"/>
          <w:bCs/>
          <w:color w:val="000000" w:themeColor="text1"/>
        </w:rPr>
        <w:footnoteReference w:id="2"/>
      </w:r>
      <w:r w:rsidR="00F855F0" w:rsidRPr="00DB0A47">
        <w:rPr>
          <w:rFonts w:cs="Arial"/>
          <w:bCs/>
          <w:color w:val="000000" w:themeColor="text1"/>
        </w:rPr>
        <w:t xml:space="preserve"> que </w:t>
      </w:r>
      <w:r w:rsidR="00512286" w:rsidRPr="00DB0A47">
        <w:rPr>
          <w:rFonts w:cs="Arial"/>
          <w:bCs/>
          <w:color w:val="000000" w:themeColor="text1"/>
        </w:rPr>
        <w:t xml:space="preserve">en </w:t>
      </w:r>
      <w:r w:rsidR="00F855F0" w:rsidRPr="00DB0A47">
        <w:rPr>
          <w:rFonts w:cs="Arial"/>
          <w:bCs/>
          <w:color w:val="000000" w:themeColor="text1"/>
        </w:rPr>
        <w:t>201</w:t>
      </w:r>
      <w:r w:rsidR="005C6D1F" w:rsidRPr="00DB0A47">
        <w:rPr>
          <w:rFonts w:cs="Arial"/>
          <w:bCs/>
          <w:color w:val="000000" w:themeColor="text1"/>
        </w:rPr>
        <w:t>8</w:t>
      </w:r>
      <w:r w:rsidR="00F855F0" w:rsidRPr="00DB0A47">
        <w:rPr>
          <w:rFonts w:cs="Arial"/>
          <w:bCs/>
          <w:color w:val="000000" w:themeColor="text1"/>
        </w:rPr>
        <w:t xml:space="preserve"> </w:t>
      </w:r>
      <w:r w:rsidR="00512286" w:rsidRPr="00DB0A47">
        <w:rPr>
          <w:rFonts w:cs="Arial"/>
          <w:bCs/>
          <w:color w:val="000000" w:themeColor="text1"/>
        </w:rPr>
        <w:t>reportan</w:t>
      </w:r>
      <w:r w:rsidR="00F855F0" w:rsidRPr="00DB0A47">
        <w:rPr>
          <w:rFonts w:cs="Arial"/>
          <w:bCs/>
          <w:color w:val="000000" w:themeColor="text1"/>
        </w:rPr>
        <w:t xml:space="preserve"> las tasas de defunciones por accidentes de transporte más altas son: Zacatecas, </w:t>
      </w:r>
      <w:r w:rsidR="009E6908" w:rsidRPr="00DB0A47">
        <w:rPr>
          <w:rFonts w:cs="Arial"/>
          <w:bCs/>
          <w:color w:val="000000" w:themeColor="text1"/>
        </w:rPr>
        <w:t xml:space="preserve">Nayarit, </w:t>
      </w:r>
      <w:r w:rsidR="00A809C9" w:rsidRPr="00DB0A47">
        <w:rPr>
          <w:rFonts w:cs="Arial"/>
          <w:bCs/>
          <w:color w:val="000000" w:themeColor="text1"/>
        </w:rPr>
        <w:t>D</w:t>
      </w:r>
      <w:r w:rsidR="009E6908" w:rsidRPr="00DB0A47">
        <w:rPr>
          <w:rFonts w:cs="Arial"/>
          <w:bCs/>
          <w:color w:val="000000" w:themeColor="text1"/>
        </w:rPr>
        <w:t>urango</w:t>
      </w:r>
      <w:r w:rsidR="00A809C9" w:rsidRPr="00DB0A47">
        <w:rPr>
          <w:rFonts w:cs="Arial"/>
          <w:bCs/>
          <w:color w:val="000000" w:themeColor="text1"/>
        </w:rPr>
        <w:t xml:space="preserve"> y Sinaloa,</w:t>
      </w:r>
      <w:r w:rsidR="00CD1C9A" w:rsidRPr="00DB0A47">
        <w:rPr>
          <w:rFonts w:cs="Arial"/>
          <w:bCs/>
          <w:color w:val="000000" w:themeColor="text1"/>
        </w:rPr>
        <w:t xml:space="preserve"> </w:t>
      </w:r>
      <w:r w:rsidR="00F855F0" w:rsidRPr="00DB0A47">
        <w:rPr>
          <w:rFonts w:cs="Arial"/>
          <w:bCs/>
          <w:color w:val="000000" w:themeColor="text1"/>
        </w:rPr>
        <w:t>(superiores a 2</w:t>
      </w:r>
      <w:r w:rsidR="00C9733C" w:rsidRPr="00DB0A47">
        <w:rPr>
          <w:rFonts w:cs="Arial"/>
          <w:bCs/>
          <w:color w:val="000000" w:themeColor="text1"/>
        </w:rPr>
        <w:t>0</w:t>
      </w:r>
      <w:r w:rsidR="00F855F0" w:rsidRPr="00DB0A47">
        <w:rPr>
          <w:rFonts w:cs="Arial"/>
          <w:bCs/>
          <w:color w:val="000000" w:themeColor="text1"/>
        </w:rPr>
        <w:t xml:space="preserve"> defunciones por cada 100 </w:t>
      </w:r>
      <w:r w:rsidR="00D63FFC" w:rsidRPr="00DB0A47">
        <w:rPr>
          <w:rFonts w:cs="Arial"/>
          <w:bCs/>
          <w:color w:val="000000" w:themeColor="text1"/>
        </w:rPr>
        <w:t xml:space="preserve">000 </w:t>
      </w:r>
      <w:r w:rsidR="00F855F0" w:rsidRPr="00DB0A47">
        <w:rPr>
          <w:rFonts w:cs="Arial"/>
          <w:bCs/>
          <w:color w:val="000000" w:themeColor="text1"/>
        </w:rPr>
        <w:t xml:space="preserve">habitantes). En contraste, la Ciudad de México, </w:t>
      </w:r>
      <w:r w:rsidR="009E6908" w:rsidRPr="00DB0A47">
        <w:rPr>
          <w:rFonts w:cs="Arial"/>
          <w:bCs/>
          <w:color w:val="000000" w:themeColor="text1"/>
        </w:rPr>
        <w:t>Veracruz</w:t>
      </w:r>
      <w:r w:rsidR="00CD1C9A" w:rsidRPr="00DB0A47">
        <w:rPr>
          <w:rFonts w:cs="Arial"/>
          <w:bCs/>
          <w:color w:val="000000" w:themeColor="text1"/>
        </w:rPr>
        <w:t>, Baja California</w:t>
      </w:r>
      <w:r w:rsidR="009E6908" w:rsidRPr="00DB0A47">
        <w:rPr>
          <w:rFonts w:cs="Arial"/>
          <w:bCs/>
          <w:color w:val="000000" w:themeColor="text1"/>
        </w:rPr>
        <w:t xml:space="preserve"> y México </w:t>
      </w:r>
      <w:r w:rsidR="00F855F0" w:rsidRPr="00DB0A47">
        <w:rPr>
          <w:rFonts w:cs="Arial"/>
          <w:bCs/>
          <w:color w:val="000000" w:themeColor="text1"/>
        </w:rPr>
        <w:t xml:space="preserve">reportan las tasas más bajas (con menos de </w:t>
      </w:r>
      <w:r w:rsidR="009E6908" w:rsidRPr="00DB0A47">
        <w:rPr>
          <w:rFonts w:cs="Arial"/>
          <w:bCs/>
          <w:color w:val="000000" w:themeColor="text1"/>
        </w:rPr>
        <w:t>8</w:t>
      </w:r>
      <w:r w:rsidR="008A01C2" w:rsidRPr="00DB0A47">
        <w:rPr>
          <w:rFonts w:cs="Arial"/>
          <w:bCs/>
          <w:color w:val="000000" w:themeColor="text1"/>
        </w:rPr>
        <w:t xml:space="preserve"> defunciones</w:t>
      </w:r>
      <w:r w:rsidR="00F855F0" w:rsidRPr="00DB0A47">
        <w:rPr>
          <w:rFonts w:cs="Arial"/>
          <w:bCs/>
          <w:color w:val="000000" w:themeColor="text1"/>
        </w:rPr>
        <w:t xml:space="preserve"> por cada 100 </w:t>
      </w:r>
      <w:r w:rsidR="00D63FFC" w:rsidRPr="00DB0A47">
        <w:rPr>
          <w:rFonts w:cs="Arial"/>
          <w:bCs/>
          <w:color w:val="000000" w:themeColor="text1"/>
        </w:rPr>
        <w:t xml:space="preserve">000 </w:t>
      </w:r>
      <w:r w:rsidR="00F855F0" w:rsidRPr="00DB0A47">
        <w:rPr>
          <w:rFonts w:cs="Arial"/>
          <w:bCs/>
          <w:color w:val="000000" w:themeColor="text1"/>
        </w:rPr>
        <w:t>habitantes).</w:t>
      </w:r>
    </w:p>
    <w:p w14:paraId="782722E6" w14:textId="77777777" w:rsidR="00F855F0" w:rsidRPr="009E6908" w:rsidRDefault="00F855F0" w:rsidP="00F855F0">
      <w:pPr>
        <w:rPr>
          <w:rFonts w:cs="Arial"/>
          <w:b/>
          <w:bCs/>
          <w:color w:val="FF0000"/>
        </w:rPr>
      </w:pPr>
    </w:p>
    <w:p w14:paraId="1072D881" w14:textId="77777777" w:rsidR="00F855F0" w:rsidRPr="005C6D1F" w:rsidRDefault="00F855F0" w:rsidP="00F855F0">
      <w:pPr>
        <w:rPr>
          <w:rFonts w:cs="Arial"/>
          <w:b/>
          <w:bCs/>
        </w:rPr>
      </w:pPr>
      <w:r w:rsidRPr="005C6D1F">
        <w:rPr>
          <w:rFonts w:cs="Arial"/>
          <w:b/>
          <w:bCs/>
        </w:rPr>
        <w:t xml:space="preserve">Tasa de defunciones causadas por accidentes de transporte según entidad federativa </w:t>
      </w:r>
    </w:p>
    <w:p w14:paraId="20E88596" w14:textId="77777777" w:rsidR="00F855F0" w:rsidRPr="005C6D1F" w:rsidRDefault="00F855F0" w:rsidP="00F855F0">
      <w:pPr>
        <w:rPr>
          <w:rFonts w:cs="Arial"/>
          <w:b/>
          <w:bCs/>
        </w:rPr>
      </w:pPr>
      <w:r w:rsidRPr="005C6D1F">
        <w:rPr>
          <w:rFonts w:cs="Arial"/>
          <w:b/>
          <w:bCs/>
        </w:rPr>
        <w:t xml:space="preserve">de ocurrencia </w:t>
      </w:r>
    </w:p>
    <w:p w14:paraId="1359923A" w14:textId="77777777" w:rsidR="00CD4201" w:rsidRPr="005C6D1F" w:rsidRDefault="00310C51" w:rsidP="00CD4201">
      <w:pPr>
        <w:rPr>
          <w:rFonts w:cs="Arial"/>
          <w:bCs/>
          <w:sz w:val="20"/>
          <w:szCs w:val="20"/>
        </w:rPr>
      </w:pPr>
      <w:r w:rsidRPr="005C6D1F">
        <w:rPr>
          <w:rFonts w:cs="Arial"/>
          <w:bCs/>
          <w:sz w:val="20"/>
          <w:szCs w:val="20"/>
        </w:rPr>
        <w:t>(</w:t>
      </w:r>
      <w:r w:rsidR="00CD4201" w:rsidRPr="005C6D1F">
        <w:rPr>
          <w:rFonts w:cs="Arial"/>
          <w:bCs/>
          <w:sz w:val="20"/>
          <w:szCs w:val="20"/>
        </w:rPr>
        <w:t>Por cada 100 000 habitantes</w:t>
      </w:r>
      <w:r w:rsidRPr="005C6D1F">
        <w:rPr>
          <w:rFonts w:cs="Arial"/>
          <w:bCs/>
          <w:sz w:val="20"/>
          <w:szCs w:val="20"/>
        </w:rPr>
        <w:t>)</w:t>
      </w:r>
    </w:p>
    <w:p w14:paraId="6E4B8087" w14:textId="77777777" w:rsidR="00F855F0" w:rsidRPr="005C6D1F" w:rsidRDefault="00F855F0" w:rsidP="00F855F0">
      <w:pPr>
        <w:rPr>
          <w:rFonts w:cs="Arial"/>
          <w:b/>
          <w:bCs/>
        </w:rPr>
      </w:pPr>
      <w:r w:rsidRPr="005C6D1F">
        <w:rPr>
          <w:rFonts w:cs="Arial"/>
          <w:b/>
          <w:bCs/>
        </w:rPr>
        <w:t>201</w:t>
      </w:r>
      <w:r w:rsidR="00CD1C9A" w:rsidRPr="005C6D1F">
        <w:rPr>
          <w:rFonts w:cs="Arial"/>
          <w:b/>
          <w:bCs/>
        </w:rPr>
        <w:t>8</w:t>
      </w:r>
    </w:p>
    <w:p w14:paraId="618EA37E" w14:textId="77777777" w:rsidR="00F855F0" w:rsidRDefault="00A809C9" w:rsidP="00F855F0">
      <w:pPr>
        <w:rPr>
          <w:rFonts w:cs="Arial"/>
          <w:b/>
          <w:bCs/>
        </w:rPr>
      </w:pPr>
      <w:r w:rsidRPr="00A809C9">
        <w:rPr>
          <w:noProof/>
          <w:lang w:val="en-US" w:eastAsia="en-US"/>
        </w:rPr>
        <w:drawing>
          <wp:anchor distT="0" distB="0" distL="114300" distR="114300" simplePos="0" relativeHeight="251696128" behindDoc="0" locked="0" layoutInCell="1" allowOverlap="1" wp14:anchorId="5522712F" wp14:editId="255CFC08">
            <wp:simplePos x="0" y="0"/>
            <wp:positionH relativeFrom="column">
              <wp:posOffset>11440</wp:posOffset>
            </wp:positionH>
            <wp:positionV relativeFrom="paragraph">
              <wp:posOffset>166322</wp:posOffset>
            </wp:positionV>
            <wp:extent cx="5663565" cy="4375785"/>
            <wp:effectExtent l="0" t="0" r="0" b="571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437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C9A" w:rsidRPr="00CD1C9A">
        <w:rPr>
          <w:rFonts w:cs="Arial"/>
          <w:b/>
          <w:bCs/>
        </w:rPr>
        <w:t xml:space="preserve"> </w:t>
      </w:r>
    </w:p>
    <w:p w14:paraId="3822FAB5" w14:textId="77777777" w:rsidR="00F855F0" w:rsidRPr="0057044B" w:rsidRDefault="00F855F0" w:rsidP="00F855F0">
      <w:pPr>
        <w:autoSpaceDE w:val="0"/>
        <w:autoSpaceDN w:val="0"/>
        <w:adjustRightInd w:val="0"/>
        <w:spacing w:before="40"/>
        <w:rPr>
          <w:rFonts w:eastAsia="Calibri" w:cs="Arial"/>
          <w:bCs/>
          <w:sz w:val="16"/>
          <w:szCs w:val="16"/>
        </w:rPr>
      </w:pPr>
      <w:r w:rsidRPr="0057044B">
        <w:rPr>
          <w:rFonts w:eastAsia="Calibri" w:cs="Arial"/>
          <w:bCs/>
          <w:sz w:val="16"/>
          <w:szCs w:val="16"/>
        </w:rPr>
        <w:t>Fuente: INEGI</w:t>
      </w:r>
      <w:r w:rsidRPr="0057044B">
        <w:rPr>
          <w:rFonts w:cs="Arial"/>
          <w:bCs/>
          <w:sz w:val="16"/>
          <w:szCs w:val="16"/>
        </w:rPr>
        <w:t>. Estadísticas de mortalidad</w:t>
      </w:r>
      <w:r w:rsidRPr="0057044B">
        <w:rPr>
          <w:rFonts w:eastAsia="Calibri" w:cs="Arial"/>
          <w:bCs/>
          <w:sz w:val="16"/>
          <w:szCs w:val="16"/>
        </w:rPr>
        <w:t xml:space="preserve"> 201</w:t>
      </w:r>
      <w:r w:rsidR="00CD1C9A" w:rsidRPr="0057044B">
        <w:rPr>
          <w:rFonts w:eastAsia="Calibri" w:cs="Arial"/>
          <w:bCs/>
          <w:sz w:val="16"/>
          <w:szCs w:val="16"/>
        </w:rPr>
        <w:t>8</w:t>
      </w:r>
      <w:r w:rsidRPr="0057044B">
        <w:rPr>
          <w:rFonts w:eastAsia="Calibri" w:cs="Arial"/>
          <w:bCs/>
          <w:sz w:val="16"/>
          <w:szCs w:val="16"/>
        </w:rPr>
        <w:t xml:space="preserve">. </w:t>
      </w:r>
    </w:p>
    <w:p w14:paraId="30F8B4BE" w14:textId="77777777" w:rsidR="00F855F0" w:rsidRPr="0057044B" w:rsidRDefault="00F855F0" w:rsidP="00F855F0">
      <w:pPr>
        <w:autoSpaceDE w:val="0"/>
        <w:autoSpaceDN w:val="0"/>
        <w:adjustRightInd w:val="0"/>
        <w:rPr>
          <w:rFonts w:cs="Arial"/>
          <w:sz w:val="16"/>
          <w:szCs w:val="16"/>
          <w:lang w:val="es-MX"/>
        </w:rPr>
      </w:pPr>
      <w:r w:rsidRPr="0057044B">
        <w:rPr>
          <w:rFonts w:cs="Arial"/>
          <w:sz w:val="16"/>
          <w:szCs w:val="16"/>
          <w:lang w:val="es-MX"/>
        </w:rPr>
        <w:t xml:space="preserve">             CONAPO. Proyecciones de la población de México 2010-2050. </w:t>
      </w:r>
    </w:p>
    <w:p w14:paraId="503A9F56" w14:textId="0B8E27FA" w:rsidR="00F93DCC" w:rsidRPr="00DB0A47" w:rsidRDefault="00F93DCC" w:rsidP="00DB0A47">
      <w:pPr>
        <w:pStyle w:val="Prrafodelista"/>
        <w:spacing w:line="264" w:lineRule="auto"/>
        <w:ind w:left="0"/>
        <w:jc w:val="center"/>
        <w:rPr>
          <w:rFonts w:ascii="Arial" w:hAnsi="Arial"/>
          <w:b/>
          <w:bCs/>
          <w:color w:val="000000" w:themeColor="text1"/>
          <w:sz w:val="22"/>
          <w:szCs w:val="22"/>
          <w:lang w:val="es-MX"/>
        </w:rPr>
      </w:pPr>
    </w:p>
    <w:p w14:paraId="73FF7690" w14:textId="77777777" w:rsidR="00F855F0" w:rsidRPr="00DB0A47" w:rsidRDefault="00F855F0" w:rsidP="00DB0A47">
      <w:pPr>
        <w:spacing w:after="200" w:line="276" w:lineRule="auto"/>
        <w:ind w:left="-567"/>
        <w:jc w:val="left"/>
        <w:rPr>
          <w:b/>
          <w:bCs/>
          <w:color w:val="000000" w:themeColor="text1"/>
          <w:sz w:val="20"/>
          <w:szCs w:val="20"/>
          <w:lang w:val="es-MX"/>
        </w:rPr>
      </w:pPr>
      <w:r w:rsidRPr="00DB0A47">
        <w:rPr>
          <w:b/>
          <w:bCs/>
          <w:color w:val="000000" w:themeColor="text1"/>
          <w:sz w:val="20"/>
          <w:szCs w:val="20"/>
          <w:lang w:val="es-MX"/>
        </w:rPr>
        <w:t>REFERENCIAS</w:t>
      </w:r>
    </w:p>
    <w:p w14:paraId="2A7467BA" w14:textId="77777777" w:rsidR="00F855F0" w:rsidRPr="00DB0A47" w:rsidRDefault="00F855F0" w:rsidP="00DB0A47">
      <w:pPr>
        <w:spacing w:after="240"/>
        <w:ind w:left="-567"/>
        <w:rPr>
          <w:rFonts w:cs="Arial"/>
          <w:sz w:val="20"/>
          <w:szCs w:val="20"/>
        </w:rPr>
      </w:pPr>
      <w:r w:rsidRPr="00DB0A47">
        <w:rPr>
          <w:rFonts w:cs="Arial"/>
          <w:sz w:val="20"/>
          <w:szCs w:val="20"/>
        </w:rPr>
        <w:t xml:space="preserve">Organización de las Naciones Unidas [ONU] (2015). </w:t>
      </w:r>
      <w:r w:rsidRPr="00DB0A47">
        <w:rPr>
          <w:rFonts w:cs="Arial"/>
          <w:i/>
          <w:sz w:val="20"/>
          <w:szCs w:val="20"/>
        </w:rPr>
        <w:t>Las Naciones Unidas y la seguridad vial</w:t>
      </w:r>
      <w:r w:rsidRPr="00DB0A47">
        <w:rPr>
          <w:rFonts w:cs="Arial"/>
          <w:sz w:val="20"/>
          <w:szCs w:val="20"/>
        </w:rPr>
        <w:t xml:space="preserve">. Recuperado el </w:t>
      </w:r>
      <w:r w:rsidR="00A90C00" w:rsidRPr="00DB0A47">
        <w:rPr>
          <w:rFonts w:cs="Arial"/>
          <w:sz w:val="20"/>
          <w:szCs w:val="20"/>
        </w:rPr>
        <w:t>5</w:t>
      </w:r>
      <w:r w:rsidRPr="00DB0A47">
        <w:rPr>
          <w:rFonts w:cs="Arial"/>
          <w:sz w:val="20"/>
          <w:szCs w:val="20"/>
        </w:rPr>
        <w:t xml:space="preserve"> de </w:t>
      </w:r>
      <w:r w:rsidR="00A90C00" w:rsidRPr="00DB0A47">
        <w:rPr>
          <w:rFonts w:cs="Arial"/>
          <w:sz w:val="20"/>
          <w:szCs w:val="20"/>
        </w:rPr>
        <w:t>julio</w:t>
      </w:r>
      <w:r w:rsidRPr="00DB0A47">
        <w:rPr>
          <w:rFonts w:cs="Arial"/>
          <w:sz w:val="20"/>
          <w:szCs w:val="20"/>
        </w:rPr>
        <w:t xml:space="preserve"> de 201</w:t>
      </w:r>
      <w:r w:rsidR="00A90C00" w:rsidRPr="00DB0A47">
        <w:rPr>
          <w:rFonts w:cs="Arial"/>
          <w:sz w:val="20"/>
          <w:szCs w:val="20"/>
        </w:rPr>
        <w:t>9</w:t>
      </w:r>
      <w:r w:rsidRPr="00DB0A47">
        <w:rPr>
          <w:rFonts w:cs="Arial"/>
          <w:sz w:val="20"/>
          <w:szCs w:val="20"/>
        </w:rPr>
        <w:t xml:space="preserve">, de: </w:t>
      </w:r>
      <w:hyperlink r:id="rId14" w:history="1">
        <w:r w:rsidRPr="00DB0A47">
          <w:rPr>
            <w:rStyle w:val="Hipervnculo"/>
            <w:rFonts w:cs="Arial"/>
            <w:sz w:val="20"/>
            <w:szCs w:val="20"/>
          </w:rPr>
          <w:t>http://www.un.org/es/roadsafety/remembrance.shtml</w:t>
        </w:r>
      </w:hyperlink>
      <w:r w:rsidRPr="00DB0A47">
        <w:rPr>
          <w:rFonts w:cs="Arial"/>
          <w:sz w:val="20"/>
          <w:szCs w:val="20"/>
        </w:rPr>
        <w:t>.</w:t>
      </w:r>
    </w:p>
    <w:p w14:paraId="4EBC1652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  <w:r w:rsidRPr="00DB0A47">
        <w:rPr>
          <w:rFonts w:cs="Arial"/>
          <w:sz w:val="20"/>
          <w:szCs w:val="20"/>
        </w:rPr>
        <w:t xml:space="preserve">Organización de las Naciones Unidas para la Educación, </w:t>
      </w:r>
      <w:r w:rsidR="00512286" w:rsidRPr="00DB0A47">
        <w:rPr>
          <w:rFonts w:cs="Arial"/>
          <w:sz w:val="20"/>
          <w:szCs w:val="20"/>
        </w:rPr>
        <w:t xml:space="preserve">la Ciencia y la Cultura </w:t>
      </w:r>
      <w:r w:rsidR="00551CB6" w:rsidRPr="00DB0A47">
        <w:rPr>
          <w:rFonts w:cs="Arial"/>
          <w:sz w:val="20"/>
          <w:szCs w:val="20"/>
        </w:rPr>
        <w:t>[</w:t>
      </w:r>
      <w:r w:rsidR="00512286" w:rsidRPr="00DB0A47">
        <w:rPr>
          <w:rFonts w:cs="Arial"/>
          <w:sz w:val="20"/>
          <w:szCs w:val="20"/>
        </w:rPr>
        <w:t>UNESCO</w:t>
      </w:r>
      <w:r w:rsidR="00551CB6" w:rsidRPr="00DB0A47">
        <w:rPr>
          <w:rFonts w:cs="Arial"/>
          <w:sz w:val="20"/>
          <w:szCs w:val="20"/>
        </w:rPr>
        <w:t>]</w:t>
      </w:r>
      <w:r w:rsidRPr="00DB0A47">
        <w:rPr>
          <w:rFonts w:cs="Arial"/>
          <w:sz w:val="20"/>
          <w:szCs w:val="20"/>
        </w:rPr>
        <w:t xml:space="preserve"> (s/f). </w:t>
      </w:r>
      <w:r w:rsidRPr="00DB0A47">
        <w:rPr>
          <w:rFonts w:cs="Arial"/>
          <w:i/>
          <w:sz w:val="20"/>
          <w:szCs w:val="20"/>
        </w:rPr>
        <w:t>Las fiestas indígenas dedicadas a los muertos.</w:t>
      </w:r>
      <w:r w:rsidRPr="00DB0A47">
        <w:rPr>
          <w:rFonts w:cs="Arial"/>
          <w:sz w:val="20"/>
          <w:szCs w:val="20"/>
        </w:rPr>
        <w:t xml:space="preserve"> Recuperado el 27 de </w:t>
      </w:r>
      <w:r w:rsidR="00357EFA" w:rsidRPr="00DB0A47">
        <w:rPr>
          <w:rFonts w:cs="Arial"/>
          <w:sz w:val="20"/>
          <w:szCs w:val="20"/>
        </w:rPr>
        <w:t>junio</w:t>
      </w:r>
      <w:r w:rsidRPr="00DB0A47">
        <w:rPr>
          <w:rFonts w:cs="Arial"/>
          <w:sz w:val="20"/>
          <w:szCs w:val="20"/>
        </w:rPr>
        <w:t xml:space="preserve"> de 201</w:t>
      </w:r>
      <w:r w:rsidR="00357EFA" w:rsidRPr="00DB0A47">
        <w:rPr>
          <w:rFonts w:cs="Arial"/>
          <w:sz w:val="20"/>
          <w:szCs w:val="20"/>
        </w:rPr>
        <w:t>9</w:t>
      </w:r>
      <w:r w:rsidRPr="00DB0A47">
        <w:rPr>
          <w:rFonts w:cs="Arial"/>
          <w:sz w:val="20"/>
          <w:szCs w:val="20"/>
        </w:rPr>
        <w:t xml:space="preserve">, de: </w:t>
      </w:r>
      <w:hyperlink r:id="rId15" w:anchor="identification" w:history="1">
        <w:r w:rsidRPr="00DB0A47">
          <w:rPr>
            <w:rStyle w:val="Hipervnculo"/>
            <w:rFonts w:cs="Arial"/>
            <w:sz w:val="20"/>
            <w:szCs w:val="20"/>
          </w:rPr>
          <w:t>https://ich.unesco.org/es/RL/las-fiestas-indigenas-dedicadas-a-los-muertos-00054#identification</w:t>
        </w:r>
      </w:hyperlink>
      <w:r w:rsidR="00820C24" w:rsidRPr="00DB0A47">
        <w:rPr>
          <w:rStyle w:val="Hipervnculo"/>
          <w:rFonts w:cs="Arial"/>
          <w:sz w:val="20"/>
          <w:szCs w:val="20"/>
        </w:rPr>
        <w:t>.</w:t>
      </w:r>
    </w:p>
    <w:p w14:paraId="20B13A22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</w:p>
    <w:p w14:paraId="4A0FE4DF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  <w:r w:rsidRPr="00DB0A47">
        <w:rPr>
          <w:rFonts w:cs="Arial"/>
          <w:sz w:val="20"/>
          <w:szCs w:val="20"/>
        </w:rPr>
        <w:lastRenderedPageBreak/>
        <w:t xml:space="preserve">Organización Mundial de la Salud </w:t>
      </w:r>
      <w:r w:rsidR="00551CB6" w:rsidRPr="00DB0A47">
        <w:rPr>
          <w:rFonts w:cs="Arial"/>
          <w:sz w:val="20"/>
          <w:szCs w:val="20"/>
        </w:rPr>
        <w:t>[</w:t>
      </w:r>
      <w:r w:rsidR="00512286" w:rsidRPr="00DB0A47">
        <w:rPr>
          <w:rFonts w:cs="Arial"/>
          <w:sz w:val="20"/>
          <w:szCs w:val="20"/>
        </w:rPr>
        <w:t>OMS</w:t>
      </w:r>
      <w:r w:rsidR="00551CB6" w:rsidRPr="00DB0A47">
        <w:rPr>
          <w:rFonts w:cs="Arial"/>
          <w:sz w:val="20"/>
          <w:szCs w:val="20"/>
        </w:rPr>
        <w:t>]</w:t>
      </w:r>
      <w:r w:rsidRPr="00DB0A47">
        <w:rPr>
          <w:rFonts w:cs="Arial"/>
          <w:sz w:val="20"/>
          <w:szCs w:val="20"/>
        </w:rPr>
        <w:t xml:space="preserve"> (2018</w:t>
      </w:r>
      <w:r w:rsidRPr="00DB0A47">
        <w:rPr>
          <w:rFonts w:eastAsia="Calibri" w:cs="Arial"/>
          <w:sz w:val="20"/>
          <w:szCs w:val="20"/>
          <w:lang w:val="es-MX" w:eastAsia="es-MX"/>
        </w:rPr>
        <w:t xml:space="preserve">). </w:t>
      </w:r>
      <w:r w:rsidRPr="00DB0A47">
        <w:rPr>
          <w:rFonts w:cs="Arial"/>
          <w:i/>
          <w:sz w:val="20"/>
          <w:szCs w:val="20"/>
        </w:rPr>
        <w:t xml:space="preserve">Lesiones causadas por tránsito. </w:t>
      </w:r>
      <w:r w:rsidRPr="00DB0A47">
        <w:rPr>
          <w:rFonts w:cs="Arial"/>
          <w:sz w:val="20"/>
          <w:szCs w:val="20"/>
        </w:rPr>
        <w:t xml:space="preserve">Recuperado el 27 de </w:t>
      </w:r>
      <w:r w:rsidR="00616CE1" w:rsidRPr="00DB0A47">
        <w:rPr>
          <w:rFonts w:cs="Arial"/>
          <w:sz w:val="20"/>
          <w:szCs w:val="20"/>
        </w:rPr>
        <w:t>junio</w:t>
      </w:r>
      <w:r w:rsidRPr="00DB0A47">
        <w:rPr>
          <w:rFonts w:cs="Arial"/>
          <w:sz w:val="20"/>
          <w:szCs w:val="20"/>
        </w:rPr>
        <w:t xml:space="preserve"> de 201</w:t>
      </w:r>
      <w:r w:rsidR="00616CE1" w:rsidRPr="00DB0A47">
        <w:rPr>
          <w:rFonts w:cs="Arial"/>
          <w:sz w:val="20"/>
          <w:szCs w:val="20"/>
        </w:rPr>
        <w:t>9</w:t>
      </w:r>
      <w:r w:rsidRPr="00DB0A47">
        <w:rPr>
          <w:rFonts w:cs="Arial"/>
          <w:sz w:val="20"/>
          <w:szCs w:val="20"/>
        </w:rPr>
        <w:t xml:space="preserve">, de: </w:t>
      </w:r>
      <w:hyperlink r:id="rId16" w:history="1">
        <w:r w:rsidRPr="00DB0A47">
          <w:rPr>
            <w:rStyle w:val="Hipervnculo"/>
            <w:rFonts w:cs="Arial"/>
            <w:sz w:val="20"/>
            <w:szCs w:val="20"/>
          </w:rPr>
          <w:t>http://www.who.int/es/news-room/fact-sheets/detail/road-traffic-injuries</w:t>
        </w:r>
      </w:hyperlink>
      <w:r w:rsidRPr="00DB0A47">
        <w:rPr>
          <w:rFonts w:cs="Arial"/>
          <w:sz w:val="20"/>
          <w:szCs w:val="20"/>
        </w:rPr>
        <w:t>.</w:t>
      </w:r>
    </w:p>
    <w:p w14:paraId="5ECC1387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</w:p>
    <w:p w14:paraId="56161E0C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  <w:r w:rsidRPr="00DB0A47">
        <w:rPr>
          <w:rFonts w:cs="Arial"/>
          <w:b/>
          <w:bCs/>
          <w:sz w:val="20"/>
          <w:szCs w:val="20"/>
        </w:rPr>
        <w:t>——</w:t>
      </w:r>
      <w:r w:rsidRPr="00DB0A47">
        <w:rPr>
          <w:rFonts w:cs="Arial"/>
          <w:sz w:val="20"/>
          <w:szCs w:val="20"/>
        </w:rPr>
        <w:t xml:space="preserve"> (2013a). </w:t>
      </w:r>
      <w:r w:rsidRPr="00DB0A47">
        <w:rPr>
          <w:rFonts w:cs="Arial"/>
          <w:i/>
          <w:sz w:val="20"/>
          <w:szCs w:val="20"/>
        </w:rPr>
        <w:t>Informe sobre la situación mundial de la seguridad vial 2013. Apoyo al decenio de acción.</w:t>
      </w:r>
      <w:r w:rsidRPr="00DB0A47">
        <w:rPr>
          <w:rFonts w:cs="Arial"/>
          <w:sz w:val="20"/>
          <w:szCs w:val="20"/>
        </w:rPr>
        <w:t xml:space="preserve"> Recuperado el 2 de </w:t>
      </w:r>
      <w:r w:rsidR="00616CE1" w:rsidRPr="00DB0A47">
        <w:rPr>
          <w:rFonts w:cs="Arial"/>
          <w:sz w:val="20"/>
          <w:szCs w:val="20"/>
        </w:rPr>
        <w:t>julio</w:t>
      </w:r>
      <w:r w:rsidRPr="00DB0A47">
        <w:rPr>
          <w:rFonts w:cs="Arial"/>
          <w:sz w:val="20"/>
          <w:szCs w:val="20"/>
        </w:rPr>
        <w:t xml:space="preserve"> de 201</w:t>
      </w:r>
      <w:r w:rsidR="00616CE1" w:rsidRPr="00DB0A47">
        <w:rPr>
          <w:rFonts w:cs="Arial"/>
          <w:sz w:val="20"/>
          <w:szCs w:val="20"/>
        </w:rPr>
        <w:t>9</w:t>
      </w:r>
      <w:r w:rsidRPr="00DB0A47">
        <w:rPr>
          <w:rFonts w:cs="Arial"/>
          <w:sz w:val="20"/>
          <w:szCs w:val="20"/>
        </w:rPr>
        <w:t xml:space="preserve">, de: </w:t>
      </w:r>
      <w:hyperlink r:id="rId17" w:history="1">
        <w:r w:rsidRPr="00DB0A47">
          <w:rPr>
            <w:rStyle w:val="Hipervnculo"/>
            <w:rFonts w:cs="Arial"/>
            <w:sz w:val="20"/>
            <w:szCs w:val="20"/>
          </w:rPr>
          <w:t>http://www.who.int/violence_injury_prevention/road_safety_status/2013/report/summary_es.pdf</w:t>
        </w:r>
      </w:hyperlink>
      <w:r w:rsidRPr="00DB0A47">
        <w:rPr>
          <w:rFonts w:cs="Arial"/>
          <w:sz w:val="20"/>
          <w:szCs w:val="20"/>
        </w:rPr>
        <w:t>.</w:t>
      </w:r>
    </w:p>
    <w:p w14:paraId="298BA3CD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</w:p>
    <w:p w14:paraId="6D17C976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  <w:r w:rsidRPr="00DB0A47">
        <w:rPr>
          <w:rFonts w:cs="Arial"/>
          <w:b/>
          <w:bCs/>
          <w:sz w:val="20"/>
          <w:szCs w:val="20"/>
        </w:rPr>
        <w:t>——</w:t>
      </w:r>
      <w:r w:rsidRPr="00DB0A47">
        <w:rPr>
          <w:rFonts w:cs="Arial"/>
          <w:sz w:val="20"/>
          <w:szCs w:val="20"/>
        </w:rPr>
        <w:t xml:space="preserve"> (2013b</w:t>
      </w:r>
      <w:r w:rsidRPr="00DB0A47">
        <w:rPr>
          <w:rFonts w:eastAsia="Calibri" w:cs="Arial"/>
          <w:sz w:val="20"/>
          <w:szCs w:val="20"/>
          <w:lang w:val="es-MX" w:eastAsia="es-MX"/>
        </w:rPr>
        <w:t xml:space="preserve">). </w:t>
      </w:r>
      <w:r w:rsidRPr="00DB0A47">
        <w:rPr>
          <w:rFonts w:cs="Arial"/>
          <w:i/>
          <w:sz w:val="20"/>
          <w:szCs w:val="20"/>
        </w:rPr>
        <w:t>Seguridad peatonal. Manual de seguridad vial para instancias decisorias y profesionales.</w:t>
      </w:r>
      <w:r w:rsidRPr="00DB0A47">
        <w:rPr>
          <w:rFonts w:cs="Arial"/>
          <w:sz w:val="20"/>
          <w:szCs w:val="20"/>
        </w:rPr>
        <w:t xml:space="preserve"> Recuperado el 23 de </w:t>
      </w:r>
      <w:r w:rsidR="000C5BCC" w:rsidRPr="00DB0A47">
        <w:rPr>
          <w:rFonts w:cs="Arial"/>
          <w:sz w:val="20"/>
          <w:szCs w:val="20"/>
        </w:rPr>
        <w:t>junio</w:t>
      </w:r>
      <w:r w:rsidRPr="00DB0A47">
        <w:rPr>
          <w:rFonts w:cs="Arial"/>
          <w:sz w:val="20"/>
          <w:szCs w:val="20"/>
        </w:rPr>
        <w:t xml:space="preserve"> de 201</w:t>
      </w:r>
      <w:r w:rsidR="000C5BCC" w:rsidRPr="00DB0A47">
        <w:rPr>
          <w:rFonts w:cs="Arial"/>
          <w:sz w:val="20"/>
          <w:szCs w:val="20"/>
        </w:rPr>
        <w:t>9</w:t>
      </w:r>
      <w:r w:rsidRPr="00DB0A47">
        <w:rPr>
          <w:rFonts w:cs="Arial"/>
          <w:sz w:val="20"/>
          <w:szCs w:val="20"/>
        </w:rPr>
        <w:t xml:space="preserve">, de: </w:t>
      </w:r>
      <w:hyperlink r:id="rId18" w:history="1">
        <w:r w:rsidRPr="00DB0A47">
          <w:rPr>
            <w:rStyle w:val="Hipervnculo"/>
            <w:rFonts w:cs="Arial"/>
            <w:sz w:val="20"/>
            <w:szCs w:val="20"/>
          </w:rPr>
          <w:t>http://apps.who.int/iris/bitstream/handle/10665/128043/9789243505350_spa.pdf?sequence=1</w:t>
        </w:r>
      </w:hyperlink>
      <w:r w:rsidRPr="00DB0A47">
        <w:rPr>
          <w:rFonts w:cs="Arial"/>
          <w:sz w:val="20"/>
          <w:szCs w:val="20"/>
        </w:rPr>
        <w:t>.</w:t>
      </w:r>
    </w:p>
    <w:p w14:paraId="4498937A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</w:p>
    <w:p w14:paraId="2C5E8078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  <w:r w:rsidRPr="00DB0A47">
        <w:rPr>
          <w:rFonts w:cs="Arial"/>
          <w:b/>
          <w:bCs/>
          <w:sz w:val="20"/>
          <w:szCs w:val="20"/>
        </w:rPr>
        <w:t>——</w:t>
      </w:r>
      <w:r w:rsidRPr="00DB0A47">
        <w:rPr>
          <w:rFonts w:cs="Arial"/>
          <w:sz w:val="20"/>
          <w:szCs w:val="20"/>
        </w:rPr>
        <w:t xml:space="preserve"> (</w:t>
      </w:r>
      <w:r w:rsidRPr="00DB0A47">
        <w:rPr>
          <w:rFonts w:eastAsia="Calibri" w:cs="Arial"/>
          <w:sz w:val="20"/>
          <w:szCs w:val="20"/>
          <w:lang w:val="es-MX" w:eastAsia="es-MX"/>
        </w:rPr>
        <w:t xml:space="preserve">s/f a). </w:t>
      </w:r>
      <w:r w:rsidRPr="00DB0A47">
        <w:rPr>
          <w:rFonts w:cs="Arial"/>
          <w:i/>
          <w:sz w:val="20"/>
          <w:szCs w:val="20"/>
        </w:rPr>
        <w:t>Objetivos de Desarrollo Sostenible.</w:t>
      </w:r>
      <w:r w:rsidRPr="00DB0A47">
        <w:rPr>
          <w:rFonts w:cs="Arial"/>
          <w:sz w:val="20"/>
          <w:szCs w:val="20"/>
        </w:rPr>
        <w:t xml:space="preserve"> </w:t>
      </w:r>
      <w:r w:rsidRPr="00DB0A47">
        <w:rPr>
          <w:rFonts w:cs="Arial"/>
          <w:i/>
          <w:sz w:val="20"/>
          <w:szCs w:val="20"/>
        </w:rPr>
        <w:t xml:space="preserve">Objetivo 3: Garantizar una vida sana y promover el bienestar para todas las edades. </w:t>
      </w:r>
      <w:r w:rsidRPr="00DB0A47">
        <w:rPr>
          <w:rFonts w:cs="Arial"/>
          <w:sz w:val="20"/>
          <w:szCs w:val="20"/>
        </w:rPr>
        <w:t xml:space="preserve">Recuperado el 23 de </w:t>
      </w:r>
      <w:r w:rsidR="003472EA" w:rsidRPr="00DB0A47">
        <w:rPr>
          <w:rFonts w:cs="Arial"/>
          <w:sz w:val="20"/>
          <w:szCs w:val="20"/>
        </w:rPr>
        <w:t>junio</w:t>
      </w:r>
      <w:r w:rsidRPr="00DB0A47">
        <w:rPr>
          <w:rFonts w:cs="Arial"/>
          <w:sz w:val="20"/>
          <w:szCs w:val="20"/>
        </w:rPr>
        <w:t xml:space="preserve"> de 201</w:t>
      </w:r>
      <w:r w:rsidR="003472EA" w:rsidRPr="00DB0A47">
        <w:rPr>
          <w:rFonts w:cs="Arial"/>
          <w:sz w:val="20"/>
          <w:szCs w:val="20"/>
        </w:rPr>
        <w:t>9</w:t>
      </w:r>
      <w:r w:rsidRPr="00DB0A47">
        <w:rPr>
          <w:rFonts w:cs="Arial"/>
          <w:sz w:val="20"/>
          <w:szCs w:val="20"/>
        </w:rPr>
        <w:t xml:space="preserve">, de: </w:t>
      </w:r>
      <w:hyperlink r:id="rId19" w:history="1">
        <w:r w:rsidRPr="00DB0A47">
          <w:rPr>
            <w:rStyle w:val="Hipervnculo"/>
            <w:rFonts w:cs="Arial"/>
            <w:sz w:val="20"/>
            <w:szCs w:val="20"/>
          </w:rPr>
          <w:t>https://www.un.org/sustainabledevelopment/es/health/</w:t>
        </w:r>
      </w:hyperlink>
      <w:r w:rsidRPr="00DB0A47">
        <w:rPr>
          <w:rFonts w:cs="Arial"/>
          <w:sz w:val="20"/>
          <w:szCs w:val="20"/>
        </w:rPr>
        <w:t>.</w:t>
      </w:r>
    </w:p>
    <w:p w14:paraId="40734A92" w14:textId="77777777" w:rsidR="00F855F0" w:rsidRPr="00DB0A47" w:rsidRDefault="00F855F0" w:rsidP="00DB0A47">
      <w:pPr>
        <w:ind w:left="-567"/>
        <w:rPr>
          <w:rFonts w:cs="Arial"/>
          <w:b/>
          <w:bCs/>
          <w:sz w:val="20"/>
          <w:szCs w:val="20"/>
        </w:rPr>
      </w:pPr>
    </w:p>
    <w:p w14:paraId="220087C0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  <w:r w:rsidRPr="00DB0A47">
        <w:rPr>
          <w:rFonts w:cs="Arial"/>
          <w:b/>
          <w:bCs/>
          <w:sz w:val="20"/>
          <w:szCs w:val="20"/>
        </w:rPr>
        <w:t>——</w:t>
      </w:r>
      <w:r w:rsidRPr="00DB0A47">
        <w:rPr>
          <w:rFonts w:cs="Arial"/>
          <w:sz w:val="20"/>
          <w:szCs w:val="20"/>
        </w:rPr>
        <w:t xml:space="preserve"> (s/f b</w:t>
      </w:r>
      <w:r w:rsidRPr="00DB0A47">
        <w:rPr>
          <w:rFonts w:eastAsia="Calibri" w:cs="Arial"/>
          <w:sz w:val="20"/>
          <w:szCs w:val="20"/>
          <w:lang w:val="es-MX" w:eastAsia="es-MX"/>
        </w:rPr>
        <w:t xml:space="preserve">). </w:t>
      </w:r>
      <w:r w:rsidRPr="00DB0A47">
        <w:rPr>
          <w:rFonts w:cs="Arial"/>
          <w:i/>
          <w:sz w:val="20"/>
          <w:szCs w:val="20"/>
        </w:rPr>
        <w:t xml:space="preserve">Lesiones causadas por tránsito. </w:t>
      </w:r>
      <w:r w:rsidRPr="00DB0A47">
        <w:rPr>
          <w:rFonts w:cs="Arial"/>
          <w:sz w:val="20"/>
          <w:szCs w:val="20"/>
        </w:rPr>
        <w:t xml:space="preserve">Recuperado el 21 de </w:t>
      </w:r>
      <w:r w:rsidR="00B61C9A" w:rsidRPr="00DB0A47">
        <w:rPr>
          <w:rFonts w:cs="Arial"/>
          <w:sz w:val="20"/>
          <w:szCs w:val="20"/>
        </w:rPr>
        <w:t>junio</w:t>
      </w:r>
      <w:r w:rsidRPr="00DB0A47">
        <w:rPr>
          <w:rFonts w:cs="Arial"/>
          <w:sz w:val="20"/>
          <w:szCs w:val="20"/>
        </w:rPr>
        <w:t xml:space="preserve"> de 201</w:t>
      </w:r>
      <w:r w:rsidR="00B61C9A" w:rsidRPr="00DB0A47">
        <w:rPr>
          <w:rFonts w:cs="Arial"/>
          <w:sz w:val="20"/>
          <w:szCs w:val="20"/>
        </w:rPr>
        <w:t>9</w:t>
      </w:r>
      <w:r w:rsidRPr="00DB0A47">
        <w:rPr>
          <w:rFonts w:cs="Arial"/>
          <w:sz w:val="20"/>
          <w:szCs w:val="20"/>
        </w:rPr>
        <w:t xml:space="preserve">, de: </w:t>
      </w:r>
      <w:hyperlink r:id="rId20" w:history="1">
        <w:r w:rsidR="00FF2C45" w:rsidRPr="00DB0A47">
          <w:rPr>
            <w:rStyle w:val="Hipervnculo"/>
            <w:rFonts w:cs="Arial"/>
            <w:sz w:val="20"/>
            <w:szCs w:val="20"/>
          </w:rPr>
          <w:t>http://www.who.int/es/news-room/fact-sheets/detail/road-traffic-injuries</w:t>
        </w:r>
      </w:hyperlink>
      <w:r w:rsidRPr="00DB0A47">
        <w:rPr>
          <w:rFonts w:cs="Arial"/>
          <w:sz w:val="20"/>
          <w:szCs w:val="20"/>
        </w:rPr>
        <w:t>.</w:t>
      </w:r>
    </w:p>
    <w:p w14:paraId="096499E2" w14:textId="77777777" w:rsidR="00F855F0" w:rsidRPr="00DB0A47" w:rsidRDefault="00F855F0" w:rsidP="00DB0A47">
      <w:pPr>
        <w:ind w:left="-567"/>
        <w:rPr>
          <w:rFonts w:cs="Arial"/>
          <w:i/>
          <w:sz w:val="20"/>
          <w:szCs w:val="20"/>
        </w:rPr>
      </w:pPr>
    </w:p>
    <w:p w14:paraId="7370315D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  <w:r w:rsidRPr="00DB0A47">
        <w:rPr>
          <w:rFonts w:cs="Arial"/>
          <w:sz w:val="20"/>
          <w:szCs w:val="20"/>
        </w:rPr>
        <w:t>Organización Mundial de la Salud [OMS] y Banco Mundial [BM] (2004)</w:t>
      </w:r>
      <w:r w:rsidRPr="00DB0A47">
        <w:rPr>
          <w:rFonts w:eastAsia="Calibri" w:cs="Arial"/>
          <w:sz w:val="20"/>
          <w:szCs w:val="20"/>
          <w:lang w:val="es-MX" w:eastAsia="es-MX"/>
        </w:rPr>
        <w:t xml:space="preserve">. </w:t>
      </w:r>
      <w:r w:rsidRPr="00DB0A47">
        <w:rPr>
          <w:rFonts w:cs="Arial"/>
          <w:i/>
          <w:sz w:val="20"/>
          <w:szCs w:val="20"/>
        </w:rPr>
        <w:t xml:space="preserve">Informe mundial sobre prevención de los traumatismos causados por el tránsito: resumen. </w:t>
      </w:r>
      <w:r w:rsidRPr="00DB0A47">
        <w:rPr>
          <w:rFonts w:cs="Arial"/>
          <w:sz w:val="20"/>
          <w:szCs w:val="20"/>
        </w:rPr>
        <w:t xml:space="preserve">Recuperado el </w:t>
      </w:r>
      <w:r w:rsidR="00343411" w:rsidRPr="00DB0A47">
        <w:rPr>
          <w:rFonts w:cs="Arial"/>
          <w:sz w:val="20"/>
          <w:szCs w:val="20"/>
        </w:rPr>
        <w:t>15</w:t>
      </w:r>
      <w:r w:rsidRPr="00DB0A47">
        <w:rPr>
          <w:rFonts w:cs="Arial"/>
          <w:sz w:val="20"/>
          <w:szCs w:val="20"/>
        </w:rPr>
        <w:t xml:space="preserve"> de </w:t>
      </w:r>
      <w:r w:rsidR="00B71AF9" w:rsidRPr="00DB0A47">
        <w:rPr>
          <w:rFonts w:cs="Arial"/>
          <w:sz w:val="20"/>
          <w:szCs w:val="20"/>
        </w:rPr>
        <w:t>julio</w:t>
      </w:r>
      <w:r w:rsidRPr="00DB0A47">
        <w:rPr>
          <w:rFonts w:cs="Arial"/>
          <w:sz w:val="20"/>
          <w:szCs w:val="20"/>
        </w:rPr>
        <w:t xml:space="preserve"> de 201</w:t>
      </w:r>
      <w:r w:rsidR="00343411" w:rsidRPr="00DB0A47">
        <w:rPr>
          <w:rFonts w:cs="Arial"/>
          <w:sz w:val="20"/>
          <w:szCs w:val="20"/>
        </w:rPr>
        <w:t>9</w:t>
      </w:r>
      <w:r w:rsidRPr="00DB0A47">
        <w:rPr>
          <w:rFonts w:cs="Arial"/>
          <w:sz w:val="20"/>
          <w:szCs w:val="20"/>
        </w:rPr>
        <w:t xml:space="preserve">, de: </w:t>
      </w:r>
    </w:p>
    <w:p w14:paraId="3222BAD1" w14:textId="77777777" w:rsidR="00F855F0" w:rsidRPr="00DB0A47" w:rsidRDefault="00D82577" w:rsidP="00DB0A47">
      <w:pPr>
        <w:ind w:left="-567"/>
        <w:rPr>
          <w:rFonts w:cs="Arial"/>
          <w:sz w:val="20"/>
          <w:szCs w:val="20"/>
        </w:rPr>
      </w:pPr>
      <w:hyperlink r:id="rId21" w:history="1">
        <w:r w:rsidR="00F855F0" w:rsidRPr="00DB0A47">
          <w:rPr>
            <w:rStyle w:val="Hipervnculo"/>
            <w:rFonts w:cs="Arial"/>
            <w:sz w:val="20"/>
            <w:szCs w:val="20"/>
          </w:rPr>
          <w:t>http://www.who.int/violence_injury_prevention/publications/road_traffic/world_report/summary_es.pdf</w:t>
        </w:r>
      </w:hyperlink>
      <w:r w:rsidR="00F855F0" w:rsidRPr="00DB0A47">
        <w:rPr>
          <w:rFonts w:cs="Arial"/>
          <w:sz w:val="20"/>
          <w:szCs w:val="20"/>
        </w:rPr>
        <w:t>.</w:t>
      </w:r>
    </w:p>
    <w:p w14:paraId="7965AB7B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</w:p>
    <w:p w14:paraId="4C70796E" w14:textId="77777777" w:rsidR="00F855F0" w:rsidRPr="00DB0A47" w:rsidRDefault="00F855F0" w:rsidP="00DB0A47">
      <w:pPr>
        <w:ind w:left="-567"/>
        <w:rPr>
          <w:rFonts w:cs="Arial"/>
          <w:sz w:val="20"/>
          <w:szCs w:val="20"/>
        </w:rPr>
      </w:pPr>
      <w:r w:rsidRPr="00DB0A47">
        <w:rPr>
          <w:rFonts w:cs="Arial"/>
          <w:sz w:val="20"/>
          <w:szCs w:val="20"/>
        </w:rPr>
        <w:lastRenderedPageBreak/>
        <w:t>Organización Panamericana de la Salud y Organización Mundial de la Salud [OPS-OMS] (</w:t>
      </w:r>
      <w:r w:rsidRPr="00DB0A47">
        <w:rPr>
          <w:rFonts w:eastAsia="Calibri" w:cs="Arial"/>
          <w:sz w:val="20"/>
          <w:szCs w:val="20"/>
          <w:lang w:val="es-MX" w:eastAsia="es-MX"/>
        </w:rPr>
        <w:t xml:space="preserve">s/f). </w:t>
      </w:r>
      <w:r w:rsidRPr="00DB0A47">
        <w:rPr>
          <w:rFonts w:eastAsia="Calibri" w:cs="Arial"/>
          <w:i/>
          <w:sz w:val="20"/>
          <w:szCs w:val="20"/>
          <w:lang w:val="es-MX" w:eastAsia="es-MX"/>
        </w:rPr>
        <w:t>Estrategia Mexicana de Seguridad Vial</w:t>
      </w:r>
      <w:r w:rsidRPr="00DB0A47">
        <w:rPr>
          <w:rFonts w:eastAsia="Calibri" w:cs="Arial"/>
          <w:sz w:val="20"/>
          <w:szCs w:val="20"/>
          <w:lang w:val="es-MX" w:eastAsia="es-MX"/>
        </w:rPr>
        <w:t xml:space="preserve">. </w:t>
      </w:r>
      <w:r w:rsidRPr="00DB0A47">
        <w:rPr>
          <w:rFonts w:cs="Arial"/>
          <w:sz w:val="20"/>
          <w:szCs w:val="20"/>
        </w:rPr>
        <w:t xml:space="preserve">Recuperado el 2 de </w:t>
      </w:r>
      <w:r w:rsidR="00AA165D" w:rsidRPr="00DB0A47">
        <w:rPr>
          <w:rFonts w:cs="Arial"/>
          <w:sz w:val="20"/>
          <w:szCs w:val="20"/>
        </w:rPr>
        <w:t>julio</w:t>
      </w:r>
      <w:r w:rsidRPr="00DB0A47">
        <w:rPr>
          <w:rFonts w:cs="Arial"/>
          <w:sz w:val="20"/>
          <w:szCs w:val="20"/>
        </w:rPr>
        <w:t xml:space="preserve"> de 201</w:t>
      </w:r>
      <w:r w:rsidR="00AA165D" w:rsidRPr="00DB0A47">
        <w:rPr>
          <w:rFonts w:cs="Arial"/>
          <w:sz w:val="20"/>
          <w:szCs w:val="20"/>
        </w:rPr>
        <w:t>9</w:t>
      </w:r>
      <w:r w:rsidRPr="00DB0A47">
        <w:rPr>
          <w:rFonts w:cs="Arial"/>
          <w:sz w:val="20"/>
          <w:szCs w:val="20"/>
        </w:rPr>
        <w:t xml:space="preserve">, de: </w:t>
      </w:r>
      <w:hyperlink r:id="rId22" w:history="1">
        <w:r w:rsidRPr="00DB0A47">
          <w:rPr>
            <w:rStyle w:val="Hipervnculo"/>
            <w:rFonts w:cs="Arial"/>
            <w:sz w:val="20"/>
            <w:szCs w:val="20"/>
          </w:rPr>
          <w:t>https://www.paho.org/mex/index.php?option=com_content&amp;view=article&amp;id=496:estrategia-mexicana-seguridad-vial&amp;Itemid=380</w:t>
        </w:r>
      </w:hyperlink>
      <w:r w:rsidRPr="00DB0A47">
        <w:rPr>
          <w:rFonts w:cs="Arial"/>
          <w:sz w:val="20"/>
          <w:szCs w:val="20"/>
        </w:rPr>
        <w:t>.</w:t>
      </w:r>
    </w:p>
    <w:p w14:paraId="11EF5298" w14:textId="77777777" w:rsidR="00F855F0" w:rsidRPr="00F92D25" w:rsidRDefault="00F855F0" w:rsidP="00F855F0">
      <w:pPr>
        <w:rPr>
          <w:rFonts w:cs="Arial"/>
        </w:rPr>
      </w:pPr>
    </w:p>
    <w:p w14:paraId="25405EB2" w14:textId="1F51A299" w:rsidR="00F855F0" w:rsidRDefault="00F855F0" w:rsidP="00F855F0">
      <w:pPr>
        <w:rPr>
          <w:rFonts w:cs="Arial"/>
        </w:rPr>
      </w:pPr>
      <w:r>
        <w:rPr>
          <w:rFonts w:cs="Arial"/>
        </w:rPr>
        <w:tab/>
      </w:r>
    </w:p>
    <w:p w14:paraId="19D794C3" w14:textId="7E72B3C2" w:rsidR="007D11D1" w:rsidRDefault="007D11D1" w:rsidP="00F855F0">
      <w:pPr>
        <w:rPr>
          <w:rFonts w:cs="Arial"/>
        </w:rPr>
      </w:pPr>
    </w:p>
    <w:p w14:paraId="11671F27" w14:textId="3C22D071" w:rsidR="007D11D1" w:rsidRDefault="007D11D1" w:rsidP="00F855F0">
      <w:pPr>
        <w:rPr>
          <w:rFonts w:cs="Arial"/>
        </w:rPr>
      </w:pPr>
    </w:p>
    <w:p w14:paraId="34CA4A37" w14:textId="77777777" w:rsidR="007D11D1" w:rsidRPr="00DB0A47" w:rsidRDefault="007D11D1" w:rsidP="007D11D1">
      <w:pPr>
        <w:pStyle w:val="Prrafodelista"/>
        <w:spacing w:line="264" w:lineRule="auto"/>
        <w:ind w:left="0"/>
        <w:jc w:val="center"/>
        <w:rPr>
          <w:rFonts w:ascii="Arial" w:hAnsi="Arial"/>
          <w:b/>
          <w:bCs/>
          <w:color w:val="000000" w:themeColor="text1"/>
          <w:sz w:val="22"/>
          <w:szCs w:val="22"/>
          <w:lang w:val="es-MX"/>
        </w:rPr>
      </w:pPr>
      <w:r w:rsidRPr="00DB0A47">
        <w:rPr>
          <w:rFonts w:ascii="Arial" w:hAnsi="Arial"/>
          <w:b/>
          <w:bCs/>
          <w:color w:val="000000" w:themeColor="text1"/>
          <w:sz w:val="22"/>
          <w:szCs w:val="22"/>
          <w:lang w:val="es-MX"/>
        </w:rPr>
        <w:t>***************</w:t>
      </w:r>
    </w:p>
    <w:p w14:paraId="1EA35E83" w14:textId="7C6D8ACC" w:rsidR="007D11D1" w:rsidRDefault="007D11D1" w:rsidP="00F855F0">
      <w:pPr>
        <w:rPr>
          <w:rFonts w:cs="Arial"/>
        </w:rPr>
      </w:pPr>
    </w:p>
    <w:p w14:paraId="1172B1B1" w14:textId="77777777" w:rsidR="007D11D1" w:rsidRDefault="007D11D1" w:rsidP="00F855F0">
      <w:pPr>
        <w:rPr>
          <w:rFonts w:cs="Arial"/>
        </w:rPr>
      </w:pPr>
    </w:p>
    <w:p w14:paraId="317DA576" w14:textId="77777777" w:rsidR="00F855F0" w:rsidRDefault="00F855F0" w:rsidP="00F855F0">
      <w:pPr>
        <w:rPr>
          <w:rFonts w:cs="Arial"/>
        </w:rPr>
      </w:pPr>
    </w:p>
    <w:p w14:paraId="6B715EB1" w14:textId="393DD1AC" w:rsidR="00DB0A47" w:rsidRPr="00DB0A47" w:rsidRDefault="00DB0A47" w:rsidP="007D11D1">
      <w:pPr>
        <w:pStyle w:val="NormalWeb"/>
        <w:spacing w:before="0" w:beforeAutospacing="0" w:after="0" w:afterAutospacing="0"/>
        <w:ind w:left="-567" w:right="-34"/>
        <w:contextualSpacing/>
        <w:jc w:val="center"/>
        <w:rPr>
          <w:rFonts w:ascii="Arial" w:hAnsi="Arial" w:cs="Arial"/>
          <w:sz w:val="22"/>
          <w:szCs w:val="22"/>
        </w:rPr>
      </w:pPr>
      <w:r w:rsidRPr="00DB0A47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23" w:history="1">
        <w:r w:rsidRPr="00DB0A47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DB0A47">
        <w:rPr>
          <w:rFonts w:ascii="Arial" w:hAnsi="Arial" w:cs="Arial"/>
          <w:sz w:val="22"/>
          <w:szCs w:val="22"/>
        </w:rPr>
        <w:t xml:space="preserve"> </w:t>
      </w:r>
    </w:p>
    <w:p w14:paraId="13A18C5A" w14:textId="77777777" w:rsidR="00DB0A47" w:rsidRPr="00DB0A47" w:rsidRDefault="00DB0A47" w:rsidP="007D11D1">
      <w:pPr>
        <w:pStyle w:val="NormalWeb"/>
        <w:spacing w:before="0" w:beforeAutospacing="0" w:after="0" w:afterAutospacing="0"/>
        <w:ind w:left="-567" w:right="-34"/>
        <w:contextualSpacing/>
        <w:jc w:val="center"/>
        <w:rPr>
          <w:rFonts w:ascii="Arial" w:hAnsi="Arial" w:cs="Arial"/>
          <w:sz w:val="22"/>
          <w:szCs w:val="22"/>
        </w:rPr>
      </w:pPr>
    </w:p>
    <w:p w14:paraId="774A9413" w14:textId="77777777" w:rsidR="00DB0A47" w:rsidRPr="00DB0A47" w:rsidRDefault="00DB0A47" w:rsidP="007D11D1">
      <w:pPr>
        <w:pStyle w:val="NormalWeb"/>
        <w:spacing w:before="0" w:beforeAutospacing="0" w:after="0" w:afterAutospacing="0"/>
        <w:ind w:left="-567" w:right="-34"/>
        <w:contextualSpacing/>
        <w:jc w:val="center"/>
        <w:rPr>
          <w:rFonts w:ascii="Arial" w:hAnsi="Arial" w:cs="Arial"/>
          <w:sz w:val="22"/>
          <w:szCs w:val="22"/>
        </w:rPr>
      </w:pPr>
      <w:r w:rsidRPr="00DB0A47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DB0A47">
        <w:rPr>
          <w:rFonts w:ascii="Arial" w:hAnsi="Arial" w:cs="Arial"/>
          <w:sz w:val="22"/>
          <w:szCs w:val="22"/>
        </w:rPr>
        <w:t>exts</w:t>
      </w:r>
      <w:proofErr w:type="spellEnd"/>
      <w:r w:rsidRPr="00DB0A47">
        <w:rPr>
          <w:rFonts w:ascii="Arial" w:hAnsi="Arial" w:cs="Arial"/>
          <w:sz w:val="22"/>
          <w:szCs w:val="22"/>
        </w:rPr>
        <w:t>. 1134, 1260 y 1241.</w:t>
      </w:r>
    </w:p>
    <w:p w14:paraId="031F8CC6" w14:textId="77777777" w:rsidR="00DB0A47" w:rsidRPr="00DB0A47" w:rsidRDefault="00DB0A47" w:rsidP="007D11D1">
      <w:pPr>
        <w:ind w:left="-567" w:right="-34"/>
        <w:contextualSpacing/>
        <w:jc w:val="center"/>
        <w:rPr>
          <w:rFonts w:cs="Arial"/>
          <w:szCs w:val="22"/>
        </w:rPr>
      </w:pPr>
    </w:p>
    <w:p w14:paraId="6C6842BF" w14:textId="77777777" w:rsidR="00DB0A47" w:rsidRPr="00DB0A47" w:rsidRDefault="00DB0A47" w:rsidP="007D11D1">
      <w:pPr>
        <w:ind w:left="-567" w:right="-34"/>
        <w:contextualSpacing/>
        <w:jc w:val="center"/>
        <w:rPr>
          <w:rFonts w:cs="Arial"/>
          <w:szCs w:val="22"/>
        </w:rPr>
      </w:pPr>
      <w:r w:rsidRPr="00DB0A47">
        <w:rPr>
          <w:rFonts w:cs="Arial"/>
          <w:szCs w:val="22"/>
        </w:rPr>
        <w:t>Dirección de Atención a Medios / Dirección General Adjunta de Comunicación</w:t>
      </w:r>
    </w:p>
    <w:p w14:paraId="76D589C7" w14:textId="77777777" w:rsidR="00DB0A47" w:rsidRPr="00DB0A47" w:rsidRDefault="00DB0A47" w:rsidP="00DB0A47">
      <w:pPr>
        <w:ind w:left="-426" w:right="-518"/>
        <w:contextualSpacing/>
        <w:jc w:val="center"/>
        <w:rPr>
          <w:rFonts w:cs="Arial"/>
          <w:szCs w:val="22"/>
        </w:rPr>
      </w:pPr>
    </w:p>
    <w:p w14:paraId="3C416EB1" w14:textId="3DC4C790" w:rsidR="005919CA" w:rsidRDefault="00DB0A47" w:rsidP="00DB0A47">
      <w:r w:rsidRPr="00DB0A47">
        <w:rPr>
          <w:rFonts w:cs="Arial"/>
          <w:noProof/>
          <w:szCs w:val="22"/>
          <w:lang w:eastAsia="es-MX"/>
        </w:rPr>
        <w:t xml:space="preserve">                         </w:t>
      </w:r>
      <w:r w:rsidRPr="00DB0A47">
        <w:rPr>
          <w:rFonts w:cs="Arial"/>
          <w:noProof/>
          <w:szCs w:val="22"/>
          <w:lang w:val="en-US" w:eastAsia="en-US"/>
        </w:rPr>
        <w:drawing>
          <wp:inline distT="0" distB="0" distL="0" distR="0" wp14:anchorId="0003B0C0" wp14:editId="28A05F0A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A47">
        <w:rPr>
          <w:rFonts w:cs="Arial"/>
          <w:noProof/>
          <w:szCs w:val="22"/>
          <w:lang w:eastAsia="es-MX"/>
        </w:rPr>
        <w:t xml:space="preserve"> </w:t>
      </w:r>
      <w:r w:rsidRPr="00DB0A47">
        <w:rPr>
          <w:rFonts w:cs="Arial"/>
          <w:noProof/>
          <w:szCs w:val="22"/>
          <w:lang w:val="en-US" w:eastAsia="en-US"/>
        </w:rPr>
        <w:drawing>
          <wp:inline distT="0" distB="0" distL="0" distR="0" wp14:anchorId="2B6AB955" wp14:editId="3854CA1C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A47">
        <w:rPr>
          <w:rFonts w:cs="Arial"/>
          <w:noProof/>
          <w:szCs w:val="22"/>
          <w:lang w:eastAsia="es-MX"/>
        </w:rPr>
        <w:t xml:space="preserve"> </w:t>
      </w:r>
      <w:r w:rsidRPr="00DB0A47">
        <w:rPr>
          <w:rFonts w:cs="Arial"/>
          <w:noProof/>
          <w:szCs w:val="22"/>
          <w:lang w:val="en-US" w:eastAsia="en-US"/>
        </w:rPr>
        <w:drawing>
          <wp:inline distT="0" distB="0" distL="0" distR="0" wp14:anchorId="27DA564C" wp14:editId="7E2D73BA">
            <wp:extent cx="321276" cy="324093"/>
            <wp:effectExtent l="0" t="0" r="3175" b="0"/>
            <wp:docPr id="4" name="Imagen 4" descr="C:\Users\saladeprensa\Desktop\NVOS LOGOS\T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A47">
        <w:rPr>
          <w:rFonts w:cs="Arial"/>
          <w:noProof/>
          <w:szCs w:val="22"/>
          <w:lang w:eastAsia="es-MX"/>
        </w:rPr>
        <w:t xml:space="preserve"> </w:t>
      </w:r>
      <w:r w:rsidRPr="00DB0A47">
        <w:rPr>
          <w:rFonts w:cs="Arial"/>
          <w:noProof/>
          <w:szCs w:val="22"/>
          <w:lang w:val="en-US" w:eastAsia="en-US"/>
        </w:rPr>
        <w:drawing>
          <wp:inline distT="0" distB="0" distL="0" distR="0" wp14:anchorId="30BDA9C5" wp14:editId="7726C680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 w:eastAsia="en-US"/>
        </w:rPr>
        <w:drawing>
          <wp:inline distT="0" distB="0" distL="0" distR="0" wp14:anchorId="259A17D5" wp14:editId="23911F9F">
            <wp:extent cx="2323070" cy="319707"/>
            <wp:effectExtent l="0" t="0" r="1270" b="4445"/>
            <wp:docPr id="19" name="Imagen 19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9CA" w:rsidSect="002F2A7F">
      <w:headerReference w:type="default" r:id="rId34"/>
      <w:footerReference w:type="default" r:id="rId35"/>
      <w:headerReference w:type="first" r:id="rId36"/>
      <w:footerReference w:type="first" r:id="rId37"/>
      <w:pgSz w:w="12242" w:h="15842" w:code="1"/>
      <w:pgMar w:top="1418" w:right="1077" w:bottom="1418" w:left="1701" w:header="567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6F207" w14:textId="77777777" w:rsidR="009B79DD" w:rsidRDefault="009B79DD" w:rsidP="00F855F0">
      <w:r>
        <w:separator/>
      </w:r>
    </w:p>
  </w:endnote>
  <w:endnote w:type="continuationSeparator" w:id="0">
    <w:p w14:paraId="06FF6972" w14:textId="77777777" w:rsidR="009B79DD" w:rsidRDefault="009B79DD" w:rsidP="00F855F0">
      <w:r>
        <w:continuationSeparator/>
      </w:r>
    </w:p>
  </w:endnote>
  <w:endnote w:type="continuationNotice" w:id="1">
    <w:p w14:paraId="46351BB5" w14:textId="77777777" w:rsidR="009B79DD" w:rsidRDefault="009B7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2D216" w14:textId="77777777" w:rsidR="002365B1" w:rsidRPr="002F2A7F" w:rsidRDefault="001074C7" w:rsidP="00552A8D">
    <w:pPr>
      <w:pStyle w:val="Piedepgina"/>
      <w:jc w:val="center"/>
      <w:rPr>
        <w:b/>
        <w:color w:val="002060"/>
        <w:sz w:val="20"/>
        <w:szCs w:val="20"/>
      </w:rPr>
    </w:pPr>
    <w:r w:rsidRPr="002F2A7F">
      <w:rPr>
        <w:b/>
        <w:noProof/>
        <w:color w:val="002060"/>
        <w:sz w:val="20"/>
        <w:szCs w:val="20"/>
        <w:lang w:val="es-MX" w:eastAsia="es-MX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B757B" w14:textId="77777777" w:rsidR="002365B1" w:rsidRPr="002F2A7F" w:rsidRDefault="001074C7" w:rsidP="00552A8D">
    <w:pPr>
      <w:pStyle w:val="Piedepgina"/>
      <w:jc w:val="center"/>
      <w:rPr>
        <w:b/>
        <w:color w:val="002060"/>
        <w:sz w:val="20"/>
        <w:szCs w:val="20"/>
      </w:rPr>
    </w:pPr>
    <w:r w:rsidRPr="002F2A7F">
      <w:rPr>
        <w:b/>
        <w:noProof/>
        <w:color w:val="002060"/>
        <w:sz w:val="20"/>
        <w:szCs w:val="20"/>
        <w:lang w:val="es-MX" w:eastAsia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94062" w14:textId="77777777" w:rsidR="009B79DD" w:rsidRDefault="009B79DD" w:rsidP="00F855F0">
      <w:r>
        <w:separator/>
      </w:r>
    </w:p>
  </w:footnote>
  <w:footnote w:type="continuationSeparator" w:id="0">
    <w:p w14:paraId="5D7488C1" w14:textId="77777777" w:rsidR="009B79DD" w:rsidRDefault="009B79DD" w:rsidP="00F855F0">
      <w:r>
        <w:continuationSeparator/>
      </w:r>
    </w:p>
  </w:footnote>
  <w:footnote w:type="continuationNotice" w:id="1">
    <w:p w14:paraId="10349C47" w14:textId="77777777" w:rsidR="009B79DD" w:rsidRDefault="009B79DD"/>
  </w:footnote>
  <w:footnote w:id="2">
    <w:p w14:paraId="2A1589C4" w14:textId="77777777" w:rsidR="00F855F0" w:rsidRDefault="00F855F0" w:rsidP="00F855F0">
      <w:pPr>
        <w:pStyle w:val="Textonotapie"/>
        <w:rPr>
          <w:sz w:val="16"/>
          <w:szCs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1B4784">
        <w:rPr>
          <w:sz w:val="16"/>
          <w:szCs w:val="16"/>
          <w:lang w:val="es-MX"/>
        </w:rPr>
        <w:t>Se refiere a las entidades donde ocurrieron los accidentes.</w:t>
      </w:r>
    </w:p>
    <w:p w14:paraId="1752FECB" w14:textId="77777777" w:rsidR="00C27E3A" w:rsidRPr="001B4784" w:rsidRDefault="00C27E3A" w:rsidP="00F855F0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D03EA" w14:textId="2A4CC019" w:rsidR="002F2A7F" w:rsidRDefault="002F2A7F" w:rsidP="002F2A7F">
    <w:pPr>
      <w:pStyle w:val="Encabezado"/>
      <w:ind w:left="-567" w:right="49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2456D3E" wp14:editId="5C410771">
          <wp:simplePos x="0" y="0"/>
          <wp:positionH relativeFrom="margin">
            <wp:posOffset>-252095</wp:posOffset>
          </wp:positionH>
          <wp:positionV relativeFrom="margin">
            <wp:posOffset>-891540</wp:posOffset>
          </wp:positionV>
          <wp:extent cx="752475" cy="781050"/>
          <wp:effectExtent l="0" t="0" r="9525" b="0"/>
          <wp:wrapSquare wrapText="bothSides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478E07" w14:textId="402AAAF2" w:rsidR="002F2A7F" w:rsidRPr="00FE1C98" w:rsidRDefault="002F2A7F" w:rsidP="002F2A7F">
    <w:pPr>
      <w:pStyle w:val="Encabezado"/>
      <w:ind w:left="-567" w:right="49"/>
      <w:jc w:val="right"/>
      <w:rPr>
        <w:b/>
        <w:color w:val="002060"/>
        <w:sz w:val="26"/>
        <w:lang w:val="pt-BR"/>
      </w:rPr>
    </w:pPr>
    <w:r w:rsidRPr="00F47EF4">
      <w:rPr>
        <w:rFonts w:cs="Arial"/>
        <w:b/>
        <w:color w:val="002060"/>
        <w:sz w:val="24"/>
      </w:rPr>
      <w:t>C</w:t>
    </w:r>
    <w:r w:rsidRPr="00FE1C98">
      <w:rPr>
        <w:b/>
        <w:color w:val="002060"/>
        <w:sz w:val="24"/>
      </w:rPr>
      <w:t xml:space="preserve">OMUNICADO DE PRENSA NÚM. </w:t>
    </w:r>
    <w:r w:rsidR="00D02641">
      <w:rPr>
        <w:b/>
        <w:color w:val="002060"/>
        <w:sz w:val="24"/>
      </w:rPr>
      <w:t>540</w:t>
    </w:r>
    <w:r>
      <w:rPr>
        <w:b/>
        <w:color w:val="002060"/>
        <w:sz w:val="24"/>
      </w:rPr>
      <w:t>/19</w:t>
    </w:r>
  </w:p>
  <w:p w14:paraId="3320A1B3" w14:textId="77777777" w:rsidR="002F2A7F" w:rsidRPr="00FE1C98" w:rsidRDefault="002F2A7F" w:rsidP="002F2A7F">
    <w:pPr>
      <w:pStyle w:val="Encabezado"/>
      <w:ind w:left="-567" w:right="49"/>
      <w:jc w:val="right"/>
      <w:rPr>
        <w:b/>
        <w:color w:val="002060"/>
        <w:sz w:val="26"/>
        <w:lang w:val="pt-BR"/>
      </w:rPr>
    </w:pPr>
    <w:r>
      <w:rPr>
        <w:b/>
        <w:color w:val="002060"/>
        <w:sz w:val="24"/>
        <w:lang w:val="pt-BR"/>
      </w:rPr>
      <w:t>31 DE OCTUBRE DE 2019</w:t>
    </w:r>
  </w:p>
  <w:p w14:paraId="05E80CF3" w14:textId="510D2264" w:rsidR="002F2A7F" w:rsidRPr="00FE1C98" w:rsidRDefault="002F2A7F" w:rsidP="002F2A7F">
    <w:pPr>
      <w:pStyle w:val="Encabezado"/>
      <w:ind w:left="-567" w:right="49"/>
      <w:jc w:val="right"/>
      <w:rPr>
        <w:b/>
        <w:color w:val="002060"/>
        <w:sz w:val="24"/>
      </w:rPr>
    </w:pPr>
    <w:r w:rsidRPr="00FE1C98">
      <w:rPr>
        <w:b/>
        <w:color w:val="002060"/>
        <w:sz w:val="24"/>
      </w:rPr>
      <w:t xml:space="preserve">PÁGINA </w:t>
    </w:r>
    <w:r w:rsidRPr="00FE1C98">
      <w:rPr>
        <w:b/>
        <w:color w:val="002060"/>
        <w:sz w:val="24"/>
      </w:rPr>
      <w:fldChar w:fldCharType="begin"/>
    </w:r>
    <w:r w:rsidRPr="00FE1C98">
      <w:rPr>
        <w:b/>
        <w:color w:val="002060"/>
        <w:sz w:val="24"/>
      </w:rPr>
      <w:instrText xml:space="preserve"> PAGE  \* Arabic </w:instrText>
    </w:r>
    <w:r w:rsidRPr="00FE1C98">
      <w:rPr>
        <w:b/>
        <w:color w:val="002060"/>
        <w:sz w:val="24"/>
      </w:rPr>
      <w:fldChar w:fldCharType="separate"/>
    </w:r>
    <w:r w:rsidR="00D82577">
      <w:rPr>
        <w:b/>
        <w:noProof/>
        <w:color w:val="002060"/>
        <w:sz w:val="24"/>
      </w:rPr>
      <w:t>7</w:t>
    </w:r>
    <w:r w:rsidRPr="00FE1C98">
      <w:rPr>
        <w:b/>
        <w:color w:val="002060"/>
        <w:sz w:val="24"/>
      </w:rPr>
      <w:fldChar w:fldCharType="end"/>
    </w:r>
    <w:r w:rsidRPr="00FE1C98">
      <w:rPr>
        <w:b/>
        <w:color w:val="002060"/>
        <w:sz w:val="24"/>
      </w:rPr>
      <w:t>/</w:t>
    </w:r>
    <w:r>
      <w:rPr>
        <w:b/>
        <w:color w:val="002060"/>
        <w:sz w:val="24"/>
      </w:rPr>
      <w:t>7</w:t>
    </w:r>
  </w:p>
  <w:p w14:paraId="018B7CA0" w14:textId="45548EAB" w:rsidR="002365B1" w:rsidRDefault="00D82577">
    <w:pPr>
      <w:pStyle w:val="Encabezado"/>
    </w:pPr>
  </w:p>
  <w:p w14:paraId="57F21282" w14:textId="77777777" w:rsidR="002F2A7F" w:rsidRDefault="002F2A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8F222" w14:textId="20EF8135" w:rsidR="00D138D4" w:rsidRPr="00FE1C98" w:rsidRDefault="00D138D4" w:rsidP="00D138D4">
    <w:pPr>
      <w:pStyle w:val="Encabezado"/>
      <w:ind w:left="-567" w:right="49"/>
      <w:jc w:val="right"/>
      <w:rPr>
        <w:b/>
        <w:color w:val="002060"/>
        <w:sz w:val="26"/>
        <w:lang w:val="pt-BR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0F1623D" wp14:editId="35B9FB4F">
          <wp:simplePos x="0" y="0"/>
          <wp:positionH relativeFrom="margin">
            <wp:posOffset>-184785</wp:posOffset>
          </wp:positionH>
          <wp:positionV relativeFrom="margin">
            <wp:posOffset>-760730</wp:posOffset>
          </wp:positionV>
          <wp:extent cx="714375" cy="742950"/>
          <wp:effectExtent l="0" t="0" r="9525" b="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F47EF4">
      <w:rPr>
        <w:rFonts w:cs="Arial"/>
        <w:b/>
        <w:color w:val="002060"/>
        <w:sz w:val="24"/>
      </w:rPr>
      <w:t>C</w:t>
    </w:r>
    <w:r w:rsidRPr="00FE1C98">
      <w:rPr>
        <w:b/>
        <w:color w:val="002060"/>
        <w:sz w:val="24"/>
      </w:rPr>
      <w:t xml:space="preserve">OMUNICADO DE PRENSA NÚM. </w:t>
    </w:r>
    <w:r w:rsidR="00C75981">
      <w:rPr>
        <w:b/>
        <w:color w:val="002060"/>
        <w:sz w:val="24"/>
      </w:rPr>
      <w:t>540</w:t>
    </w:r>
    <w:r>
      <w:rPr>
        <w:b/>
        <w:color w:val="002060"/>
        <w:sz w:val="24"/>
      </w:rPr>
      <w:t>/19</w:t>
    </w:r>
  </w:p>
  <w:p w14:paraId="4D6DC4F6" w14:textId="77777777" w:rsidR="00D138D4" w:rsidRPr="00FE1C98" w:rsidRDefault="00D138D4" w:rsidP="00D138D4">
    <w:pPr>
      <w:pStyle w:val="Encabezado"/>
      <w:ind w:left="-567" w:right="49"/>
      <w:jc w:val="right"/>
      <w:rPr>
        <w:b/>
        <w:color w:val="002060"/>
        <w:sz w:val="26"/>
        <w:lang w:val="pt-BR"/>
      </w:rPr>
    </w:pPr>
    <w:r>
      <w:rPr>
        <w:b/>
        <w:color w:val="002060"/>
        <w:sz w:val="24"/>
        <w:lang w:val="pt-BR"/>
      </w:rPr>
      <w:t>31 DE OCTUBRE DE 2019</w:t>
    </w:r>
  </w:p>
  <w:p w14:paraId="0729FD91" w14:textId="2C21BD14" w:rsidR="00D138D4" w:rsidRPr="00FE1C98" w:rsidRDefault="00D138D4" w:rsidP="00D138D4">
    <w:pPr>
      <w:pStyle w:val="Encabezado"/>
      <w:ind w:left="-567" w:right="49"/>
      <w:jc w:val="right"/>
      <w:rPr>
        <w:b/>
        <w:color w:val="002060"/>
        <w:sz w:val="24"/>
      </w:rPr>
    </w:pPr>
    <w:r w:rsidRPr="00FE1C98">
      <w:rPr>
        <w:b/>
        <w:color w:val="002060"/>
        <w:sz w:val="24"/>
      </w:rPr>
      <w:t xml:space="preserve">PÁGINA </w:t>
    </w:r>
    <w:r w:rsidRPr="00FE1C98">
      <w:rPr>
        <w:b/>
        <w:color w:val="002060"/>
        <w:sz w:val="24"/>
      </w:rPr>
      <w:fldChar w:fldCharType="begin"/>
    </w:r>
    <w:r w:rsidRPr="00FE1C98">
      <w:rPr>
        <w:b/>
        <w:color w:val="002060"/>
        <w:sz w:val="24"/>
      </w:rPr>
      <w:instrText xml:space="preserve"> PAGE  \* Arabic </w:instrText>
    </w:r>
    <w:r w:rsidRPr="00FE1C98">
      <w:rPr>
        <w:b/>
        <w:color w:val="002060"/>
        <w:sz w:val="24"/>
      </w:rPr>
      <w:fldChar w:fldCharType="separate"/>
    </w:r>
    <w:r w:rsidR="00D82577">
      <w:rPr>
        <w:b/>
        <w:noProof/>
        <w:color w:val="002060"/>
        <w:sz w:val="24"/>
      </w:rPr>
      <w:t>1</w:t>
    </w:r>
    <w:r w:rsidRPr="00FE1C98">
      <w:rPr>
        <w:b/>
        <w:color w:val="002060"/>
        <w:sz w:val="24"/>
      </w:rPr>
      <w:fldChar w:fldCharType="end"/>
    </w:r>
    <w:r w:rsidRPr="00FE1C98">
      <w:rPr>
        <w:b/>
        <w:color w:val="002060"/>
        <w:sz w:val="24"/>
      </w:rPr>
      <w:t>/</w:t>
    </w:r>
    <w:r w:rsidR="002F2A7F">
      <w:rPr>
        <w:b/>
        <w:color w:val="002060"/>
        <w:sz w:val="24"/>
      </w:rPr>
      <w:t>7</w:t>
    </w:r>
  </w:p>
  <w:p w14:paraId="41067EA6" w14:textId="77777777" w:rsidR="002365B1" w:rsidRDefault="00D82577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308"/>
    <w:multiLevelType w:val="hybridMultilevel"/>
    <w:tmpl w:val="53B60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D7037"/>
    <w:multiLevelType w:val="hybridMultilevel"/>
    <w:tmpl w:val="973A1E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F0"/>
    <w:rsid w:val="000052C0"/>
    <w:rsid w:val="00007E82"/>
    <w:rsid w:val="00011B1F"/>
    <w:rsid w:val="00011D4B"/>
    <w:rsid w:val="00020277"/>
    <w:rsid w:val="00023812"/>
    <w:rsid w:val="000323CF"/>
    <w:rsid w:val="00032DD7"/>
    <w:rsid w:val="00033245"/>
    <w:rsid w:val="00041B5C"/>
    <w:rsid w:val="0005131C"/>
    <w:rsid w:val="00054A0F"/>
    <w:rsid w:val="000702BC"/>
    <w:rsid w:val="00081F44"/>
    <w:rsid w:val="000A14D7"/>
    <w:rsid w:val="000A2D8D"/>
    <w:rsid w:val="000A6F62"/>
    <w:rsid w:val="000B0ED4"/>
    <w:rsid w:val="000B7361"/>
    <w:rsid w:val="000C5BCC"/>
    <w:rsid w:val="000D4A3F"/>
    <w:rsid w:val="000D5845"/>
    <w:rsid w:val="000E2E85"/>
    <w:rsid w:val="000F4B32"/>
    <w:rsid w:val="0010242E"/>
    <w:rsid w:val="00105BB5"/>
    <w:rsid w:val="001074C7"/>
    <w:rsid w:val="00113B92"/>
    <w:rsid w:val="00116744"/>
    <w:rsid w:val="00134CEA"/>
    <w:rsid w:val="001379CE"/>
    <w:rsid w:val="00142A48"/>
    <w:rsid w:val="00154A80"/>
    <w:rsid w:val="001565A3"/>
    <w:rsid w:val="001677DF"/>
    <w:rsid w:val="00175B61"/>
    <w:rsid w:val="0017748F"/>
    <w:rsid w:val="00184E2C"/>
    <w:rsid w:val="0018797F"/>
    <w:rsid w:val="001A041D"/>
    <w:rsid w:val="001A75D5"/>
    <w:rsid w:val="001C18AA"/>
    <w:rsid w:val="001C63A5"/>
    <w:rsid w:val="001D4B6F"/>
    <w:rsid w:val="001D4ED6"/>
    <w:rsid w:val="001E21C6"/>
    <w:rsid w:val="001E2E86"/>
    <w:rsid w:val="002031F6"/>
    <w:rsid w:val="0020454D"/>
    <w:rsid w:val="00205842"/>
    <w:rsid w:val="0021015D"/>
    <w:rsid w:val="0021733B"/>
    <w:rsid w:val="00226A46"/>
    <w:rsid w:val="00232505"/>
    <w:rsid w:val="00252462"/>
    <w:rsid w:val="00266F6D"/>
    <w:rsid w:val="00273449"/>
    <w:rsid w:val="00280C79"/>
    <w:rsid w:val="002908F8"/>
    <w:rsid w:val="002909E9"/>
    <w:rsid w:val="002A3C47"/>
    <w:rsid w:val="002B2DF3"/>
    <w:rsid w:val="002C2191"/>
    <w:rsid w:val="002E0544"/>
    <w:rsid w:val="002E74F1"/>
    <w:rsid w:val="002E7C3F"/>
    <w:rsid w:val="002F2A7F"/>
    <w:rsid w:val="002F7467"/>
    <w:rsid w:val="0030182A"/>
    <w:rsid w:val="00310C51"/>
    <w:rsid w:val="003313FD"/>
    <w:rsid w:val="00335C60"/>
    <w:rsid w:val="0034147E"/>
    <w:rsid w:val="00341801"/>
    <w:rsid w:val="00343411"/>
    <w:rsid w:val="0034429A"/>
    <w:rsid w:val="003472EA"/>
    <w:rsid w:val="00351524"/>
    <w:rsid w:val="00353498"/>
    <w:rsid w:val="00353D1A"/>
    <w:rsid w:val="00357EFA"/>
    <w:rsid w:val="00362198"/>
    <w:rsid w:val="00364498"/>
    <w:rsid w:val="003654D8"/>
    <w:rsid w:val="00370548"/>
    <w:rsid w:val="00381459"/>
    <w:rsid w:val="003833E5"/>
    <w:rsid w:val="00383BA7"/>
    <w:rsid w:val="00386477"/>
    <w:rsid w:val="0039288B"/>
    <w:rsid w:val="00395CF4"/>
    <w:rsid w:val="003A6E57"/>
    <w:rsid w:val="003C0435"/>
    <w:rsid w:val="003C209A"/>
    <w:rsid w:val="003C49FC"/>
    <w:rsid w:val="003D094C"/>
    <w:rsid w:val="003D5ED5"/>
    <w:rsid w:val="003E5BE2"/>
    <w:rsid w:val="003E73A5"/>
    <w:rsid w:val="00403DAE"/>
    <w:rsid w:val="004079DC"/>
    <w:rsid w:val="00416511"/>
    <w:rsid w:val="004516B8"/>
    <w:rsid w:val="00466870"/>
    <w:rsid w:val="004740DF"/>
    <w:rsid w:val="004762EE"/>
    <w:rsid w:val="0048076F"/>
    <w:rsid w:val="0048150F"/>
    <w:rsid w:val="0049110A"/>
    <w:rsid w:val="004926CA"/>
    <w:rsid w:val="00494A69"/>
    <w:rsid w:val="00495541"/>
    <w:rsid w:val="004A1BB3"/>
    <w:rsid w:val="004B5136"/>
    <w:rsid w:val="004B5CAC"/>
    <w:rsid w:val="004B5EE2"/>
    <w:rsid w:val="004C3BDF"/>
    <w:rsid w:val="004D2002"/>
    <w:rsid w:val="004F0026"/>
    <w:rsid w:val="004F5D26"/>
    <w:rsid w:val="00500273"/>
    <w:rsid w:val="00506436"/>
    <w:rsid w:val="00507760"/>
    <w:rsid w:val="00512286"/>
    <w:rsid w:val="0051469D"/>
    <w:rsid w:val="00517975"/>
    <w:rsid w:val="00532045"/>
    <w:rsid w:val="00545772"/>
    <w:rsid w:val="00551CB6"/>
    <w:rsid w:val="00553B59"/>
    <w:rsid w:val="005542BD"/>
    <w:rsid w:val="0056035A"/>
    <w:rsid w:val="0056672A"/>
    <w:rsid w:val="00567605"/>
    <w:rsid w:val="0057044B"/>
    <w:rsid w:val="00584494"/>
    <w:rsid w:val="00587FF4"/>
    <w:rsid w:val="005919CA"/>
    <w:rsid w:val="00596B1F"/>
    <w:rsid w:val="005A1A10"/>
    <w:rsid w:val="005A2199"/>
    <w:rsid w:val="005A351A"/>
    <w:rsid w:val="005A52C2"/>
    <w:rsid w:val="005B12B9"/>
    <w:rsid w:val="005C1FC1"/>
    <w:rsid w:val="005C3588"/>
    <w:rsid w:val="005C6C77"/>
    <w:rsid w:val="005C6D1F"/>
    <w:rsid w:val="005D1ECC"/>
    <w:rsid w:val="005D3BAD"/>
    <w:rsid w:val="005D4831"/>
    <w:rsid w:val="005D56B6"/>
    <w:rsid w:val="005D6CE2"/>
    <w:rsid w:val="005F2AC8"/>
    <w:rsid w:val="005F400C"/>
    <w:rsid w:val="005F5799"/>
    <w:rsid w:val="005F7EEC"/>
    <w:rsid w:val="00616CE1"/>
    <w:rsid w:val="00621AB9"/>
    <w:rsid w:val="00623F85"/>
    <w:rsid w:val="00624916"/>
    <w:rsid w:val="006446FC"/>
    <w:rsid w:val="006511AB"/>
    <w:rsid w:val="00651FBD"/>
    <w:rsid w:val="00663E5D"/>
    <w:rsid w:val="0066433E"/>
    <w:rsid w:val="00674E77"/>
    <w:rsid w:val="00685C5E"/>
    <w:rsid w:val="0069364A"/>
    <w:rsid w:val="00697CB0"/>
    <w:rsid w:val="006A0C93"/>
    <w:rsid w:val="006B45C1"/>
    <w:rsid w:val="006C1097"/>
    <w:rsid w:val="006D737E"/>
    <w:rsid w:val="006D74C9"/>
    <w:rsid w:val="00700E17"/>
    <w:rsid w:val="00705437"/>
    <w:rsid w:val="00710CC5"/>
    <w:rsid w:val="00716B9D"/>
    <w:rsid w:val="00721939"/>
    <w:rsid w:val="00736091"/>
    <w:rsid w:val="007363C2"/>
    <w:rsid w:val="00737CEC"/>
    <w:rsid w:val="007460B8"/>
    <w:rsid w:val="00760B37"/>
    <w:rsid w:val="00760B88"/>
    <w:rsid w:val="00764F0C"/>
    <w:rsid w:val="00770ABE"/>
    <w:rsid w:val="00784A17"/>
    <w:rsid w:val="007853AE"/>
    <w:rsid w:val="00787678"/>
    <w:rsid w:val="00790E7D"/>
    <w:rsid w:val="00794F55"/>
    <w:rsid w:val="007A1A9C"/>
    <w:rsid w:val="007B0A53"/>
    <w:rsid w:val="007B3F3E"/>
    <w:rsid w:val="007B780A"/>
    <w:rsid w:val="007C45B8"/>
    <w:rsid w:val="007D11D1"/>
    <w:rsid w:val="007D2352"/>
    <w:rsid w:val="007F2F53"/>
    <w:rsid w:val="00802697"/>
    <w:rsid w:val="00820C24"/>
    <w:rsid w:val="00826C42"/>
    <w:rsid w:val="00836898"/>
    <w:rsid w:val="0085500C"/>
    <w:rsid w:val="00855861"/>
    <w:rsid w:val="008609F2"/>
    <w:rsid w:val="00865758"/>
    <w:rsid w:val="008810DA"/>
    <w:rsid w:val="00882A65"/>
    <w:rsid w:val="008925CC"/>
    <w:rsid w:val="008A01C2"/>
    <w:rsid w:val="008A5D29"/>
    <w:rsid w:val="008B0CAF"/>
    <w:rsid w:val="008D0867"/>
    <w:rsid w:val="008D3B4E"/>
    <w:rsid w:val="008D4E53"/>
    <w:rsid w:val="008D4F5A"/>
    <w:rsid w:val="008D6CF5"/>
    <w:rsid w:val="008D7603"/>
    <w:rsid w:val="008E5EE5"/>
    <w:rsid w:val="008F1418"/>
    <w:rsid w:val="008F647E"/>
    <w:rsid w:val="00905DFF"/>
    <w:rsid w:val="00910465"/>
    <w:rsid w:val="00913FE8"/>
    <w:rsid w:val="009145DD"/>
    <w:rsid w:val="009163CB"/>
    <w:rsid w:val="009600FB"/>
    <w:rsid w:val="009651C4"/>
    <w:rsid w:val="00965EA4"/>
    <w:rsid w:val="00965F17"/>
    <w:rsid w:val="00977B44"/>
    <w:rsid w:val="00983F46"/>
    <w:rsid w:val="00984128"/>
    <w:rsid w:val="009B79DD"/>
    <w:rsid w:val="009C4497"/>
    <w:rsid w:val="009E21B5"/>
    <w:rsid w:val="009E6908"/>
    <w:rsid w:val="009F43A5"/>
    <w:rsid w:val="00A104D1"/>
    <w:rsid w:val="00A25893"/>
    <w:rsid w:val="00A305B2"/>
    <w:rsid w:val="00A3371B"/>
    <w:rsid w:val="00A35480"/>
    <w:rsid w:val="00A47A82"/>
    <w:rsid w:val="00A52B54"/>
    <w:rsid w:val="00A62A8B"/>
    <w:rsid w:val="00A67596"/>
    <w:rsid w:val="00A809C9"/>
    <w:rsid w:val="00A83BC2"/>
    <w:rsid w:val="00A83CD3"/>
    <w:rsid w:val="00A90C00"/>
    <w:rsid w:val="00A95E08"/>
    <w:rsid w:val="00AA087C"/>
    <w:rsid w:val="00AA165D"/>
    <w:rsid w:val="00AC06A9"/>
    <w:rsid w:val="00AC2C9F"/>
    <w:rsid w:val="00AC3A2A"/>
    <w:rsid w:val="00AE21C0"/>
    <w:rsid w:val="00AE2518"/>
    <w:rsid w:val="00AF588C"/>
    <w:rsid w:val="00B03DFA"/>
    <w:rsid w:val="00B117DF"/>
    <w:rsid w:val="00B31068"/>
    <w:rsid w:val="00B344A8"/>
    <w:rsid w:val="00B4385D"/>
    <w:rsid w:val="00B554D8"/>
    <w:rsid w:val="00B61C9A"/>
    <w:rsid w:val="00B6399A"/>
    <w:rsid w:val="00B71AF9"/>
    <w:rsid w:val="00B732E1"/>
    <w:rsid w:val="00B75749"/>
    <w:rsid w:val="00B76813"/>
    <w:rsid w:val="00B83E34"/>
    <w:rsid w:val="00B856DC"/>
    <w:rsid w:val="00B92F71"/>
    <w:rsid w:val="00BA680E"/>
    <w:rsid w:val="00BA76D9"/>
    <w:rsid w:val="00BB1830"/>
    <w:rsid w:val="00BD36BC"/>
    <w:rsid w:val="00BE1502"/>
    <w:rsid w:val="00C11E1E"/>
    <w:rsid w:val="00C2415D"/>
    <w:rsid w:val="00C24CB5"/>
    <w:rsid w:val="00C27E3A"/>
    <w:rsid w:val="00C320E2"/>
    <w:rsid w:val="00C34246"/>
    <w:rsid w:val="00C34727"/>
    <w:rsid w:val="00C456B8"/>
    <w:rsid w:val="00C506FE"/>
    <w:rsid w:val="00C51162"/>
    <w:rsid w:val="00C5225F"/>
    <w:rsid w:val="00C53ABB"/>
    <w:rsid w:val="00C70722"/>
    <w:rsid w:val="00C721B0"/>
    <w:rsid w:val="00C75981"/>
    <w:rsid w:val="00C81E8E"/>
    <w:rsid w:val="00C91B28"/>
    <w:rsid w:val="00C9733C"/>
    <w:rsid w:val="00CA4413"/>
    <w:rsid w:val="00CC36E7"/>
    <w:rsid w:val="00CD1C9A"/>
    <w:rsid w:val="00CD4201"/>
    <w:rsid w:val="00CD4C01"/>
    <w:rsid w:val="00CF6BCC"/>
    <w:rsid w:val="00D0193E"/>
    <w:rsid w:val="00D02641"/>
    <w:rsid w:val="00D044E1"/>
    <w:rsid w:val="00D138D4"/>
    <w:rsid w:val="00D368D2"/>
    <w:rsid w:val="00D376F2"/>
    <w:rsid w:val="00D52B83"/>
    <w:rsid w:val="00D55F51"/>
    <w:rsid w:val="00D615C3"/>
    <w:rsid w:val="00D63FFC"/>
    <w:rsid w:val="00D71C48"/>
    <w:rsid w:val="00D778D3"/>
    <w:rsid w:val="00D82577"/>
    <w:rsid w:val="00DA2BED"/>
    <w:rsid w:val="00DB0805"/>
    <w:rsid w:val="00DB0A47"/>
    <w:rsid w:val="00DB1548"/>
    <w:rsid w:val="00DB5355"/>
    <w:rsid w:val="00DB65C9"/>
    <w:rsid w:val="00DC3546"/>
    <w:rsid w:val="00DC35BD"/>
    <w:rsid w:val="00DC4153"/>
    <w:rsid w:val="00DC5145"/>
    <w:rsid w:val="00DC77D7"/>
    <w:rsid w:val="00DE6D4C"/>
    <w:rsid w:val="00DF4AC2"/>
    <w:rsid w:val="00E0159D"/>
    <w:rsid w:val="00E01BF3"/>
    <w:rsid w:val="00E07967"/>
    <w:rsid w:val="00E33E45"/>
    <w:rsid w:val="00E360E4"/>
    <w:rsid w:val="00E40446"/>
    <w:rsid w:val="00E40F5A"/>
    <w:rsid w:val="00E41422"/>
    <w:rsid w:val="00E440B5"/>
    <w:rsid w:val="00E47DFC"/>
    <w:rsid w:val="00E56114"/>
    <w:rsid w:val="00E644C6"/>
    <w:rsid w:val="00E65F16"/>
    <w:rsid w:val="00E67A70"/>
    <w:rsid w:val="00E806D4"/>
    <w:rsid w:val="00E84C1D"/>
    <w:rsid w:val="00E921D9"/>
    <w:rsid w:val="00EA1374"/>
    <w:rsid w:val="00EA4E01"/>
    <w:rsid w:val="00EA7B64"/>
    <w:rsid w:val="00EB3484"/>
    <w:rsid w:val="00EB42A1"/>
    <w:rsid w:val="00EC11CB"/>
    <w:rsid w:val="00EC4E50"/>
    <w:rsid w:val="00EE3EB1"/>
    <w:rsid w:val="00EE6383"/>
    <w:rsid w:val="00EF04EA"/>
    <w:rsid w:val="00EF7C4D"/>
    <w:rsid w:val="00F108EA"/>
    <w:rsid w:val="00F1158E"/>
    <w:rsid w:val="00F32244"/>
    <w:rsid w:val="00F42ABD"/>
    <w:rsid w:val="00F616B0"/>
    <w:rsid w:val="00F65B2A"/>
    <w:rsid w:val="00F662F4"/>
    <w:rsid w:val="00F67FBD"/>
    <w:rsid w:val="00F77B0C"/>
    <w:rsid w:val="00F809F2"/>
    <w:rsid w:val="00F820AD"/>
    <w:rsid w:val="00F855F0"/>
    <w:rsid w:val="00F8785D"/>
    <w:rsid w:val="00F918C4"/>
    <w:rsid w:val="00F93DCC"/>
    <w:rsid w:val="00F96566"/>
    <w:rsid w:val="00FB3B7A"/>
    <w:rsid w:val="00FB40E0"/>
    <w:rsid w:val="00FB4333"/>
    <w:rsid w:val="00FD19C6"/>
    <w:rsid w:val="00FD6C91"/>
    <w:rsid w:val="00FE3CBD"/>
    <w:rsid w:val="00FF2C45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50EBD8"/>
  <w15:chartTrackingRefBased/>
  <w15:docId w15:val="{8E52CE39-00AE-4CCE-A6B3-9CE661B1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5F0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ques"/>
    <w:basedOn w:val="Normal"/>
    <w:link w:val="TextonotapieCar"/>
    <w:uiPriority w:val="99"/>
    <w:rsid w:val="00F855F0"/>
    <w:pPr>
      <w:autoSpaceDE w:val="0"/>
      <w:autoSpaceDN w:val="0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F855F0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F855F0"/>
    <w:rPr>
      <w:vertAlign w:val="superscript"/>
    </w:rPr>
  </w:style>
  <w:style w:type="character" w:styleId="Hipervnculo">
    <w:name w:val="Hyperlink"/>
    <w:uiPriority w:val="99"/>
    <w:rsid w:val="00F855F0"/>
    <w:rPr>
      <w:color w:val="0000FF"/>
      <w:u w:val="single"/>
    </w:rPr>
  </w:style>
  <w:style w:type="paragraph" w:customStyle="1" w:styleId="TEXTO">
    <w:name w:val="TEXTO"/>
    <w:rsid w:val="00F855F0"/>
    <w:pPr>
      <w:tabs>
        <w:tab w:val="left" w:pos="34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855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55F0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855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5F0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855F0"/>
    <w:pPr>
      <w:ind w:left="720"/>
      <w:contextualSpacing/>
      <w:jc w:val="left"/>
    </w:pPr>
    <w:rPr>
      <w:rFonts w:ascii="Times New Roman" w:hAnsi="Times New Roman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A4E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4E0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4E0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4E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4E0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E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E01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A14D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B0A4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40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87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0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73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3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0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hyperlink" Target="http://apps.who.int/iris/bitstream/handle/10665/128043/9789243505350_spa.pdf?sequence=1" TargetMode="External"/><Relationship Id="rId26" Type="http://schemas.openxmlformats.org/officeDocument/2006/relationships/hyperlink" Target="https://www.instagram.com/inegi_informa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who.int/violence_injury_prevention/publications/road_traffic/world_report/summary_es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who.int/violence_injury_prevention/road_safety_status/2013/report/summary_es.pdf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1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o.int/es/news-room/fact-sheets/detail/road-traffic-injuries" TargetMode="External"/><Relationship Id="rId20" Type="http://schemas.openxmlformats.org/officeDocument/2006/relationships/hyperlink" Target="http://www.who.int/es/news-room/fact-sheets/detail/road-traffic-injuries" TargetMode="Externa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www.facebook.com/INEGIInforma/" TargetMode="External"/><Relationship Id="rId32" Type="http://schemas.openxmlformats.org/officeDocument/2006/relationships/hyperlink" Target="http://www.inegi.org.mx/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es/RL/las-fiestas-indigenas-dedicadas-a-los-muertos-00054" TargetMode="External"/><Relationship Id="rId23" Type="http://schemas.openxmlformats.org/officeDocument/2006/relationships/hyperlink" Target="mailto:comunicacionsocial@inegi.org.mx" TargetMode="External"/><Relationship Id="rId28" Type="http://schemas.openxmlformats.org/officeDocument/2006/relationships/hyperlink" Target="https://twitter.com/INEGI_INFORMA" TargetMode="External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www.un.org/sustainabledevelopment/es/health/" TargetMode="External"/><Relationship Id="rId31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n.org/es/roadsafety/remembrance.shtml" TargetMode="External"/><Relationship Id="rId22" Type="http://schemas.openxmlformats.org/officeDocument/2006/relationships/hyperlink" Target="https://www.paho.org/mex/index.php?option=com_content&amp;view=article&amp;id=496:estrategia-mexicana-seguridad-vial&amp;Itemid=380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s://www.youtube.com/user/INEGIInforma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1440-DFC4-4701-A85C-A884893A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RUBEN.HERNANDEZS@inegi.org.mx</dc:creator>
  <cp:keywords/>
  <dc:description/>
  <cp:lastModifiedBy>MORONES RUIZ FABIOLA CRISTINA</cp:lastModifiedBy>
  <cp:revision>2</cp:revision>
  <cp:lastPrinted>2019-10-28T18:08:00Z</cp:lastPrinted>
  <dcterms:created xsi:type="dcterms:W3CDTF">2019-10-31T16:13:00Z</dcterms:created>
  <dcterms:modified xsi:type="dcterms:W3CDTF">2019-10-31T16:13:00Z</dcterms:modified>
</cp:coreProperties>
</file>