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3E824" w14:textId="77777777" w:rsidR="007562E1" w:rsidRPr="000923AB" w:rsidRDefault="007562E1" w:rsidP="00CC232D">
      <w:pPr>
        <w:autoSpaceDE w:val="0"/>
        <w:autoSpaceDN w:val="0"/>
        <w:ind w:right="51"/>
        <w:jc w:val="center"/>
        <w:rPr>
          <w:b/>
          <w:bCs/>
          <w:sz w:val="24"/>
          <w:szCs w:val="24"/>
        </w:rPr>
      </w:pPr>
      <w:r w:rsidRPr="000923AB">
        <w:rPr>
          <w:b/>
          <w:bCs/>
          <w:sz w:val="24"/>
          <w:szCs w:val="24"/>
        </w:rPr>
        <w:t>“ESTADÍSTICAS A PROPÓSITO DEL…</w:t>
      </w:r>
    </w:p>
    <w:p w14:paraId="107D74CA" w14:textId="77777777" w:rsidR="007562E1" w:rsidRPr="000923AB" w:rsidRDefault="007562E1" w:rsidP="00CC232D">
      <w:pPr>
        <w:autoSpaceDE w:val="0"/>
        <w:autoSpaceDN w:val="0"/>
        <w:ind w:right="51"/>
        <w:jc w:val="center"/>
        <w:rPr>
          <w:b/>
          <w:sz w:val="24"/>
          <w:szCs w:val="24"/>
        </w:rPr>
      </w:pPr>
      <w:r w:rsidRPr="000923AB">
        <w:rPr>
          <w:b/>
          <w:sz w:val="24"/>
          <w:szCs w:val="24"/>
        </w:rPr>
        <w:t>DÍA MUNDIAL DEL TURISMO (27 DE SEPTIEMBRE)”</w:t>
      </w:r>
    </w:p>
    <w:p w14:paraId="37F61657" w14:textId="77777777" w:rsidR="004601A6" w:rsidRPr="000923AB" w:rsidRDefault="007562E1" w:rsidP="00CC232D">
      <w:pPr>
        <w:jc w:val="center"/>
        <w:rPr>
          <w:b/>
          <w:sz w:val="24"/>
          <w:szCs w:val="24"/>
        </w:rPr>
      </w:pPr>
      <w:r w:rsidRPr="000923AB">
        <w:rPr>
          <w:b/>
          <w:sz w:val="24"/>
          <w:szCs w:val="24"/>
        </w:rPr>
        <w:t>DATOS NACIONALES</w:t>
      </w:r>
    </w:p>
    <w:p w14:paraId="76C3E0D8" w14:textId="77777777" w:rsidR="002D4DCB" w:rsidRPr="00630229" w:rsidRDefault="002D4DCB" w:rsidP="00CC232D">
      <w:pPr>
        <w:jc w:val="left"/>
        <w:rPr>
          <w:sz w:val="22"/>
        </w:rPr>
      </w:pPr>
    </w:p>
    <w:p w14:paraId="5395A51F" w14:textId="14F09CF5" w:rsidR="007562E1" w:rsidRDefault="00775422" w:rsidP="00CC232D">
      <w:pPr>
        <w:pStyle w:val="Prrafodelista"/>
        <w:numPr>
          <w:ilvl w:val="0"/>
          <w:numId w:val="5"/>
        </w:numPr>
        <w:tabs>
          <w:tab w:val="left" w:pos="5387"/>
        </w:tabs>
        <w:ind w:left="426" w:right="49" w:hanging="284"/>
        <w:rPr>
          <w:b/>
          <w:sz w:val="22"/>
          <w:szCs w:val="22"/>
        </w:rPr>
      </w:pPr>
      <w:r w:rsidRPr="00630229">
        <w:rPr>
          <w:b/>
          <w:sz w:val="22"/>
          <w:szCs w:val="22"/>
        </w:rPr>
        <w:t>En México,</w:t>
      </w:r>
      <w:r w:rsidR="0037290D">
        <w:rPr>
          <w:b/>
          <w:sz w:val="22"/>
          <w:szCs w:val="22"/>
        </w:rPr>
        <w:t xml:space="preserve"> durante 2017</w:t>
      </w:r>
      <w:r w:rsidR="0002260E">
        <w:rPr>
          <w:b/>
          <w:sz w:val="22"/>
          <w:szCs w:val="22"/>
        </w:rPr>
        <w:t>,</w:t>
      </w:r>
      <w:r w:rsidRPr="00630229">
        <w:rPr>
          <w:b/>
          <w:sz w:val="22"/>
          <w:szCs w:val="22"/>
        </w:rPr>
        <w:t xml:space="preserve"> e</w:t>
      </w:r>
      <w:r w:rsidR="007562E1" w:rsidRPr="00630229">
        <w:rPr>
          <w:b/>
          <w:sz w:val="22"/>
          <w:szCs w:val="22"/>
        </w:rPr>
        <w:t>l turismo aportó</w:t>
      </w:r>
      <w:bookmarkStart w:id="0" w:name="_GoBack"/>
      <w:bookmarkEnd w:id="0"/>
      <w:r w:rsidR="007562E1" w:rsidRPr="00630229">
        <w:rPr>
          <w:b/>
          <w:sz w:val="22"/>
          <w:szCs w:val="22"/>
        </w:rPr>
        <w:t xml:space="preserve"> 8.7 de cada 100 pesos producidos </w:t>
      </w:r>
      <w:r w:rsidR="00CC232D">
        <w:rPr>
          <w:b/>
          <w:sz w:val="22"/>
          <w:szCs w:val="22"/>
        </w:rPr>
        <w:t>por</w:t>
      </w:r>
      <w:r w:rsidR="003002E7">
        <w:rPr>
          <w:b/>
          <w:sz w:val="22"/>
          <w:szCs w:val="22"/>
        </w:rPr>
        <w:t xml:space="preserve"> la economía nacional</w:t>
      </w:r>
      <w:r w:rsidR="006465D4">
        <w:rPr>
          <w:b/>
          <w:sz w:val="22"/>
          <w:szCs w:val="22"/>
        </w:rPr>
        <w:t>.</w:t>
      </w:r>
    </w:p>
    <w:p w14:paraId="2EEC6A68" w14:textId="3FCFD7EA" w:rsidR="00A3478F" w:rsidRPr="00630229" w:rsidRDefault="00A3478F" w:rsidP="00CC232D">
      <w:pPr>
        <w:pStyle w:val="Prrafodelista"/>
        <w:numPr>
          <w:ilvl w:val="0"/>
          <w:numId w:val="5"/>
        </w:numPr>
        <w:tabs>
          <w:tab w:val="left" w:pos="5387"/>
        </w:tabs>
        <w:ind w:left="426" w:right="49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 cada 100 pesos que se </w:t>
      </w:r>
      <w:r w:rsidR="00E17F6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onsumen al interior del país por la actividad turística, 82.5 pesos </w:t>
      </w:r>
      <w:r w:rsidR="00BD53CA">
        <w:rPr>
          <w:b/>
          <w:sz w:val="22"/>
          <w:szCs w:val="22"/>
        </w:rPr>
        <w:t>corresponden a los</w:t>
      </w:r>
      <w:r>
        <w:rPr>
          <w:b/>
          <w:sz w:val="22"/>
          <w:szCs w:val="22"/>
        </w:rPr>
        <w:t xml:space="preserve"> visitantes </w:t>
      </w:r>
      <w:r w:rsidR="00BD53CA">
        <w:rPr>
          <w:b/>
          <w:sz w:val="22"/>
          <w:szCs w:val="22"/>
        </w:rPr>
        <w:t>nacionales</w:t>
      </w:r>
      <w:r>
        <w:rPr>
          <w:b/>
          <w:sz w:val="22"/>
          <w:szCs w:val="22"/>
        </w:rPr>
        <w:t xml:space="preserve"> y los restantes 17.5 pesos </w:t>
      </w:r>
      <w:r w:rsidR="0083777E">
        <w:rPr>
          <w:b/>
          <w:sz w:val="22"/>
          <w:szCs w:val="22"/>
        </w:rPr>
        <w:t>a los</w:t>
      </w:r>
      <w:r>
        <w:rPr>
          <w:b/>
          <w:sz w:val="22"/>
          <w:szCs w:val="22"/>
        </w:rPr>
        <w:t xml:space="preserve"> visitantes del exterior.</w:t>
      </w:r>
    </w:p>
    <w:p w14:paraId="3EBAF0F2" w14:textId="7A4B87AD" w:rsidR="00691F91" w:rsidRPr="007D613C" w:rsidRDefault="007562E1" w:rsidP="00CC232D">
      <w:pPr>
        <w:pStyle w:val="Prrafodelista"/>
        <w:numPr>
          <w:ilvl w:val="0"/>
          <w:numId w:val="5"/>
        </w:numPr>
        <w:tabs>
          <w:tab w:val="left" w:pos="5387"/>
        </w:tabs>
        <w:ind w:left="426" w:right="49" w:hanging="284"/>
        <w:rPr>
          <w:b/>
          <w:sz w:val="24"/>
          <w:szCs w:val="22"/>
        </w:rPr>
      </w:pPr>
      <w:r w:rsidRPr="00630229">
        <w:rPr>
          <w:b/>
          <w:sz w:val="22"/>
          <w:szCs w:val="22"/>
        </w:rPr>
        <w:t xml:space="preserve">La actividad turística </w:t>
      </w:r>
      <w:r w:rsidR="0083777E">
        <w:rPr>
          <w:b/>
          <w:sz w:val="22"/>
          <w:szCs w:val="22"/>
        </w:rPr>
        <w:t xml:space="preserve">utiliza </w:t>
      </w:r>
      <w:r w:rsidRPr="00630229">
        <w:rPr>
          <w:b/>
          <w:sz w:val="22"/>
          <w:szCs w:val="22"/>
        </w:rPr>
        <w:t>2.3 millones de puestos de trabajo, que representa</w:t>
      </w:r>
      <w:r w:rsidR="00A809DE" w:rsidRPr="00630229">
        <w:rPr>
          <w:b/>
          <w:sz w:val="22"/>
          <w:szCs w:val="22"/>
        </w:rPr>
        <w:t>n</w:t>
      </w:r>
      <w:r w:rsidRPr="00630229">
        <w:rPr>
          <w:b/>
          <w:sz w:val="22"/>
          <w:szCs w:val="22"/>
        </w:rPr>
        <w:t xml:space="preserve"> el 5.</w:t>
      </w:r>
      <w:r w:rsidR="00B01BDD" w:rsidRPr="00630229">
        <w:rPr>
          <w:b/>
          <w:sz w:val="22"/>
          <w:szCs w:val="22"/>
        </w:rPr>
        <w:t>9</w:t>
      </w:r>
      <w:r w:rsidR="00CC232D">
        <w:rPr>
          <w:b/>
          <w:sz w:val="22"/>
          <w:szCs w:val="22"/>
        </w:rPr>
        <w:t>% del total nacional</w:t>
      </w:r>
      <w:r w:rsidR="006465D4">
        <w:rPr>
          <w:b/>
          <w:sz w:val="22"/>
          <w:szCs w:val="22"/>
        </w:rPr>
        <w:t>.</w:t>
      </w:r>
    </w:p>
    <w:p w14:paraId="28192086" w14:textId="39D00A02" w:rsidR="007D613C" w:rsidRPr="00630229" w:rsidRDefault="007D613C" w:rsidP="007D613C">
      <w:pPr>
        <w:pStyle w:val="Prrafodelista"/>
        <w:numPr>
          <w:ilvl w:val="0"/>
          <w:numId w:val="5"/>
        </w:numPr>
        <w:tabs>
          <w:tab w:val="left" w:pos="5387"/>
        </w:tabs>
        <w:ind w:left="426" w:right="49" w:hanging="284"/>
        <w:rPr>
          <w:b/>
          <w:sz w:val="24"/>
          <w:szCs w:val="22"/>
        </w:rPr>
      </w:pPr>
      <w:r>
        <w:rPr>
          <w:b/>
          <w:sz w:val="22"/>
          <w:szCs w:val="22"/>
        </w:rPr>
        <w:t xml:space="preserve">El PIB Turístico </w:t>
      </w:r>
      <w:r w:rsidRPr="007D613C">
        <w:rPr>
          <w:b/>
          <w:sz w:val="22"/>
          <w:szCs w:val="22"/>
        </w:rPr>
        <w:t>presentó una disminución de (-)0.</w:t>
      </w:r>
      <w:r>
        <w:rPr>
          <w:b/>
          <w:sz w:val="22"/>
          <w:szCs w:val="22"/>
        </w:rPr>
        <w:t>6</w:t>
      </w:r>
      <w:r w:rsidRPr="007D613C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 xml:space="preserve"> en cifras originales</w:t>
      </w:r>
      <w:r w:rsidR="008C5911">
        <w:rPr>
          <w:b/>
          <w:sz w:val="22"/>
          <w:szCs w:val="22"/>
        </w:rPr>
        <w:t xml:space="preserve"> para el primer trimestre de 2019</w:t>
      </w:r>
      <w:r>
        <w:rPr>
          <w:b/>
          <w:sz w:val="22"/>
          <w:szCs w:val="22"/>
        </w:rPr>
        <w:t>.</w:t>
      </w:r>
    </w:p>
    <w:p w14:paraId="24BA5399" w14:textId="77777777" w:rsidR="00630229" w:rsidRPr="00630229" w:rsidRDefault="00630229" w:rsidP="00630229">
      <w:pPr>
        <w:jc w:val="left"/>
        <w:rPr>
          <w:sz w:val="22"/>
        </w:rPr>
      </w:pPr>
    </w:p>
    <w:p w14:paraId="1B25ECB3" w14:textId="0D9263A1" w:rsidR="00EA3E67" w:rsidRDefault="00555A6D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>El 27 de septiembre de cada año se celebra el Día Mundial del Turismo (DMT)</w:t>
      </w:r>
      <w:r w:rsidRPr="007562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el </w:t>
      </w:r>
      <w:r w:rsidRPr="007562E1">
        <w:rPr>
          <w:sz w:val="22"/>
          <w:szCs w:val="22"/>
        </w:rPr>
        <w:t xml:space="preserve">objetivo principal </w:t>
      </w:r>
      <w:r>
        <w:rPr>
          <w:sz w:val="22"/>
          <w:szCs w:val="22"/>
        </w:rPr>
        <w:t xml:space="preserve">de </w:t>
      </w:r>
      <w:r w:rsidR="0002260E">
        <w:rPr>
          <w:sz w:val="22"/>
          <w:szCs w:val="22"/>
        </w:rPr>
        <w:t>sensibilizar a la población</w:t>
      </w:r>
      <w:r w:rsidRPr="007562E1">
        <w:rPr>
          <w:sz w:val="22"/>
          <w:szCs w:val="22"/>
        </w:rPr>
        <w:t xml:space="preserve"> sobre la importancia, el valor social, cultural y económico de la actividad turística</w:t>
      </w:r>
      <w:r>
        <w:rPr>
          <w:sz w:val="22"/>
          <w:szCs w:val="22"/>
        </w:rPr>
        <w:t xml:space="preserve"> en el mundo</w:t>
      </w:r>
      <w:r w:rsidRPr="007562E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002E7">
        <w:rPr>
          <w:sz w:val="22"/>
          <w:szCs w:val="22"/>
        </w:rPr>
        <w:t>Lo anterior, de acuerdo con los estatutos de la Organización Mundial del Turismo (OMT)</w:t>
      </w:r>
      <w:r w:rsidR="000F047D">
        <w:rPr>
          <w:sz w:val="22"/>
          <w:szCs w:val="22"/>
        </w:rPr>
        <w:t>,</w:t>
      </w:r>
      <w:r w:rsidR="003002E7">
        <w:rPr>
          <w:sz w:val="22"/>
          <w:szCs w:val="22"/>
        </w:rPr>
        <w:t xml:space="preserve"> adoptados el 27 de septiembre de 1970, durante la Asamblea General Extraordinaria de la Unión Internacional de Organismos Oficiales de Turismo (UIOOT), convocada en la Ciudad de México</w:t>
      </w:r>
      <w:r w:rsidR="00EA3E67" w:rsidRPr="00EA3E67">
        <w:rPr>
          <w:sz w:val="22"/>
          <w:szCs w:val="22"/>
        </w:rPr>
        <w:t>.</w:t>
      </w:r>
    </w:p>
    <w:p w14:paraId="18F659E2" w14:textId="77777777" w:rsidR="00B974A5" w:rsidRDefault="00B974A5" w:rsidP="0002260E">
      <w:pPr>
        <w:ind w:left="-567"/>
        <w:rPr>
          <w:sz w:val="22"/>
          <w:szCs w:val="22"/>
        </w:rPr>
      </w:pPr>
    </w:p>
    <w:p w14:paraId="3DE2F830" w14:textId="15CBE2E7" w:rsidR="00B974A5" w:rsidRDefault="00230231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>Nuestro país</w:t>
      </w:r>
      <w:r w:rsidR="007562E1" w:rsidRPr="007562E1">
        <w:rPr>
          <w:sz w:val="22"/>
          <w:szCs w:val="22"/>
        </w:rPr>
        <w:t xml:space="preserve"> ha sido seleccionado en dos ocasiones como sede de esta celebración</w:t>
      </w:r>
      <w:r w:rsidR="00E17F6D">
        <w:rPr>
          <w:sz w:val="22"/>
          <w:szCs w:val="22"/>
        </w:rPr>
        <w:t>. L</w:t>
      </w:r>
      <w:r w:rsidR="007562E1" w:rsidRPr="007562E1">
        <w:rPr>
          <w:sz w:val="22"/>
          <w:szCs w:val="22"/>
        </w:rPr>
        <w:t>a primera en 1998 con el tema “Asociaciones entre Sectores Público y Privado</w:t>
      </w:r>
      <w:r>
        <w:rPr>
          <w:sz w:val="22"/>
          <w:szCs w:val="22"/>
        </w:rPr>
        <w:t>,</w:t>
      </w:r>
      <w:r w:rsidR="007562E1" w:rsidRPr="007562E1">
        <w:rPr>
          <w:sz w:val="22"/>
          <w:szCs w:val="22"/>
        </w:rPr>
        <w:t xml:space="preserve"> Motor Esencial del Desarrollo y de la Promoción del Turismo” y la segunda en 2014 con el tema “Turismo y Desarrollo Comunitario”.</w:t>
      </w:r>
    </w:p>
    <w:p w14:paraId="47580F0C" w14:textId="77777777" w:rsidR="00B974A5" w:rsidRDefault="00B974A5" w:rsidP="0002260E">
      <w:pPr>
        <w:ind w:left="-567"/>
        <w:rPr>
          <w:sz w:val="22"/>
          <w:szCs w:val="22"/>
        </w:rPr>
      </w:pPr>
    </w:p>
    <w:p w14:paraId="18460F63" w14:textId="29C233AE" w:rsidR="00B834B0" w:rsidRDefault="00D27B79" w:rsidP="0002260E">
      <w:pPr>
        <w:ind w:left="-567"/>
        <w:rPr>
          <w:sz w:val="22"/>
          <w:szCs w:val="22"/>
        </w:rPr>
      </w:pPr>
      <w:r w:rsidRPr="002569C9">
        <w:rPr>
          <w:sz w:val="22"/>
          <w:szCs w:val="22"/>
        </w:rPr>
        <w:t xml:space="preserve">Este año </w:t>
      </w:r>
      <w:r w:rsidR="003002E7" w:rsidRPr="002569C9">
        <w:rPr>
          <w:sz w:val="22"/>
          <w:szCs w:val="22"/>
        </w:rPr>
        <w:t xml:space="preserve">el DMT se festeja con el objetivo </w:t>
      </w:r>
      <w:r w:rsidRPr="002569C9">
        <w:rPr>
          <w:sz w:val="22"/>
          <w:szCs w:val="22"/>
        </w:rPr>
        <w:t xml:space="preserve">de </w:t>
      </w:r>
      <w:r w:rsidR="002569C9" w:rsidRPr="002569C9">
        <w:rPr>
          <w:sz w:val="22"/>
          <w:szCs w:val="22"/>
        </w:rPr>
        <w:t>destacar la capacidad del sector turístico para crear más y mejores empleos y ayudar a construir un futuro mejor para millon</w:t>
      </w:r>
      <w:r w:rsidR="00BD53CA">
        <w:rPr>
          <w:sz w:val="22"/>
          <w:szCs w:val="22"/>
        </w:rPr>
        <w:t>es de personas en todo el mundo;</w:t>
      </w:r>
      <w:r w:rsidR="001C10F5" w:rsidRPr="002569C9">
        <w:rPr>
          <w:sz w:val="22"/>
          <w:szCs w:val="22"/>
        </w:rPr>
        <w:t xml:space="preserve"> </w:t>
      </w:r>
      <w:r w:rsidR="00BD53CA">
        <w:rPr>
          <w:sz w:val="22"/>
          <w:szCs w:val="22"/>
        </w:rPr>
        <w:t>con el</w:t>
      </w:r>
      <w:r w:rsidR="001C10F5" w:rsidRPr="002569C9">
        <w:rPr>
          <w:sz w:val="22"/>
          <w:szCs w:val="22"/>
        </w:rPr>
        <w:t xml:space="preserve"> tema principal </w:t>
      </w:r>
      <w:r w:rsidR="007562E1" w:rsidRPr="002569C9">
        <w:rPr>
          <w:sz w:val="22"/>
          <w:szCs w:val="22"/>
        </w:rPr>
        <w:t>“</w:t>
      </w:r>
      <w:r w:rsidR="00D153E3" w:rsidRPr="002569C9">
        <w:rPr>
          <w:i/>
          <w:sz w:val="22"/>
          <w:szCs w:val="22"/>
        </w:rPr>
        <w:t>Turismo y empleo: un futuro mejor para todos</w:t>
      </w:r>
      <w:r w:rsidR="00BD53CA">
        <w:rPr>
          <w:i/>
          <w:sz w:val="22"/>
          <w:szCs w:val="22"/>
        </w:rPr>
        <w:t>”</w:t>
      </w:r>
      <w:r w:rsidR="00DF600B" w:rsidRPr="002569C9">
        <w:rPr>
          <w:sz w:val="22"/>
          <w:szCs w:val="22"/>
        </w:rPr>
        <w:t>.</w:t>
      </w:r>
    </w:p>
    <w:p w14:paraId="52C8FC24" w14:textId="77777777" w:rsidR="001C10F5" w:rsidRDefault="001C10F5" w:rsidP="0002260E">
      <w:pPr>
        <w:ind w:left="-567"/>
        <w:rPr>
          <w:sz w:val="22"/>
          <w:szCs w:val="22"/>
        </w:rPr>
      </w:pPr>
    </w:p>
    <w:p w14:paraId="037DCD3E" w14:textId="4423BDA3" w:rsidR="001C10F5" w:rsidRDefault="00BD53CA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>Corresponde a</w:t>
      </w:r>
      <w:r w:rsidR="00005227" w:rsidRPr="00B974A5">
        <w:rPr>
          <w:sz w:val="22"/>
          <w:szCs w:val="22"/>
        </w:rPr>
        <w:t xml:space="preserve"> </w:t>
      </w:r>
      <w:r w:rsidR="00292B8B">
        <w:rPr>
          <w:sz w:val="22"/>
          <w:szCs w:val="22"/>
        </w:rPr>
        <w:t>Nueva Delhi</w:t>
      </w:r>
      <w:r w:rsidR="00005227">
        <w:rPr>
          <w:sz w:val="22"/>
          <w:szCs w:val="22"/>
        </w:rPr>
        <w:t xml:space="preserve"> (</w:t>
      </w:r>
      <w:r w:rsidR="00D153E3">
        <w:rPr>
          <w:sz w:val="22"/>
          <w:szCs w:val="22"/>
        </w:rPr>
        <w:t>India</w:t>
      </w:r>
      <w:r w:rsidR="00005227">
        <w:rPr>
          <w:sz w:val="22"/>
          <w:szCs w:val="22"/>
        </w:rPr>
        <w:t>)</w:t>
      </w:r>
      <w:r w:rsidR="000F047D">
        <w:rPr>
          <w:sz w:val="22"/>
          <w:szCs w:val="22"/>
        </w:rPr>
        <w:t>,</w:t>
      </w:r>
      <w:r w:rsidR="00005227" w:rsidRPr="00B974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ser </w:t>
      </w:r>
      <w:r w:rsidR="00005227">
        <w:rPr>
          <w:sz w:val="22"/>
          <w:szCs w:val="22"/>
        </w:rPr>
        <w:t>la ciudad</w:t>
      </w:r>
      <w:r w:rsidR="00005227" w:rsidRPr="00B974A5">
        <w:rPr>
          <w:sz w:val="22"/>
          <w:szCs w:val="22"/>
        </w:rPr>
        <w:t xml:space="preserve"> </w:t>
      </w:r>
      <w:r w:rsidR="00005227" w:rsidRPr="008E7F26">
        <w:rPr>
          <w:sz w:val="22"/>
          <w:szCs w:val="22"/>
        </w:rPr>
        <w:t>anfitrion</w:t>
      </w:r>
      <w:r w:rsidR="00005227">
        <w:rPr>
          <w:sz w:val="22"/>
          <w:szCs w:val="22"/>
        </w:rPr>
        <w:t>a</w:t>
      </w:r>
      <w:r w:rsidR="00005227" w:rsidRPr="008E7F26">
        <w:rPr>
          <w:sz w:val="22"/>
          <w:szCs w:val="22"/>
        </w:rPr>
        <w:t xml:space="preserve"> de las celebraciones oficiales, las cuales </w:t>
      </w:r>
      <w:r w:rsidR="00230231">
        <w:rPr>
          <w:sz w:val="22"/>
          <w:szCs w:val="22"/>
        </w:rPr>
        <w:t xml:space="preserve">incluyen </w:t>
      </w:r>
      <w:r w:rsidR="00005227" w:rsidRPr="008E7F26">
        <w:rPr>
          <w:sz w:val="22"/>
          <w:szCs w:val="22"/>
        </w:rPr>
        <w:t>conferencias, mesas redondas y ponencias</w:t>
      </w:r>
      <w:r w:rsidR="003002E7">
        <w:rPr>
          <w:sz w:val="22"/>
          <w:szCs w:val="22"/>
        </w:rPr>
        <w:t xml:space="preserve"> con el objeto de</w:t>
      </w:r>
      <w:r w:rsidR="00005227">
        <w:rPr>
          <w:sz w:val="22"/>
          <w:szCs w:val="22"/>
        </w:rPr>
        <w:t xml:space="preserve"> </w:t>
      </w:r>
      <w:r w:rsidR="002569C9">
        <w:rPr>
          <w:sz w:val="22"/>
          <w:szCs w:val="22"/>
        </w:rPr>
        <w:t>c</w:t>
      </w:r>
      <w:r w:rsidR="002569C9" w:rsidRPr="002569C9">
        <w:rPr>
          <w:sz w:val="22"/>
          <w:szCs w:val="22"/>
        </w:rPr>
        <w:t xml:space="preserve">entrarse en el </w:t>
      </w:r>
      <w:r w:rsidR="002569C9" w:rsidRPr="002569C9">
        <w:rPr>
          <w:sz w:val="22"/>
          <w:szCs w:val="22"/>
        </w:rPr>
        <w:lastRenderedPageBreak/>
        <w:t xml:space="preserve">papel actual del turismo como creador de empleo, </w:t>
      </w:r>
      <w:r w:rsidR="002569C9">
        <w:rPr>
          <w:sz w:val="22"/>
          <w:szCs w:val="22"/>
        </w:rPr>
        <w:t>además de mirar hacia el futuro y explorar</w:t>
      </w:r>
      <w:r w:rsidR="002569C9" w:rsidRPr="002569C9">
        <w:rPr>
          <w:sz w:val="22"/>
          <w:szCs w:val="22"/>
        </w:rPr>
        <w:t xml:space="preserve"> las oportunidades y los desafíos que traerán los cambios en el mercado lab</w:t>
      </w:r>
      <w:r w:rsidR="002569C9">
        <w:rPr>
          <w:sz w:val="22"/>
          <w:szCs w:val="22"/>
        </w:rPr>
        <w:t>oral y en el sector tecnológico.</w:t>
      </w:r>
    </w:p>
    <w:p w14:paraId="0C37870A" w14:textId="77777777" w:rsidR="00AA35F1" w:rsidRPr="00403100" w:rsidRDefault="00AA35F1" w:rsidP="00CC232D">
      <w:pPr>
        <w:ind w:left="-567" w:right="-518"/>
        <w:rPr>
          <w:sz w:val="4"/>
          <w:szCs w:val="22"/>
        </w:rPr>
      </w:pPr>
    </w:p>
    <w:p w14:paraId="494430FF" w14:textId="77777777" w:rsidR="00AA35F1" w:rsidRDefault="00AA35F1" w:rsidP="00AA35F1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18587AE" wp14:editId="0827BCAF">
                <wp:simplePos x="0" y="0"/>
                <wp:positionH relativeFrom="page">
                  <wp:align>center</wp:align>
                </wp:positionH>
                <wp:positionV relativeFrom="paragraph">
                  <wp:posOffset>130379</wp:posOffset>
                </wp:positionV>
                <wp:extent cx="5819775" cy="2734573"/>
                <wp:effectExtent l="19050" t="19050" r="47625" b="46990"/>
                <wp:wrapNone/>
                <wp:docPr id="3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734573"/>
                        </a:xfrm>
                        <a:prstGeom prst="roundRect">
                          <a:avLst>
                            <a:gd name="adj" fmla="val 4361"/>
                          </a:avLst>
                        </a:prstGeom>
                        <a:noFill/>
                        <a:ln w="57150" cmpd="thinThick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A5947" w14:textId="77777777" w:rsidR="00AA35F1" w:rsidRPr="00630229" w:rsidRDefault="00AA35F1" w:rsidP="00AA35F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5227">
                              <w:rPr>
                                <w:szCs w:val="22"/>
                                <w:lang w:val="es-ES"/>
                              </w:rPr>
                              <w:t xml:space="preserve">Figura 1. </w:t>
                            </w:r>
                            <w:r w:rsidRPr="00005227">
                              <w:rPr>
                                <w:b/>
                                <w:szCs w:val="22"/>
                                <w:lang w:val="es-ES"/>
                              </w:rPr>
                              <w:t>Países anfitriones del Día Mundial del Turismo</w:t>
                            </w:r>
                          </w:p>
                          <w:p w14:paraId="0B1FB50A" w14:textId="77777777" w:rsidR="00AA35F1" w:rsidRDefault="00AA35F1" w:rsidP="00AA35F1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005227">
                              <w:rPr>
                                <w:sz w:val="18"/>
                                <w:lang w:val="es-ES"/>
                              </w:rPr>
                              <w:t xml:space="preserve">Últimos </w:t>
                            </w:r>
                            <w:r w:rsidR="0093050B">
                              <w:rPr>
                                <w:sz w:val="18"/>
                                <w:lang w:val="es-ES"/>
                              </w:rPr>
                              <w:t>seis</w:t>
                            </w:r>
                            <w:r w:rsidRPr="00005227">
                              <w:rPr>
                                <w:sz w:val="18"/>
                                <w:lang w:val="es-ES"/>
                              </w:rPr>
                              <w:t xml:space="preserve"> años</w:t>
                            </w:r>
                          </w:p>
                          <w:p w14:paraId="5A70F59B" w14:textId="77777777" w:rsidR="00AA35F1" w:rsidRDefault="00AA35F1" w:rsidP="00AA35F1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14:paraId="3A8B2542" w14:textId="77777777" w:rsidR="00AA35F1" w:rsidRDefault="00AA35F1" w:rsidP="00AA35F1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14:paraId="072128AD" w14:textId="77777777" w:rsidR="00AA35F1" w:rsidRDefault="00AA35F1" w:rsidP="00AA35F1">
                            <w:pPr>
                              <w:pStyle w:val="Descripcin"/>
                              <w:spacing w:after="0"/>
                              <w:ind w:left="426" w:right="191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1E222434" w14:textId="77777777" w:rsidR="00AA35F1" w:rsidRDefault="00AA35F1" w:rsidP="00AA35F1">
                            <w:pPr>
                              <w:pStyle w:val="Descripcin"/>
                              <w:spacing w:after="0"/>
                              <w:ind w:right="191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1ED3B0F1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3A37BD0E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075CA213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07C25A2B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4609DDFD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03961FDC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3150F272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0971C9BF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6D555F0E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7F2C7E8A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68FF680B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29476E33" w14:textId="77777777" w:rsid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345B6C33" w14:textId="77777777" w:rsidR="000B482E" w:rsidRPr="000B482E" w:rsidRDefault="000B482E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2"/>
                              </w:rPr>
                            </w:pPr>
                          </w:p>
                          <w:p w14:paraId="3F82EA93" w14:textId="77777777" w:rsidR="002569C9" w:rsidRDefault="002569C9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</w:p>
                          <w:p w14:paraId="3252B9EB" w14:textId="125AC6A2" w:rsidR="00AA35F1" w:rsidRPr="00630229" w:rsidRDefault="00AA35F1" w:rsidP="00AA35F1">
                            <w:pPr>
                              <w:pStyle w:val="Descripcin"/>
                              <w:spacing w:after="0"/>
                              <w:ind w:left="284" w:right="193"/>
                              <w:rPr>
                                <w:color w:val="auto"/>
                                <w:sz w:val="16"/>
                              </w:rPr>
                            </w:pPr>
                            <w:r w:rsidRPr="00630229">
                              <w:rPr>
                                <w:color w:val="auto"/>
                                <w:sz w:val="16"/>
                              </w:rPr>
                              <w:t xml:space="preserve">Fuente: </w:t>
                            </w:r>
                            <w:r w:rsidRPr="00630229">
                              <w:rPr>
                                <w:b w:val="0"/>
                                <w:color w:val="auto"/>
                                <w:sz w:val="16"/>
                              </w:rPr>
                              <w:t>Elaboración propia con información de la Organización Mundial del Turismo.</w:t>
                            </w:r>
                          </w:p>
                        </w:txbxContent>
                      </wps:txbx>
                      <wps:bodyPr rot="0" vert="horz" wrap="square" lIns="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8587AE" id="AutoShape 22" o:spid="_x0000_s1026" style="position:absolute;left:0;text-align:left;margin-left:0;margin-top:10.25pt;width:458.25pt;height:215.3pt;z-index:251765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2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" filled="f" strokecolor="teal" strokeweight="4.5pt">
                <v:stroke linestyle="thinThick"/>
                <v:textbox inset="0,,,0">
                  <w:txbxContent>
                    <w:p w14:paraId="1E5A5947" w14:textId="77777777" w:rsidR="00AA35F1" w:rsidRPr="00630229" w:rsidRDefault="00AA35F1" w:rsidP="00AA35F1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005227">
                        <w:rPr>
                          <w:szCs w:val="22"/>
                          <w:lang w:val="es-ES"/>
                        </w:rPr>
                        <w:t xml:space="preserve">Figura 1. </w:t>
                      </w:r>
                      <w:r w:rsidRPr="00005227">
                        <w:rPr>
                          <w:b/>
                          <w:szCs w:val="22"/>
                          <w:lang w:val="es-ES"/>
                        </w:rPr>
                        <w:t>Países anfitriones del Día Mundial del Turismo</w:t>
                      </w:r>
                    </w:p>
                    <w:p w14:paraId="0B1FB50A" w14:textId="77777777" w:rsidR="00AA35F1" w:rsidRDefault="00AA35F1" w:rsidP="00AA35F1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005227">
                        <w:rPr>
                          <w:sz w:val="18"/>
                          <w:lang w:val="es-ES"/>
                        </w:rPr>
                        <w:t xml:space="preserve">Últimos </w:t>
                      </w:r>
                      <w:r w:rsidR="0093050B">
                        <w:rPr>
                          <w:sz w:val="18"/>
                          <w:lang w:val="es-ES"/>
                        </w:rPr>
                        <w:t>seis</w:t>
                      </w:r>
                      <w:r w:rsidRPr="00005227">
                        <w:rPr>
                          <w:sz w:val="18"/>
                          <w:lang w:val="es-ES"/>
                        </w:rPr>
                        <w:t xml:space="preserve"> años</w:t>
                      </w:r>
                    </w:p>
                    <w:p w14:paraId="5A70F59B" w14:textId="77777777" w:rsidR="00AA35F1" w:rsidRDefault="00AA35F1" w:rsidP="00AA35F1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</w:p>
                    <w:p w14:paraId="3A8B2542" w14:textId="77777777" w:rsidR="00AA35F1" w:rsidRDefault="00AA35F1" w:rsidP="00AA35F1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</w:p>
                    <w:p w14:paraId="072128AD" w14:textId="77777777" w:rsidR="00AA35F1" w:rsidRDefault="00AA35F1" w:rsidP="00AA35F1">
                      <w:pPr>
                        <w:pStyle w:val="Descripcin"/>
                        <w:spacing w:after="0"/>
                        <w:ind w:left="426" w:right="191"/>
                        <w:rPr>
                          <w:color w:val="auto"/>
                          <w:sz w:val="16"/>
                        </w:rPr>
                      </w:pPr>
                    </w:p>
                    <w:p w14:paraId="1E222434" w14:textId="77777777" w:rsidR="00AA35F1" w:rsidRDefault="00AA35F1" w:rsidP="00AA35F1">
                      <w:pPr>
                        <w:pStyle w:val="Descripcin"/>
                        <w:spacing w:after="0"/>
                        <w:ind w:right="191"/>
                        <w:rPr>
                          <w:color w:val="auto"/>
                          <w:sz w:val="16"/>
                        </w:rPr>
                      </w:pPr>
                    </w:p>
                    <w:p w14:paraId="1ED3B0F1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3A37BD0E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075CA213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07C25A2B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4609DDFD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03961FDC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3150F272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0971C9BF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6D555F0E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7F2C7E8A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68FF680B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29476E33" w14:textId="77777777" w:rsid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345B6C33" w14:textId="77777777" w:rsidR="000B482E" w:rsidRPr="000B482E" w:rsidRDefault="000B482E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2"/>
                        </w:rPr>
                      </w:pPr>
                    </w:p>
                    <w:p w14:paraId="3F82EA93" w14:textId="77777777" w:rsidR="002569C9" w:rsidRDefault="002569C9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</w:p>
                    <w:p w14:paraId="3252B9EB" w14:textId="125AC6A2" w:rsidR="00AA35F1" w:rsidRPr="00630229" w:rsidRDefault="00AA35F1" w:rsidP="00AA35F1">
                      <w:pPr>
                        <w:pStyle w:val="Descripcin"/>
                        <w:spacing w:after="0"/>
                        <w:ind w:left="284" w:right="193"/>
                        <w:rPr>
                          <w:color w:val="auto"/>
                          <w:sz w:val="16"/>
                        </w:rPr>
                      </w:pPr>
                      <w:r w:rsidRPr="00630229">
                        <w:rPr>
                          <w:color w:val="auto"/>
                          <w:sz w:val="16"/>
                        </w:rPr>
                        <w:t xml:space="preserve">Fuente: </w:t>
                      </w:r>
                      <w:r w:rsidRPr="00630229">
                        <w:rPr>
                          <w:b w:val="0"/>
                          <w:color w:val="auto"/>
                          <w:sz w:val="16"/>
                        </w:rPr>
                        <w:t>Elaboración propia con información de la Organización Mundial del Turismo.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8188079" w14:textId="77777777" w:rsidR="00AA35F1" w:rsidRDefault="00AA35F1" w:rsidP="00CC232D">
      <w:pPr>
        <w:ind w:left="-567" w:right="-518"/>
        <w:rPr>
          <w:sz w:val="22"/>
          <w:szCs w:val="22"/>
        </w:rPr>
      </w:pPr>
    </w:p>
    <w:p w14:paraId="3F0599FE" w14:textId="77777777" w:rsidR="00AA35F1" w:rsidRDefault="00AA35F1" w:rsidP="00CC232D">
      <w:pPr>
        <w:ind w:left="-567" w:right="-518"/>
        <w:rPr>
          <w:sz w:val="22"/>
          <w:szCs w:val="22"/>
        </w:rPr>
      </w:pPr>
    </w:p>
    <w:p w14:paraId="54F17EA9" w14:textId="77777777" w:rsidR="00AA35F1" w:rsidRDefault="000B482E" w:rsidP="00B974A5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766784" behindDoc="1" locked="0" layoutInCell="1" allowOverlap="1" wp14:anchorId="5CDD73AC" wp14:editId="36AB73C3">
            <wp:simplePos x="0" y="0"/>
            <wp:positionH relativeFrom="page">
              <wp:align>center</wp:align>
            </wp:positionH>
            <wp:positionV relativeFrom="paragraph">
              <wp:posOffset>72584</wp:posOffset>
            </wp:positionV>
            <wp:extent cx="5231958" cy="1915443"/>
            <wp:effectExtent l="0" t="0" r="6985" b="8890"/>
            <wp:wrapNone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958" cy="1915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50DFB" w14:textId="77777777" w:rsidR="00AA35F1" w:rsidRDefault="00AA35F1" w:rsidP="00B974A5">
      <w:pPr>
        <w:rPr>
          <w:sz w:val="22"/>
          <w:szCs w:val="22"/>
        </w:rPr>
      </w:pPr>
    </w:p>
    <w:p w14:paraId="2446484D" w14:textId="77777777" w:rsidR="00AA35F1" w:rsidRDefault="00AA35F1" w:rsidP="00B974A5">
      <w:pPr>
        <w:rPr>
          <w:sz w:val="22"/>
          <w:szCs w:val="22"/>
        </w:rPr>
      </w:pPr>
    </w:p>
    <w:p w14:paraId="37507DF3" w14:textId="77777777" w:rsidR="00AA35F1" w:rsidRDefault="00AA35F1" w:rsidP="00B974A5">
      <w:pPr>
        <w:rPr>
          <w:sz w:val="22"/>
          <w:szCs w:val="22"/>
        </w:rPr>
      </w:pPr>
    </w:p>
    <w:p w14:paraId="25FCB429" w14:textId="77777777" w:rsidR="00AA35F1" w:rsidRDefault="00AA35F1" w:rsidP="00B974A5">
      <w:pPr>
        <w:rPr>
          <w:sz w:val="22"/>
          <w:szCs w:val="22"/>
        </w:rPr>
      </w:pPr>
    </w:p>
    <w:p w14:paraId="6A985D69" w14:textId="77777777" w:rsidR="00AA35F1" w:rsidRDefault="00AA35F1" w:rsidP="00B974A5">
      <w:pPr>
        <w:rPr>
          <w:sz w:val="22"/>
          <w:szCs w:val="22"/>
        </w:rPr>
      </w:pPr>
    </w:p>
    <w:p w14:paraId="72448126" w14:textId="77777777" w:rsidR="00AA35F1" w:rsidRDefault="00AA35F1" w:rsidP="00B974A5">
      <w:pPr>
        <w:rPr>
          <w:sz w:val="22"/>
          <w:szCs w:val="22"/>
        </w:rPr>
      </w:pPr>
    </w:p>
    <w:p w14:paraId="491B803F" w14:textId="77777777" w:rsidR="00AA35F1" w:rsidRDefault="00AA35F1" w:rsidP="00B974A5">
      <w:pPr>
        <w:rPr>
          <w:sz w:val="22"/>
          <w:szCs w:val="22"/>
        </w:rPr>
      </w:pPr>
    </w:p>
    <w:p w14:paraId="3F13CB07" w14:textId="77777777" w:rsidR="00AA35F1" w:rsidRDefault="00AA35F1" w:rsidP="00B974A5">
      <w:pPr>
        <w:rPr>
          <w:sz w:val="22"/>
          <w:szCs w:val="22"/>
        </w:rPr>
      </w:pPr>
    </w:p>
    <w:p w14:paraId="756092B9" w14:textId="77777777" w:rsidR="00AA35F1" w:rsidRDefault="00AA35F1" w:rsidP="00B974A5">
      <w:pPr>
        <w:rPr>
          <w:sz w:val="22"/>
          <w:szCs w:val="22"/>
        </w:rPr>
      </w:pPr>
    </w:p>
    <w:p w14:paraId="14E9B27A" w14:textId="77777777" w:rsidR="00AA35F1" w:rsidRDefault="00AA35F1" w:rsidP="00B974A5">
      <w:pPr>
        <w:rPr>
          <w:sz w:val="22"/>
          <w:szCs w:val="22"/>
        </w:rPr>
      </w:pPr>
    </w:p>
    <w:p w14:paraId="6470C21E" w14:textId="77777777" w:rsidR="00AA35F1" w:rsidRDefault="00AA35F1" w:rsidP="00B974A5">
      <w:pPr>
        <w:rPr>
          <w:sz w:val="22"/>
          <w:szCs w:val="22"/>
        </w:rPr>
      </w:pPr>
    </w:p>
    <w:p w14:paraId="54D3E3E5" w14:textId="77777777" w:rsidR="00AA35F1" w:rsidRDefault="00AA35F1" w:rsidP="00B974A5">
      <w:pPr>
        <w:rPr>
          <w:sz w:val="22"/>
          <w:szCs w:val="22"/>
        </w:rPr>
      </w:pPr>
    </w:p>
    <w:p w14:paraId="5FDAB0B7" w14:textId="77777777" w:rsidR="00AA35F1" w:rsidRDefault="00AA35F1" w:rsidP="00AA35F1">
      <w:pPr>
        <w:ind w:left="-567" w:right="-518"/>
        <w:rPr>
          <w:sz w:val="22"/>
          <w:szCs w:val="22"/>
        </w:rPr>
      </w:pPr>
    </w:p>
    <w:p w14:paraId="7128B38D" w14:textId="1F78859E" w:rsidR="00E90AB0" w:rsidRDefault="00E90AB0" w:rsidP="0002260E">
      <w:pPr>
        <w:ind w:left="-567"/>
        <w:rPr>
          <w:sz w:val="22"/>
          <w:szCs w:val="22"/>
        </w:rPr>
      </w:pPr>
    </w:p>
    <w:p w14:paraId="510C9601" w14:textId="77777777" w:rsidR="006118A2" w:rsidRDefault="006118A2" w:rsidP="0002260E">
      <w:pPr>
        <w:ind w:left="-567"/>
        <w:rPr>
          <w:sz w:val="22"/>
          <w:szCs w:val="22"/>
        </w:rPr>
      </w:pPr>
    </w:p>
    <w:p w14:paraId="417D1026" w14:textId="68B193F3" w:rsidR="00F82B83" w:rsidRPr="00CC1C22" w:rsidRDefault="000F607A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>E</w:t>
      </w:r>
      <w:r w:rsidR="00F82B83" w:rsidRPr="004643E6">
        <w:rPr>
          <w:sz w:val="22"/>
          <w:szCs w:val="22"/>
        </w:rPr>
        <w:t xml:space="preserve">l Instituto Nacional de Estadística y Geografía (INEGI), </w:t>
      </w:r>
      <w:r w:rsidR="00AC4E63">
        <w:rPr>
          <w:sz w:val="22"/>
          <w:szCs w:val="22"/>
        </w:rPr>
        <w:t xml:space="preserve">con </w:t>
      </w:r>
      <w:r w:rsidR="006C0141">
        <w:rPr>
          <w:sz w:val="22"/>
          <w:szCs w:val="22"/>
        </w:rPr>
        <w:t xml:space="preserve">motivo de esta celebración, ofrece </w:t>
      </w:r>
      <w:r w:rsidR="0011552A">
        <w:rPr>
          <w:sz w:val="22"/>
          <w:szCs w:val="22"/>
        </w:rPr>
        <w:t xml:space="preserve">información con la intención de </w:t>
      </w:r>
      <w:r w:rsidR="006C0141">
        <w:rPr>
          <w:sz w:val="22"/>
          <w:szCs w:val="22"/>
        </w:rPr>
        <w:t>presentar</w:t>
      </w:r>
      <w:r w:rsidR="0011552A">
        <w:rPr>
          <w:sz w:val="22"/>
          <w:szCs w:val="22"/>
        </w:rPr>
        <w:t xml:space="preserve"> </w:t>
      </w:r>
      <w:r w:rsidR="00AC4E63">
        <w:rPr>
          <w:sz w:val="22"/>
          <w:szCs w:val="22"/>
        </w:rPr>
        <w:t>un panorama</w:t>
      </w:r>
      <w:r w:rsidR="00F82B83" w:rsidRPr="004643E6">
        <w:rPr>
          <w:sz w:val="22"/>
          <w:szCs w:val="22"/>
        </w:rPr>
        <w:t xml:space="preserve"> general de los aspectos económicos </w:t>
      </w:r>
      <w:r w:rsidR="00F82B83" w:rsidRPr="00A071E4">
        <w:rPr>
          <w:sz w:val="22"/>
          <w:szCs w:val="22"/>
        </w:rPr>
        <w:t>y sociales más importantes referentes a la actividad turística.</w:t>
      </w:r>
    </w:p>
    <w:p w14:paraId="75E1593E" w14:textId="77777777" w:rsidR="00C92FDD" w:rsidRPr="00CC1C22" w:rsidRDefault="00C92FDD" w:rsidP="0002260E">
      <w:pPr>
        <w:rPr>
          <w:sz w:val="22"/>
          <w:szCs w:val="22"/>
        </w:rPr>
      </w:pPr>
    </w:p>
    <w:p w14:paraId="61299EC0" w14:textId="0A8F810E" w:rsidR="00C701F3" w:rsidRPr="001616A9" w:rsidRDefault="000923AB" w:rsidP="0002260E">
      <w:pPr>
        <w:ind w:left="-567"/>
        <w:jc w:val="left"/>
        <w:rPr>
          <w:b/>
          <w:sz w:val="26"/>
          <w:szCs w:val="26"/>
          <w:lang w:val="es-MX"/>
        </w:rPr>
      </w:pPr>
      <w:r w:rsidRPr="001616A9">
        <w:rPr>
          <w:b/>
          <w:sz w:val="26"/>
          <w:szCs w:val="26"/>
          <w:lang w:val="es-MX"/>
        </w:rPr>
        <w:t>C</w:t>
      </w:r>
      <w:r w:rsidR="00314ED0" w:rsidRPr="001616A9">
        <w:rPr>
          <w:b/>
          <w:sz w:val="26"/>
          <w:szCs w:val="26"/>
          <w:lang w:val="es-MX"/>
        </w:rPr>
        <w:t>uenta Satélite de Turismo</w:t>
      </w:r>
    </w:p>
    <w:p w14:paraId="14BC1614" w14:textId="77777777" w:rsidR="00C701F3" w:rsidRPr="00CC1C22" w:rsidRDefault="00C701F3" w:rsidP="0002260E">
      <w:pPr>
        <w:ind w:left="-567"/>
        <w:rPr>
          <w:sz w:val="22"/>
          <w:szCs w:val="22"/>
        </w:rPr>
      </w:pPr>
    </w:p>
    <w:p w14:paraId="0EA7A714" w14:textId="75EA2D5C" w:rsidR="006308E0" w:rsidRDefault="006308E0" w:rsidP="0002260E">
      <w:pPr>
        <w:ind w:left="-567"/>
        <w:rPr>
          <w:sz w:val="22"/>
          <w:szCs w:val="22"/>
        </w:rPr>
      </w:pPr>
      <w:r w:rsidRPr="006308E0">
        <w:rPr>
          <w:sz w:val="22"/>
          <w:szCs w:val="22"/>
        </w:rPr>
        <w:t xml:space="preserve">El INEGI, como encargado de realizar el Sistema de Cuentas Nacionales de México (SCNM), </w:t>
      </w:r>
      <w:r w:rsidR="00F47E37">
        <w:rPr>
          <w:sz w:val="22"/>
          <w:szCs w:val="22"/>
        </w:rPr>
        <w:t>difunde</w:t>
      </w:r>
      <w:r w:rsidRPr="006308E0">
        <w:rPr>
          <w:sz w:val="22"/>
          <w:szCs w:val="22"/>
        </w:rPr>
        <w:t xml:space="preserve"> </w:t>
      </w:r>
      <w:r w:rsidR="006A7A1B">
        <w:rPr>
          <w:sz w:val="22"/>
          <w:szCs w:val="22"/>
        </w:rPr>
        <w:t xml:space="preserve">regularmente </w:t>
      </w:r>
      <w:r w:rsidRPr="006308E0">
        <w:rPr>
          <w:sz w:val="22"/>
          <w:szCs w:val="22"/>
        </w:rPr>
        <w:t xml:space="preserve">los resultados </w:t>
      </w:r>
      <w:r w:rsidR="006A7A1B">
        <w:rPr>
          <w:sz w:val="22"/>
          <w:szCs w:val="22"/>
        </w:rPr>
        <w:t>sobre la dinámica y representatividad del sector tur</w:t>
      </w:r>
      <w:r w:rsidR="00314ED0">
        <w:rPr>
          <w:sz w:val="22"/>
          <w:szCs w:val="22"/>
        </w:rPr>
        <w:t>ístico</w:t>
      </w:r>
      <w:r w:rsidRPr="006308E0">
        <w:rPr>
          <w:sz w:val="22"/>
          <w:szCs w:val="22"/>
        </w:rPr>
        <w:t xml:space="preserve">, </w:t>
      </w:r>
      <w:r w:rsidR="009F570A">
        <w:rPr>
          <w:sz w:val="22"/>
          <w:szCs w:val="22"/>
        </w:rPr>
        <w:t>considerando como</w:t>
      </w:r>
      <w:r w:rsidRPr="006308E0">
        <w:rPr>
          <w:sz w:val="22"/>
          <w:szCs w:val="22"/>
        </w:rPr>
        <w:t xml:space="preserve"> Año Base</w:t>
      </w:r>
      <w:r w:rsidR="009F570A">
        <w:rPr>
          <w:sz w:val="22"/>
          <w:szCs w:val="22"/>
        </w:rPr>
        <w:t xml:space="preserve"> el</w:t>
      </w:r>
      <w:r w:rsidRPr="006308E0">
        <w:rPr>
          <w:sz w:val="22"/>
          <w:szCs w:val="22"/>
        </w:rPr>
        <w:t xml:space="preserve"> 2013</w:t>
      </w:r>
      <w:r w:rsidR="00A15706">
        <w:rPr>
          <w:sz w:val="22"/>
          <w:szCs w:val="22"/>
        </w:rPr>
        <w:t xml:space="preserve">. Para un análisis más amplio, se cuenta con </w:t>
      </w:r>
      <w:r w:rsidR="00B43A71">
        <w:rPr>
          <w:sz w:val="22"/>
          <w:szCs w:val="22"/>
        </w:rPr>
        <w:t>información desde 1</w:t>
      </w:r>
      <w:r w:rsidRPr="006308E0">
        <w:rPr>
          <w:sz w:val="22"/>
          <w:szCs w:val="22"/>
        </w:rPr>
        <w:t>993.</w:t>
      </w:r>
    </w:p>
    <w:p w14:paraId="50C16B61" w14:textId="77777777" w:rsidR="00AA35F1" w:rsidRPr="006308E0" w:rsidRDefault="00AA35F1" w:rsidP="00AA35F1">
      <w:pPr>
        <w:ind w:left="-567" w:right="-518"/>
        <w:rPr>
          <w:sz w:val="22"/>
          <w:szCs w:val="22"/>
        </w:rPr>
      </w:pPr>
    </w:p>
    <w:p w14:paraId="27413C29" w14:textId="77777777" w:rsidR="004249F8" w:rsidRDefault="00C83141" w:rsidP="00C034F2">
      <w:pPr>
        <w:tabs>
          <w:tab w:val="left" w:pos="851"/>
        </w:tabs>
        <w:spacing w:line="276" w:lineRule="auto"/>
        <w:ind w:left="1134" w:hanging="1134"/>
        <w:jc w:val="left"/>
        <w:rPr>
          <w:noProof/>
          <w:sz w:val="22"/>
          <w:szCs w:val="22"/>
          <w:lang w:val="es-MX" w:eastAsia="es-MX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721551B" wp14:editId="3BEF3E27">
            <wp:extent cx="5612130" cy="3808675"/>
            <wp:effectExtent l="19050" t="19050" r="26670" b="2095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ADB528" w14:textId="77777777" w:rsidR="000977CF" w:rsidRDefault="000977CF">
      <w:pPr>
        <w:spacing w:line="276" w:lineRule="auto"/>
        <w:jc w:val="left"/>
        <w:rPr>
          <w:noProof/>
          <w:sz w:val="22"/>
          <w:szCs w:val="22"/>
          <w:lang w:val="es-MX" w:eastAsia="es-MX"/>
        </w:rPr>
      </w:pPr>
    </w:p>
    <w:p w14:paraId="7F0B8536" w14:textId="165A4316" w:rsidR="00C701F3" w:rsidRPr="001616A9" w:rsidRDefault="000923AB" w:rsidP="00AA35F1">
      <w:pPr>
        <w:ind w:left="-567"/>
        <w:rPr>
          <w:b/>
          <w:sz w:val="22"/>
          <w:szCs w:val="23"/>
          <w:lang w:val="es-MX"/>
        </w:rPr>
      </w:pPr>
      <w:r w:rsidRPr="001616A9">
        <w:rPr>
          <w:b/>
          <w:sz w:val="22"/>
          <w:szCs w:val="23"/>
          <w:lang w:val="es-MX"/>
        </w:rPr>
        <w:t>P</w:t>
      </w:r>
      <w:r w:rsidR="00314ED0">
        <w:rPr>
          <w:b/>
          <w:sz w:val="22"/>
          <w:szCs w:val="23"/>
          <w:lang w:val="es-MX"/>
        </w:rPr>
        <w:t xml:space="preserve">roducto </w:t>
      </w:r>
      <w:r w:rsidR="00E17F6D">
        <w:rPr>
          <w:b/>
          <w:sz w:val="22"/>
          <w:szCs w:val="23"/>
          <w:lang w:val="es-MX"/>
        </w:rPr>
        <w:t>I</w:t>
      </w:r>
      <w:r w:rsidR="00314ED0">
        <w:rPr>
          <w:b/>
          <w:sz w:val="22"/>
          <w:szCs w:val="23"/>
          <w:lang w:val="es-MX"/>
        </w:rPr>
        <w:t xml:space="preserve">nterno </w:t>
      </w:r>
      <w:r w:rsidR="00E17F6D">
        <w:rPr>
          <w:b/>
          <w:sz w:val="22"/>
          <w:szCs w:val="23"/>
          <w:lang w:val="es-MX"/>
        </w:rPr>
        <w:t>B</w:t>
      </w:r>
      <w:r w:rsidR="00314ED0">
        <w:rPr>
          <w:b/>
          <w:sz w:val="22"/>
          <w:szCs w:val="23"/>
          <w:lang w:val="es-MX"/>
        </w:rPr>
        <w:t xml:space="preserve">ruto </w:t>
      </w:r>
      <w:r w:rsidR="0025390C">
        <w:rPr>
          <w:b/>
          <w:sz w:val="22"/>
          <w:szCs w:val="23"/>
          <w:lang w:val="es-MX"/>
        </w:rPr>
        <w:t>T</w:t>
      </w:r>
      <w:r w:rsidR="00314ED0">
        <w:rPr>
          <w:b/>
          <w:sz w:val="22"/>
          <w:szCs w:val="23"/>
          <w:lang w:val="es-MX"/>
        </w:rPr>
        <w:t>urístico</w:t>
      </w:r>
    </w:p>
    <w:p w14:paraId="780265F8" w14:textId="77777777" w:rsidR="00C701F3" w:rsidRDefault="00C701F3" w:rsidP="00AA35F1">
      <w:pPr>
        <w:ind w:left="-567"/>
        <w:rPr>
          <w:sz w:val="22"/>
          <w:szCs w:val="22"/>
        </w:rPr>
      </w:pPr>
    </w:p>
    <w:p w14:paraId="0F0ED6F4" w14:textId="7CED5FB3" w:rsidR="0002260E" w:rsidRDefault="0002260E" w:rsidP="00AA35F1">
      <w:pPr>
        <w:ind w:left="-567"/>
        <w:rPr>
          <w:sz w:val="22"/>
          <w:szCs w:val="22"/>
        </w:rPr>
      </w:pPr>
      <w:r>
        <w:rPr>
          <w:sz w:val="22"/>
          <w:szCs w:val="22"/>
        </w:rPr>
        <w:t>En</w:t>
      </w:r>
      <w:r w:rsidR="00B90991">
        <w:rPr>
          <w:sz w:val="22"/>
          <w:szCs w:val="22"/>
        </w:rPr>
        <w:t xml:space="preserve"> 2017</w:t>
      </w:r>
      <w:r w:rsidR="00B56943">
        <w:rPr>
          <w:sz w:val="22"/>
          <w:szCs w:val="22"/>
        </w:rPr>
        <w:t xml:space="preserve">, la actividad turística en México </w:t>
      </w:r>
      <w:r w:rsidR="00484C12">
        <w:rPr>
          <w:sz w:val="22"/>
          <w:szCs w:val="22"/>
        </w:rPr>
        <w:t xml:space="preserve">contribuyó con el 8.7% al PIB del </w:t>
      </w:r>
      <w:r w:rsidR="00B56943">
        <w:rPr>
          <w:sz w:val="22"/>
          <w:szCs w:val="22"/>
        </w:rPr>
        <w:t>total de la economía</w:t>
      </w:r>
      <w:r w:rsidR="00C701F3" w:rsidRPr="009F43DA">
        <w:rPr>
          <w:sz w:val="22"/>
          <w:szCs w:val="22"/>
          <w:vertAlign w:val="superscript"/>
        </w:rPr>
        <w:footnoteReference w:id="1"/>
      </w:r>
      <w:r w:rsidR="00BD53CA">
        <w:rPr>
          <w:sz w:val="22"/>
          <w:szCs w:val="22"/>
        </w:rPr>
        <w:t xml:space="preserve"> medido en valores corrientes</w:t>
      </w:r>
      <w:r w:rsidR="00DB79E1">
        <w:rPr>
          <w:sz w:val="22"/>
          <w:szCs w:val="22"/>
        </w:rPr>
        <w:t xml:space="preserve">, observando que el </w:t>
      </w:r>
      <w:r w:rsidR="00C701F3">
        <w:rPr>
          <w:sz w:val="22"/>
          <w:szCs w:val="22"/>
        </w:rPr>
        <w:t>sector turismo</w:t>
      </w:r>
      <w:r w:rsidR="00C701F3" w:rsidRPr="009F43DA">
        <w:rPr>
          <w:sz w:val="22"/>
          <w:szCs w:val="22"/>
        </w:rPr>
        <w:t xml:space="preserve"> se caracteriza por producir en mayor medida servic</w:t>
      </w:r>
      <w:r w:rsidR="00A70982">
        <w:rPr>
          <w:sz w:val="22"/>
          <w:szCs w:val="22"/>
        </w:rPr>
        <w:t>ios que consumen los visitantes</w:t>
      </w:r>
      <w:r w:rsidR="007A5419">
        <w:rPr>
          <w:sz w:val="22"/>
          <w:szCs w:val="22"/>
        </w:rPr>
        <w:t xml:space="preserve">. </w:t>
      </w:r>
    </w:p>
    <w:p w14:paraId="47590BDB" w14:textId="77777777" w:rsidR="0002260E" w:rsidRDefault="0002260E" w:rsidP="00AA35F1">
      <w:pPr>
        <w:ind w:left="-567"/>
        <w:rPr>
          <w:sz w:val="22"/>
          <w:szCs w:val="22"/>
        </w:rPr>
      </w:pPr>
    </w:p>
    <w:p w14:paraId="3E28B9C2" w14:textId="0522AF10" w:rsidR="0005168D" w:rsidRPr="00872779" w:rsidRDefault="007A5419" w:rsidP="00AA35F1">
      <w:pPr>
        <w:ind w:left="-567"/>
      </w:pPr>
      <w:r>
        <w:rPr>
          <w:sz w:val="22"/>
          <w:szCs w:val="22"/>
        </w:rPr>
        <w:lastRenderedPageBreak/>
        <w:t xml:space="preserve">Considerando </w:t>
      </w:r>
      <w:r w:rsidR="00A70982">
        <w:rPr>
          <w:sz w:val="22"/>
          <w:szCs w:val="22"/>
        </w:rPr>
        <w:t xml:space="preserve">el </w:t>
      </w:r>
      <w:r w:rsidR="00C701F3" w:rsidRPr="009F43DA">
        <w:rPr>
          <w:sz w:val="22"/>
          <w:szCs w:val="22"/>
        </w:rPr>
        <w:t xml:space="preserve">total de la producción turística, </w:t>
      </w:r>
      <w:r w:rsidR="00A70982">
        <w:rPr>
          <w:sz w:val="22"/>
          <w:szCs w:val="22"/>
        </w:rPr>
        <w:t xml:space="preserve">los servicios </w:t>
      </w:r>
      <w:r w:rsidR="00C701F3" w:rsidRPr="009F43DA">
        <w:rPr>
          <w:sz w:val="22"/>
          <w:szCs w:val="22"/>
        </w:rPr>
        <w:t>representan el 8</w:t>
      </w:r>
      <w:r w:rsidR="00B9372C">
        <w:rPr>
          <w:sz w:val="22"/>
          <w:szCs w:val="22"/>
        </w:rPr>
        <w:t>9</w:t>
      </w:r>
      <w:r w:rsidR="00C701F3" w:rsidRPr="009F43DA">
        <w:rPr>
          <w:sz w:val="22"/>
          <w:szCs w:val="22"/>
        </w:rPr>
        <w:t xml:space="preserve">.4%, mientras </w:t>
      </w:r>
      <w:r w:rsidR="00B9372C">
        <w:rPr>
          <w:sz w:val="22"/>
          <w:szCs w:val="22"/>
        </w:rPr>
        <w:t xml:space="preserve">que </w:t>
      </w:r>
      <w:r w:rsidR="006811B3">
        <w:rPr>
          <w:sz w:val="22"/>
          <w:szCs w:val="22"/>
        </w:rPr>
        <w:t>la producción de</w:t>
      </w:r>
      <w:r w:rsidR="00B9372C">
        <w:rPr>
          <w:sz w:val="22"/>
          <w:szCs w:val="22"/>
        </w:rPr>
        <w:t xml:space="preserve"> bienes representa el 10</w:t>
      </w:r>
      <w:r w:rsidR="00C701F3" w:rsidRPr="009F43DA">
        <w:rPr>
          <w:sz w:val="22"/>
          <w:szCs w:val="22"/>
        </w:rPr>
        <w:t>.6%</w:t>
      </w:r>
      <w:r w:rsidR="00C701F3">
        <w:rPr>
          <w:sz w:val="22"/>
          <w:szCs w:val="22"/>
        </w:rPr>
        <w:t xml:space="preserve"> restante</w:t>
      </w:r>
      <w:r w:rsidR="00C701F3" w:rsidRPr="009F43DA">
        <w:rPr>
          <w:sz w:val="22"/>
          <w:szCs w:val="22"/>
        </w:rPr>
        <w:t xml:space="preserve">. Entre los principales servicios </w:t>
      </w:r>
      <w:r w:rsidR="006811B3">
        <w:rPr>
          <w:sz w:val="22"/>
          <w:szCs w:val="22"/>
        </w:rPr>
        <w:t>que genera la actividad turística</w:t>
      </w:r>
      <w:r w:rsidR="000F047D">
        <w:rPr>
          <w:sz w:val="22"/>
          <w:szCs w:val="22"/>
        </w:rPr>
        <w:t>,</w:t>
      </w:r>
      <w:r w:rsidR="006811B3">
        <w:rPr>
          <w:sz w:val="22"/>
          <w:szCs w:val="22"/>
        </w:rPr>
        <w:t xml:space="preserve"> </w:t>
      </w:r>
      <w:r w:rsidR="00C701F3" w:rsidRPr="009F43DA">
        <w:rPr>
          <w:sz w:val="22"/>
          <w:szCs w:val="22"/>
        </w:rPr>
        <w:t xml:space="preserve">se pueden destacar el </w:t>
      </w:r>
      <w:r w:rsidR="00B56943">
        <w:rPr>
          <w:sz w:val="22"/>
          <w:szCs w:val="22"/>
        </w:rPr>
        <w:t xml:space="preserve">de </w:t>
      </w:r>
      <w:r w:rsidR="00C701F3" w:rsidRPr="009F43DA">
        <w:rPr>
          <w:sz w:val="22"/>
          <w:szCs w:val="22"/>
        </w:rPr>
        <w:t>alojamiento, transporte de pasajeros</w:t>
      </w:r>
      <w:r w:rsidR="00E17F6D">
        <w:rPr>
          <w:sz w:val="22"/>
          <w:szCs w:val="22"/>
        </w:rPr>
        <w:t xml:space="preserve"> y</w:t>
      </w:r>
      <w:r w:rsidR="00C701F3" w:rsidRPr="009F43DA">
        <w:rPr>
          <w:sz w:val="22"/>
          <w:szCs w:val="22"/>
        </w:rPr>
        <w:t xml:space="preserve"> servicio en restaurantes, bares y centros nocturnos, entre otros (ver </w:t>
      </w:r>
      <w:r w:rsidR="00B9372C">
        <w:rPr>
          <w:sz w:val="22"/>
          <w:szCs w:val="22"/>
        </w:rPr>
        <w:t xml:space="preserve">Figura </w:t>
      </w:r>
      <w:r w:rsidR="00C83141">
        <w:rPr>
          <w:sz w:val="22"/>
          <w:szCs w:val="22"/>
        </w:rPr>
        <w:t>3</w:t>
      </w:r>
      <w:r w:rsidR="00C701F3" w:rsidRPr="009F43DA">
        <w:rPr>
          <w:sz w:val="22"/>
          <w:szCs w:val="22"/>
        </w:rPr>
        <w:t>).</w:t>
      </w:r>
      <w:r w:rsidR="0005168D">
        <w:rPr>
          <w:lang w:val="es-MX"/>
        </w:rPr>
        <w:br w:type="page"/>
      </w:r>
    </w:p>
    <w:p w14:paraId="3B6B2237" w14:textId="77777777" w:rsidR="00133A32" w:rsidRDefault="004344D7" w:rsidP="007562E1">
      <w:pPr>
        <w:rPr>
          <w:lang w:val="es-MX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12419E2" wp14:editId="4B0E253F">
            <wp:extent cx="5616000" cy="4744800"/>
            <wp:effectExtent l="19050" t="19050" r="22860" b="3683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0C708C" w14:textId="77777777" w:rsidR="00786D2A" w:rsidRDefault="00786D2A" w:rsidP="0047063E">
      <w:pPr>
        <w:jc w:val="left"/>
        <w:rPr>
          <w:b/>
          <w:color w:val="003E3D"/>
          <w:sz w:val="23"/>
          <w:szCs w:val="23"/>
          <w:lang w:val="es-MX"/>
        </w:rPr>
      </w:pPr>
    </w:p>
    <w:p w14:paraId="30467929" w14:textId="445B9BC9" w:rsidR="0047063E" w:rsidRPr="001616A9" w:rsidRDefault="000923AB" w:rsidP="001616A9">
      <w:pPr>
        <w:ind w:left="-567"/>
        <w:rPr>
          <w:b/>
          <w:sz w:val="22"/>
          <w:szCs w:val="23"/>
          <w:lang w:val="es-MX"/>
        </w:rPr>
      </w:pPr>
      <w:r w:rsidRPr="001616A9">
        <w:rPr>
          <w:b/>
          <w:sz w:val="22"/>
          <w:szCs w:val="23"/>
          <w:lang w:val="es-MX"/>
        </w:rPr>
        <w:t>C</w:t>
      </w:r>
      <w:r w:rsidR="00561AA7">
        <w:rPr>
          <w:b/>
          <w:sz w:val="22"/>
          <w:szCs w:val="23"/>
          <w:lang w:val="es-MX"/>
        </w:rPr>
        <w:t>onsumo de los turistas</w:t>
      </w:r>
    </w:p>
    <w:p w14:paraId="1AA2EC9E" w14:textId="77777777" w:rsidR="0047063E" w:rsidRPr="009551A5" w:rsidRDefault="0047063E" w:rsidP="00AA35F1">
      <w:pPr>
        <w:ind w:left="-567"/>
        <w:rPr>
          <w:sz w:val="18"/>
          <w:szCs w:val="22"/>
        </w:rPr>
      </w:pPr>
    </w:p>
    <w:p w14:paraId="775C3140" w14:textId="60EFF0F7" w:rsidR="00E059FC" w:rsidRDefault="0047063E" w:rsidP="00AA35F1">
      <w:pPr>
        <w:ind w:left="-567"/>
        <w:rPr>
          <w:sz w:val="22"/>
          <w:szCs w:val="22"/>
        </w:rPr>
      </w:pPr>
      <w:r w:rsidRPr="009F43DA">
        <w:rPr>
          <w:sz w:val="22"/>
          <w:szCs w:val="22"/>
        </w:rPr>
        <w:t xml:space="preserve">La </w:t>
      </w:r>
      <w:r w:rsidR="007640D5">
        <w:rPr>
          <w:sz w:val="22"/>
          <w:szCs w:val="22"/>
        </w:rPr>
        <w:t>C</w:t>
      </w:r>
      <w:r w:rsidR="00E059FC">
        <w:rPr>
          <w:sz w:val="22"/>
          <w:szCs w:val="22"/>
        </w:rPr>
        <w:t xml:space="preserve">uenta </w:t>
      </w:r>
      <w:r w:rsidR="007640D5">
        <w:rPr>
          <w:sz w:val="22"/>
          <w:szCs w:val="22"/>
        </w:rPr>
        <w:t>S</w:t>
      </w:r>
      <w:r w:rsidR="00E059FC">
        <w:rPr>
          <w:sz w:val="22"/>
          <w:szCs w:val="22"/>
        </w:rPr>
        <w:t xml:space="preserve">atélite de </w:t>
      </w:r>
      <w:r w:rsidR="007640D5">
        <w:rPr>
          <w:sz w:val="22"/>
          <w:szCs w:val="22"/>
        </w:rPr>
        <w:t>T</w:t>
      </w:r>
      <w:r w:rsidR="00E059FC">
        <w:rPr>
          <w:sz w:val="22"/>
          <w:szCs w:val="22"/>
        </w:rPr>
        <w:t xml:space="preserve">urismo de </w:t>
      </w:r>
      <w:r w:rsidR="007640D5">
        <w:rPr>
          <w:sz w:val="22"/>
          <w:szCs w:val="22"/>
        </w:rPr>
        <w:t>M</w:t>
      </w:r>
      <w:r w:rsidR="00E059FC">
        <w:rPr>
          <w:sz w:val="22"/>
          <w:szCs w:val="22"/>
        </w:rPr>
        <w:t>éxico (CSTM)</w:t>
      </w:r>
      <w:r w:rsidRPr="009F43DA">
        <w:rPr>
          <w:sz w:val="22"/>
          <w:szCs w:val="22"/>
        </w:rPr>
        <w:t xml:space="preserve"> permite identificar </w:t>
      </w:r>
      <w:r w:rsidR="00A15706">
        <w:rPr>
          <w:sz w:val="22"/>
          <w:szCs w:val="22"/>
        </w:rPr>
        <w:t xml:space="preserve">asimismo </w:t>
      </w:r>
      <w:r w:rsidRPr="009F43DA">
        <w:rPr>
          <w:sz w:val="22"/>
          <w:szCs w:val="22"/>
        </w:rPr>
        <w:t>el c</w:t>
      </w:r>
      <w:r w:rsidRPr="009F43DA">
        <w:rPr>
          <w:iCs/>
          <w:sz w:val="22"/>
          <w:szCs w:val="22"/>
        </w:rPr>
        <w:t xml:space="preserve">onsumo turístico </w:t>
      </w:r>
      <w:r w:rsidR="007E546E">
        <w:rPr>
          <w:iCs/>
          <w:sz w:val="22"/>
          <w:szCs w:val="22"/>
        </w:rPr>
        <w:t xml:space="preserve">de </w:t>
      </w:r>
      <w:r w:rsidR="00B56943" w:rsidRPr="009F43DA">
        <w:rPr>
          <w:sz w:val="22"/>
          <w:szCs w:val="22"/>
        </w:rPr>
        <w:t>bienes y servicios</w:t>
      </w:r>
      <w:r w:rsidRPr="009F43DA">
        <w:rPr>
          <w:sz w:val="22"/>
          <w:szCs w:val="22"/>
        </w:rPr>
        <w:t xml:space="preserve"> realizado por los visitantes dentro del país, </w:t>
      </w:r>
      <w:r w:rsidR="00BD53CA">
        <w:rPr>
          <w:sz w:val="22"/>
          <w:szCs w:val="22"/>
        </w:rPr>
        <w:t>previos</w:t>
      </w:r>
      <w:r w:rsidRPr="009F43DA">
        <w:rPr>
          <w:sz w:val="22"/>
          <w:szCs w:val="22"/>
        </w:rPr>
        <w:t xml:space="preserve"> y durante su viaje, tanto </w:t>
      </w:r>
      <w:r w:rsidR="00A1123B">
        <w:rPr>
          <w:sz w:val="22"/>
          <w:szCs w:val="22"/>
        </w:rPr>
        <w:t xml:space="preserve">de </w:t>
      </w:r>
      <w:r w:rsidR="00BD53CA">
        <w:rPr>
          <w:sz w:val="22"/>
          <w:szCs w:val="22"/>
        </w:rPr>
        <w:t>residentes (consumo interno)</w:t>
      </w:r>
      <w:r w:rsidR="000F047D">
        <w:rPr>
          <w:sz w:val="22"/>
          <w:szCs w:val="22"/>
        </w:rPr>
        <w:t>,</w:t>
      </w:r>
      <w:r w:rsidRPr="009F43DA">
        <w:rPr>
          <w:sz w:val="22"/>
          <w:szCs w:val="22"/>
        </w:rPr>
        <w:t xml:space="preserve"> como </w:t>
      </w:r>
      <w:r w:rsidR="00A1123B">
        <w:rPr>
          <w:sz w:val="22"/>
          <w:szCs w:val="22"/>
        </w:rPr>
        <w:t xml:space="preserve">de </w:t>
      </w:r>
      <w:r w:rsidRPr="009F43DA">
        <w:rPr>
          <w:sz w:val="22"/>
          <w:szCs w:val="22"/>
        </w:rPr>
        <w:t>extranjeros (consumo receptivo)</w:t>
      </w:r>
      <w:r w:rsidR="00A15706">
        <w:rPr>
          <w:sz w:val="22"/>
          <w:szCs w:val="22"/>
        </w:rPr>
        <w:t xml:space="preserve">. </w:t>
      </w:r>
    </w:p>
    <w:p w14:paraId="26DA6BDF" w14:textId="77777777" w:rsidR="00E059FC" w:rsidRDefault="00E059FC" w:rsidP="00AA35F1">
      <w:pPr>
        <w:ind w:left="-567"/>
        <w:rPr>
          <w:sz w:val="22"/>
          <w:szCs w:val="22"/>
        </w:rPr>
      </w:pPr>
    </w:p>
    <w:p w14:paraId="24691B29" w14:textId="77777777" w:rsidR="0047063E" w:rsidRDefault="00A15706" w:rsidP="00AA35F1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Además, </w:t>
      </w:r>
      <w:r w:rsidR="0047063E" w:rsidRPr="009F43DA">
        <w:rPr>
          <w:sz w:val="22"/>
          <w:szCs w:val="22"/>
        </w:rPr>
        <w:t xml:space="preserve">registra el </w:t>
      </w:r>
      <w:r w:rsidR="0047063E" w:rsidRPr="009F43DA">
        <w:rPr>
          <w:iCs/>
          <w:sz w:val="22"/>
          <w:szCs w:val="22"/>
        </w:rPr>
        <w:t>consumo turístico emisor,</w:t>
      </w:r>
      <w:r w:rsidR="00345523">
        <w:rPr>
          <w:iCs/>
          <w:sz w:val="22"/>
          <w:szCs w:val="22"/>
        </w:rPr>
        <w:t xml:space="preserve"> </w:t>
      </w:r>
      <w:r w:rsidR="0047063E" w:rsidRPr="00133A32">
        <w:rPr>
          <w:spacing w:val="-6"/>
          <w:sz w:val="22"/>
          <w:szCs w:val="22"/>
        </w:rPr>
        <w:t xml:space="preserve">que se define como el gasto realizado por los residentes de México </w:t>
      </w:r>
      <w:r w:rsidR="00B56943" w:rsidRPr="00133A32">
        <w:rPr>
          <w:spacing w:val="-6"/>
          <w:sz w:val="22"/>
          <w:szCs w:val="22"/>
        </w:rPr>
        <w:t xml:space="preserve">que visitan </w:t>
      </w:r>
      <w:r w:rsidR="0047063E" w:rsidRPr="00133A32">
        <w:rPr>
          <w:spacing w:val="-6"/>
          <w:sz w:val="22"/>
          <w:szCs w:val="22"/>
        </w:rPr>
        <w:t>otros países</w:t>
      </w:r>
      <w:r w:rsidR="0047063E" w:rsidRPr="009F43DA">
        <w:rPr>
          <w:sz w:val="22"/>
          <w:szCs w:val="22"/>
        </w:rPr>
        <w:t>.</w:t>
      </w:r>
    </w:p>
    <w:p w14:paraId="6F43C2DE" w14:textId="77777777" w:rsidR="008C31FF" w:rsidRDefault="008C31FF" w:rsidP="00AA35F1">
      <w:pPr>
        <w:ind w:left="-567"/>
        <w:rPr>
          <w:sz w:val="22"/>
          <w:szCs w:val="22"/>
        </w:rPr>
      </w:pPr>
    </w:p>
    <w:p w14:paraId="1597A9B9" w14:textId="0E6231B4" w:rsidR="00EC07BA" w:rsidRDefault="0047063E" w:rsidP="00AA35F1">
      <w:pPr>
        <w:ind w:left="-567"/>
        <w:rPr>
          <w:iCs/>
          <w:sz w:val="22"/>
          <w:szCs w:val="22"/>
        </w:rPr>
      </w:pPr>
      <w:r w:rsidRPr="00A15706">
        <w:rPr>
          <w:iCs/>
          <w:sz w:val="22"/>
          <w:szCs w:val="22"/>
        </w:rPr>
        <w:t>En este sentido</w:t>
      </w:r>
      <w:r w:rsidRPr="009F43DA">
        <w:rPr>
          <w:iCs/>
          <w:sz w:val="22"/>
          <w:szCs w:val="22"/>
        </w:rPr>
        <w:t xml:space="preserve">, es posible saber </w:t>
      </w:r>
      <w:r w:rsidR="00B56943" w:rsidRPr="009F43DA">
        <w:rPr>
          <w:iCs/>
          <w:sz w:val="22"/>
          <w:szCs w:val="22"/>
        </w:rPr>
        <w:t>que</w:t>
      </w:r>
      <w:r w:rsidR="00E17F6D">
        <w:rPr>
          <w:iCs/>
          <w:sz w:val="22"/>
          <w:szCs w:val="22"/>
        </w:rPr>
        <w:t>,</w:t>
      </w:r>
      <w:r w:rsidRPr="009F43DA">
        <w:rPr>
          <w:iCs/>
          <w:sz w:val="22"/>
          <w:szCs w:val="22"/>
        </w:rPr>
        <w:t xml:space="preserve"> dentro del consumo turístico interior, el </w:t>
      </w:r>
      <w:r w:rsidR="007E546E">
        <w:rPr>
          <w:iCs/>
          <w:sz w:val="22"/>
          <w:szCs w:val="22"/>
        </w:rPr>
        <w:t xml:space="preserve">consumo receptivo </w:t>
      </w:r>
      <w:r w:rsidR="00A15706">
        <w:rPr>
          <w:iCs/>
          <w:sz w:val="22"/>
          <w:szCs w:val="22"/>
        </w:rPr>
        <w:t xml:space="preserve">(visitantes extranjeros) </w:t>
      </w:r>
      <w:r w:rsidR="002E2924">
        <w:rPr>
          <w:iCs/>
          <w:sz w:val="22"/>
          <w:szCs w:val="22"/>
        </w:rPr>
        <w:t>aportó un 17.5</w:t>
      </w:r>
      <w:r w:rsidRPr="009F43DA">
        <w:rPr>
          <w:iCs/>
          <w:sz w:val="22"/>
          <w:szCs w:val="22"/>
        </w:rPr>
        <w:t xml:space="preserve">%, mientras que el consumo </w:t>
      </w:r>
      <w:r w:rsidR="002D44D4">
        <w:rPr>
          <w:iCs/>
          <w:sz w:val="22"/>
          <w:szCs w:val="22"/>
        </w:rPr>
        <w:t>interno</w:t>
      </w:r>
      <w:r w:rsidR="007E546E">
        <w:rPr>
          <w:iCs/>
          <w:sz w:val="22"/>
          <w:szCs w:val="22"/>
        </w:rPr>
        <w:t xml:space="preserve"> </w:t>
      </w:r>
      <w:r w:rsidR="00A15706">
        <w:rPr>
          <w:iCs/>
          <w:sz w:val="22"/>
          <w:szCs w:val="22"/>
        </w:rPr>
        <w:t>(visitantes nacionales)</w:t>
      </w:r>
      <w:r w:rsidR="000F047D">
        <w:rPr>
          <w:iCs/>
          <w:sz w:val="22"/>
          <w:szCs w:val="22"/>
        </w:rPr>
        <w:t>,</w:t>
      </w:r>
      <w:r w:rsidR="00A15706">
        <w:rPr>
          <w:iCs/>
          <w:sz w:val="22"/>
          <w:szCs w:val="22"/>
        </w:rPr>
        <w:t xml:space="preserve"> </w:t>
      </w:r>
      <w:r w:rsidR="002E2924">
        <w:rPr>
          <w:iCs/>
          <w:sz w:val="22"/>
          <w:szCs w:val="22"/>
        </w:rPr>
        <w:t>contribuyó en un 82.5</w:t>
      </w:r>
      <w:r w:rsidRPr="009F43DA">
        <w:rPr>
          <w:iCs/>
          <w:sz w:val="22"/>
          <w:szCs w:val="22"/>
        </w:rPr>
        <w:t xml:space="preserve"> por ciento (ver </w:t>
      </w:r>
      <w:r w:rsidR="006E1718">
        <w:rPr>
          <w:iCs/>
          <w:sz w:val="22"/>
          <w:szCs w:val="22"/>
        </w:rPr>
        <w:t xml:space="preserve">Figura </w:t>
      </w:r>
      <w:r w:rsidR="002E2924">
        <w:rPr>
          <w:iCs/>
          <w:sz w:val="22"/>
          <w:szCs w:val="22"/>
        </w:rPr>
        <w:t>4</w:t>
      </w:r>
      <w:r w:rsidRPr="009F43DA">
        <w:rPr>
          <w:iCs/>
          <w:sz w:val="22"/>
          <w:szCs w:val="22"/>
        </w:rPr>
        <w:t>).</w:t>
      </w:r>
    </w:p>
    <w:p w14:paraId="7656E769" w14:textId="77777777" w:rsidR="0005168D" w:rsidRDefault="0005168D">
      <w:pPr>
        <w:spacing w:after="200" w:line="276" w:lineRule="auto"/>
        <w:jc w:val="left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7EF892BD" w14:textId="77777777" w:rsidR="008026B3" w:rsidRDefault="00D66D20" w:rsidP="007562E1">
      <w:pPr>
        <w:rPr>
          <w:lang w:val="es-MX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9A4F351" wp14:editId="106F7B45">
            <wp:extent cx="5615940" cy="3168502"/>
            <wp:effectExtent l="19050" t="19050" r="22860" b="3238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225692" w14:textId="77777777" w:rsidR="008C31FF" w:rsidRDefault="008C31FF" w:rsidP="007562E1">
      <w:pPr>
        <w:rPr>
          <w:lang w:val="es-MX"/>
        </w:rPr>
      </w:pPr>
    </w:p>
    <w:p w14:paraId="3D5FE6E5" w14:textId="409E09BB" w:rsidR="0047063E" w:rsidRPr="001616A9" w:rsidRDefault="000923AB" w:rsidP="0002260E">
      <w:pPr>
        <w:ind w:left="-567"/>
        <w:rPr>
          <w:b/>
          <w:sz w:val="22"/>
          <w:szCs w:val="23"/>
          <w:lang w:val="es-MX"/>
        </w:rPr>
      </w:pPr>
      <w:r w:rsidRPr="001616A9">
        <w:rPr>
          <w:b/>
          <w:sz w:val="22"/>
          <w:szCs w:val="23"/>
          <w:lang w:val="es-MX"/>
        </w:rPr>
        <w:t>P</w:t>
      </w:r>
      <w:r w:rsidR="00561AA7">
        <w:rPr>
          <w:b/>
          <w:sz w:val="22"/>
          <w:szCs w:val="23"/>
          <w:lang w:val="es-MX"/>
        </w:rPr>
        <w:t>uestos de trabajo en el turismo</w:t>
      </w:r>
    </w:p>
    <w:p w14:paraId="2329C073" w14:textId="77777777" w:rsidR="0047063E" w:rsidRDefault="0047063E" w:rsidP="0002260E">
      <w:pPr>
        <w:ind w:left="-567"/>
        <w:rPr>
          <w:b/>
          <w:color w:val="1F497D" w:themeColor="text2"/>
          <w:sz w:val="22"/>
          <w:szCs w:val="22"/>
          <w:lang w:val="es-MX"/>
        </w:rPr>
      </w:pPr>
    </w:p>
    <w:p w14:paraId="13C8CCC7" w14:textId="686F3C1E" w:rsidR="0047063E" w:rsidRDefault="0047063E" w:rsidP="0002260E">
      <w:pPr>
        <w:ind w:left="-567"/>
        <w:rPr>
          <w:sz w:val="22"/>
          <w:szCs w:val="22"/>
        </w:rPr>
      </w:pPr>
      <w:r w:rsidRPr="009F43DA">
        <w:rPr>
          <w:sz w:val="22"/>
          <w:szCs w:val="22"/>
        </w:rPr>
        <w:t>Los Puestos de Trabajo Ocupados Remunerados</w:t>
      </w:r>
      <w:r w:rsidRPr="009F43DA">
        <w:rPr>
          <w:sz w:val="22"/>
          <w:szCs w:val="22"/>
          <w:vertAlign w:val="superscript"/>
        </w:rPr>
        <w:t xml:space="preserve"> </w:t>
      </w:r>
      <w:r w:rsidRPr="009F43DA">
        <w:rPr>
          <w:sz w:val="22"/>
          <w:szCs w:val="22"/>
        </w:rPr>
        <w:t>(PTOR)</w:t>
      </w:r>
      <w:r w:rsidR="001F3E1D" w:rsidRPr="009F43DA">
        <w:rPr>
          <w:sz w:val="22"/>
          <w:szCs w:val="22"/>
          <w:vertAlign w:val="superscript"/>
        </w:rPr>
        <w:footnoteReference w:id="2"/>
      </w:r>
      <w:r w:rsidRPr="009F43DA">
        <w:rPr>
          <w:sz w:val="22"/>
          <w:szCs w:val="22"/>
        </w:rPr>
        <w:t xml:space="preserve"> </w:t>
      </w:r>
      <w:r w:rsidR="00BD53CA">
        <w:rPr>
          <w:sz w:val="22"/>
          <w:szCs w:val="22"/>
        </w:rPr>
        <w:t xml:space="preserve">representan el insumo laboral requerido </w:t>
      </w:r>
      <w:r w:rsidRPr="009F43DA">
        <w:rPr>
          <w:sz w:val="22"/>
          <w:szCs w:val="22"/>
        </w:rPr>
        <w:t>para llevar a cabo la producción de bienes y servicios turísticos</w:t>
      </w:r>
      <w:r w:rsidR="00BD53CA">
        <w:rPr>
          <w:sz w:val="22"/>
          <w:szCs w:val="22"/>
        </w:rPr>
        <w:t xml:space="preserve"> y</w:t>
      </w:r>
      <w:r w:rsidRPr="009F43DA">
        <w:rPr>
          <w:sz w:val="22"/>
          <w:szCs w:val="22"/>
        </w:rPr>
        <w:t xml:space="preserve"> </w:t>
      </w:r>
      <w:r w:rsidR="0035304B">
        <w:rPr>
          <w:sz w:val="22"/>
          <w:szCs w:val="22"/>
        </w:rPr>
        <w:t>fue</w:t>
      </w:r>
      <w:r w:rsidR="00E059FC">
        <w:rPr>
          <w:sz w:val="22"/>
          <w:szCs w:val="22"/>
        </w:rPr>
        <w:t xml:space="preserve"> de 2.3 millones en</w:t>
      </w:r>
      <w:r w:rsidRPr="009F43DA">
        <w:rPr>
          <w:sz w:val="22"/>
          <w:szCs w:val="22"/>
        </w:rPr>
        <w:t xml:space="preserve"> 201</w:t>
      </w:r>
      <w:r w:rsidR="003D2348">
        <w:rPr>
          <w:sz w:val="22"/>
          <w:szCs w:val="22"/>
        </w:rPr>
        <w:t>7</w:t>
      </w:r>
      <w:r w:rsidR="0035304B">
        <w:rPr>
          <w:sz w:val="22"/>
          <w:szCs w:val="22"/>
        </w:rPr>
        <w:t xml:space="preserve">, </w:t>
      </w:r>
      <w:r w:rsidR="00BD53CA">
        <w:rPr>
          <w:sz w:val="22"/>
          <w:szCs w:val="22"/>
        </w:rPr>
        <w:t>representando</w:t>
      </w:r>
      <w:r w:rsidR="0035304B">
        <w:rPr>
          <w:sz w:val="22"/>
          <w:szCs w:val="22"/>
        </w:rPr>
        <w:t xml:space="preserve"> el 5.9</w:t>
      </w:r>
      <w:r w:rsidRPr="009F43DA">
        <w:rPr>
          <w:sz w:val="22"/>
          <w:szCs w:val="22"/>
        </w:rPr>
        <w:t xml:space="preserve">% del total </w:t>
      </w:r>
      <w:r w:rsidR="00407BF6">
        <w:rPr>
          <w:sz w:val="22"/>
          <w:szCs w:val="22"/>
        </w:rPr>
        <w:t>de</w:t>
      </w:r>
      <w:r w:rsidRPr="009F43DA">
        <w:rPr>
          <w:sz w:val="22"/>
          <w:szCs w:val="22"/>
        </w:rPr>
        <w:t xml:space="preserve"> la economía del país.</w:t>
      </w:r>
      <w:r w:rsidR="00133A32" w:rsidRPr="00133A32">
        <w:rPr>
          <w:sz w:val="22"/>
          <w:szCs w:val="22"/>
        </w:rPr>
        <w:t xml:space="preserve"> </w:t>
      </w:r>
    </w:p>
    <w:p w14:paraId="1964AF55" w14:textId="77777777" w:rsidR="00D77F0D" w:rsidRDefault="00D77F0D" w:rsidP="00951575">
      <w:pPr>
        <w:rPr>
          <w:sz w:val="22"/>
          <w:szCs w:val="22"/>
        </w:rPr>
      </w:pPr>
    </w:p>
    <w:p w14:paraId="46A71CD5" w14:textId="77777777" w:rsidR="00951575" w:rsidRDefault="00316EC3" w:rsidP="00810AEF">
      <w:pPr>
        <w:rPr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D4431A9" wp14:editId="3463BB62">
            <wp:extent cx="5616000" cy="3423600"/>
            <wp:effectExtent l="19050" t="19050" r="22860" b="2476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51575">
        <w:rPr>
          <w:sz w:val="22"/>
          <w:szCs w:val="22"/>
        </w:rPr>
        <w:br w:type="page"/>
      </w:r>
    </w:p>
    <w:p w14:paraId="1409DFC3" w14:textId="681981F5" w:rsidR="002872D9" w:rsidRDefault="00BA6C2E" w:rsidP="0002260E">
      <w:pPr>
        <w:ind w:left="-567"/>
        <w:rPr>
          <w:noProof/>
          <w:spacing w:val="4"/>
          <w:lang w:val="es-MX" w:eastAsia="es-MX"/>
        </w:rPr>
      </w:pPr>
      <w:r w:rsidRPr="005E1DEE">
        <w:rPr>
          <w:spacing w:val="4"/>
          <w:sz w:val="22"/>
          <w:szCs w:val="22"/>
        </w:rPr>
        <w:lastRenderedPageBreak/>
        <w:t xml:space="preserve">Las actividades que generaron mayor aportación a los puestos de trabajo fueron los restaurantes, bares y centros nocturnos con una participación del </w:t>
      </w:r>
      <w:r w:rsidR="007005B1" w:rsidRPr="005E1DEE">
        <w:rPr>
          <w:spacing w:val="4"/>
          <w:sz w:val="22"/>
          <w:szCs w:val="22"/>
        </w:rPr>
        <w:t>28.9</w:t>
      </w:r>
      <w:r w:rsidRPr="005E1DEE">
        <w:rPr>
          <w:spacing w:val="4"/>
          <w:sz w:val="22"/>
          <w:szCs w:val="22"/>
        </w:rPr>
        <w:t>%</w:t>
      </w:r>
      <w:r w:rsidR="00E059FC" w:rsidRPr="005E1DEE">
        <w:rPr>
          <w:spacing w:val="4"/>
          <w:sz w:val="22"/>
          <w:szCs w:val="22"/>
        </w:rPr>
        <w:t>,</w:t>
      </w:r>
      <w:r w:rsidRPr="005E1DEE">
        <w:rPr>
          <w:spacing w:val="4"/>
          <w:sz w:val="22"/>
          <w:szCs w:val="22"/>
        </w:rPr>
        <w:t xml:space="preserve"> el tra</w:t>
      </w:r>
      <w:r w:rsidR="007005B1" w:rsidRPr="005E1DEE">
        <w:rPr>
          <w:spacing w:val="4"/>
          <w:sz w:val="22"/>
          <w:szCs w:val="22"/>
        </w:rPr>
        <w:t>nsporte de pasajeros con 25.3</w:t>
      </w:r>
      <w:r w:rsidR="00965A5C" w:rsidRPr="005E1DEE">
        <w:rPr>
          <w:spacing w:val="4"/>
          <w:sz w:val="22"/>
          <w:szCs w:val="22"/>
        </w:rPr>
        <w:t>%</w:t>
      </w:r>
      <w:r w:rsidRPr="005E1DEE">
        <w:rPr>
          <w:spacing w:val="4"/>
          <w:sz w:val="22"/>
          <w:szCs w:val="22"/>
        </w:rPr>
        <w:t xml:space="preserve">, </w:t>
      </w:r>
      <w:r w:rsidR="000D390F" w:rsidRPr="005E1DEE">
        <w:rPr>
          <w:spacing w:val="4"/>
          <w:sz w:val="22"/>
          <w:szCs w:val="22"/>
        </w:rPr>
        <w:t>otros servicios con 2</w:t>
      </w:r>
      <w:r w:rsidRPr="005E1DEE">
        <w:rPr>
          <w:spacing w:val="4"/>
          <w:sz w:val="22"/>
          <w:szCs w:val="22"/>
        </w:rPr>
        <w:t>4</w:t>
      </w:r>
      <w:r w:rsidR="00C113D1" w:rsidRPr="005E1DEE">
        <w:rPr>
          <w:spacing w:val="4"/>
          <w:sz w:val="22"/>
          <w:szCs w:val="22"/>
        </w:rPr>
        <w:t>.8</w:t>
      </w:r>
      <w:r w:rsidRPr="005E1DEE">
        <w:rPr>
          <w:spacing w:val="4"/>
          <w:sz w:val="22"/>
          <w:szCs w:val="22"/>
        </w:rPr>
        <w:t>%</w:t>
      </w:r>
      <w:r w:rsidR="000D390F" w:rsidRPr="005E1DEE">
        <w:rPr>
          <w:spacing w:val="4"/>
          <w:sz w:val="22"/>
          <w:szCs w:val="22"/>
        </w:rPr>
        <w:t>,</w:t>
      </w:r>
      <w:r w:rsidRPr="005E1DEE">
        <w:rPr>
          <w:spacing w:val="4"/>
          <w:sz w:val="22"/>
          <w:szCs w:val="22"/>
        </w:rPr>
        <w:t xml:space="preserve"> el alojamiento</w:t>
      </w:r>
      <w:r w:rsidR="00DB79E1" w:rsidRPr="005E1DEE">
        <w:rPr>
          <w:spacing w:val="4"/>
          <w:sz w:val="22"/>
          <w:szCs w:val="22"/>
        </w:rPr>
        <w:t xml:space="preserve">, </w:t>
      </w:r>
      <w:r w:rsidRPr="005E1DEE">
        <w:rPr>
          <w:spacing w:val="4"/>
          <w:sz w:val="22"/>
          <w:szCs w:val="22"/>
        </w:rPr>
        <w:t xml:space="preserve">tiempos compartidos </w:t>
      </w:r>
      <w:r w:rsidR="00DB79E1" w:rsidRPr="005E1DEE">
        <w:rPr>
          <w:spacing w:val="4"/>
          <w:sz w:val="22"/>
          <w:szCs w:val="22"/>
        </w:rPr>
        <w:t xml:space="preserve">y segundas viviendas </w:t>
      </w:r>
      <w:r w:rsidR="00C113D1" w:rsidRPr="005E1DEE">
        <w:rPr>
          <w:spacing w:val="4"/>
          <w:sz w:val="22"/>
          <w:szCs w:val="22"/>
        </w:rPr>
        <w:t>con 9.0</w:t>
      </w:r>
      <w:r w:rsidRPr="005E1DEE">
        <w:rPr>
          <w:spacing w:val="4"/>
          <w:sz w:val="22"/>
          <w:szCs w:val="22"/>
        </w:rPr>
        <w:t xml:space="preserve">%, </w:t>
      </w:r>
      <w:r w:rsidR="00C113D1" w:rsidRPr="005E1DEE">
        <w:rPr>
          <w:spacing w:val="4"/>
          <w:sz w:val="22"/>
          <w:szCs w:val="22"/>
        </w:rPr>
        <w:t>el comercio, con 4.0</w:t>
      </w:r>
      <w:r w:rsidR="000D390F" w:rsidRPr="005E1DEE">
        <w:rPr>
          <w:spacing w:val="4"/>
          <w:sz w:val="22"/>
          <w:szCs w:val="22"/>
        </w:rPr>
        <w:t xml:space="preserve">%, </w:t>
      </w:r>
      <w:r w:rsidR="00965A5C" w:rsidRPr="005E1DEE">
        <w:rPr>
          <w:spacing w:val="4"/>
          <w:sz w:val="22"/>
          <w:szCs w:val="22"/>
        </w:rPr>
        <w:t xml:space="preserve">los </w:t>
      </w:r>
      <w:r w:rsidR="00C113D1" w:rsidRPr="005E1DEE">
        <w:rPr>
          <w:spacing w:val="4"/>
          <w:sz w:val="22"/>
          <w:szCs w:val="22"/>
        </w:rPr>
        <w:t>bienes y artesanías con 3.0</w:t>
      </w:r>
      <w:r w:rsidR="000D390F" w:rsidRPr="005E1DEE">
        <w:rPr>
          <w:spacing w:val="4"/>
          <w:sz w:val="22"/>
          <w:szCs w:val="22"/>
        </w:rPr>
        <w:t>%, los servicios deportivos y recreativos con el 2.</w:t>
      </w:r>
      <w:r w:rsidR="00C113D1" w:rsidRPr="005E1DEE">
        <w:rPr>
          <w:spacing w:val="4"/>
          <w:sz w:val="22"/>
          <w:szCs w:val="22"/>
        </w:rPr>
        <w:t>5</w:t>
      </w:r>
      <w:r w:rsidR="000D390F" w:rsidRPr="005E1DEE">
        <w:rPr>
          <w:spacing w:val="4"/>
          <w:sz w:val="22"/>
          <w:szCs w:val="22"/>
        </w:rPr>
        <w:t>%, los servicios cultura</w:t>
      </w:r>
      <w:r w:rsidR="00C113D1" w:rsidRPr="005E1DEE">
        <w:rPr>
          <w:spacing w:val="4"/>
          <w:sz w:val="22"/>
          <w:szCs w:val="22"/>
        </w:rPr>
        <w:t>les con el 1.6</w:t>
      </w:r>
      <w:r w:rsidR="000D390F" w:rsidRPr="005E1DEE">
        <w:rPr>
          <w:spacing w:val="4"/>
          <w:sz w:val="22"/>
          <w:szCs w:val="22"/>
        </w:rPr>
        <w:t xml:space="preserve">% y finalmente las agencias de viaje y otros servicios de reserva con el </w:t>
      </w:r>
      <w:r w:rsidR="00C113D1" w:rsidRPr="005E1DEE">
        <w:rPr>
          <w:spacing w:val="4"/>
          <w:sz w:val="22"/>
          <w:szCs w:val="22"/>
        </w:rPr>
        <w:t>0.9</w:t>
      </w:r>
      <w:r w:rsidRPr="005E1DEE">
        <w:rPr>
          <w:spacing w:val="4"/>
          <w:sz w:val="22"/>
          <w:szCs w:val="22"/>
        </w:rPr>
        <w:t xml:space="preserve"> por ciento.</w:t>
      </w:r>
      <w:r w:rsidR="002872D9" w:rsidRPr="005E1DEE">
        <w:rPr>
          <w:noProof/>
          <w:spacing w:val="4"/>
          <w:lang w:val="es-MX" w:eastAsia="es-MX"/>
        </w:rPr>
        <w:t xml:space="preserve"> </w:t>
      </w:r>
    </w:p>
    <w:p w14:paraId="59DA0126" w14:textId="77777777" w:rsidR="00226DCB" w:rsidRPr="005E1DEE" w:rsidRDefault="00226DCB" w:rsidP="0002260E">
      <w:pPr>
        <w:ind w:left="-567"/>
        <w:rPr>
          <w:noProof/>
          <w:spacing w:val="4"/>
          <w:lang w:val="es-MX" w:eastAsia="es-MX"/>
        </w:rPr>
      </w:pPr>
    </w:p>
    <w:p w14:paraId="1B6AE952" w14:textId="77777777" w:rsidR="002872D9" w:rsidRDefault="002872D9" w:rsidP="0002260E">
      <w:pPr>
        <w:ind w:left="-567"/>
        <w:rPr>
          <w:noProof/>
          <w:lang w:val="es-MX" w:eastAsia="es-MX"/>
        </w:rPr>
      </w:pPr>
    </w:p>
    <w:p w14:paraId="6F85B272" w14:textId="61DAC63B" w:rsidR="00BA6C2E" w:rsidRPr="001616A9" w:rsidRDefault="000923AB" w:rsidP="001616A9">
      <w:pPr>
        <w:ind w:left="-567"/>
        <w:jc w:val="left"/>
        <w:rPr>
          <w:b/>
          <w:sz w:val="26"/>
          <w:szCs w:val="26"/>
          <w:lang w:val="es-MX"/>
        </w:rPr>
      </w:pPr>
      <w:r w:rsidRPr="001616A9">
        <w:rPr>
          <w:b/>
          <w:sz w:val="26"/>
          <w:szCs w:val="26"/>
          <w:lang w:val="es-MX"/>
        </w:rPr>
        <w:t>I</w:t>
      </w:r>
      <w:r w:rsidR="002E1072">
        <w:rPr>
          <w:b/>
          <w:sz w:val="26"/>
          <w:szCs w:val="26"/>
          <w:lang w:val="es-MX"/>
        </w:rPr>
        <w:t>ndicadores Trimestrales</w:t>
      </w:r>
    </w:p>
    <w:p w14:paraId="771BC070" w14:textId="77777777" w:rsidR="00BA6C2E" w:rsidRPr="00F21483" w:rsidRDefault="00BA6C2E" w:rsidP="0002260E">
      <w:pPr>
        <w:ind w:left="-567"/>
        <w:rPr>
          <w:sz w:val="22"/>
          <w:szCs w:val="22"/>
        </w:rPr>
      </w:pPr>
    </w:p>
    <w:p w14:paraId="4F69FC8F" w14:textId="5578DE2B" w:rsidR="00BD53CA" w:rsidRDefault="00BD53CA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>Con la intención de tener actualizada la información en materia de turismo, además del cálculo anual se cuenta con un indicador</w:t>
      </w:r>
      <w:r w:rsidR="002A6FC8">
        <w:rPr>
          <w:sz w:val="22"/>
          <w:szCs w:val="22"/>
        </w:rPr>
        <w:t xml:space="preserve"> de corto plazo sobre el sector</w:t>
      </w:r>
      <w:r>
        <w:rPr>
          <w:sz w:val="22"/>
          <w:szCs w:val="22"/>
        </w:rPr>
        <w:t xml:space="preserve"> </w:t>
      </w:r>
      <w:r w:rsidR="002A6FC8">
        <w:rPr>
          <w:sz w:val="22"/>
          <w:szCs w:val="22"/>
        </w:rPr>
        <w:t>relacionada a</w:t>
      </w:r>
      <w:r>
        <w:rPr>
          <w:sz w:val="22"/>
          <w:szCs w:val="22"/>
        </w:rPr>
        <w:t xml:space="preserve"> dos variables: el PIB y el consumo.</w:t>
      </w:r>
    </w:p>
    <w:p w14:paraId="3027A540" w14:textId="77777777" w:rsidR="00BD53CA" w:rsidRDefault="00BD53CA" w:rsidP="0002260E">
      <w:pPr>
        <w:ind w:left="-567"/>
        <w:rPr>
          <w:sz w:val="22"/>
          <w:szCs w:val="22"/>
        </w:rPr>
      </w:pPr>
    </w:p>
    <w:p w14:paraId="7EB280CB" w14:textId="3B1F37F5" w:rsidR="00E059FC" w:rsidRDefault="00CB635E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r w:rsidRPr="004643E6">
        <w:rPr>
          <w:sz w:val="22"/>
          <w:szCs w:val="22"/>
        </w:rPr>
        <w:t>Indicadores Trimestrales de la Actividad Turística</w:t>
      </w:r>
      <w:r w:rsidRPr="009266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(ITAT) </w:t>
      </w:r>
      <w:r w:rsidR="000D390F" w:rsidRPr="009266FA">
        <w:rPr>
          <w:sz w:val="22"/>
          <w:szCs w:val="22"/>
        </w:rPr>
        <w:t>cuenta</w:t>
      </w:r>
      <w:r>
        <w:rPr>
          <w:sz w:val="22"/>
          <w:szCs w:val="22"/>
        </w:rPr>
        <w:t>n</w:t>
      </w:r>
      <w:r w:rsidR="000D390F" w:rsidRPr="009266FA">
        <w:rPr>
          <w:sz w:val="22"/>
          <w:szCs w:val="22"/>
        </w:rPr>
        <w:t xml:space="preserve"> con los mismos principios y normas contables del cálculo anual de la CSTM, razón por la cual sus resultados permiten analizar desde el marco de la contabilidad nacional la evolución y desarrollo de la situación actual de las actividades turísticas. </w:t>
      </w:r>
    </w:p>
    <w:p w14:paraId="2103F28B" w14:textId="77777777" w:rsidR="00E059FC" w:rsidRDefault="00E059FC" w:rsidP="0002260E">
      <w:pPr>
        <w:ind w:left="-567"/>
        <w:rPr>
          <w:sz w:val="22"/>
          <w:szCs w:val="22"/>
        </w:rPr>
      </w:pPr>
    </w:p>
    <w:p w14:paraId="2F7C8FA5" w14:textId="39D39F81" w:rsidR="000D390F" w:rsidRDefault="00324291" w:rsidP="0002260E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Estos </w:t>
      </w:r>
      <w:r w:rsidR="000D390F" w:rsidRPr="009266FA">
        <w:rPr>
          <w:sz w:val="22"/>
          <w:szCs w:val="22"/>
        </w:rPr>
        <w:t>indicador</w:t>
      </w:r>
      <w:r>
        <w:rPr>
          <w:sz w:val="22"/>
          <w:szCs w:val="22"/>
        </w:rPr>
        <w:t>es</w:t>
      </w:r>
      <w:r w:rsidR="000D390F" w:rsidRPr="009266FA">
        <w:rPr>
          <w:sz w:val="22"/>
          <w:szCs w:val="22"/>
        </w:rPr>
        <w:t>, presenta</w:t>
      </w:r>
      <w:r>
        <w:rPr>
          <w:sz w:val="22"/>
          <w:szCs w:val="22"/>
        </w:rPr>
        <w:t>n</w:t>
      </w:r>
      <w:r w:rsidR="000D390F" w:rsidRPr="009266FA">
        <w:rPr>
          <w:sz w:val="22"/>
          <w:szCs w:val="22"/>
        </w:rPr>
        <w:t xml:space="preserve"> una serie trimestral que inicia en el primer trimestre de 1993 y se actual</w:t>
      </w:r>
      <w:r w:rsidR="00810AEF">
        <w:rPr>
          <w:sz w:val="22"/>
          <w:szCs w:val="22"/>
        </w:rPr>
        <w:t>iza al primer trimestre de 2019</w:t>
      </w:r>
      <w:r w:rsidR="000D390F" w:rsidRPr="009266FA">
        <w:rPr>
          <w:sz w:val="22"/>
          <w:szCs w:val="22"/>
        </w:rPr>
        <w:t xml:space="preserve"> </w:t>
      </w:r>
      <w:r w:rsidR="0025390C">
        <w:rPr>
          <w:sz w:val="22"/>
          <w:szCs w:val="22"/>
        </w:rPr>
        <w:t>(</w:t>
      </w:r>
      <w:r w:rsidR="000D390F" w:rsidRPr="009266FA">
        <w:rPr>
          <w:sz w:val="22"/>
          <w:szCs w:val="22"/>
        </w:rPr>
        <w:t>año base 2013</w:t>
      </w:r>
      <w:r w:rsidR="0025390C">
        <w:rPr>
          <w:sz w:val="22"/>
          <w:szCs w:val="22"/>
        </w:rPr>
        <w:t>)</w:t>
      </w:r>
      <w:r w:rsidR="000D390F" w:rsidRPr="009266FA">
        <w:rPr>
          <w:sz w:val="22"/>
          <w:szCs w:val="22"/>
        </w:rPr>
        <w:t xml:space="preserve">, lo que permite </w:t>
      </w:r>
      <w:r>
        <w:rPr>
          <w:sz w:val="22"/>
          <w:szCs w:val="22"/>
        </w:rPr>
        <w:t xml:space="preserve">seguir </w:t>
      </w:r>
      <w:r w:rsidR="000D390F" w:rsidRPr="009266FA">
        <w:rPr>
          <w:sz w:val="22"/>
          <w:szCs w:val="22"/>
        </w:rPr>
        <w:t>su tendencia en el tiempo.</w:t>
      </w:r>
    </w:p>
    <w:p w14:paraId="589F7BEA" w14:textId="5AF6CA5C" w:rsidR="00951575" w:rsidRDefault="00951575" w:rsidP="0002260E">
      <w:pPr>
        <w:ind w:left="-567"/>
        <w:rPr>
          <w:sz w:val="22"/>
          <w:szCs w:val="22"/>
        </w:rPr>
      </w:pPr>
    </w:p>
    <w:p w14:paraId="41E9DF25" w14:textId="0783DC7F" w:rsidR="006D7319" w:rsidRDefault="006D7319" w:rsidP="006D7319">
      <w:pPr>
        <w:ind w:left="-567"/>
        <w:rPr>
          <w:sz w:val="22"/>
          <w:szCs w:val="22"/>
        </w:rPr>
      </w:pPr>
      <w:r w:rsidRPr="009F43DA">
        <w:rPr>
          <w:sz w:val="22"/>
          <w:szCs w:val="22"/>
        </w:rPr>
        <w:t>De esta forma se puede observar en la gráfica siguiente</w:t>
      </w:r>
      <w:r>
        <w:rPr>
          <w:sz w:val="22"/>
          <w:szCs w:val="22"/>
        </w:rPr>
        <w:t xml:space="preserve"> que</w:t>
      </w:r>
      <w:r w:rsidR="0025390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F43DA">
        <w:rPr>
          <w:sz w:val="22"/>
          <w:szCs w:val="22"/>
        </w:rPr>
        <w:t>para</w:t>
      </w:r>
      <w:r>
        <w:rPr>
          <w:sz w:val="22"/>
          <w:szCs w:val="22"/>
        </w:rPr>
        <w:t xml:space="preserve"> el</w:t>
      </w:r>
      <w:r w:rsidRPr="009F43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Producto Interno Bruto Turístico, en </w:t>
      </w:r>
      <w:r w:rsidRPr="009F43DA">
        <w:rPr>
          <w:sz w:val="22"/>
          <w:szCs w:val="22"/>
        </w:rPr>
        <w:t xml:space="preserve">el </w:t>
      </w:r>
      <w:r>
        <w:rPr>
          <w:sz w:val="22"/>
          <w:szCs w:val="22"/>
        </w:rPr>
        <w:t>primer trimestre de</w:t>
      </w:r>
      <w:r w:rsidR="0025390C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Pr="009F43DA">
        <w:rPr>
          <w:sz w:val="22"/>
          <w:szCs w:val="22"/>
        </w:rPr>
        <w:t xml:space="preserve"> la actividad del sector </w:t>
      </w:r>
      <w:r>
        <w:rPr>
          <w:sz w:val="22"/>
          <w:szCs w:val="22"/>
        </w:rPr>
        <w:t>decreció</w:t>
      </w:r>
      <w:r w:rsidRPr="009F43DA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9F43DA">
        <w:rPr>
          <w:sz w:val="22"/>
          <w:szCs w:val="22"/>
        </w:rPr>
        <w:t xml:space="preserve">n </w:t>
      </w:r>
      <w:r w:rsidR="0083777E">
        <w:rPr>
          <w:sz w:val="22"/>
          <w:szCs w:val="22"/>
        </w:rPr>
        <w:t>(-)</w:t>
      </w:r>
      <w:r>
        <w:rPr>
          <w:sz w:val="22"/>
          <w:szCs w:val="22"/>
        </w:rPr>
        <w:t>0.6</w:t>
      </w:r>
      <w:r w:rsidRPr="009F43DA">
        <w:rPr>
          <w:sz w:val="22"/>
          <w:szCs w:val="22"/>
        </w:rPr>
        <w:t xml:space="preserve">% respecto al mismo trimestre del </w:t>
      </w:r>
      <w:r>
        <w:rPr>
          <w:sz w:val="22"/>
          <w:szCs w:val="22"/>
        </w:rPr>
        <w:t>año anterior, visto en cifras originales</w:t>
      </w:r>
      <w:r w:rsidRPr="009F43DA">
        <w:rPr>
          <w:sz w:val="22"/>
          <w:szCs w:val="22"/>
        </w:rPr>
        <w:t>.</w:t>
      </w:r>
    </w:p>
    <w:p w14:paraId="44226702" w14:textId="77777777" w:rsidR="006D7319" w:rsidRDefault="006D7319" w:rsidP="006D7319">
      <w:pPr>
        <w:ind w:left="-567"/>
        <w:rPr>
          <w:sz w:val="22"/>
          <w:szCs w:val="22"/>
        </w:rPr>
      </w:pPr>
    </w:p>
    <w:p w14:paraId="76D68606" w14:textId="77777777" w:rsidR="006D7319" w:rsidRDefault="006D7319" w:rsidP="006D7319">
      <w:pPr>
        <w:rPr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8F0F4A7" wp14:editId="3EE6779F">
            <wp:extent cx="5615940" cy="3933645"/>
            <wp:effectExtent l="19050" t="19050" r="22860" b="292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983190" w14:textId="1AF73C0C" w:rsidR="006D7319" w:rsidRDefault="006D7319" w:rsidP="006D7319">
      <w:pPr>
        <w:ind w:left="-567"/>
        <w:rPr>
          <w:sz w:val="22"/>
          <w:szCs w:val="22"/>
        </w:rPr>
      </w:pPr>
      <w:r>
        <w:rPr>
          <w:sz w:val="22"/>
          <w:szCs w:val="22"/>
        </w:rPr>
        <w:t>En relación con e</w:t>
      </w:r>
      <w:r w:rsidRPr="009F43DA">
        <w:rPr>
          <w:sz w:val="22"/>
          <w:szCs w:val="22"/>
        </w:rPr>
        <w:t xml:space="preserve">l consumo turístico interior, durante el </w:t>
      </w:r>
      <w:r>
        <w:rPr>
          <w:sz w:val="22"/>
          <w:szCs w:val="22"/>
        </w:rPr>
        <w:t>primer trimestre de 2019</w:t>
      </w:r>
      <w:r w:rsidRPr="009F43DA">
        <w:rPr>
          <w:sz w:val="22"/>
          <w:szCs w:val="22"/>
        </w:rPr>
        <w:t xml:space="preserve"> se registró un </w:t>
      </w:r>
      <w:r>
        <w:rPr>
          <w:sz w:val="22"/>
          <w:szCs w:val="22"/>
        </w:rPr>
        <w:t>de</w:t>
      </w:r>
      <w:r w:rsidRPr="009F43DA">
        <w:rPr>
          <w:sz w:val="22"/>
          <w:szCs w:val="22"/>
        </w:rPr>
        <w:t xml:space="preserve">crecimiento del </w:t>
      </w:r>
      <w:r w:rsidR="0083777E">
        <w:rPr>
          <w:sz w:val="22"/>
          <w:szCs w:val="22"/>
        </w:rPr>
        <w:t>(-)</w:t>
      </w:r>
      <w:r>
        <w:rPr>
          <w:sz w:val="22"/>
          <w:szCs w:val="22"/>
        </w:rPr>
        <w:t>0.4</w:t>
      </w:r>
      <w:r w:rsidRPr="009F43DA">
        <w:rPr>
          <w:sz w:val="22"/>
          <w:szCs w:val="22"/>
        </w:rPr>
        <w:t xml:space="preserve">% respecto al mismo trimestre del año </w:t>
      </w:r>
      <w:r>
        <w:rPr>
          <w:sz w:val="22"/>
          <w:szCs w:val="22"/>
        </w:rPr>
        <w:t>2018, visto en cifras originales</w:t>
      </w:r>
      <w:r w:rsidRPr="009F43DA">
        <w:rPr>
          <w:sz w:val="22"/>
          <w:szCs w:val="22"/>
        </w:rPr>
        <w:t>.</w:t>
      </w:r>
    </w:p>
    <w:p w14:paraId="14B21C36" w14:textId="77777777" w:rsidR="006D7319" w:rsidRDefault="006D7319" w:rsidP="006D7319">
      <w:pPr>
        <w:rPr>
          <w:sz w:val="22"/>
          <w:szCs w:val="22"/>
        </w:rPr>
      </w:pPr>
    </w:p>
    <w:p w14:paraId="0FF0EE41" w14:textId="77777777" w:rsidR="006D7319" w:rsidRDefault="006D7319" w:rsidP="006D7319">
      <w:pPr>
        <w:rPr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A87D725" wp14:editId="38556BC0">
            <wp:extent cx="5615940" cy="3364302"/>
            <wp:effectExtent l="19050" t="19050" r="22860" b="2667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F2023A1" w14:textId="77777777" w:rsidR="002569C9" w:rsidRDefault="002569C9" w:rsidP="002569C9">
      <w:pPr>
        <w:spacing w:line="276" w:lineRule="auto"/>
        <w:jc w:val="center"/>
        <w:rPr>
          <w:b/>
          <w:color w:val="000000" w:themeColor="text1"/>
          <w:sz w:val="22"/>
          <w:szCs w:val="22"/>
          <w:lang w:val="es-MX"/>
        </w:rPr>
      </w:pPr>
    </w:p>
    <w:p w14:paraId="3D8CECE4" w14:textId="07C6C27E" w:rsidR="00E059FC" w:rsidRPr="00E059FC" w:rsidRDefault="00E059FC" w:rsidP="00E059FC">
      <w:pPr>
        <w:spacing w:after="200" w:line="276" w:lineRule="auto"/>
        <w:jc w:val="center"/>
        <w:rPr>
          <w:b/>
          <w:color w:val="000000" w:themeColor="text1"/>
          <w:sz w:val="22"/>
          <w:szCs w:val="22"/>
          <w:lang w:val="es-MX"/>
        </w:rPr>
      </w:pPr>
      <w:r w:rsidRPr="00E059FC">
        <w:rPr>
          <w:b/>
          <w:color w:val="000000" w:themeColor="text1"/>
          <w:sz w:val="22"/>
          <w:szCs w:val="22"/>
          <w:lang w:val="es-MX"/>
        </w:rPr>
        <w:t>-oOo-</w:t>
      </w:r>
    </w:p>
    <w:p w14:paraId="6268B281" w14:textId="77777777" w:rsidR="00BA6C2E" w:rsidRPr="000923AB" w:rsidRDefault="00BA6C2E" w:rsidP="00E059FC">
      <w:pPr>
        <w:spacing w:after="200" w:line="276" w:lineRule="auto"/>
        <w:ind w:left="-567"/>
        <w:jc w:val="left"/>
        <w:rPr>
          <w:b/>
          <w:sz w:val="22"/>
          <w:szCs w:val="22"/>
          <w:lang w:val="es-MX"/>
        </w:rPr>
      </w:pPr>
      <w:r w:rsidRPr="000923AB">
        <w:rPr>
          <w:b/>
          <w:sz w:val="22"/>
          <w:szCs w:val="22"/>
          <w:lang w:val="es-MX"/>
        </w:rPr>
        <w:t>REFERENCIAS</w:t>
      </w:r>
    </w:p>
    <w:p w14:paraId="6594EA3C" w14:textId="77777777" w:rsidR="00BA6C2E" w:rsidRPr="00E059FC" w:rsidRDefault="00BA6C2E" w:rsidP="00E059FC">
      <w:pPr>
        <w:pStyle w:val="Textonotapie"/>
        <w:ind w:left="-567"/>
        <w:rPr>
          <w:lang w:val="es-MX"/>
        </w:rPr>
      </w:pPr>
      <w:r w:rsidRPr="00E82FDF">
        <w:rPr>
          <w:lang w:val="es-MX"/>
        </w:rPr>
        <w:t>Instituto Nacional de Estad</w:t>
      </w:r>
      <w:r w:rsidR="009D68FB" w:rsidRPr="00E82FDF">
        <w:rPr>
          <w:lang w:val="es-MX"/>
        </w:rPr>
        <w:t>ística y Geografía [INEGI] (201</w:t>
      </w:r>
      <w:r w:rsidR="00E82FDF">
        <w:rPr>
          <w:lang w:val="es-MX"/>
        </w:rPr>
        <w:t>9</w:t>
      </w:r>
      <w:r w:rsidRPr="00E82FDF">
        <w:rPr>
          <w:lang w:val="es-MX"/>
        </w:rPr>
        <w:t>). Sistema de Cuentas Nacionales de México. Cuenta</w:t>
      </w:r>
      <w:r w:rsidR="00DE48A4" w:rsidRPr="00E82FDF">
        <w:rPr>
          <w:lang w:val="es-MX"/>
        </w:rPr>
        <w:t xml:space="preserve"> Satélite del Turismo de México</w:t>
      </w:r>
      <w:r w:rsidRPr="00E82FDF">
        <w:rPr>
          <w:lang w:val="es-MX"/>
        </w:rPr>
        <w:t xml:space="preserve"> </w:t>
      </w:r>
      <w:r w:rsidR="00E82FDF">
        <w:rPr>
          <w:lang w:val="es-MX"/>
        </w:rPr>
        <w:t>2017</w:t>
      </w:r>
      <w:r w:rsidRPr="00E82FDF">
        <w:rPr>
          <w:lang w:val="es-MX"/>
        </w:rPr>
        <w:t>. Año base 20</w:t>
      </w:r>
      <w:r w:rsidR="009D68FB" w:rsidRPr="00E82FDF">
        <w:rPr>
          <w:lang w:val="es-MX"/>
        </w:rPr>
        <w:t>13. Aguascalientes, México 2017</w:t>
      </w:r>
      <w:r w:rsidRPr="00E82FDF">
        <w:rPr>
          <w:lang w:val="es-MX"/>
        </w:rPr>
        <w:t xml:space="preserve">. Recuperado el </w:t>
      </w:r>
      <w:r w:rsidR="00E82FDF">
        <w:rPr>
          <w:lang w:val="es-MX"/>
        </w:rPr>
        <w:t>13 de agosto de 2019</w:t>
      </w:r>
      <w:r w:rsidR="009D68FB" w:rsidRPr="00E82FDF">
        <w:rPr>
          <w:lang w:val="es-MX"/>
        </w:rPr>
        <w:t xml:space="preserve"> </w:t>
      </w:r>
      <w:r w:rsidRPr="00E82FDF">
        <w:rPr>
          <w:lang w:val="es-MX"/>
        </w:rPr>
        <w:t>de</w:t>
      </w:r>
      <w:r w:rsidRPr="00E059FC">
        <w:rPr>
          <w:lang w:val="es-MX"/>
        </w:rPr>
        <w:t>:</w:t>
      </w:r>
    </w:p>
    <w:p w14:paraId="1CEAE4CD" w14:textId="77777777" w:rsidR="00BA6C2E" w:rsidRPr="00E059FC" w:rsidRDefault="009B663D" w:rsidP="00E059FC">
      <w:pPr>
        <w:pStyle w:val="Textonotapie"/>
        <w:ind w:left="-567"/>
        <w:rPr>
          <w:lang w:val="es-MX"/>
        </w:rPr>
      </w:pPr>
      <w:hyperlink r:id="rId15" w:history="1">
        <w:r w:rsidR="00E82FDF">
          <w:rPr>
            <w:rStyle w:val="Hipervnculo"/>
          </w:rPr>
          <w:t>https://www.inegi.org.mx/temas/turismosat/</w:t>
        </w:r>
      </w:hyperlink>
    </w:p>
    <w:p w14:paraId="7A58609D" w14:textId="77777777" w:rsidR="00BA6C2E" w:rsidRPr="00E059FC" w:rsidRDefault="00BA6C2E" w:rsidP="00E059FC">
      <w:pPr>
        <w:pStyle w:val="Textonotapie"/>
        <w:ind w:left="-567"/>
      </w:pPr>
    </w:p>
    <w:p w14:paraId="2B7F6691" w14:textId="77777777" w:rsidR="00BA6C2E" w:rsidRPr="00E059FC" w:rsidRDefault="00BA6C2E" w:rsidP="00E059FC">
      <w:pPr>
        <w:pStyle w:val="Textonotapie"/>
        <w:ind w:left="-567"/>
        <w:rPr>
          <w:lang w:val="es-MX"/>
        </w:rPr>
      </w:pPr>
      <w:r w:rsidRPr="00E059FC">
        <w:rPr>
          <w:lang w:val="es-MX"/>
        </w:rPr>
        <w:t>Instituto Nacional de Estadística y Geografía [INEGI] (201</w:t>
      </w:r>
      <w:r w:rsidR="00E82FDF">
        <w:rPr>
          <w:lang w:val="es-MX"/>
        </w:rPr>
        <w:t>9</w:t>
      </w:r>
      <w:r w:rsidRPr="00E059FC">
        <w:rPr>
          <w:lang w:val="es-MX"/>
        </w:rPr>
        <w:t xml:space="preserve">). Indicadores Trimestrales de la Actividad Turística (ITAT). Recuperado el </w:t>
      </w:r>
      <w:r w:rsidR="001D7A5F" w:rsidRPr="00E059FC">
        <w:rPr>
          <w:lang w:val="es-MX"/>
        </w:rPr>
        <w:t>13</w:t>
      </w:r>
      <w:r w:rsidRPr="00E059FC">
        <w:rPr>
          <w:lang w:val="es-MX"/>
        </w:rPr>
        <w:t xml:space="preserve"> de </w:t>
      </w:r>
      <w:r w:rsidR="001D7A5F" w:rsidRPr="00E059FC">
        <w:rPr>
          <w:lang w:val="es-MX"/>
        </w:rPr>
        <w:t>agosto</w:t>
      </w:r>
      <w:r w:rsidR="00E82FDF">
        <w:rPr>
          <w:lang w:val="es-MX"/>
        </w:rPr>
        <w:t xml:space="preserve"> de 2019</w:t>
      </w:r>
      <w:r w:rsidR="00514E7E" w:rsidRPr="00E059FC">
        <w:rPr>
          <w:lang w:val="es-MX"/>
        </w:rPr>
        <w:t xml:space="preserve"> </w:t>
      </w:r>
      <w:r w:rsidRPr="00E059FC">
        <w:rPr>
          <w:lang w:val="es-MX"/>
        </w:rPr>
        <w:t>de:</w:t>
      </w:r>
    </w:p>
    <w:p w14:paraId="518E8225" w14:textId="77777777" w:rsidR="00BA6C2E" w:rsidRPr="00E059FC" w:rsidRDefault="009B663D" w:rsidP="00E059FC">
      <w:pPr>
        <w:pStyle w:val="Textonotapie"/>
        <w:ind w:left="-567"/>
      </w:pPr>
      <w:hyperlink r:id="rId16" w:history="1">
        <w:r w:rsidR="00E82FDF">
          <w:rPr>
            <w:rStyle w:val="Hipervnculo"/>
          </w:rPr>
          <w:t>https://www.inegi.org.mx/temas/itat/</w:t>
        </w:r>
      </w:hyperlink>
      <w:r w:rsidR="00BA6C2E" w:rsidRPr="00E059FC">
        <w:t xml:space="preserve"> </w:t>
      </w:r>
    </w:p>
    <w:p w14:paraId="6323AB7E" w14:textId="77777777" w:rsidR="00BA6C2E" w:rsidRPr="00E059FC" w:rsidRDefault="00BA6C2E" w:rsidP="00E059FC">
      <w:pPr>
        <w:ind w:left="-567"/>
        <w:rPr>
          <w:lang w:val="es-MX"/>
        </w:rPr>
      </w:pPr>
    </w:p>
    <w:p w14:paraId="3588ED18" w14:textId="44F4CC21" w:rsidR="00CF1B46" w:rsidRPr="00CF1B46" w:rsidRDefault="00CF1B46" w:rsidP="00CF1B46">
      <w:pPr>
        <w:pStyle w:val="Textonotapie"/>
        <w:ind w:left="-567"/>
        <w:rPr>
          <w:lang w:val="es-MX"/>
        </w:rPr>
      </w:pPr>
      <w:r w:rsidRPr="00CF1B46">
        <w:rPr>
          <w:lang w:val="es-MX"/>
        </w:rPr>
        <w:lastRenderedPageBreak/>
        <w:t>Organización Mundial del Turismo [OMT] (2019). Sobre el Día Mundial del Turismo. Recuperado el 16 de agosto de 2019 de:</w:t>
      </w:r>
    </w:p>
    <w:p w14:paraId="60FC82F0" w14:textId="1492AC19" w:rsidR="00CF1B46" w:rsidRPr="002569C9" w:rsidRDefault="009B663D" w:rsidP="00CF1B46">
      <w:pPr>
        <w:pStyle w:val="Textonotapie"/>
        <w:ind w:left="-567"/>
        <w:rPr>
          <w:rStyle w:val="Hipervnculo"/>
        </w:rPr>
      </w:pPr>
      <w:hyperlink r:id="rId17" w:history="1">
        <w:r w:rsidR="00CF1B46" w:rsidRPr="002569C9">
          <w:rPr>
            <w:rStyle w:val="Hipervnculo"/>
          </w:rPr>
          <w:t>http://wtd.unwto.org/es/content/sobre-el-dia-mundial-del-turismo</w:t>
        </w:r>
      </w:hyperlink>
    </w:p>
    <w:p w14:paraId="6147E16D" w14:textId="3FE67656" w:rsidR="00CF1B46" w:rsidRPr="002569C9" w:rsidRDefault="00CF1B46" w:rsidP="00E059FC">
      <w:pPr>
        <w:pStyle w:val="Textonotapie"/>
        <w:ind w:left="-567"/>
        <w:rPr>
          <w:rStyle w:val="Hipervnculo"/>
        </w:rPr>
      </w:pPr>
    </w:p>
    <w:p w14:paraId="7FC72E18" w14:textId="5060DE5F" w:rsidR="002569C9" w:rsidRPr="002569C9" w:rsidRDefault="002569C9" w:rsidP="002569C9">
      <w:pPr>
        <w:pStyle w:val="Textonotapie"/>
        <w:ind w:left="-567"/>
        <w:rPr>
          <w:lang w:val="es-MX"/>
        </w:rPr>
      </w:pPr>
      <w:r w:rsidRPr="002569C9">
        <w:rPr>
          <w:lang w:val="es-MX"/>
        </w:rPr>
        <w:t>Organización Mundial del Turismo [OMT] (2019). World Tourism Day. Recuperado el 22 de agosto de 2019 de:</w:t>
      </w:r>
    </w:p>
    <w:p w14:paraId="1740424C" w14:textId="2EA0F151" w:rsidR="002569C9" w:rsidRDefault="009B663D" w:rsidP="002569C9">
      <w:pPr>
        <w:pStyle w:val="Textonotapie"/>
        <w:ind w:left="-567"/>
        <w:rPr>
          <w:rStyle w:val="Hipervnculo"/>
        </w:rPr>
      </w:pPr>
      <w:hyperlink r:id="rId18" w:history="1">
        <w:r w:rsidR="002569C9" w:rsidRPr="002569C9">
          <w:rPr>
            <w:rStyle w:val="Hipervnculo"/>
          </w:rPr>
          <w:t>http://wtd.unwto.org/content/world-tourism-day-2019</w:t>
        </w:r>
      </w:hyperlink>
    </w:p>
    <w:p w14:paraId="075697F0" w14:textId="51887ACB" w:rsidR="002569C9" w:rsidRDefault="002569C9" w:rsidP="00E059FC">
      <w:pPr>
        <w:pStyle w:val="Textonotapie"/>
        <w:ind w:left="-567"/>
        <w:rPr>
          <w:rStyle w:val="Hipervnculo"/>
        </w:rPr>
      </w:pPr>
    </w:p>
    <w:p w14:paraId="7BDBA0CC" w14:textId="77777777" w:rsidR="002569C9" w:rsidRDefault="002569C9" w:rsidP="00E059FC">
      <w:pPr>
        <w:pStyle w:val="Textonotapie"/>
        <w:ind w:left="-567"/>
        <w:rPr>
          <w:rStyle w:val="Hipervnculo"/>
        </w:rPr>
      </w:pPr>
    </w:p>
    <w:p w14:paraId="725EC447" w14:textId="77777777" w:rsidR="00E059FC" w:rsidRPr="00FD68F2" w:rsidRDefault="00E059FC" w:rsidP="00E059F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FD68F2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9" w:history="1">
        <w:r w:rsidRPr="00FD68F2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FD68F2">
        <w:rPr>
          <w:rFonts w:ascii="Arial" w:hAnsi="Arial" w:cs="Arial"/>
          <w:sz w:val="20"/>
          <w:szCs w:val="20"/>
        </w:rPr>
        <w:t xml:space="preserve"> </w:t>
      </w:r>
    </w:p>
    <w:p w14:paraId="7450A0CB" w14:textId="1946A8D3" w:rsidR="00E059FC" w:rsidRPr="0025390C" w:rsidRDefault="00E059FC" w:rsidP="0025390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FD68F2">
        <w:rPr>
          <w:rFonts w:ascii="Arial" w:hAnsi="Arial" w:cs="Arial"/>
          <w:sz w:val="20"/>
          <w:szCs w:val="20"/>
        </w:rPr>
        <w:t>o llamar al teléfono (55) 52-78-10-00, exts. 1134, 1260 y 1241.</w:t>
      </w:r>
    </w:p>
    <w:p w14:paraId="256659AE" w14:textId="46C752EF" w:rsidR="00E059FC" w:rsidRDefault="00E059FC" w:rsidP="00E059FC">
      <w:pPr>
        <w:ind w:left="-426" w:right="-518"/>
        <w:contextualSpacing/>
        <w:jc w:val="center"/>
      </w:pPr>
      <w:r w:rsidRPr="00FD68F2">
        <w:t>Dirección de Atención a Medios / Dirección General Adjunta de Comunicación</w:t>
      </w:r>
    </w:p>
    <w:p w14:paraId="67C58213" w14:textId="77777777" w:rsidR="0025390C" w:rsidRPr="00BA1ADF" w:rsidRDefault="0025390C" w:rsidP="00E059FC">
      <w:pPr>
        <w:ind w:left="-426" w:right="-518"/>
        <w:contextualSpacing/>
        <w:jc w:val="center"/>
      </w:pPr>
    </w:p>
    <w:p w14:paraId="7ABC368C" w14:textId="0D4051A4" w:rsidR="00B1482A" w:rsidRPr="002569C9" w:rsidRDefault="00E059FC" w:rsidP="002569C9">
      <w:pPr>
        <w:ind w:left="-425" w:right="-516"/>
        <w:contextualSpacing/>
        <w:jc w:val="center"/>
      </w:pPr>
      <w:r w:rsidRPr="008F0992">
        <w:rPr>
          <w:noProof/>
          <w:lang w:val="en-US" w:eastAsia="en-US"/>
        </w:rPr>
        <w:drawing>
          <wp:inline distT="0" distB="0" distL="0" distR="0" wp14:anchorId="39FE3C36" wp14:editId="6958ABEC">
            <wp:extent cx="318472" cy="322419"/>
            <wp:effectExtent l="0" t="0" r="5715" b="1905"/>
            <wp:docPr id="5" name="Imagen 5" descr="C:\Users\saladeprensa\Desktop\NVOS LOGOS\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val="en-US" w:eastAsia="en-US"/>
        </w:rPr>
        <w:drawing>
          <wp:inline distT="0" distB="0" distL="0" distR="0" wp14:anchorId="09C86171" wp14:editId="674EE452">
            <wp:extent cx="327704" cy="325467"/>
            <wp:effectExtent l="0" t="0" r="0" b="0"/>
            <wp:docPr id="10" name="Imagen 10" descr="C:\Users\saladeprensa\Desktop\NVOS LOGOS\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val="en-US" w:eastAsia="en-US"/>
        </w:rPr>
        <w:drawing>
          <wp:inline distT="0" distB="0" distL="0" distR="0" wp14:anchorId="589A0770" wp14:editId="281C31E0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val="en-US" w:eastAsia="en-US"/>
        </w:rPr>
        <w:drawing>
          <wp:inline distT="0" distB="0" distL="0" distR="0" wp14:anchorId="5CB21E36" wp14:editId="383DF487">
            <wp:extent cx="321276" cy="326574"/>
            <wp:effectExtent l="0" t="0" r="3175" b="0"/>
            <wp:docPr id="13" name="Imagen 13" descr="C:\Users\saladeprensa\Desktop\NVOS LOGOS\Y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val="en-US" w:eastAsia="en-US"/>
        </w:rPr>
        <w:drawing>
          <wp:inline distT="0" distB="0" distL="0" distR="0" wp14:anchorId="3BDAC2FF" wp14:editId="52779650">
            <wp:extent cx="2323070" cy="319707"/>
            <wp:effectExtent l="0" t="0" r="1270" b="4445"/>
            <wp:docPr id="15" name="Imagen 1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82A" w:rsidRPr="002569C9" w:rsidSect="000923AB">
      <w:headerReference w:type="default" r:id="rId30"/>
      <w:footerReference w:type="default" r:id="rId31"/>
      <w:pgSz w:w="12240" w:h="15840"/>
      <w:pgMar w:top="1997" w:right="1183" w:bottom="851" w:left="1701" w:header="567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62996" w14:textId="77777777" w:rsidR="00E260B9" w:rsidRDefault="00E260B9" w:rsidP="007562E1">
      <w:r>
        <w:separator/>
      </w:r>
    </w:p>
  </w:endnote>
  <w:endnote w:type="continuationSeparator" w:id="0">
    <w:p w14:paraId="153F7A63" w14:textId="77777777" w:rsidR="00E260B9" w:rsidRDefault="00E260B9" w:rsidP="0075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BD0A5" w14:textId="77777777" w:rsidR="0009164C" w:rsidRPr="009D7477" w:rsidRDefault="0009164C" w:rsidP="0009164C">
    <w:pPr>
      <w:pStyle w:val="Piedepgina"/>
      <w:contextualSpacing/>
      <w:jc w:val="center"/>
      <w:rPr>
        <w:b/>
        <w:color w:val="002060"/>
        <w:sz w:val="12"/>
        <w:szCs w:val="22"/>
      </w:rPr>
    </w:pPr>
  </w:p>
  <w:p w14:paraId="72D01E15" w14:textId="77777777" w:rsidR="0009164C" w:rsidRPr="0093050B" w:rsidRDefault="0009164C" w:rsidP="0009164C">
    <w:pPr>
      <w:pStyle w:val="Piedepgina"/>
      <w:contextualSpacing/>
      <w:jc w:val="center"/>
      <w:rPr>
        <w:color w:val="002060"/>
      </w:rPr>
    </w:pPr>
    <w:r w:rsidRPr="0093050B">
      <w:rPr>
        <w:b/>
        <w:color w:val="002060"/>
      </w:rPr>
      <w:t>COMUNICACIÓN SOCIAL</w:t>
    </w:r>
  </w:p>
  <w:p w14:paraId="351F0B28" w14:textId="77777777" w:rsidR="0009164C" w:rsidRPr="009D7477" w:rsidRDefault="0009164C" w:rsidP="0009164C">
    <w:pPr>
      <w:pStyle w:val="Piedepgina"/>
      <w:contextualSpacing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1E96" w14:textId="77777777" w:rsidR="00E260B9" w:rsidRDefault="00E260B9" w:rsidP="007562E1">
      <w:r>
        <w:separator/>
      </w:r>
    </w:p>
  </w:footnote>
  <w:footnote w:type="continuationSeparator" w:id="0">
    <w:p w14:paraId="064B34C9" w14:textId="77777777" w:rsidR="00E260B9" w:rsidRDefault="00E260B9" w:rsidP="007562E1">
      <w:r>
        <w:continuationSeparator/>
      </w:r>
    </w:p>
  </w:footnote>
  <w:footnote w:id="1">
    <w:p w14:paraId="7CAC2212" w14:textId="77777777" w:rsidR="005459C8" w:rsidRPr="00F82349" w:rsidRDefault="005459C8" w:rsidP="00C83141">
      <w:pPr>
        <w:pStyle w:val="Textonotapie"/>
        <w:ind w:left="-426" w:hanging="141"/>
        <w:rPr>
          <w:sz w:val="16"/>
          <w:szCs w:val="16"/>
          <w:lang w:val="es-MX"/>
        </w:rPr>
      </w:pPr>
      <w:r w:rsidRPr="00505D98">
        <w:rPr>
          <w:rStyle w:val="Refdenotaalpie"/>
          <w:sz w:val="18"/>
          <w:szCs w:val="16"/>
        </w:rPr>
        <w:footnoteRef/>
      </w:r>
      <w:r w:rsidRPr="00505D98">
        <w:rPr>
          <w:sz w:val="18"/>
          <w:szCs w:val="16"/>
        </w:rPr>
        <w:t xml:space="preserve"> </w:t>
      </w:r>
      <w:r w:rsidRPr="00620574">
        <w:rPr>
          <w:sz w:val="16"/>
          <w:szCs w:val="16"/>
          <w:lang w:val="es-MX"/>
        </w:rPr>
        <w:t xml:space="preserve">INEGI. Sistema </w:t>
      </w:r>
      <w:r>
        <w:rPr>
          <w:sz w:val="16"/>
          <w:szCs w:val="16"/>
          <w:lang w:val="es-MX"/>
        </w:rPr>
        <w:t>de Cuentas Nacionales de México</w:t>
      </w:r>
      <w:r w:rsidRPr="00620574">
        <w:rPr>
          <w:sz w:val="16"/>
          <w:szCs w:val="16"/>
          <w:lang w:val="es-MX"/>
        </w:rPr>
        <w:t xml:space="preserve">. Cuenta </w:t>
      </w:r>
      <w:r w:rsidR="006E0B9E">
        <w:rPr>
          <w:sz w:val="16"/>
          <w:szCs w:val="16"/>
          <w:lang w:val="es-MX"/>
        </w:rPr>
        <w:t>s</w:t>
      </w:r>
      <w:r w:rsidRPr="00620574">
        <w:rPr>
          <w:sz w:val="16"/>
          <w:szCs w:val="16"/>
          <w:lang w:val="es-MX"/>
        </w:rPr>
        <w:t xml:space="preserve">atélite del </w:t>
      </w:r>
      <w:r w:rsidR="006E0B9E">
        <w:rPr>
          <w:sz w:val="16"/>
          <w:szCs w:val="16"/>
          <w:lang w:val="es-MX"/>
        </w:rPr>
        <w:t>t</w:t>
      </w:r>
      <w:r w:rsidRPr="00620574">
        <w:rPr>
          <w:sz w:val="16"/>
          <w:szCs w:val="16"/>
          <w:lang w:val="es-MX"/>
        </w:rPr>
        <w:t>urismo de México</w:t>
      </w:r>
      <w:r w:rsidR="006E0B9E">
        <w:rPr>
          <w:sz w:val="16"/>
          <w:szCs w:val="16"/>
          <w:lang w:val="es-MX"/>
        </w:rPr>
        <w:t>,</w:t>
      </w:r>
      <w:r>
        <w:rPr>
          <w:sz w:val="16"/>
          <w:szCs w:val="16"/>
          <w:lang w:val="es-MX"/>
        </w:rPr>
        <w:t xml:space="preserve"> </w:t>
      </w:r>
      <w:r w:rsidRPr="00620574">
        <w:rPr>
          <w:sz w:val="16"/>
          <w:szCs w:val="16"/>
          <w:lang w:val="es-MX"/>
        </w:rPr>
        <w:t>201</w:t>
      </w:r>
      <w:r w:rsidR="00C83141">
        <w:rPr>
          <w:sz w:val="16"/>
          <w:szCs w:val="16"/>
          <w:lang w:val="es-MX"/>
        </w:rPr>
        <w:t>7</w:t>
      </w:r>
      <w:r w:rsidRPr="00620574">
        <w:rPr>
          <w:sz w:val="16"/>
          <w:szCs w:val="16"/>
          <w:lang w:val="es-MX"/>
        </w:rPr>
        <w:t xml:space="preserve">. </w:t>
      </w:r>
      <w:r>
        <w:rPr>
          <w:sz w:val="16"/>
          <w:szCs w:val="16"/>
          <w:lang w:val="es-MX"/>
        </w:rPr>
        <w:t>Año b</w:t>
      </w:r>
      <w:r w:rsidR="00A70DC6">
        <w:rPr>
          <w:sz w:val="16"/>
          <w:szCs w:val="16"/>
          <w:lang w:val="es-MX"/>
        </w:rPr>
        <w:t>ase 2013.</w:t>
      </w:r>
      <w:r w:rsidRPr="00620574">
        <w:rPr>
          <w:sz w:val="16"/>
          <w:szCs w:val="16"/>
          <w:lang w:val="es-MX"/>
        </w:rPr>
        <w:t xml:space="preserve"> </w:t>
      </w:r>
      <w:r w:rsidR="00C83141">
        <w:rPr>
          <w:sz w:val="16"/>
          <w:szCs w:val="16"/>
        </w:rPr>
        <w:t>Aguascalientes, México 2018</w:t>
      </w:r>
      <w:r w:rsidR="00A70DC6">
        <w:rPr>
          <w:sz w:val="16"/>
          <w:szCs w:val="16"/>
          <w:lang w:val="es-MX"/>
        </w:rPr>
        <w:t>.</w:t>
      </w:r>
    </w:p>
  </w:footnote>
  <w:footnote w:id="2">
    <w:p w14:paraId="0F1BFA4F" w14:textId="77777777" w:rsidR="001F3E1D" w:rsidRPr="00141CB0" w:rsidRDefault="001F3E1D" w:rsidP="001F3E1D">
      <w:pPr>
        <w:pStyle w:val="Textonotapie"/>
        <w:ind w:left="-567"/>
        <w:rPr>
          <w:sz w:val="16"/>
          <w:szCs w:val="16"/>
          <w:lang w:val="es-MX"/>
        </w:rPr>
      </w:pPr>
      <w:r w:rsidRPr="00505D98">
        <w:rPr>
          <w:rStyle w:val="Refdenotaalpie"/>
          <w:sz w:val="18"/>
          <w:szCs w:val="16"/>
        </w:rPr>
        <w:footnoteRef/>
      </w:r>
      <w:r w:rsidRPr="007B64A1">
        <w:rPr>
          <w:sz w:val="16"/>
          <w:szCs w:val="16"/>
        </w:rPr>
        <w:t xml:space="preserve"> </w:t>
      </w:r>
      <w:r>
        <w:rPr>
          <w:sz w:val="16"/>
          <w:szCs w:val="16"/>
        </w:rPr>
        <w:t>Es el número promedio de ocupaciones remuneradas, requeridas o equivalentes para producir bienes y servicios turísticos</w:t>
      </w:r>
      <w:r w:rsidRPr="00141CB0">
        <w:rPr>
          <w:sz w:val="16"/>
          <w:szCs w:val="16"/>
          <w:lang w:val="es-MX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EB67" w14:textId="21304501" w:rsidR="000923AB" w:rsidRPr="00CC232D" w:rsidRDefault="000923AB" w:rsidP="000923AB">
    <w:pPr>
      <w:pStyle w:val="Encabezado"/>
      <w:ind w:left="567" w:hanging="11"/>
      <w:jc w:val="right"/>
      <w:rPr>
        <w:b/>
        <w:color w:val="002060"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C73E0B9" wp14:editId="2480CFAF">
          <wp:simplePos x="0" y="0"/>
          <wp:positionH relativeFrom="margin">
            <wp:posOffset>-404037</wp:posOffset>
          </wp:positionH>
          <wp:positionV relativeFrom="topMargin">
            <wp:posOffset>367872</wp:posOffset>
          </wp:positionV>
          <wp:extent cx="733425" cy="760730"/>
          <wp:effectExtent l="0" t="0" r="9525" b="127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32D">
      <w:rPr>
        <w:b/>
        <w:color w:val="002060"/>
        <w:sz w:val="24"/>
        <w:szCs w:val="24"/>
      </w:rPr>
      <w:t xml:space="preserve">COMUNICADO DE PRENSA NÚM. </w:t>
    </w:r>
    <w:r w:rsidR="00E6719C">
      <w:rPr>
        <w:b/>
        <w:color w:val="002060"/>
        <w:sz w:val="24"/>
        <w:szCs w:val="24"/>
      </w:rPr>
      <w:t>466</w:t>
    </w:r>
    <w:r>
      <w:rPr>
        <w:b/>
        <w:color w:val="002060"/>
        <w:sz w:val="24"/>
        <w:szCs w:val="24"/>
      </w:rPr>
      <w:t>/19</w:t>
    </w:r>
  </w:p>
  <w:p w14:paraId="4049A2CA" w14:textId="2D855CB6" w:rsidR="000923AB" w:rsidRPr="00CC232D" w:rsidRDefault="000923AB" w:rsidP="000923AB">
    <w:pPr>
      <w:pStyle w:val="Encabezado"/>
      <w:ind w:left="567" w:hanging="11"/>
      <w:jc w:val="right"/>
      <w:rPr>
        <w:b/>
        <w:color w:val="002060"/>
        <w:sz w:val="24"/>
        <w:szCs w:val="24"/>
        <w:lang w:val="pt-BR"/>
      </w:rPr>
    </w:pPr>
    <w:r>
      <w:rPr>
        <w:b/>
        <w:color w:val="002060"/>
        <w:sz w:val="24"/>
        <w:szCs w:val="24"/>
        <w:lang w:val="pt-BR"/>
      </w:rPr>
      <w:t>2</w:t>
    </w:r>
    <w:r w:rsidR="00E17F6D">
      <w:rPr>
        <w:b/>
        <w:color w:val="002060"/>
        <w:sz w:val="24"/>
        <w:szCs w:val="24"/>
        <w:lang w:val="pt-BR"/>
      </w:rPr>
      <w:t>5</w:t>
    </w:r>
    <w:r>
      <w:rPr>
        <w:b/>
        <w:color w:val="002060"/>
        <w:sz w:val="24"/>
        <w:szCs w:val="24"/>
        <w:lang w:val="pt-BR"/>
      </w:rPr>
      <w:t xml:space="preserve"> DE SEPTIEMBRE DE 2019</w:t>
    </w:r>
  </w:p>
  <w:p w14:paraId="63F6E716" w14:textId="1FDB2009" w:rsidR="000923AB" w:rsidRPr="00CC232D" w:rsidRDefault="000923AB" w:rsidP="000923AB">
    <w:pPr>
      <w:pStyle w:val="Encabezado"/>
      <w:ind w:left="567" w:hanging="11"/>
      <w:jc w:val="right"/>
      <w:rPr>
        <w:b/>
        <w:color w:val="002060"/>
        <w:sz w:val="24"/>
        <w:szCs w:val="24"/>
        <w:lang w:val="pt-BR"/>
      </w:rPr>
    </w:pPr>
    <w:r w:rsidRPr="00CC232D">
      <w:rPr>
        <w:b/>
        <w:color w:val="002060"/>
        <w:sz w:val="24"/>
        <w:szCs w:val="24"/>
        <w:lang w:val="pt-BR"/>
      </w:rPr>
      <w:t xml:space="preserve">PÁGINA </w:t>
    </w:r>
    <w:r w:rsidRPr="00CC232D">
      <w:rPr>
        <w:b/>
        <w:color w:val="002060"/>
        <w:sz w:val="24"/>
        <w:szCs w:val="24"/>
      </w:rPr>
      <w:fldChar w:fldCharType="begin"/>
    </w:r>
    <w:r w:rsidRPr="00CC232D">
      <w:rPr>
        <w:b/>
        <w:color w:val="002060"/>
        <w:sz w:val="24"/>
        <w:szCs w:val="24"/>
        <w:lang w:val="pt-BR"/>
      </w:rPr>
      <w:instrText xml:space="preserve">\PAGE </w:instrText>
    </w:r>
    <w:r w:rsidRPr="00CC232D">
      <w:rPr>
        <w:color w:val="002060"/>
        <w:sz w:val="24"/>
        <w:szCs w:val="24"/>
      </w:rPr>
      <w:fldChar w:fldCharType="separate"/>
    </w:r>
    <w:r w:rsidR="009B663D">
      <w:rPr>
        <w:b/>
        <w:noProof/>
        <w:color w:val="002060"/>
        <w:sz w:val="24"/>
        <w:szCs w:val="24"/>
        <w:lang w:val="pt-BR"/>
      </w:rPr>
      <w:t>2</w:t>
    </w:r>
    <w:r w:rsidRPr="00CC232D">
      <w:rPr>
        <w:color w:val="002060"/>
        <w:sz w:val="24"/>
        <w:szCs w:val="24"/>
      </w:rPr>
      <w:fldChar w:fldCharType="end"/>
    </w:r>
    <w:r w:rsidRPr="00CC232D">
      <w:rPr>
        <w:b/>
        <w:color w:val="002060"/>
        <w:sz w:val="24"/>
        <w:szCs w:val="24"/>
        <w:lang w:val="pt-BR"/>
      </w:rPr>
      <w:t>/</w:t>
    </w:r>
    <w:r>
      <w:rPr>
        <w:b/>
        <w:color w:val="002060"/>
        <w:sz w:val="24"/>
        <w:szCs w:val="24"/>
        <w:lang w:val="pt-BR"/>
      </w:rPr>
      <w:t>6</w:t>
    </w:r>
  </w:p>
  <w:p w14:paraId="120C30AE" w14:textId="77777777" w:rsidR="00CC232D" w:rsidRDefault="00CC232D" w:rsidP="00CC232D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918BB"/>
    <w:multiLevelType w:val="hybridMultilevel"/>
    <w:tmpl w:val="6032B7E2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44EF57CD"/>
    <w:multiLevelType w:val="hybridMultilevel"/>
    <w:tmpl w:val="4984E0D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DE21308"/>
    <w:multiLevelType w:val="hybridMultilevel"/>
    <w:tmpl w:val="A2422CD2"/>
    <w:lvl w:ilvl="0" w:tplc="492A3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55F0E"/>
    <w:multiLevelType w:val="hybridMultilevel"/>
    <w:tmpl w:val="B18CBA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B0A65"/>
    <w:multiLevelType w:val="hybridMultilevel"/>
    <w:tmpl w:val="0938F740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 style="mso-width-relative:margin;mso-height-relative:margin" fill="f" fillcolor="white" strokecolor="#00b050">
      <v:fill color="white" on="f"/>
      <v:stroke color="#00b050" weight="4.5pt" linestyle="thickThin"/>
      <o:colormru v:ext="edit" colors="#3cc,#0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E1"/>
    <w:rsid w:val="00005227"/>
    <w:rsid w:val="00005A0B"/>
    <w:rsid w:val="00006502"/>
    <w:rsid w:val="00012EB7"/>
    <w:rsid w:val="0002260E"/>
    <w:rsid w:val="00040561"/>
    <w:rsid w:val="0005168D"/>
    <w:rsid w:val="00053863"/>
    <w:rsid w:val="00053AE7"/>
    <w:rsid w:val="0005662C"/>
    <w:rsid w:val="00056CF9"/>
    <w:rsid w:val="00057945"/>
    <w:rsid w:val="00060BC1"/>
    <w:rsid w:val="00065CDC"/>
    <w:rsid w:val="0006738D"/>
    <w:rsid w:val="000737D2"/>
    <w:rsid w:val="000803E9"/>
    <w:rsid w:val="00084C0C"/>
    <w:rsid w:val="00084D16"/>
    <w:rsid w:val="0008626D"/>
    <w:rsid w:val="0009164C"/>
    <w:rsid w:val="0009211B"/>
    <w:rsid w:val="000923AB"/>
    <w:rsid w:val="000977CF"/>
    <w:rsid w:val="000A6B10"/>
    <w:rsid w:val="000A73DA"/>
    <w:rsid w:val="000B1229"/>
    <w:rsid w:val="000B482E"/>
    <w:rsid w:val="000C25DC"/>
    <w:rsid w:val="000C27B7"/>
    <w:rsid w:val="000C2869"/>
    <w:rsid w:val="000D390F"/>
    <w:rsid w:val="000D616B"/>
    <w:rsid w:val="000E3FBF"/>
    <w:rsid w:val="000F047D"/>
    <w:rsid w:val="000F1DC7"/>
    <w:rsid w:val="000F2AF9"/>
    <w:rsid w:val="000F39BD"/>
    <w:rsid w:val="000F4BB3"/>
    <w:rsid w:val="000F607A"/>
    <w:rsid w:val="001056DC"/>
    <w:rsid w:val="001132E8"/>
    <w:rsid w:val="001153AF"/>
    <w:rsid w:val="0011552A"/>
    <w:rsid w:val="00117BC2"/>
    <w:rsid w:val="00117C43"/>
    <w:rsid w:val="0012039F"/>
    <w:rsid w:val="00120B04"/>
    <w:rsid w:val="0013350B"/>
    <w:rsid w:val="00133A32"/>
    <w:rsid w:val="00134D18"/>
    <w:rsid w:val="00137BE0"/>
    <w:rsid w:val="00140512"/>
    <w:rsid w:val="001408A5"/>
    <w:rsid w:val="00154D00"/>
    <w:rsid w:val="001616A9"/>
    <w:rsid w:val="001642F0"/>
    <w:rsid w:val="00166351"/>
    <w:rsid w:val="00166B1C"/>
    <w:rsid w:val="00172BAD"/>
    <w:rsid w:val="00176345"/>
    <w:rsid w:val="001765CD"/>
    <w:rsid w:val="0018141F"/>
    <w:rsid w:val="00184167"/>
    <w:rsid w:val="0018458B"/>
    <w:rsid w:val="001875DA"/>
    <w:rsid w:val="00191B2A"/>
    <w:rsid w:val="00194CE5"/>
    <w:rsid w:val="00197112"/>
    <w:rsid w:val="001B10F4"/>
    <w:rsid w:val="001B4052"/>
    <w:rsid w:val="001C10F5"/>
    <w:rsid w:val="001D1047"/>
    <w:rsid w:val="001D238A"/>
    <w:rsid w:val="001D5498"/>
    <w:rsid w:val="001D7A5F"/>
    <w:rsid w:val="001E483A"/>
    <w:rsid w:val="001F0360"/>
    <w:rsid w:val="001F3E1D"/>
    <w:rsid w:val="001F6417"/>
    <w:rsid w:val="001F782B"/>
    <w:rsid w:val="00203713"/>
    <w:rsid w:val="002072F5"/>
    <w:rsid w:val="00221FF7"/>
    <w:rsid w:val="0022474B"/>
    <w:rsid w:val="00226DCB"/>
    <w:rsid w:val="00227EE3"/>
    <w:rsid w:val="00230231"/>
    <w:rsid w:val="00231058"/>
    <w:rsid w:val="00234162"/>
    <w:rsid w:val="00235889"/>
    <w:rsid w:val="0025390C"/>
    <w:rsid w:val="002569C9"/>
    <w:rsid w:val="00266D17"/>
    <w:rsid w:val="00273306"/>
    <w:rsid w:val="00273325"/>
    <w:rsid w:val="00285D3A"/>
    <w:rsid w:val="00286BB0"/>
    <w:rsid w:val="002872D9"/>
    <w:rsid w:val="00287D0F"/>
    <w:rsid w:val="00292B8B"/>
    <w:rsid w:val="00293BA9"/>
    <w:rsid w:val="002A3C88"/>
    <w:rsid w:val="002A6FC8"/>
    <w:rsid w:val="002B38D8"/>
    <w:rsid w:val="002C6810"/>
    <w:rsid w:val="002C7262"/>
    <w:rsid w:val="002D44D4"/>
    <w:rsid w:val="002D4DCB"/>
    <w:rsid w:val="002E1072"/>
    <w:rsid w:val="002E2924"/>
    <w:rsid w:val="002E4FD0"/>
    <w:rsid w:val="002F6A51"/>
    <w:rsid w:val="003002E7"/>
    <w:rsid w:val="0030684B"/>
    <w:rsid w:val="00307ACD"/>
    <w:rsid w:val="00314ED0"/>
    <w:rsid w:val="00315635"/>
    <w:rsid w:val="00316EC3"/>
    <w:rsid w:val="00320624"/>
    <w:rsid w:val="0032386E"/>
    <w:rsid w:val="00324291"/>
    <w:rsid w:val="003309A0"/>
    <w:rsid w:val="00332D24"/>
    <w:rsid w:val="00335952"/>
    <w:rsid w:val="00336975"/>
    <w:rsid w:val="00340392"/>
    <w:rsid w:val="0034325F"/>
    <w:rsid w:val="00344744"/>
    <w:rsid w:val="00344FED"/>
    <w:rsid w:val="00345523"/>
    <w:rsid w:val="00345DF3"/>
    <w:rsid w:val="0035304B"/>
    <w:rsid w:val="00363B12"/>
    <w:rsid w:val="00363CAC"/>
    <w:rsid w:val="00363CC5"/>
    <w:rsid w:val="00371AC7"/>
    <w:rsid w:val="0037290D"/>
    <w:rsid w:val="00380566"/>
    <w:rsid w:val="00382D42"/>
    <w:rsid w:val="00393876"/>
    <w:rsid w:val="003A3BF1"/>
    <w:rsid w:val="003B23CE"/>
    <w:rsid w:val="003B3F05"/>
    <w:rsid w:val="003C2E2D"/>
    <w:rsid w:val="003C7051"/>
    <w:rsid w:val="003D1583"/>
    <w:rsid w:val="003D2348"/>
    <w:rsid w:val="003D762D"/>
    <w:rsid w:val="003F0030"/>
    <w:rsid w:val="003F26C8"/>
    <w:rsid w:val="003F4FE3"/>
    <w:rsid w:val="00403100"/>
    <w:rsid w:val="00407BF6"/>
    <w:rsid w:val="00413635"/>
    <w:rsid w:val="0041498B"/>
    <w:rsid w:val="00417B68"/>
    <w:rsid w:val="0042064D"/>
    <w:rsid w:val="004249F8"/>
    <w:rsid w:val="00426AE5"/>
    <w:rsid w:val="004344D7"/>
    <w:rsid w:val="00456796"/>
    <w:rsid w:val="004601A6"/>
    <w:rsid w:val="004611C8"/>
    <w:rsid w:val="0046799A"/>
    <w:rsid w:val="00467A8D"/>
    <w:rsid w:val="0047063E"/>
    <w:rsid w:val="00472DF4"/>
    <w:rsid w:val="00475EFB"/>
    <w:rsid w:val="00484A74"/>
    <w:rsid w:val="00484C12"/>
    <w:rsid w:val="004A0294"/>
    <w:rsid w:val="004A6C2B"/>
    <w:rsid w:val="004B166B"/>
    <w:rsid w:val="004B3140"/>
    <w:rsid w:val="004B39FA"/>
    <w:rsid w:val="004B60B8"/>
    <w:rsid w:val="004C0D91"/>
    <w:rsid w:val="004D591A"/>
    <w:rsid w:val="004D64BA"/>
    <w:rsid w:val="004D66F6"/>
    <w:rsid w:val="004E0323"/>
    <w:rsid w:val="004E4D43"/>
    <w:rsid w:val="004F409A"/>
    <w:rsid w:val="004F7368"/>
    <w:rsid w:val="005050C7"/>
    <w:rsid w:val="005108DE"/>
    <w:rsid w:val="005141C5"/>
    <w:rsid w:val="00514E7E"/>
    <w:rsid w:val="005155ED"/>
    <w:rsid w:val="00521D7A"/>
    <w:rsid w:val="005459C8"/>
    <w:rsid w:val="0055016C"/>
    <w:rsid w:val="005557AC"/>
    <w:rsid w:val="00555A6D"/>
    <w:rsid w:val="00560A11"/>
    <w:rsid w:val="00561AA7"/>
    <w:rsid w:val="0056231E"/>
    <w:rsid w:val="00567507"/>
    <w:rsid w:val="00571A3B"/>
    <w:rsid w:val="00580C32"/>
    <w:rsid w:val="00582CB0"/>
    <w:rsid w:val="005A1303"/>
    <w:rsid w:val="005A1F7C"/>
    <w:rsid w:val="005B25AF"/>
    <w:rsid w:val="005B7A39"/>
    <w:rsid w:val="005C0823"/>
    <w:rsid w:val="005D6893"/>
    <w:rsid w:val="005E0173"/>
    <w:rsid w:val="005E1DEE"/>
    <w:rsid w:val="005E4611"/>
    <w:rsid w:val="005E556C"/>
    <w:rsid w:val="005E68B6"/>
    <w:rsid w:val="005F4D78"/>
    <w:rsid w:val="006026BC"/>
    <w:rsid w:val="00602F2F"/>
    <w:rsid w:val="00606C38"/>
    <w:rsid w:val="006118A2"/>
    <w:rsid w:val="006225B1"/>
    <w:rsid w:val="006249E6"/>
    <w:rsid w:val="00630229"/>
    <w:rsid w:val="006308E0"/>
    <w:rsid w:val="00634F0A"/>
    <w:rsid w:val="0063554C"/>
    <w:rsid w:val="006465D4"/>
    <w:rsid w:val="00655300"/>
    <w:rsid w:val="00665383"/>
    <w:rsid w:val="00665387"/>
    <w:rsid w:val="00681102"/>
    <w:rsid w:val="006811B3"/>
    <w:rsid w:val="00681878"/>
    <w:rsid w:val="00684863"/>
    <w:rsid w:val="00691F91"/>
    <w:rsid w:val="0069234F"/>
    <w:rsid w:val="0069623A"/>
    <w:rsid w:val="006A7A1B"/>
    <w:rsid w:val="006A7D76"/>
    <w:rsid w:val="006B6994"/>
    <w:rsid w:val="006B76E4"/>
    <w:rsid w:val="006C0141"/>
    <w:rsid w:val="006D0C54"/>
    <w:rsid w:val="006D1CCC"/>
    <w:rsid w:val="006D7319"/>
    <w:rsid w:val="006E0A62"/>
    <w:rsid w:val="006E0B9E"/>
    <w:rsid w:val="006E1718"/>
    <w:rsid w:val="007005B1"/>
    <w:rsid w:val="007038F2"/>
    <w:rsid w:val="00703F0C"/>
    <w:rsid w:val="00706930"/>
    <w:rsid w:val="00706A42"/>
    <w:rsid w:val="00712EC2"/>
    <w:rsid w:val="00713DD3"/>
    <w:rsid w:val="00720059"/>
    <w:rsid w:val="007259B3"/>
    <w:rsid w:val="00727581"/>
    <w:rsid w:val="00734B32"/>
    <w:rsid w:val="00741D1C"/>
    <w:rsid w:val="00742B82"/>
    <w:rsid w:val="00743FDF"/>
    <w:rsid w:val="0074612C"/>
    <w:rsid w:val="007562E1"/>
    <w:rsid w:val="007606BE"/>
    <w:rsid w:val="00762FA5"/>
    <w:rsid w:val="007640D5"/>
    <w:rsid w:val="00764574"/>
    <w:rsid w:val="00766BCB"/>
    <w:rsid w:val="00775422"/>
    <w:rsid w:val="00781C3D"/>
    <w:rsid w:val="00786D2A"/>
    <w:rsid w:val="007879E1"/>
    <w:rsid w:val="007A127A"/>
    <w:rsid w:val="007A34BF"/>
    <w:rsid w:val="007A3975"/>
    <w:rsid w:val="007A5419"/>
    <w:rsid w:val="007B2BF5"/>
    <w:rsid w:val="007B6168"/>
    <w:rsid w:val="007C0C3B"/>
    <w:rsid w:val="007C72D9"/>
    <w:rsid w:val="007D2223"/>
    <w:rsid w:val="007D3F1A"/>
    <w:rsid w:val="007D613C"/>
    <w:rsid w:val="007D6871"/>
    <w:rsid w:val="007D6A15"/>
    <w:rsid w:val="007E1577"/>
    <w:rsid w:val="007E42F4"/>
    <w:rsid w:val="007E546E"/>
    <w:rsid w:val="007F512E"/>
    <w:rsid w:val="008026B3"/>
    <w:rsid w:val="0080590A"/>
    <w:rsid w:val="008079E2"/>
    <w:rsid w:val="00810AEF"/>
    <w:rsid w:val="008119AC"/>
    <w:rsid w:val="00817059"/>
    <w:rsid w:val="00821BE5"/>
    <w:rsid w:val="00836CC8"/>
    <w:rsid w:val="0083777E"/>
    <w:rsid w:val="008422B7"/>
    <w:rsid w:val="00842737"/>
    <w:rsid w:val="0084330A"/>
    <w:rsid w:val="00843B26"/>
    <w:rsid w:val="00845A49"/>
    <w:rsid w:val="00860DB4"/>
    <w:rsid w:val="00872779"/>
    <w:rsid w:val="0087417E"/>
    <w:rsid w:val="008774B8"/>
    <w:rsid w:val="0088086F"/>
    <w:rsid w:val="00886328"/>
    <w:rsid w:val="00891320"/>
    <w:rsid w:val="00893A64"/>
    <w:rsid w:val="00894D4A"/>
    <w:rsid w:val="008A2A1A"/>
    <w:rsid w:val="008A309E"/>
    <w:rsid w:val="008A38FB"/>
    <w:rsid w:val="008A657B"/>
    <w:rsid w:val="008B1C4B"/>
    <w:rsid w:val="008B48F2"/>
    <w:rsid w:val="008B6BC1"/>
    <w:rsid w:val="008C31FF"/>
    <w:rsid w:val="008C5911"/>
    <w:rsid w:val="008D36E1"/>
    <w:rsid w:val="008E0365"/>
    <w:rsid w:val="008E09EA"/>
    <w:rsid w:val="008E2893"/>
    <w:rsid w:val="008E4C31"/>
    <w:rsid w:val="008E7F26"/>
    <w:rsid w:val="008F5395"/>
    <w:rsid w:val="008F5BF4"/>
    <w:rsid w:val="00905586"/>
    <w:rsid w:val="009138B8"/>
    <w:rsid w:val="00914DB0"/>
    <w:rsid w:val="009250BA"/>
    <w:rsid w:val="0093050B"/>
    <w:rsid w:val="00936BAA"/>
    <w:rsid w:val="0094633C"/>
    <w:rsid w:val="00951575"/>
    <w:rsid w:val="00953D9D"/>
    <w:rsid w:val="009551A5"/>
    <w:rsid w:val="00957996"/>
    <w:rsid w:val="00960D5A"/>
    <w:rsid w:val="0096233E"/>
    <w:rsid w:val="00965A5C"/>
    <w:rsid w:val="00980943"/>
    <w:rsid w:val="00997638"/>
    <w:rsid w:val="009A2F8E"/>
    <w:rsid w:val="009A6541"/>
    <w:rsid w:val="009B1206"/>
    <w:rsid w:val="009B663D"/>
    <w:rsid w:val="009C4156"/>
    <w:rsid w:val="009D49DF"/>
    <w:rsid w:val="009D4A5F"/>
    <w:rsid w:val="009D5EDB"/>
    <w:rsid w:val="009D68FB"/>
    <w:rsid w:val="009E63A2"/>
    <w:rsid w:val="009E70AF"/>
    <w:rsid w:val="009F488A"/>
    <w:rsid w:val="009F570A"/>
    <w:rsid w:val="009F6FA4"/>
    <w:rsid w:val="00A1123B"/>
    <w:rsid w:val="00A14E29"/>
    <w:rsid w:val="00A15706"/>
    <w:rsid w:val="00A2127B"/>
    <w:rsid w:val="00A23296"/>
    <w:rsid w:val="00A23519"/>
    <w:rsid w:val="00A3478F"/>
    <w:rsid w:val="00A37D98"/>
    <w:rsid w:val="00A41F9B"/>
    <w:rsid w:val="00A42A89"/>
    <w:rsid w:val="00A52281"/>
    <w:rsid w:val="00A5319A"/>
    <w:rsid w:val="00A607F0"/>
    <w:rsid w:val="00A70073"/>
    <w:rsid w:val="00A70982"/>
    <w:rsid w:val="00A70DC6"/>
    <w:rsid w:val="00A756D9"/>
    <w:rsid w:val="00A809DE"/>
    <w:rsid w:val="00A81A12"/>
    <w:rsid w:val="00A82B71"/>
    <w:rsid w:val="00A83CDB"/>
    <w:rsid w:val="00A842BC"/>
    <w:rsid w:val="00A84F9C"/>
    <w:rsid w:val="00A8715A"/>
    <w:rsid w:val="00A90CD2"/>
    <w:rsid w:val="00A94D58"/>
    <w:rsid w:val="00AA35F1"/>
    <w:rsid w:val="00AA4DB9"/>
    <w:rsid w:val="00AB2534"/>
    <w:rsid w:val="00AB3D3F"/>
    <w:rsid w:val="00AB650A"/>
    <w:rsid w:val="00AC4E63"/>
    <w:rsid w:val="00AC765B"/>
    <w:rsid w:val="00AD1ACA"/>
    <w:rsid w:val="00AD2289"/>
    <w:rsid w:val="00AD7F2E"/>
    <w:rsid w:val="00AF7949"/>
    <w:rsid w:val="00B0065C"/>
    <w:rsid w:val="00B00ED8"/>
    <w:rsid w:val="00B01BDD"/>
    <w:rsid w:val="00B06E95"/>
    <w:rsid w:val="00B1482A"/>
    <w:rsid w:val="00B25A23"/>
    <w:rsid w:val="00B31466"/>
    <w:rsid w:val="00B43A71"/>
    <w:rsid w:val="00B56943"/>
    <w:rsid w:val="00B614B0"/>
    <w:rsid w:val="00B64CD7"/>
    <w:rsid w:val="00B76ECF"/>
    <w:rsid w:val="00B77A13"/>
    <w:rsid w:val="00B80736"/>
    <w:rsid w:val="00B80964"/>
    <w:rsid w:val="00B834B0"/>
    <w:rsid w:val="00B85D52"/>
    <w:rsid w:val="00B90991"/>
    <w:rsid w:val="00B9372C"/>
    <w:rsid w:val="00B957AE"/>
    <w:rsid w:val="00B974A5"/>
    <w:rsid w:val="00BA27CE"/>
    <w:rsid w:val="00BA3564"/>
    <w:rsid w:val="00BA6C2E"/>
    <w:rsid w:val="00BA6FE4"/>
    <w:rsid w:val="00BA7269"/>
    <w:rsid w:val="00BB2E3B"/>
    <w:rsid w:val="00BB459C"/>
    <w:rsid w:val="00BB69AC"/>
    <w:rsid w:val="00BC3681"/>
    <w:rsid w:val="00BC37B9"/>
    <w:rsid w:val="00BC496B"/>
    <w:rsid w:val="00BC601B"/>
    <w:rsid w:val="00BC6B20"/>
    <w:rsid w:val="00BC7077"/>
    <w:rsid w:val="00BD0732"/>
    <w:rsid w:val="00BD4DE4"/>
    <w:rsid w:val="00BD53CA"/>
    <w:rsid w:val="00BE6701"/>
    <w:rsid w:val="00BE700A"/>
    <w:rsid w:val="00BE7058"/>
    <w:rsid w:val="00BF1862"/>
    <w:rsid w:val="00BF4848"/>
    <w:rsid w:val="00BF6FE6"/>
    <w:rsid w:val="00C034F2"/>
    <w:rsid w:val="00C113D1"/>
    <w:rsid w:val="00C132F5"/>
    <w:rsid w:val="00C13CEA"/>
    <w:rsid w:val="00C16199"/>
    <w:rsid w:val="00C37C14"/>
    <w:rsid w:val="00C401C3"/>
    <w:rsid w:val="00C45CC7"/>
    <w:rsid w:val="00C65711"/>
    <w:rsid w:val="00C701F3"/>
    <w:rsid w:val="00C83141"/>
    <w:rsid w:val="00C87B95"/>
    <w:rsid w:val="00C9146F"/>
    <w:rsid w:val="00C91C66"/>
    <w:rsid w:val="00C92FDD"/>
    <w:rsid w:val="00CB635E"/>
    <w:rsid w:val="00CB6756"/>
    <w:rsid w:val="00CC1C22"/>
    <w:rsid w:val="00CC2302"/>
    <w:rsid w:val="00CC232D"/>
    <w:rsid w:val="00CF1B46"/>
    <w:rsid w:val="00CF269E"/>
    <w:rsid w:val="00CF35DD"/>
    <w:rsid w:val="00CF5143"/>
    <w:rsid w:val="00CF514E"/>
    <w:rsid w:val="00CF54D7"/>
    <w:rsid w:val="00D05FFA"/>
    <w:rsid w:val="00D12076"/>
    <w:rsid w:val="00D12695"/>
    <w:rsid w:val="00D153E3"/>
    <w:rsid w:val="00D1659E"/>
    <w:rsid w:val="00D20F61"/>
    <w:rsid w:val="00D23D58"/>
    <w:rsid w:val="00D27B79"/>
    <w:rsid w:val="00D33464"/>
    <w:rsid w:val="00D36B38"/>
    <w:rsid w:val="00D43F5F"/>
    <w:rsid w:val="00D472C2"/>
    <w:rsid w:val="00D54664"/>
    <w:rsid w:val="00D55CCE"/>
    <w:rsid w:val="00D572F2"/>
    <w:rsid w:val="00D64901"/>
    <w:rsid w:val="00D65A13"/>
    <w:rsid w:val="00D66D20"/>
    <w:rsid w:val="00D75A0E"/>
    <w:rsid w:val="00D77F0D"/>
    <w:rsid w:val="00D80CBB"/>
    <w:rsid w:val="00D81751"/>
    <w:rsid w:val="00D85C13"/>
    <w:rsid w:val="00DA0866"/>
    <w:rsid w:val="00DA0CAF"/>
    <w:rsid w:val="00DA4F7E"/>
    <w:rsid w:val="00DB0CAA"/>
    <w:rsid w:val="00DB79E1"/>
    <w:rsid w:val="00DD1974"/>
    <w:rsid w:val="00DD323A"/>
    <w:rsid w:val="00DE2A43"/>
    <w:rsid w:val="00DE45A7"/>
    <w:rsid w:val="00DE48A4"/>
    <w:rsid w:val="00DF600B"/>
    <w:rsid w:val="00E01B4D"/>
    <w:rsid w:val="00E059FC"/>
    <w:rsid w:val="00E072D3"/>
    <w:rsid w:val="00E0737F"/>
    <w:rsid w:val="00E11ED8"/>
    <w:rsid w:val="00E12F7C"/>
    <w:rsid w:val="00E1311B"/>
    <w:rsid w:val="00E139ED"/>
    <w:rsid w:val="00E17F6D"/>
    <w:rsid w:val="00E203AE"/>
    <w:rsid w:val="00E211D1"/>
    <w:rsid w:val="00E260B9"/>
    <w:rsid w:val="00E31294"/>
    <w:rsid w:val="00E523EA"/>
    <w:rsid w:val="00E6008B"/>
    <w:rsid w:val="00E6719C"/>
    <w:rsid w:val="00E8098F"/>
    <w:rsid w:val="00E80E5E"/>
    <w:rsid w:val="00E814BC"/>
    <w:rsid w:val="00E82FDF"/>
    <w:rsid w:val="00E87926"/>
    <w:rsid w:val="00E87A66"/>
    <w:rsid w:val="00E90AB0"/>
    <w:rsid w:val="00E92D28"/>
    <w:rsid w:val="00E93E75"/>
    <w:rsid w:val="00E97C26"/>
    <w:rsid w:val="00EA1E38"/>
    <w:rsid w:val="00EA3A4C"/>
    <w:rsid w:val="00EA3E67"/>
    <w:rsid w:val="00EB3559"/>
    <w:rsid w:val="00EB5932"/>
    <w:rsid w:val="00EC0018"/>
    <w:rsid w:val="00EC07BA"/>
    <w:rsid w:val="00EC4D0D"/>
    <w:rsid w:val="00ED1FF5"/>
    <w:rsid w:val="00ED2101"/>
    <w:rsid w:val="00EE3FC2"/>
    <w:rsid w:val="00EE6567"/>
    <w:rsid w:val="00EF26F7"/>
    <w:rsid w:val="00EF5135"/>
    <w:rsid w:val="00EF6A39"/>
    <w:rsid w:val="00EF71A3"/>
    <w:rsid w:val="00F07124"/>
    <w:rsid w:val="00F10553"/>
    <w:rsid w:val="00F1623D"/>
    <w:rsid w:val="00F21483"/>
    <w:rsid w:val="00F21B30"/>
    <w:rsid w:val="00F223C4"/>
    <w:rsid w:val="00F272F8"/>
    <w:rsid w:val="00F43C28"/>
    <w:rsid w:val="00F44F42"/>
    <w:rsid w:val="00F47E37"/>
    <w:rsid w:val="00F600DC"/>
    <w:rsid w:val="00F7258F"/>
    <w:rsid w:val="00F82349"/>
    <w:rsid w:val="00F823BE"/>
    <w:rsid w:val="00F82B83"/>
    <w:rsid w:val="00F865F2"/>
    <w:rsid w:val="00F95867"/>
    <w:rsid w:val="00F97B00"/>
    <w:rsid w:val="00F97FB5"/>
    <w:rsid w:val="00FA4E77"/>
    <w:rsid w:val="00FA5BDF"/>
    <w:rsid w:val="00FB0FD3"/>
    <w:rsid w:val="00FB31EF"/>
    <w:rsid w:val="00FC097F"/>
    <w:rsid w:val="00FC2A7B"/>
    <w:rsid w:val="00FC4784"/>
    <w:rsid w:val="00FC5777"/>
    <w:rsid w:val="00FC61F7"/>
    <w:rsid w:val="00FE41D4"/>
    <w:rsid w:val="00FE7D1D"/>
    <w:rsid w:val="00FF0632"/>
    <w:rsid w:val="00FF31E9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="f" fillcolor="white" strokecolor="#00b050">
      <v:fill color="white" on="f"/>
      <v:stroke color="#00b050" weight="4.5pt" linestyle="thickThin"/>
      <o:colormru v:ext="edit" colors="#3cc,#0c6"/>
    </o:shapedefaults>
    <o:shapelayout v:ext="edit">
      <o:idmap v:ext="edit" data="1"/>
    </o:shapelayout>
  </w:shapeDefaults>
  <w:decimalSymbol w:val="."/>
  <w:listSeparator w:val=","/>
  <w14:docId w14:val="7991F810"/>
  <w15:docId w15:val="{0C083555-1423-4D41-8802-ABCB8338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E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62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62E1"/>
  </w:style>
  <w:style w:type="paragraph" w:styleId="Piedepgina">
    <w:name w:val="footer"/>
    <w:basedOn w:val="Normal"/>
    <w:link w:val="PiedepginaCar"/>
    <w:uiPriority w:val="99"/>
    <w:unhideWhenUsed/>
    <w:rsid w:val="007562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2E1"/>
  </w:style>
  <w:style w:type="paragraph" w:styleId="Textodeglobo">
    <w:name w:val="Balloon Text"/>
    <w:basedOn w:val="Normal"/>
    <w:link w:val="TextodegloboCar"/>
    <w:uiPriority w:val="99"/>
    <w:semiHidden/>
    <w:unhideWhenUsed/>
    <w:rsid w:val="007562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2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2E1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7562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62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62E1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F82B83"/>
  </w:style>
  <w:style w:type="character" w:customStyle="1" w:styleId="TextonotapieCar">
    <w:name w:val="Texto nota pie Car"/>
    <w:basedOn w:val="Fuentedeprrafopredeter"/>
    <w:link w:val="Textonotapie"/>
    <w:rsid w:val="00F82B83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nhideWhenUsed/>
    <w:rsid w:val="00F82B83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0F2AF9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063E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A6C2E"/>
    <w:rPr>
      <w:color w:val="0000FF" w:themeColor="hyperlink"/>
      <w:u w:val="single"/>
    </w:rPr>
  </w:style>
  <w:style w:type="paragraph" w:customStyle="1" w:styleId="p0">
    <w:name w:val="p0"/>
    <w:basedOn w:val="Normal"/>
    <w:rsid w:val="00BA6C2E"/>
    <w:pPr>
      <w:keepLines/>
      <w:widowControl w:val="0"/>
      <w:spacing w:before="240"/>
    </w:pPr>
    <w:rPr>
      <w:rFonts w:cs="Times New Roman"/>
      <w:snapToGrid w:val="0"/>
      <w:color w:val="0000FF"/>
      <w:sz w:val="24"/>
    </w:rPr>
  </w:style>
  <w:style w:type="paragraph" w:customStyle="1" w:styleId="Default">
    <w:name w:val="Default"/>
    <w:rsid w:val="005D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F26C8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05A0B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E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ED0"/>
    <w:rPr>
      <w:rFonts w:ascii="Arial" w:eastAsia="Times New Roman" w:hAnsi="Arial" w:cs="Arial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yperlink" Target="http://wtd.unwto.org/content/world-tourism-day-2019" TargetMode="External"/><Relationship Id="rId26" Type="http://schemas.openxmlformats.org/officeDocument/2006/relationships/hyperlink" Target="https://www.youtube.com/user/INEGIInforma" TargetMode="External"/><Relationship Id="rId3" Type="http://schemas.openxmlformats.org/officeDocument/2006/relationships/styles" Target="styles.xml"/><Relationship Id="rId21" Type="http://schemas.openxmlformats.org/officeDocument/2006/relationships/image" Target="media/image22.jpe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://wtd.unwto.org/es/content/sobre-el-dia-mundial-del-turismo" TargetMode="External"/><Relationship Id="rId25" Type="http://schemas.openxmlformats.org/officeDocument/2006/relationships/image" Target="media/image24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temas/itat/" TargetMode="External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twitter.com/INEGI_INFORM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sat/" TargetMode="External"/><Relationship Id="rId23" Type="http://schemas.openxmlformats.org/officeDocument/2006/relationships/image" Target="media/image23.jpeg"/><Relationship Id="rId28" Type="http://schemas.openxmlformats.org/officeDocument/2006/relationships/hyperlink" Target="http://www.inegi.org.mx/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comunicacionsocial@inegi.org.m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25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8" Type="http://schemas.openxmlformats.org/officeDocument/2006/relationships/image" Target="../media/image7.png"/><Relationship Id="rId13" Type="http://schemas.openxmlformats.org/officeDocument/2006/relationships/chartUserShapes" Target="../drawings/drawing2.xml"/><Relationship Id="rId3" Type="http://schemas.openxmlformats.org/officeDocument/2006/relationships/image" Target="../media/image2.png"/><Relationship Id="rId7" Type="http://schemas.openxmlformats.org/officeDocument/2006/relationships/image" Target="../media/image6.png"/><Relationship Id="rId12" Type="http://schemas.openxmlformats.org/officeDocument/2006/relationships/oleObject" Target="file:///D:\Mis%20documentos\D&#237;a%20Mundial%20del%20Turismo\2019\Cuadros%20y%20gr&#225;ficas%20BDMT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6" Type="http://schemas.openxmlformats.org/officeDocument/2006/relationships/image" Target="../media/image5.png"/><Relationship Id="rId11" Type="http://schemas.openxmlformats.org/officeDocument/2006/relationships/image" Target="../media/image10.png"/><Relationship Id="rId5" Type="http://schemas.openxmlformats.org/officeDocument/2006/relationships/image" Target="../media/image4.png"/><Relationship Id="rId10" Type="http://schemas.openxmlformats.org/officeDocument/2006/relationships/image" Target="../media/image9.png"/><Relationship Id="rId4" Type="http://schemas.openxmlformats.org/officeDocument/2006/relationships/image" Target="../media/image3.png"/><Relationship Id="rId9" Type="http://schemas.openxmlformats.org/officeDocument/2006/relationships/image" Target="../media/image8.pn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s%20documentos\D&#237;a%20Mundial%20del%20Turismo\2019\Cuadros%20y%20gr&#225;ficas%20BDMT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Mis%20documentos\D&#237;a%20Mundial%20del%20Turismo\2019\Cuadros%20y%20gr&#225;ficas%20BDMT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s%20documentos\D&#237;a%20Mundial%20del%20Turismo\2019\Cuadros%20y%20gr&#225;ficas%20BDMT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6.xml"/><Relationship Id="rId4" Type="http://schemas.openxmlformats.org/officeDocument/2006/relationships/oleObject" Target="file:///D:\Mis%20documentos\D&#237;a%20Mundial%20del%20Turismo\2019\Cuadros%20y%20gr&#225;ficas%20BDM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63409593043974E-2"/>
          <c:y val="0.1682188885734936"/>
          <c:w val="0.89647459197491264"/>
          <c:h val="0.6146617465001063"/>
        </c:manualLayout>
      </c:layout>
      <c:lineChart>
        <c:grouping val="standard"/>
        <c:varyColors val="0"/>
        <c:ser>
          <c:idx val="0"/>
          <c:order val="0"/>
          <c:tx>
            <c:strRef>
              <c:f>'Part% PIBT'!$A$11</c:f>
              <c:strCache>
                <c:ptCount val="1"/>
                <c:pt idx="0">
                  <c:v>Base 2013</c:v>
                </c:pt>
              </c:strCache>
            </c:strRef>
          </c:tx>
          <c:spPr>
            <a:ln w="34925" cap="rnd" cmpd="tri">
              <a:solidFill>
                <a:srgbClr val="008080"/>
              </a:solidFill>
              <a:round/>
            </a:ln>
            <a:effectLst/>
          </c:spPr>
          <c:marker>
            <c:symbol val="circle"/>
            <c:size val="9"/>
            <c:spPr>
              <a:gradFill>
                <a:gsLst>
                  <a:gs pos="85000">
                    <a:schemeClr val="accent5">
                      <a:lumMod val="20000"/>
                      <a:lumOff val="80000"/>
                    </a:schemeClr>
                  </a:gs>
                  <a:gs pos="1000">
                    <a:srgbClr val="008080"/>
                  </a:gs>
                </a:gsLst>
                <a:lin ang="5400000" scaled="1"/>
              </a:gra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AE-4EB0-819F-57F79D61060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25-4773-9A8D-ACF9133C186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25-4773-9A8D-ACF9133C186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25-4773-9A8D-ACF9133C186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25-4773-9A8D-ACF9133C186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25-4773-9A8D-ACF9133C186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AE-4EB0-819F-57F79D61060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25-4773-9A8D-ACF9133C1861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AE-4EB0-819F-57F79D61060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25-4773-9A8D-ACF9133C1861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AE-4EB0-819F-57F79D61060D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25-4773-9A8D-ACF9133C1861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25-4773-9A8D-ACF9133C1861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25-4773-9A8D-ACF9133C1861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25-4773-9A8D-ACF9133C1861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25-4773-9A8D-ACF9133C1861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B25-4773-9A8D-ACF9133C1861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25-4773-9A8D-ACF9133C1861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25-4773-9A8D-ACF9133C1861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25-4773-9A8D-ACF9133C1861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AE-4EB0-819F-57F79D61060D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25-4773-9A8D-ACF9133C1861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25-4773-9A8D-ACF9133C1861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25-4773-9A8D-ACF9133C1861}"/>
                </c:ext>
              </c:extLst>
            </c:dLbl>
            <c:dLbl>
              <c:idx val="24"/>
              <c:layout>
                <c:manualLayout>
                  <c:x val="-1.1337584838555225E-2"/>
                  <c:y val="-5.771612777793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FB25-4773-9A8D-ACF9133C1861}"/>
                </c:ext>
              </c:extLst>
            </c:dLbl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'Part% PIBT'!$B$10:$Z$10</c:f>
              <c:strCache>
                <c:ptCount val="25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  <c:pt idx="21">
                  <c:v>2014</c:v>
                </c:pt>
                <c:pt idx="22">
                  <c:v>2015</c:v>
                </c:pt>
                <c:pt idx="23">
                  <c:v>2016</c:v>
                </c:pt>
                <c:pt idx="24">
                  <c:v>2017</c:v>
                </c:pt>
              </c:strCache>
            </c:strRef>
          </c:cat>
          <c:val>
            <c:numRef>
              <c:f>'Part% PIBT'!$B$11:$Z$11</c:f>
              <c:numCache>
                <c:formatCode>0.0%</c:formatCode>
                <c:ptCount val="25"/>
                <c:pt idx="0">
                  <c:v>8.5063808355232723E-2</c:v>
                </c:pt>
                <c:pt idx="1">
                  <c:v>8.228747975564267E-2</c:v>
                </c:pt>
                <c:pt idx="2">
                  <c:v>8.0737537223063593E-2</c:v>
                </c:pt>
                <c:pt idx="3">
                  <c:v>7.8302597106074054E-2</c:v>
                </c:pt>
                <c:pt idx="4">
                  <c:v>7.946702345967098E-2</c:v>
                </c:pt>
                <c:pt idx="5">
                  <c:v>8.369840011760761E-2</c:v>
                </c:pt>
                <c:pt idx="6">
                  <c:v>8.5273467737136233E-2</c:v>
                </c:pt>
                <c:pt idx="7">
                  <c:v>8.3969100650227294E-2</c:v>
                </c:pt>
                <c:pt idx="8">
                  <c:v>8.7291116693050758E-2</c:v>
                </c:pt>
                <c:pt idx="9">
                  <c:v>8.6860455397683861E-2</c:v>
                </c:pt>
                <c:pt idx="10">
                  <c:v>8.8433324935476329E-2</c:v>
                </c:pt>
                <c:pt idx="11">
                  <c:v>8.7914534273059064E-2</c:v>
                </c:pt>
                <c:pt idx="12">
                  <c:v>8.5496496257913474E-2</c:v>
                </c:pt>
                <c:pt idx="13">
                  <c:v>8.2776464456424129E-2</c:v>
                </c:pt>
                <c:pt idx="14">
                  <c:v>8.297107967144432E-2</c:v>
                </c:pt>
                <c:pt idx="15">
                  <c:v>8.3201047016364341E-2</c:v>
                </c:pt>
                <c:pt idx="16">
                  <c:v>8.5130820988733966E-2</c:v>
                </c:pt>
                <c:pt idx="17">
                  <c:v>8.3554857389806184E-2</c:v>
                </c:pt>
                <c:pt idx="18">
                  <c:v>8.1897019889919723E-2</c:v>
                </c:pt>
                <c:pt idx="19">
                  <c:v>8.2002511107494125E-2</c:v>
                </c:pt>
                <c:pt idx="20">
                  <c:v>8.5152064500612426E-2</c:v>
                </c:pt>
                <c:pt idx="21">
                  <c:v>8.4634472779618899E-2</c:v>
                </c:pt>
                <c:pt idx="22">
                  <c:v>8.7830818104645214E-2</c:v>
                </c:pt>
                <c:pt idx="23">
                  <c:v>8.777973639299419E-2</c:v>
                </c:pt>
                <c:pt idx="24">
                  <c:v>8.6812292838923583E-2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C0F1-4927-A7E5-EE75F936EE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50137248"/>
        <c:axId val="1250138912"/>
      </c:lineChart>
      <c:catAx>
        <c:axId val="125013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50138912"/>
        <c:crosses val="autoZero"/>
        <c:auto val="1"/>
        <c:lblAlgn val="ctr"/>
        <c:lblOffset val="100"/>
        <c:noMultiLvlLbl val="0"/>
      </c:catAx>
      <c:valAx>
        <c:axId val="1250138912"/>
        <c:scaling>
          <c:orientation val="minMax"/>
          <c:max val="0.1"/>
          <c:min val="7.0000000000000007E-2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50137248"/>
        <c:crosses val="autoZero"/>
        <c:crossBetween val="between"/>
        <c:majorUnit val="5.000000000000001E-3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57150" cap="rnd" cmpd="thinThick" algn="ctr">
      <a:solidFill>
        <a:srgbClr val="009999"/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25400"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603454415954418E-2"/>
          <c:y val="0.11777103355252065"/>
          <c:w val="0.92808956552706556"/>
          <c:h val="0.496384612790638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blipFill dpi="0" rotWithShape="1">
                <a:blip xmlns:r="http://schemas.openxmlformats.org/officeDocument/2006/relationships" r:embed="rId3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1-5D4A-40BC-B115-FB4805686650}"/>
              </c:ext>
            </c:extLst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3-5D4A-40BC-B115-FB4805686650}"/>
              </c:ext>
            </c:extLst>
          </c:dPt>
          <c:dPt>
            <c:idx val="2"/>
            <c:invertIfNegative val="0"/>
            <c:bubble3D val="0"/>
            <c:spPr>
              <a:blipFill dpi="0" rotWithShape="1">
                <a:blip xmlns:r="http://schemas.openxmlformats.org/officeDocument/2006/relationships" r:embed="rId5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5-5D4A-40BC-B115-FB4805686650}"/>
              </c:ext>
            </c:extLst>
          </c:dPt>
          <c:dPt>
            <c:idx val="3"/>
            <c:invertIfNegative val="0"/>
            <c:bubble3D val="0"/>
            <c:spPr>
              <a:blipFill dpi="0" rotWithShape="1">
                <a:blip xmlns:r="http://schemas.openxmlformats.org/officeDocument/2006/relationships" r:embed="rId6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7-5D4A-40BC-B115-FB4805686650}"/>
              </c:ext>
            </c:extLst>
          </c:dPt>
          <c:dPt>
            <c:idx val="4"/>
            <c:invertIfNegative val="0"/>
            <c:bubble3D val="0"/>
            <c:spPr>
              <a:blipFill dpi="0" rotWithShape="1">
                <a:blip xmlns:r="http://schemas.openxmlformats.org/officeDocument/2006/relationships" r:embed="rId7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9-5D4A-40BC-B115-FB4805686650}"/>
              </c:ext>
            </c:extLst>
          </c:dPt>
          <c:dPt>
            <c:idx val="5"/>
            <c:invertIfNegative val="0"/>
            <c:bubble3D val="0"/>
            <c:spPr>
              <a:blipFill>
                <a:blip xmlns:r="http://schemas.openxmlformats.org/officeDocument/2006/relationships" r:embed="rId8"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B-5D4A-40BC-B115-FB4805686650}"/>
              </c:ext>
            </c:extLst>
          </c:dPt>
          <c:dPt>
            <c:idx val="6"/>
            <c:invertIfNegative val="0"/>
            <c:bubble3D val="0"/>
            <c:spPr>
              <a:blipFill dpi="0" rotWithShape="1">
                <a:blip xmlns:r="http://schemas.openxmlformats.org/officeDocument/2006/relationships" r:embed="rId9">
                  <a:extLst>
                    <a:ext uri="{28A0092B-C50C-407E-A947-70E740481C1C}">
                      <a14:useLocalDpi xmlns:a14="http://schemas.microsoft.com/office/drawing/2010/main" val="0"/>
                    </a:ext>
                  </a:extLst>
                </a:blip>
                <a:srcRect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D-5D4A-40BC-B115-FB4805686650}"/>
              </c:ext>
            </c:extLst>
          </c:dPt>
          <c:dPt>
            <c:idx val="7"/>
            <c:invertIfNegative val="0"/>
            <c:bubble3D val="0"/>
            <c:spPr>
              <a:blipFill>
                <a:blip xmlns:r="http://schemas.openxmlformats.org/officeDocument/2006/relationships" r:embed="rId10"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0F-5D4A-40BC-B115-FB4805686650}"/>
              </c:ext>
            </c:extLst>
          </c:dPt>
          <c:dPt>
            <c:idx val="8"/>
            <c:invertIfNegative val="0"/>
            <c:bubble3D val="0"/>
            <c:spPr>
              <a:blipFill>
                <a:blip xmlns:r="http://schemas.openxmlformats.org/officeDocument/2006/relationships" r:embed="rId11"/>
                <a:stretch>
                  <a:fillRect/>
                </a:stretch>
              </a:blipFill>
              <a:ln>
                <a:noFill/>
              </a:ln>
              <a:effectLst/>
              <a:sp3d/>
            </c:spPr>
            <c:pictureOptions>
              <c:pictureFormat val="stackScale"/>
              <c:pictureStackUnit val="5"/>
            </c:pictureOptions>
            <c:extLst>
              <c:ext xmlns:c16="http://schemas.microsoft.com/office/drawing/2014/chart" uri="{C3380CC4-5D6E-409C-BE32-E72D297353CC}">
                <c16:uniqueId val="{00000011-5D4A-40BC-B115-FB4805686650}"/>
              </c:ext>
            </c:extLst>
          </c:dPt>
          <c:dLbls>
            <c:dLbl>
              <c:idx val="0"/>
              <c:layout>
                <c:manualLayout>
                  <c:x val="2.4875621890547265E-2"/>
                  <c:y val="-0.240899357601713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D4A-40BC-B115-FB4805686650}"/>
                </c:ext>
              </c:extLst>
            </c:dLbl>
            <c:dLbl>
              <c:idx val="1"/>
              <c:layout>
                <c:manualLayout>
                  <c:x val="2.7137042062415198E-2"/>
                  <c:y val="-0.176659528907922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D4A-40BC-B115-FB4805686650}"/>
                </c:ext>
              </c:extLst>
            </c:dLbl>
            <c:dLbl>
              <c:idx val="2"/>
              <c:layout>
                <c:manualLayout>
                  <c:x val="2.713704206241524E-2"/>
                  <c:y val="-0.149892933618843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D4A-40BC-B115-FB4805686650}"/>
                </c:ext>
              </c:extLst>
            </c:dLbl>
            <c:dLbl>
              <c:idx val="3"/>
              <c:layout>
                <c:manualLayout>
                  <c:x val="2.0352781546811399E-2"/>
                  <c:y val="-9.3683083511777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D4A-40BC-B115-FB4805686650}"/>
                </c:ext>
              </c:extLst>
            </c:dLbl>
            <c:dLbl>
              <c:idx val="4"/>
              <c:layout>
                <c:manualLayout>
                  <c:x val="2.0352781546811399E-2"/>
                  <c:y val="-4.2826552462526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5D4A-40BC-B115-FB4805686650}"/>
                </c:ext>
              </c:extLst>
            </c:dLbl>
            <c:dLbl>
              <c:idx val="5"/>
              <c:layout>
                <c:manualLayout>
                  <c:x val="2.0352781546811399E-2"/>
                  <c:y val="-0.147216274089935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5D4A-40BC-B115-FB4805686650}"/>
                </c:ext>
              </c:extLst>
            </c:dLbl>
            <c:dLbl>
              <c:idx val="6"/>
              <c:layout>
                <c:manualLayout>
                  <c:x val="2.2614201718679332E-2"/>
                  <c:y val="-4.2826552462526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5D4A-40BC-B115-FB4805686650}"/>
                </c:ext>
              </c:extLst>
            </c:dLbl>
            <c:dLbl>
              <c:idx val="7"/>
              <c:layout>
                <c:manualLayout>
                  <c:x val="2.2614201718679332E-2"/>
                  <c:y val="-0.112419700214132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5D4A-40BC-B115-FB4805686650}"/>
                </c:ext>
              </c:extLst>
            </c:dLbl>
            <c:dLbl>
              <c:idx val="8"/>
              <c:layout>
                <c:manualLayout>
                  <c:x val="2.0352781546811399E-2"/>
                  <c:y val="-4.2826552462526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5D4A-40BC-B115-FB48056866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'PIBTcor (comp) '!$A$7:$A$15</c:f>
              <c:strCache>
                <c:ptCount val="9"/>
                <c:pt idx="0">
                  <c:v>Alojamiento</c:v>
                </c:pt>
                <c:pt idx="1">
                  <c:v>   Transporte
de pasajeros</c:v>
                </c:pt>
                <c:pt idx="2">
                  <c:v>Restaurantes, bares
y centros nocturnos</c:v>
                </c:pt>
                <c:pt idx="3">
                  <c:v>Comercio</c:v>
                </c:pt>
                <c:pt idx="4">
                  <c:v>Agencias de viajes
y otros servicios de
                reservas</c:v>
                </c:pt>
                <c:pt idx="5">
                  <c:v>Otros</c:v>
                </c:pt>
                <c:pt idx="6">
                  <c:v> Servicios
culturales</c:v>
                </c:pt>
                <c:pt idx="7">
                  <c:v>Bienes y artesanías</c:v>
                </c:pt>
                <c:pt idx="8">
                  <c:v>Servicios deportivos
            y recreativos</c:v>
                </c:pt>
              </c:strCache>
            </c:strRef>
          </c:cat>
          <c:val>
            <c:numRef>
              <c:f>'PIBTcor (comp) '!$C$7:$C$15</c:f>
              <c:numCache>
                <c:formatCode>#,##0.0;[Red]\-#,##0.0</c:formatCode>
                <c:ptCount val="9"/>
                <c:pt idx="0">
                  <c:v>28.31839403834816</c:v>
                </c:pt>
                <c:pt idx="1">
                  <c:v>19.287678359531292</c:v>
                </c:pt>
                <c:pt idx="2">
                  <c:v>15.278274756030566</c:v>
                </c:pt>
                <c:pt idx="3">
                  <c:v>7.8077015608521858</c:v>
                </c:pt>
                <c:pt idx="4">
                  <c:v>0.76942993676938143</c:v>
                </c:pt>
                <c:pt idx="5">
                  <c:v>15.801332001814151</c:v>
                </c:pt>
                <c:pt idx="6">
                  <c:v>0.98395952340964932</c:v>
                </c:pt>
                <c:pt idx="7">
                  <c:v>10.571967097537001</c:v>
                </c:pt>
                <c:pt idx="8">
                  <c:v>1.0812627257076193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D4A-40BC-B115-FB48056866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"/>
        <c:gapDepth val="144"/>
        <c:shape val="box"/>
        <c:axId val="1974467808"/>
        <c:axId val="1974477376"/>
        <c:axId val="0"/>
      </c:bar3DChart>
      <c:catAx>
        <c:axId val="197446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74477376"/>
        <c:crosses val="autoZero"/>
        <c:auto val="1"/>
        <c:lblAlgn val="ctr"/>
        <c:lblOffset val="100"/>
        <c:noMultiLvlLbl val="0"/>
      </c:catAx>
      <c:valAx>
        <c:axId val="197447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;[Red]\-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7446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thinThick" algn="ctr">
      <a:solidFill>
        <a:srgbClr val="009999"/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2">
    <c:autoUpdate val="0"/>
  </c:externalData>
  <c:userShapes r:id="rId1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440638610811371"/>
          <c:y val="0.16054785094136234"/>
          <c:w val="0.39570971199834765"/>
          <c:h val="0.70147458266453933"/>
        </c:manualLayout>
      </c:layout>
      <c:doughnutChart>
        <c:varyColors val="1"/>
        <c:ser>
          <c:idx val="0"/>
          <c:order val="0"/>
          <c:spPr>
            <a:scene3d>
              <a:camera prst="orthographicFront"/>
              <a:lightRig rig="flood" dir="t"/>
            </a:scene3d>
            <a:sp3d prstMaterial="matte">
              <a:bevelT w="292100" h="609600" prst="softRound"/>
              <a:bevelB/>
              <a:contourClr>
                <a:srgbClr val="000000"/>
              </a:contourClr>
            </a:sp3d>
          </c:spPr>
          <c:explosion val="10"/>
          <c:dPt>
            <c:idx val="0"/>
            <c:bubble3D val="0"/>
            <c:spPr>
              <a:solidFill>
                <a:srgbClr val="008080"/>
              </a:solidFill>
              <a:ln>
                <a:noFill/>
              </a:ln>
              <a:effectLst/>
              <a:scene3d>
                <a:camera prst="orthographicFront"/>
                <a:lightRig rig="flood" dir="t"/>
              </a:scene3d>
              <a:sp3d prstMaterial="matte">
                <a:bevelT w="292100" h="609600" prst="softRound"/>
                <a:bevelB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2CE-423B-9A67-503C488B0697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>
                <a:noFill/>
              </a:ln>
              <a:effectLst/>
              <a:scene3d>
                <a:camera prst="orthographicFront"/>
                <a:lightRig rig="flood" dir="t"/>
              </a:scene3d>
              <a:sp3d prstMaterial="matte">
                <a:bevelT w="292100" h="609600" prst="softRound"/>
                <a:bevelB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2CE-423B-9A67-503C488B0697}"/>
              </c:ext>
            </c:extLst>
          </c:dPt>
          <c:dLbls>
            <c:dLbl>
              <c:idx val="0"/>
              <c:layout>
                <c:manualLayout>
                  <c:x val="-0.16508242609429588"/>
                  <c:y val="0.2157300391570115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2CE-423B-9A67-503C488B0697}"/>
                </c:ext>
              </c:extLst>
            </c:dLbl>
            <c:dLbl>
              <c:idx val="1"/>
              <c:layout>
                <c:manualLayout>
                  <c:x val="0.14699088665477195"/>
                  <c:y val="0.1490529558729993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2CE-423B-9A67-503C488B069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CT!$A$6:$A$7</c:f>
              <c:strCache>
                <c:ptCount val="2"/>
                <c:pt idx="0">
                  <c:v>Interno</c:v>
                </c:pt>
                <c:pt idx="1">
                  <c:v>Receptivo</c:v>
                </c:pt>
              </c:strCache>
            </c:strRef>
          </c:cat>
          <c:val>
            <c:numRef>
              <c:f>CT!$C$6:$C$7</c:f>
              <c:numCache>
                <c:formatCode>0.0%</c:formatCode>
                <c:ptCount val="2"/>
                <c:pt idx="0">
                  <c:v>0.82459911399141328</c:v>
                </c:pt>
                <c:pt idx="1">
                  <c:v>0.17540088600858686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CE-423B-9A67-503C488B069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143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thinThick" algn="ctr">
      <a:solidFill>
        <a:srgbClr val="009999"/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426374548472395E-2"/>
          <c:y val="0.12711997930126318"/>
          <c:w val="0.59272855479225206"/>
          <c:h val="0.73369932235074187"/>
        </c:manualLayout>
      </c:layout>
      <c:barChart>
        <c:barDir val="bar"/>
        <c:grouping val="clustered"/>
        <c:varyColors val="1"/>
        <c:ser>
          <c:idx val="0"/>
          <c:order val="0"/>
          <c:tx>
            <c:strRef>
              <c:f>PTOR!$A$5</c:f>
              <c:strCache>
                <c:ptCount val="1"/>
                <c:pt idx="0">
                  <c:v>Restaurantes, bares y centros nocturnos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PTOR!$C$5</c:f>
              <c:numCache>
                <c:formatCode>0.0%</c:formatCode>
                <c:ptCount val="1"/>
                <c:pt idx="0">
                  <c:v>0.28942516467910501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FE-45A7-A819-AABD178F9183}"/>
            </c:ext>
          </c:extLst>
        </c:ser>
        <c:ser>
          <c:idx val="1"/>
          <c:order val="1"/>
          <c:tx>
            <c:strRef>
              <c:f>PTOR!$A$6</c:f>
              <c:strCache>
                <c:ptCount val="1"/>
                <c:pt idx="0">
                  <c:v>Transporte de pasajeros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PTOR!$C$6</c:f>
              <c:numCache>
                <c:formatCode>0.0%</c:formatCode>
                <c:ptCount val="1"/>
                <c:pt idx="0">
                  <c:v>0.25283242820235574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FE-45A7-A819-AABD178F9183}"/>
            </c:ext>
          </c:extLst>
        </c:ser>
        <c:ser>
          <c:idx val="2"/>
          <c:order val="2"/>
          <c:tx>
            <c:strRef>
              <c:f>PTOR!$A$7</c:f>
              <c:strCache>
                <c:ptCount val="1"/>
                <c:pt idx="0">
                  <c:v>Otros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PTOR!$C$7</c:f>
              <c:numCache>
                <c:formatCode>0.0%</c:formatCode>
                <c:ptCount val="1"/>
                <c:pt idx="0">
                  <c:v>0.24838417438604521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FE-45A7-A819-AABD178F9183}"/>
            </c:ext>
          </c:extLst>
        </c:ser>
        <c:ser>
          <c:idx val="3"/>
          <c:order val="3"/>
          <c:tx>
            <c:strRef>
              <c:f>PTOR!$A$8</c:f>
              <c:strCache>
                <c:ptCount val="1"/>
                <c:pt idx="0">
                  <c:v>Alojamiento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PTOR!$C$8</c:f>
              <c:numCache>
                <c:formatCode>0.0%</c:formatCode>
                <c:ptCount val="1"/>
                <c:pt idx="0">
                  <c:v>8.9619320950885359E-2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FE-45A7-A819-AABD178F9183}"/>
            </c:ext>
          </c:extLst>
        </c:ser>
        <c:ser>
          <c:idx val="4"/>
          <c:order val="4"/>
          <c:tx>
            <c:strRef>
              <c:f>PTOR!$A$9</c:f>
              <c:strCache>
                <c:ptCount val="1"/>
                <c:pt idx="0">
                  <c:v>Comercio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PTOR!$C$9</c:f>
              <c:numCache>
                <c:formatCode>0.0%</c:formatCode>
                <c:ptCount val="1"/>
                <c:pt idx="0">
                  <c:v>3.9985885895852585E-2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FE-45A7-A819-AABD178F9183}"/>
            </c:ext>
          </c:extLst>
        </c:ser>
        <c:ser>
          <c:idx val="5"/>
          <c:order val="5"/>
          <c:tx>
            <c:strRef>
              <c:f>PTOR!$A$10</c:f>
              <c:strCache>
                <c:ptCount val="1"/>
                <c:pt idx="0">
                  <c:v>Bienes y artesanías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PTOR!$C$10</c:f>
              <c:numCache>
                <c:formatCode>0.0%</c:formatCode>
                <c:ptCount val="1"/>
                <c:pt idx="0">
                  <c:v>3.0377202926929817E-2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FE-45A7-A819-AABD178F9183}"/>
            </c:ext>
          </c:extLst>
        </c:ser>
        <c:ser>
          <c:idx val="6"/>
          <c:order val="6"/>
          <c:tx>
            <c:strRef>
              <c:f>PTOR!$A$11</c:f>
              <c:strCache>
                <c:ptCount val="1"/>
                <c:pt idx="0">
                  <c:v>Servicios deportivos y recreativos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PTOR!$C$11</c:f>
              <c:numCache>
                <c:formatCode>0.0%</c:formatCode>
                <c:ptCount val="1"/>
                <c:pt idx="0">
                  <c:v>2.4861697500510937E-2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FE-45A7-A819-AABD178F9183}"/>
            </c:ext>
          </c:extLst>
        </c:ser>
        <c:ser>
          <c:idx val="7"/>
          <c:order val="7"/>
          <c:tx>
            <c:strRef>
              <c:f>PTOR!$A$12</c:f>
              <c:strCache>
                <c:ptCount val="1"/>
                <c:pt idx="0">
                  <c:v>Servicios culturales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PTOR!$C$12</c:f>
              <c:numCache>
                <c:formatCode>0.0%</c:formatCode>
                <c:ptCount val="1"/>
                <c:pt idx="0">
                  <c:v>1.6375767061384126E-2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FE-45A7-A819-AABD178F9183}"/>
            </c:ext>
          </c:extLst>
        </c:ser>
        <c:ser>
          <c:idx val="8"/>
          <c:order val="8"/>
          <c:tx>
            <c:strRef>
              <c:f>PTOR!$A$13</c:f>
              <c:strCache>
                <c:ptCount val="1"/>
                <c:pt idx="0">
                  <c:v>Agencias de viaje y otros servicios de reserva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PTOR!$C$13</c:f>
              <c:numCache>
                <c:formatCode>0.0%</c:formatCode>
                <c:ptCount val="1"/>
                <c:pt idx="0">
                  <c:v>9.1383583969312301E-3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FE-45A7-A819-AABD178F91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9"/>
        <c:overlap val="-27"/>
        <c:axId val="131912832"/>
        <c:axId val="131914368"/>
      </c:barChart>
      <c:catAx>
        <c:axId val="131912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31914368"/>
        <c:crosses val="autoZero"/>
        <c:auto val="1"/>
        <c:lblAlgn val="ctr"/>
        <c:lblOffset val="100"/>
        <c:noMultiLvlLbl val="0"/>
      </c:catAx>
      <c:valAx>
        <c:axId val="131914368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one"/>
        <c:crossAx val="131912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731229322250596"/>
          <c:y val="0.17785255974889616"/>
          <c:w val="0.43866565525984963"/>
          <c:h val="0.63448821818808543"/>
        </c:manualLayout>
      </c:layout>
      <c:overlay val="0"/>
    </c:legend>
    <c:plotVisOnly val="1"/>
    <c:dispBlanksAs val="gap"/>
    <c:showDLblsOverMax val="0"/>
  </c:chart>
  <c:spPr>
    <a:ln w="57150" cmpd="thinThick">
      <a:solidFill>
        <a:srgbClr val="009999"/>
      </a:solidFill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58386752136752E-2"/>
          <c:y val="0.17021444339325134"/>
          <c:w val="0.8927594373219373"/>
          <c:h val="0.57459739304110169"/>
        </c:manualLayout>
      </c:layout>
      <c:lineChart>
        <c:grouping val="standard"/>
        <c:varyColors val="0"/>
        <c:ser>
          <c:idx val="0"/>
          <c:order val="0"/>
          <c:tx>
            <c:strRef>
              <c:f>ITAT_PIBT!$C$4</c:f>
              <c:strCache>
                <c:ptCount val="1"/>
                <c:pt idx="0">
                  <c:v>Total del Turismo</c:v>
                </c:pt>
              </c:strCache>
            </c:strRef>
          </c:tx>
          <c:spPr>
            <a:ln w="28575" cap="rnd">
              <a:solidFill>
                <a:srgbClr val="008080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6"/>
            <c:spPr>
              <a:gradFill flip="none" rotWithShape="1">
                <a:gsLst>
                  <a:gs pos="70000">
                    <a:srgbClr val="008080"/>
                  </a:gs>
                  <a:gs pos="0">
                    <a:srgbClr val="008080"/>
                  </a:gs>
                </a:gsLst>
                <a:path path="circle">
                  <a:fillToRect l="50000" t="50000" r="50000" b="50000"/>
                </a:path>
                <a:tileRect/>
              </a:gradFill>
              <a:ln w="9525">
                <a:solidFill>
                  <a:srgbClr val="00808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marker>
          <c:dLbls>
            <c:dLbl>
              <c:idx val="100"/>
              <c:layout>
                <c:manualLayout>
                  <c:x val="-9.0456806874717327E-3"/>
                  <c:y val="4.6728971962616758E-2"/>
                </c:manualLayout>
              </c:layout>
              <c:spPr>
                <a:solidFill>
                  <a:srgbClr val="008080"/>
                </a:solidFill>
                <a:ln>
                  <a:noFill/>
                </a:ln>
                <a:effectLst>
                  <a:outerShdw blurRad="40000" dist="23000" dir="5400000" rotWithShape="0">
                    <a:srgbClr val="000000">
                      <a:alpha val="35000"/>
                    </a:srgbClr>
                  </a:outerShdw>
                </a:effectLst>
                <a:scene3d>
                  <a:camera prst="orthographicFront">
                    <a:rot lat="0" lon="0" rev="0"/>
                  </a:camera>
                  <a:lightRig rig="threePt" dir="t">
                    <a:rot lat="0" lon="0" rev="1200000"/>
                  </a:lightRig>
                </a:scene3d>
                <a:sp3d>
                  <a:bevelT w="63500" h="25400"/>
                </a:sp3d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C57-489E-B481-08918C827F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ITAT_PIBT!$B$5:$B$105</c:f>
              <c:strCache>
                <c:ptCount val="101"/>
                <c:pt idx="0">
                  <c:v>1994 - I</c:v>
                </c:pt>
                <c:pt idx="4">
                  <c:v>1995 - I</c:v>
                </c:pt>
                <c:pt idx="8">
                  <c:v>1996 - I</c:v>
                </c:pt>
                <c:pt idx="12">
                  <c:v>1997 - I</c:v>
                </c:pt>
                <c:pt idx="16">
                  <c:v>1998 - I</c:v>
                </c:pt>
                <c:pt idx="20">
                  <c:v>1999 - I</c:v>
                </c:pt>
                <c:pt idx="24">
                  <c:v>2000 - I</c:v>
                </c:pt>
                <c:pt idx="28">
                  <c:v>2001 - I</c:v>
                </c:pt>
                <c:pt idx="32">
                  <c:v>2002 - I</c:v>
                </c:pt>
                <c:pt idx="36">
                  <c:v>2003 - I</c:v>
                </c:pt>
                <c:pt idx="40">
                  <c:v>2004 - I</c:v>
                </c:pt>
                <c:pt idx="44">
                  <c:v>2005 - I</c:v>
                </c:pt>
                <c:pt idx="48">
                  <c:v>2006 - I</c:v>
                </c:pt>
                <c:pt idx="52">
                  <c:v>2007 - I</c:v>
                </c:pt>
                <c:pt idx="56">
                  <c:v>2008 - I</c:v>
                </c:pt>
                <c:pt idx="60">
                  <c:v>2009 - I</c:v>
                </c:pt>
                <c:pt idx="64">
                  <c:v>2010 - I</c:v>
                </c:pt>
                <c:pt idx="68">
                  <c:v>2011 - I</c:v>
                </c:pt>
                <c:pt idx="72">
                  <c:v>2012 - I</c:v>
                </c:pt>
                <c:pt idx="76">
                  <c:v>2013 - I</c:v>
                </c:pt>
                <c:pt idx="80">
                  <c:v>2014 - I</c:v>
                </c:pt>
                <c:pt idx="84">
                  <c:v>2015 - I</c:v>
                </c:pt>
                <c:pt idx="88">
                  <c:v>2016 - I</c:v>
                </c:pt>
                <c:pt idx="92">
                  <c:v>2017 - I</c:v>
                </c:pt>
                <c:pt idx="96">
                  <c:v>2018 - I</c:v>
                </c:pt>
                <c:pt idx="100">
                  <c:v>2019 - I</c:v>
                </c:pt>
              </c:strCache>
            </c:strRef>
          </c:cat>
          <c:val>
            <c:numRef>
              <c:f>ITAT_PIBT!$C$5:$C$105</c:f>
              <c:numCache>
                <c:formatCode>0.0</c:formatCode>
                <c:ptCount val="101"/>
                <c:pt idx="0">
                  <c:v>1.5009999999999999</c:v>
                </c:pt>
                <c:pt idx="1">
                  <c:v>0.77900000000000003</c:v>
                </c:pt>
                <c:pt idx="2">
                  <c:v>1.347</c:v>
                </c:pt>
                <c:pt idx="3">
                  <c:v>0.3</c:v>
                </c:pt>
                <c:pt idx="4">
                  <c:v>4.9829999999999997</c:v>
                </c:pt>
                <c:pt idx="5">
                  <c:v>-3.2069999999999999</c:v>
                </c:pt>
                <c:pt idx="6">
                  <c:v>-5.266</c:v>
                </c:pt>
                <c:pt idx="7">
                  <c:v>-2.3199999999999998</c:v>
                </c:pt>
                <c:pt idx="8">
                  <c:v>-2.855</c:v>
                </c:pt>
                <c:pt idx="9">
                  <c:v>3.3490000000000002</c:v>
                </c:pt>
                <c:pt idx="10">
                  <c:v>5.6020000000000003</c:v>
                </c:pt>
                <c:pt idx="11">
                  <c:v>5.2549999999999999</c:v>
                </c:pt>
                <c:pt idx="12">
                  <c:v>6.9859999999999998</c:v>
                </c:pt>
                <c:pt idx="13">
                  <c:v>7.343</c:v>
                </c:pt>
                <c:pt idx="14">
                  <c:v>6.7389999999999999</c:v>
                </c:pt>
                <c:pt idx="15">
                  <c:v>3.36</c:v>
                </c:pt>
                <c:pt idx="16">
                  <c:v>6.5309999999999997</c:v>
                </c:pt>
                <c:pt idx="17">
                  <c:v>6.78</c:v>
                </c:pt>
                <c:pt idx="18">
                  <c:v>8.8629999999999995</c:v>
                </c:pt>
                <c:pt idx="19">
                  <c:v>8.1850000000000005</c:v>
                </c:pt>
                <c:pt idx="20">
                  <c:v>4.1189999999999998</c:v>
                </c:pt>
                <c:pt idx="21">
                  <c:v>3.7789999999999999</c:v>
                </c:pt>
                <c:pt idx="22">
                  <c:v>2.258</c:v>
                </c:pt>
                <c:pt idx="23">
                  <c:v>0.14799999999999999</c:v>
                </c:pt>
                <c:pt idx="24">
                  <c:v>2.3079999999999998</c:v>
                </c:pt>
                <c:pt idx="25">
                  <c:v>3.7530000000000001</c:v>
                </c:pt>
                <c:pt idx="26">
                  <c:v>2.5979999999999999</c:v>
                </c:pt>
                <c:pt idx="27">
                  <c:v>3.339</c:v>
                </c:pt>
                <c:pt idx="28">
                  <c:v>7.4349999999999996</c:v>
                </c:pt>
                <c:pt idx="29">
                  <c:v>4.5659999999999998</c:v>
                </c:pt>
                <c:pt idx="30">
                  <c:v>2.278</c:v>
                </c:pt>
                <c:pt idx="31">
                  <c:v>-0.33200000000000002</c:v>
                </c:pt>
                <c:pt idx="32">
                  <c:v>-4.58</c:v>
                </c:pt>
                <c:pt idx="33">
                  <c:v>-0.84699999999999998</c:v>
                </c:pt>
                <c:pt idx="34">
                  <c:v>2.13</c:v>
                </c:pt>
                <c:pt idx="35">
                  <c:v>6.5190000000000001</c:v>
                </c:pt>
                <c:pt idx="36">
                  <c:v>4.7130000000000001</c:v>
                </c:pt>
                <c:pt idx="37">
                  <c:v>2.609</c:v>
                </c:pt>
                <c:pt idx="38">
                  <c:v>1.7529999999999999</c:v>
                </c:pt>
                <c:pt idx="39">
                  <c:v>1.1859999999999999</c:v>
                </c:pt>
                <c:pt idx="40">
                  <c:v>5.7190000000000003</c:v>
                </c:pt>
                <c:pt idx="41">
                  <c:v>6.2869999999999999</c:v>
                </c:pt>
                <c:pt idx="42">
                  <c:v>6.6879999999999997</c:v>
                </c:pt>
                <c:pt idx="43">
                  <c:v>7.5979999999999999</c:v>
                </c:pt>
                <c:pt idx="44">
                  <c:v>2.9020000000000001</c:v>
                </c:pt>
                <c:pt idx="45">
                  <c:v>1.4179999999999999</c:v>
                </c:pt>
                <c:pt idx="46">
                  <c:v>-1.2E-2</c:v>
                </c:pt>
                <c:pt idx="47">
                  <c:v>-3.4950000000000001</c:v>
                </c:pt>
                <c:pt idx="48">
                  <c:v>0.78200000000000003</c:v>
                </c:pt>
                <c:pt idx="49">
                  <c:v>4.6950000000000003</c:v>
                </c:pt>
                <c:pt idx="50">
                  <c:v>4.2229999999999999</c:v>
                </c:pt>
                <c:pt idx="51">
                  <c:v>8.3870000000000005</c:v>
                </c:pt>
                <c:pt idx="52">
                  <c:v>7.407</c:v>
                </c:pt>
                <c:pt idx="53">
                  <c:v>3.476</c:v>
                </c:pt>
                <c:pt idx="54">
                  <c:v>4.2160000000000002</c:v>
                </c:pt>
                <c:pt idx="55">
                  <c:v>2.2519999999999998</c:v>
                </c:pt>
                <c:pt idx="56">
                  <c:v>5.6059999999999999</c:v>
                </c:pt>
                <c:pt idx="57">
                  <c:v>4.0970000000000004</c:v>
                </c:pt>
                <c:pt idx="58">
                  <c:v>3.3250000000000002</c:v>
                </c:pt>
                <c:pt idx="59">
                  <c:v>6.0129999999999999</c:v>
                </c:pt>
                <c:pt idx="60">
                  <c:v>-2.57</c:v>
                </c:pt>
                <c:pt idx="61">
                  <c:v>-10.154999999999999</c:v>
                </c:pt>
                <c:pt idx="62">
                  <c:v>-3.4009999999999998</c:v>
                </c:pt>
                <c:pt idx="63">
                  <c:v>-5.6520000000000001</c:v>
                </c:pt>
                <c:pt idx="64">
                  <c:v>-0.68200000000000005</c:v>
                </c:pt>
                <c:pt idx="65">
                  <c:v>6.8090000000000002</c:v>
                </c:pt>
                <c:pt idx="66">
                  <c:v>2.2909999999999999</c:v>
                </c:pt>
                <c:pt idx="67">
                  <c:v>1.038</c:v>
                </c:pt>
                <c:pt idx="68">
                  <c:v>-1.073</c:v>
                </c:pt>
                <c:pt idx="69">
                  <c:v>2.4060000000000001</c:v>
                </c:pt>
                <c:pt idx="70">
                  <c:v>3.2389999999999999</c:v>
                </c:pt>
                <c:pt idx="71">
                  <c:v>7.13</c:v>
                </c:pt>
                <c:pt idx="72">
                  <c:v>3.7749999999999999</c:v>
                </c:pt>
                <c:pt idx="73">
                  <c:v>4.5339999999999998</c:v>
                </c:pt>
                <c:pt idx="74">
                  <c:v>3.694</c:v>
                </c:pt>
                <c:pt idx="75">
                  <c:v>0.874</c:v>
                </c:pt>
                <c:pt idx="76">
                  <c:v>1.8759999999999999</c:v>
                </c:pt>
                <c:pt idx="77">
                  <c:v>0.5</c:v>
                </c:pt>
                <c:pt idx="78">
                  <c:v>2.262</c:v>
                </c:pt>
                <c:pt idx="79">
                  <c:v>3.742</c:v>
                </c:pt>
                <c:pt idx="80">
                  <c:v>2.2530000000000001</c:v>
                </c:pt>
                <c:pt idx="81">
                  <c:v>2.8820000000000001</c:v>
                </c:pt>
                <c:pt idx="82">
                  <c:v>0.34499999999999997</c:v>
                </c:pt>
                <c:pt idx="83">
                  <c:v>1.802</c:v>
                </c:pt>
                <c:pt idx="84">
                  <c:v>3.343</c:v>
                </c:pt>
                <c:pt idx="85">
                  <c:v>4.0069999999999997</c:v>
                </c:pt>
                <c:pt idx="86">
                  <c:v>6.1879999999999997</c:v>
                </c:pt>
                <c:pt idx="87">
                  <c:v>6.6909999999999998</c:v>
                </c:pt>
                <c:pt idx="88">
                  <c:v>7.2930000000000001</c:v>
                </c:pt>
                <c:pt idx="89">
                  <c:v>5.1529999999999996</c:v>
                </c:pt>
                <c:pt idx="90">
                  <c:v>2.1459999999999999</c:v>
                </c:pt>
                <c:pt idx="91">
                  <c:v>1.496</c:v>
                </c:pt>
                <c:pt idx="92">
                  <c:v>5.0350000000000001</c:v>
                </c:pt>
                <c:pt idx="93">
                  <c:v>3.806</c:v>
                </c:pt>
                <c:pt idx="94">
                  <c:v>1.008</c:v>
                </c:pt>
                <c:pt idx="95">
                  <c:v>1.8089999999999999</c:v>
                </c:pt>
                <c:pt idx="96">
                  <c:v>1.962</c:v>
                </c:pt>
                <c:pt idx="97">
                  <c:v>2.1850000000000001</c:v>
                </c:pt>
                <c:pt idx="98">
                  <c:v>2.9489999999999998</c:v>
                </c:pt>
                <c:pt idx="99">
                  <c:v>1.294</c:v>
                </c:pt>
                <c:pt idx="100">
                  <c:v>-0.6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57-489E-B481-08918C827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843888"/>
        <c:axId val="190843472"/>
      </c:lineChart>
      <c:catAx>
        <c:axId val="19084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0843472"/>
        <c:crosses val="autoZero"/>
        <c:auto val="1"/>
        <c:lblAlgn val="ctr"/>
        <c:lblOffset val="100"/>
        <c:noMultiLvlLbl val="0"/>
      </c:catAx>
      <c:valAx>
        <c:axId val="190843472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0843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thinThick" algn="ctr">
      <a:solidFill>
        <a:srgbClr val="009999"/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58386752136752E-2"/>
          <c:y val="0.17021444339325134"/>
          <c:w val="0.8927594373219373"/>
          <c:h val="0.57459739304110169"/>
        </c:manualLayout>
      </c:layout>
      <c:lineChart>
        <c:grouping val="standard"/>
        <c:varyColors val="0"/>
        <c:ser>
          <c:idx val="0"/>
          <c:order val="0"/>
          <c:tx>
            <c:strRef>
              <c:f>ITAT_CTI!$C$4</c:f>
              <c:strCache>
                <c:ptCount val="1"/>
                <c:pt idx="0">
                  <c:v>CTI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6"/>
            <c:spPr>
              <a:solidFill>
                <a:srgbClr val="0070C0"/>
              </a:solidFill>
              <a:ln w="9525">
                <a:solidFill>
                  <a:srgbClr val="00B0F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</c:marker>
          <c:dLbls>
            <c:dLbl>
              <c:idx val="100"/>
              <c:layout>
                <c:manualLayout>
                  <c:x val="-1.3568521031207764E-2"/>
                  <c:y val="5.0477735712997948E-2"/>
                </c:manualLayout>
              </c:layout>
              <c:spPr>
                <a:gradFill rotWithShape="1">
                  <a:gsLst>
                    <a:gs pos="0">
                      <a:srgbClr val="4BACC6">
                        <a:satMod val="103000"/>
                        <a:lumMod val="102000"/>
                        <a:tint val="94000"/>
                      </a:srgbClr>
                    </a:gs>
                    <a:gs pos="50000">
                      <a:srgbClr val="4BACC6">
                        <a:satMod val="110000"/>
                        <a:lumMod val="100000"/>
                        <a:shade val="100000"/>
                      </a:srgbClr>
                    </a:gs>
                    <a:gs pos="100000">
                      <a:srgbClr val="4BACC6">
                        <a:lumMod val="99000"/>
                        <a:satMod val="120000"/>
                        <a:shade val="78000"/>
                      </a:srgbClr>
                    </a:gs>
                  </a:gsLst>
                  <a:lin ang="5400000" scaled="0"/>
                </a:gradFill>
                <a:ln>
                  <a:noFill/>
                </a:ln>
                <a:effectLst>
                  <a:outerShdw blurRad="57150" dist="19050" dir="5400000" algn="ctr" rotWithShape="0">
                    <a:srgbClr val="000000">
                      <a:alpha val="63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" lastClr="FFFFFF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9BD-43D7-842F-CD745D65CA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ITAT_CTI!$B$5:$B$105</c:f>
              <c:strCache>
                <c:ptCount val="101"/>
                <c:pt idx="0">
                  <c:v>1994 - I</c:v>
                </c:pt>
                <c:pt idx="4">
                  <c:v>1995 - I</c:v>
                </c:pt>
                <c:pt idx="8">
                  <c:v>1996 - I</c:v>
                </c:pt>
                <c:pt idx="12">
                  <c:v>1997 - I</c:v>
                </c:pt>
                <c:pt idx="16">
                  <c:v>1998 - I</c:v>
                </c:pt>
                <c:pt idx="20">
                  <c:v>1999 - I</c:v>
                </c:pt>
                <c:pt idx="24">
                  <c:v>2000 - I</c:v>
                </c:pt>
                <c:pt idx="28">
                  <c:v>2001 - I</c:v>
                </c:pt>
                <c:pt idx="32">
                  <c:v>2002 - I</c:v>
                </c:pt>
                <c:pt idx="36">
                  <c:v>2003 - I</c:v>
                </c:pt>
                <c:pt idx="40">
                  <c:v>2004 - I</c:v>
                </c:pt>
                <c:pt idx="44">
                  <c:v>2005 - I</c:v>
                </c:pt>
                <c:pt idx="48">
                  <c:v>2006 - I</c:v>
                </c:pt>
                <c:pt idx="52">
                  <c:v>2007 - I</c:v>
                </c:pt>
                <c:pt idx="56">
                  <c:v>2008 - I</c:v>
                </c:pt>
                <c:pt idx="60">
                  <c:v>2009 - I</c:v>
                </c:pt>
                <c:pt idx="64">
                  <c:v>2010 - I</c:v>
                </c:pt>
                <c:pt idx="68">
                  <c:v>2011 - I</c:v>
                </c:pt>
                <c:pt idx="72">
                  <c:v>2012 - I</c:v>
                </c:pt>
                <c:pt idx="76">
                  <c:v>2013 - I</c:v>
                </c:pt>
                <c:pt idx="80">
                  <c:v>2014 - I</c:v>
                </c:pt>
                <c:pt idx="84">
                  <c:v>2015 - I</c:v>
                </c:pt>
                <c:pt idx="88">
                  <c:v>2016 - I</c:v>
                </c:pt>
                <c:pt idx="92">
                  <c:v>2017 - I</c:v>
                </c:pt>
                <c:pt idx="96">
                  <c:v>2018 - I</c:v>
                </c:pt>
                <c:pt idx="100">
                  <c:v>2019 - I</c:v>
                </c:pt>
              </c:strCache>
            </c:strRef>
          </c:cat>
          <c:val>
            <c:numRef>
              <c:f>ITAT_CTI!$C$5:$C$105</c:f>
              <c:numCache>
                <c:formatCode>0.0</c:formatCode>
                <c:ptCount val="101"/>
                <c:pt idx="0">
                  <c:v>3.9209999999999998</c:v>
                </c:pt>
                <c:pt idx="1">
                  <c:v>4.0860000000000003</c:v>
                </c:pt>
                <c:pt idx="2">
                  <c:v>4.3140000000000001</c:v>
                </c:pt>
                <c:pt idx="3">
                  <c:v>3.6829999999999998</c:v>
                </c:pt>
                <c:pt idx="4">
                  <c:v>-0.11600000000000001</c:v>
                </c:pt>
                <c:pt idx="5">
                  <c:v>-7.78</c:v>
                </c:pt>
                <c:pt idx="6">
                  <c:v>-8.8870000000000005</c:v>
                </c:pt>
                <c:pt idx="7">
                  <c:v>-6.66</c:v>
                </c:pt>
                <c:pt idx="8">
                  <c:v>-1.9119999999999999</c:v>
                </c:pt>
                <c:pt idx="9">
                  <c:v>4.2759999999999998</c:v>
                </c:pt>
                <c:pt idx="10">
                  <c:v>5.33</c:v>
                </c:pt>
                <c:pt idx="11">
                  <c:v>6.2629999999999999</c:v>
                </c:pt>
                <c:pt idx="12">
                  <c:v>6.4649999999999999</c:v>
                </c:pt>
                <c:pt idx="13">
                  <c:v>7.7770000000000001</c:v>
                </c:pt>
                <c:pt idx="14">
                  <c:v>7.7380000000000004</c:v>
                </c:pt>
                <c:pt idx="15">
                  <c:v>5.258</c:v>
                </c:pt>
                <c:pt idx="16">
                  <c:v>6.351</c:v>
                </c:pt>
                <c:pt idx="17">
                  <c:v>6.375</c:v>
                </c:pt>
                <c:pt idx="18">
                  <c:v>8.2230000000000008</c:v>
                </c:pt>
                <c:pt idx="19">
                  <c:v>6.5039999999999996</c:v>
                </c:pt>
                <c:pt idx="20">
                  <c:v>5.5979999999999999</c:v>
                </c:pt>
                <c:pt idx="21">
                  <c:v>4.4909999999999997</c:v>
                </c:pt>
                <c:pt idx="22">
                  <c:v>3.5059999999999998</c:v>
                </c:pt>
                <c:pt idx="23">
                  <c:v>1.732</c:v>
                </c:pt>
                <c:pt idx="24">
                  <c:v>1.9319999999999999</c:v>
                </c:pt>
                <c:pt idx="25">
                  <c:v>3.0219999999999998</c:v>
                </c:pt>
                <c:pt idx="26">
                  <c:v>1.93</c:v>
                </c:pt>
                <c:pt idx="27">
                  <c:v>2.4</c:v>
                </c:pt>
                <c:pt idx="28">
                  <c:v>6.4180000000000001</c:v>
                </c:pt>
                <c:pt idx="29">
                  <c:v>3.625</c:v>
                </c:pt>
                <c:pt idx="30">
                  <c:v>0.66500000000000004</c:v>
                </c:pt>
                <c:pt idx="31">
                  <c:v>-2.1030000000000002</c:v>
                </c:pt>
                <c:pt idx="32">
                  <c:v>-2.5790000000000002</c:v>
                </c:pt>
                <c:pt idx="33">
                  <c:v>0.46600000000000003</c:v>
                </c:pt>
                <c:pt idx="34">
                  <c:v>2.5550000000000002</c:v>
                </c:pt>
                <c:pt idx="35">
                  <c:v>6.1829999999999998</c:v>
                </c:pt>
                <c:pt idx="36">
                  <c:v>3.504</c:v>
                </c:pt>
                <c:pt idx="37">
                  <c:v>1.9930000000000001</c:v>
                </c:pt>
                <c:pt idx="38">
                  <c:v>2.04</c:v>
                </c:pt>
                <c:pt idx="39">
                  <c:v>2.702</c:v>
                </c:pt>
                <c:pt idx="40">
                  <c:v>3.625</c:v>
                </c:pt>
                <c:pt idx="41">
                  <c:v>3.7210000000000001</c:v>
                </c:pt>
                <c:pt idx="42">
                  <c:v>3.383</c:v>
                </c:pt>
                <c:pt idx="43">
                  <c:v>2.9540000000000002</c:v>
                </c:pt>
                <c:pt idx="44">
                  <c:v>3.766</c:v>
                </c:pt>
                <c:pt idx="45">
                  <c:v>2.2669999999999999</c:v>
                </c:pt>
                <c:pt idx="46">
                  <c:v>1.607</c:v>
                </c:pt>
                <c:pt idx="47">
                  <c:v>-0.48599999999999999</c:v>
                </c:pt>
                <c:pt idx="48">
                  <c:v>0.158</c:v>
                </c:pt>
                <c:pt idx="49">
                  <c:v>4.0410000000000004</c:v>
                </c:pt>
                <c:pt idx="50">
                  <c:v>3.8860000000000001</c:v>
                </c:pt>
                <c:pt idx="51">
                  <c:v>7.6219999999999999</c:v>
                </c:pt>
                <c:pt idx="52">
                  <c:v>8.0820000000000007</c:v>
                </c:pt>
                <c:pt idx="53">
                  <c:v>4.593</c:v>
                </c:pt>
                <c:pt idx="54">
                  <c:v>4.5439999999999996</c:v>
                </c:pt>
                <c:pt idx="55">
                  <c:v>3.5990000000000002</c:v>
                </c:pt>
                <c:pt idx="56">
                  <c:v>4.7690000000000001</c:v>
                </c:pt>
                <c:pt idx="57">
                  <c:v>3.1829999999999998</c:v>
                </c:pt>
                <c:pt idx="58">
                  <c:v>1.9550000000000001</c:v>
                </c:pt>
                <c:pt idx="59">
                  <c:v>3.2829999999999999</c:v>
                </c:pt>
                <c:pt idx="60">
                  <c:v>-3.8969999999999998</c:v>
                </c:pt>
                <c:pt idx="61">
                  <c:v>-11.192</c:v>
                </c:pt>
                <c:pt idx="62">
                  <c:v>-3.7810000000000001</c:v>
                </c:pt>
                <c:pt idx="63">
                  <c:v>-3.7</c:v>
                </c:pt>
                <c:pt idx="64">
                  <c:v>0.82899999999999996</c:v>
                </c:pt>
                <c:pt idx="65">
                  <c:v>7.7069999999999999</c:v>
                </c:pt>
                <c:pt idx="66">
                  <c:v>1.9870000000000001</c:v>
                </c:pt>
                <c:pt idx="67">
                  <c:v>-0.64900000000000002</c:v>
                </c:pt>
                <c:pt idx="68">
                  <c:v>-0.95799999999999996</c:v>
                </c:pt>
                <c:pt idx="69">
                  <c:v>2.2679999999999998</c:v>
                </c:pt>
                <c:pt idx="70">
                  <c:v>3.6589999999999998</c:v>
                </c:pt>
                <c:pt idx="71">
                  <c:v>7.6230000000000002</c:v>
                </c:pt>
                <c:pt idx="72">
                  <c:v>3.6680000000000001</c:v>
                </c:pt>
                <c:pt idx="73">
                  <c:v>4.0919999999999996</c:v>
                </c:pt>
                <c:pt idx="74">
                  <c:v>3.1949999999999998</c:v>
                </c:pt>
                <c:pt idx="75">
                  <c:v>1.1970000000000001</c:v>
                </c:pt>
                <c:pt idx="76">
                  <c:v>2.6760000000000002</c:v>
                </c:pt>
                <c:pt idx="77">
                  <c:v>2.6389999999999998</c:v>
                </c:pt>
                <c:pt idx="78">
                  <c:v>3.9470000000000001</c:v>
                </c:pt>
                <c:pt idx="79">
                  <c:v>5.0190000000000001</c:v>
                </c:pt>
                <c:pt idx="80">
                  <c:v>1.2010000000000001</c:v>
                </c:pt>
                <c:pt idx="81">
                  <c:v>1.43</c:v>
                </c:pt>
                <c:pt idx="82">
                  <c:v>-0.88100000000000001</c:v>
                </c:pt>
                <c:pt idx="83">
                  <c:v>-4.0000000000000001E-3</c:v>
                </c:pt>
                <c:pt idx="84">
                  <c:v>2.9750000000000001</c:v>
                </c:pt>
                <c:pt idx="85">
                  <c:v>3.3519999999999999</c:v>
                </c:pt>
                <c:pt idx="86">
                  <c:v>5.9189999999999996</c:v>
                </c:pt>
                <c:pt idx="87">
                  <c:v>6.2329999999999997</c:v>
                </c:pt>
                <c:pt idx="88">
                  <c:v>7.4219999999999997</c:v>
                </c:pt>
                <c:pt idx="89">
                  <c:v>5.4329999999999998</c:v>
                </c:pt>
                <c:pt idx="90">
                  <c:v>2.1040000000000001</c:v>
                </c:pt>
                <c:pt idx="91">
                  <c:v>1.8859999999999999</c:v>
                </c:pt>
                <c:pt idx="92">
                  <c:v>3.3210000000000002</c:v>
                </c:pt>
                <c:pt idx="93">
                  <c:v>3.996</c:v>
                </c:pt>
                <c:pt idx="94">
                  <c:v>0.59499999999999997</c:v>
                </c:pt>
                <c:pt idx="95">
                  <c:v>1.236</c:v>
                </c:pt>
                <c:pt idx="96">
                  <c:v>3.2650000000000001</c:v>
                </c:pt>
                <c:pt idx="97">
                  <c:v>2.8839999999999999</c:v>
                </c:pt>
                <c:pt idx="98">
                  <c:v>3.19</c:v>
                </c:pt>
                <c:pt idx="99">
                  <c:v>1.6639999999999999</c:v>
                </c:pt>
                <c:pt idx="100">
                  <c:v>-0.43099999999999999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BD-43D7-842F-CD745D65CA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843888"/>
        <c:axId val="190843472"/>
      </c:lineChart>
      <c:catAx>
        <c:axId val="19084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0843472"/>
        <c:crosses val="autoZero"/>
        <c:auto val="1"/>
        <c:lblAlgn val="ctr"/>
        <c:lblOffset val="100"/>
        <c:noMultiLvlLbl val="0"/>
      </c:catAx>
      <c:valAx>
        <c:axId val="190843472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0843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57150" cap="flat" cmpd="thinThick" algn="ctr">
      <a:solidFill>
        <a:srgbClr val="009999"/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2.jpeg"/><Relationship Id="rId1" Type="http://schemas.openxmlformats.org/officeDocument/2006/relationships/image" Target="../media/image11.png"/></Relationships>
</file>

<file path=word/drawings/_rels/drawing4.xml.rels><?xml version="1.0" encoding="UTF-8" standalone="yes"?>
<Relationships xmlns="http://schemas.openxmlformats.org/package/2006/relationships"><Relationship Id="rId8" Type="http://schemas.openxmlformats.org/officeDocument/2006/relationships/image" Target="../media/image20.png"/><Relationship Id="rId3" Type="http://schemas.openxmlformats.org/officeDocument/2006/relationships/image" Target="../media/image15.png"/><Relationship Id="rId7" Type="http://schemas.openxmlformats.org/officeDocument/2006/relationships/image" Target="../media/image19.png"/><Relationship Id="rId2" Type="http://schemas.openxmlformats.org/officeDocument/2006/relationships/image" Target="../media/image14.png"/><Relationship Id="rId1" Type="http://schemas.openxmlformats.org/officeDocument/2006/relationships/image" Target="../media/image13.jpeg"/><Relationship Id="rId6" Type="http://schemas.openxmlformats.org/officeDocument/2006/relationships/image" Target="../media/image18.png"/><Relationship Id="rId5" Type="http://schemas.openxmlformats.org/officeDocument/2006/relationships/image" Target="../media/image17.png"/><Relationship Id="rId4" Type="http://schemas.openxmlformats.org/officeDocument/2006/relationships/image" Target="../media/image16.jpeg"/><Relationship Id="rId9" Type="http://schemas.openxmlformats.org/officeDocument/2006/relationships/image" Target="../media/image2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4.81078E-5</cdr:x>
      <cdr:y>0.01593</cdr:y>
    </cdr:from>
    <cdr:to>
      <cdr:x>1</cdr:x>
      <cdr:y>0.169</cdr:y>
    </cdr:to>
    <cdr:sp macro="" textlink="">
      <cdr:nvSpPr>
        <cdr:cNvPr id="2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5612130" cy="4882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0">
              <a:latin typeface="Arial" pitchFamily="34" charset="0"/>
              <a:cs typeface="Arial" pitchFamily="34" charset="0"/>
            </a:rPr>
            <a:t>Figura 2. </a:t>
          </a:r>
          <a:r>
            <a:rPr lang="es-MX" sz="1000" b="1">
              <a:latin typeface="Arial" pitchFamily="34" charset="0"/>
              <a:cs typeface="Arial" pitchFamily="34" charset="0"/>
            </a:rPr>
            <a:t>Participación porcentual del PIB turístico en el total de la economía nacional</a:t>
          </a:r>
        </a:p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A precios corrientes, </a:t>
          </a:r>
          <a:r>
            <a:rPr lang="es-MX" sz="1000" b="1">
              <a:latin typeface="Arial" pitchFamily="34" charset="0"/>
              <a:cs typeface="Arial" pitchFamily="34" charset="0"/>
            </a:rPr>
            <a:t>Base 2013, </a:t>
          </a:r>
          <a:r>
            <a:rPr lang="es-MX" sz="100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Serie 1993-2017</a:t>
          </a:r>
        </a:p>
        <a:p xmlns:a="http://schemas.openxmlformats.org/drawingml/2006/main">
          <a:pPr algn="ctr" rtl="0">
            <a:defRPr sz="1000"/>
          </a:pPr>
          <a:r>
            <a:rPr lang="es-MX" sz="900" b="0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Porcentaje</a:t>
          </a:r>
        </a:p>
        <a:p xmlns:a="http://schemas.openxmlformats.org/drawingml/2006/main">
          <a:pPr algn="l" rtl="0">
            <a:defRPr sz="1000"/>
          </a:pPr>
          <a:endParaRPr lang="es-MX" sz="900" b="0" i="0" u="none" strike="noStrike" baseline="0">
            <a:solidFill>
              <a:srgbClr val="000000"/>
            </a:solidFill>
            <a:latin typeface="Cambria"/>
          </a:endParaRPr>
        </a:p>
      </cdr:txBody>
    </cdr:sp>
  </cdr:relSizeAnchor>
  <cdr:relSizeAnchor xmlns:cdr="http://schemas.openxmlformats.org/drawingml/2006/chartDrawing">
    <cdr:from>
      <cdr:x>0</cdr:x>
      <cdr:y>0.89304</cdr:y>
    </cdr:from>
    <cdr:to>
      <cdr:x>0.99995</cdr:x>
      <cdr:y>0.99542</cdr:y>
    </cdr:to>
    <cdr:sp macro="" textlink="">
      <cdr:nvSpPr>
        <cdr:cNvPr id="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3743864"/>
          <a:ext cx="5611849" cy="4292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r>
            <a:rPr lang="es-MX" sz="750" b="1">
              <a:latin typeface="Arial" panose="020B0604020202020204" pitchFamily="34" charset="0"/>
              <a:cs typeface="Arial" panose="020B0604020202020204" pitchFamily="34" charset="0"/>
            </a:rPr>
            <a:t>P</a:t>
          </a:r>
          <a:r>
            <a:rPr lang="es-MX" sz="750" b="1" baseline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MX" sz="750" b="0" baseline="0">
              <a:latin typeface="Arial" panose="020B0604020202020204" pitchFamily="34" charset="0"/>
              <a:cs typeface="Arial" panose="020B0604020202020204" pitchFamily="34" charset="0"/>
            </a:rPr>
            <a:t>Cifras preliminares.</a:t>
          </a:r>
          <a:endParaRPr lang="es-MX" sz="750" b="1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just"/>
          <a:r>
            <a:rPr lang="es-MX" sz="750" b="1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750" b="0">
              <a:latin typeface="Arial" panose="020B0604020202020204" pitchFamily="34" charset="0"/>
              <a:cs typeface="Arial" panose="020B0604020202020204" pitchFamily="34" charset="0"/>
            </a:rPr>
            <a:t>INEGI. Sistema de Cuentas Nacionales de México. Cuenta satélite del turismo de México,</a:t>
          </a:r>
          <a:r>
            <a:rPr lang="es-MX" sz="750" b="0" baseline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s-MX" sz="750" b="0">
              <a:latin typeface="Arial" panose="020B0604020202020204" pitchFamily="34" charset="0"/>
              <a:cs typeface="Arial" panose="020B0604020202020204" pitchFamily="34" charset="0"/>
            </a:rPr>
            <a:t>2017. Año base</a:t>
          </a:r>
        </a:p>
        <a:p xmlns:a="http://schemas.openxmlformats.org/drawingml/2006/main">
          <a:pPr algn="just"/>
          <a:r>
            <a:rPr lang="es-MX" sz="750" b="0">
              <a:latin typeface="Arial" panose="020B0604020202020204" pitchFamily="34" charset="0"/>
              <a:cs typeface="Arial" panose="020B0604020202020204" pitchFamily="34" charset="0"/>
            </a:rPr>
            <a:t>              2013. </a:t>
          </a:r>
          <a:r>
            <a:rPr lang="es-ES_tradnl" sz="75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Aguascalientes, México 2018.</a:t>
          </a:r>
          <a:endParaRPr lang="es-MX" sz="750" b="0" i="0" u="none" strike="noStrike" baseline="0">
            <a:solidFill>
              <a:srgbClr val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0.92284</cdr:x>
      <cdr:y>0.75735</cdr:y>
    </cdr:from>
    <cdr:to>
      <cdr:x>0.97998</cdr:x>
      <cdr:y>0.80634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9088" y="3175006"/>
          <a:ext cx="320678" cy="2053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="vert270" wrap="square" lIns="91440" tIns="45720" rIns="91440" bIns="45720" anchor="t" upright="1">
          <a:noAutofit/>
        </a:bodyPr>
        <a:lstStyle xmlns:a="http://schemas.openxmlformats.org/drawingml/2006/main"/>
        <a:p xmlns:a="http://schemas.openxmlformats.org/drawingml/2006/main">
          <a:pPr algn="just">
            <a:spcAft>
              <a:spcPts val="0"/>
            </a:spcAft>
          </a:pPr>
          <a:r>
            <a:rPr lang="es-MX" sz="80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P</a:t>
          </a:r>
          <a:endParaRPr lang="es-MX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0.88297</cdr:x>
      <cdr:y>0.76168</cdr:y>
    </cdr:from>
    <cdr:to>
      <cdr:x>0.94011</cdr:x>
      <cdr:y>0.81067</cdr:y>
    </cdr:to>
    <cdr:sp macro="" textlink="">
      <cdr:nvSpPr>
        <cdr:cNvPr id="5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55326" y="3193151"/>
          <a:ext cx="320677" cy="2053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="vert270" wrap="square" lIns="91440" tIns="45720" rIns="91440" bIns="45720" anchor="t" upright="1">
          <a:noAutofit/>
        </a:bodyPr>
        <a:lstStyle xmlns:a="http://schemas.openxmlformats.org/drawingml/2006/main"/>
        <a:p xmlns:a="http://schemas.openxmlformats.org/drawingml/2006/main">
          <a:pPr algn="just">
            <a:spcAft>
              <a:spcPts val="0"/>
            </a:spcAft>
          </a:pPr>
          <a:r>
            <a:rPr lang="es-MX" sz="80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P</a:t>
          </a:r>
          <a:endParaRPr lang="es-MX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0.00069</cdr:x>
      <cdr:y>0.01071</cdr:y>
    </cdr:from>
    <cdr:to>
      <cdr:x>1</cdr:x>
      <cdr:y>0.1136</cdr:y>
    </cdr:to>
    <cdr:sp macro="" textlink="">
      <cdr:nvSpPr>
        <cdr:cNvPr id="2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5612130" cy="4882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es-MX" sz="1000" b="0" spc="-20">
              <a:latin typeface="Arial" pitchFamily="34" charset="0"/>
              <a:cs typeface="Arial" pitchFamily="34" charset="0"/>
            </a:rPr>
            <a:t>Figura 3. </a:t>
          </a:r>
          <a:r>
            <a:rPr lang="es-MX" sz="1000" b="1" spc="-20">
              <a:latin typeface="Arial" pitchFamily="34" charset="0"/>
              <a:cs typeface="Arial" pitchFamily="34" charset="0"/>
            </a:rPr>
            <a:t>Participación porcentual</a:t>
          </a:r>
          <a:r>
            <a:rPr lang="es-MX" sz="1000" b="1" spc="-20" baseline="0">
              <a:latin typeface="Arial" pitchFamily="34" charset="0"/>
              <a:cs typeface="Arial" pitchFamily="34" charset="0"/>
            </a:rPr>
            <a:t> de las actividades al </a:t>
          </a:r>
          <a:r>
            <a:rPr lang="es-ES_tradnl" sz="1000" b="1" spc="-2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Producto Interno Bruto Turístico, 2017.</a:t>
          </a:r>
          <a:r>
            <a:rPr lang="es-ES_tradnl" sz="100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 </a:t>
          </a:r>
        </a:p>
        <a:p xmlns:a="http://schemas.openxmlformats.org/drawingml/2006/main">
          <a:pPr algn="ctr">
            <a:spcAft>
              <a:spcPts val="0"/>
            </a:spcAft>
          </a:pPr>
          <a:r>
            <a:rPr lang="es-MX" sz="100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A precios corrientes</a:t>
          </a:r>
          <a:endParaRPr lang="es-MX" sz="1000">
            <a:effectLst/>
            <a:latin typeface="Arial" panose="020B0604020202020204" pitchFamily="34" charset="0"/>
            <a:ea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s-ES_tradnl" sz="90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Porcentaje</a:t>
          </a:r>
          <a:endParaRPr lang="es-MX" sz="900" b="0" i="0" u="none" strike="noStrike" baseline="0">
            <a:solidFill>
              <a:srgbClr val="000000"/>
            </a:solidFill>
            <a:latin typeface="Cambria"/>
          </a:endParaRPr>
        </a:p>
      </cdr:txBody>
    </cdr:sp>
  </cdr:relSizeAnchor>
  <cdr:relSizeAnchor xmlns:cdr="http://schemas.openxmlformats.org/drawingml/2006/chartDrawing">
    <cdr:from>
      <cdr:x>0</cdr:x>
      <cdr:y>0.85567</cdr:y>
    </cdr:from>
    <cdr:to>
      <cdr:x>0.99931</cdr:x>
      <cdr:y>1</cdr:y>
    </cdr:to>
    <cdr:sp macro="" textlink="">
      <cdr:nvSpPr>
        <cdr:cNvPr id="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4059936"/>
          <a:ext cx="5612065" cy="68478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396240" marR="122555" indent="-396240" algn="just">
            <a:spcAft>
              <a:spcPts val="0"/>
            </a:spcAft>
          </a:pPr>
          <a:r>
            <a:rPr lang="es-ES_tradnl" sz="75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Fuente: </a:t>
          </a:r>
          <a:r>
            <a:rPr lang="es-ES_tradnl" sz="750" b="0" spc="20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INEGI. Sistema de Cuentas Nacionales de México. Cuenta satélite del turismo de </a:t>
          </a:r>
          <a:r>
            <a:rPr lang="es-ES_tradnl" sz="750" b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México, 2017. Año  base 2013. Aguascalientes, México 2018.</a:t>
          </a:r>
          <a:endParaRPr lang="es-MX" sz="750" b="1">
            <a:solidFill>
              <a:sysClr val="windowText" lastClr="000000"/>
            </a:solidFill>
            <a:effectLst/>
            <a:latin typeface="Arial" panose="020B0604020202020204" pitchFamily="34" charset="0"/>
            <a:ea typeface="Times New Roman" panose="02020603050405020304" pitchFamily="18" charset="0"/>
          </a:endParaRPr>
        </a:p>
        <a:p xmlns:a="http://schemas.openxmlformats.org/drawingml/2006/main">
          <a:pPr marL="270510" marR="121285" indent="-270510" algn="just">
            <a:spcAft>
              <a:spcPts val="0"/>
            </a:spcAft>
          </a:pPr>
          <a:r>
            <a:rPr lang="es-ES_tradnl" sz="75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Nota: </a:t>
          </a:r>
          <a:r>
            <a:rPr lang="es-ES_tradnl" sz="75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El rubro de alojamiento incluye: en establecimientos tradicionales (32.6%), en casas de vacaciones (19.6%) y en casas de familiares y amigos (47.8%). El rubro </a:t>
          </a:r>
          <a:r>
            <a:rPr lang="es-ES_tradnl" sz="750" i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Otros</a:t>
          </a:r>
          <a:r>
            <a:rPr lang="es-ES_tradnl" sz="75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 incluyen los servicios profesionales, de reparación y mantenimiento, salud, entre otros.</a:t>
          </a:r>
          <a:endParaRPr lang="es-MX" sz="750">
            <a:solidFill>
              <a:sysClr val="windowText" lastClr="000000"/>
            </a:solidFill>
            <a:effectLst/>
            <a:latin typeface="Arial" panose="020B0604020202020204" pitchFamily="34" charset="0"/>
            <a:ea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0.12785</cdr:x>
      <cdr:y>0.22349</cdr:y>
    </cdr:from>
    <cdr:to>
      <cdr:x>0.27321</cdr:x>
      <cdr:y>0.52924</cdr:y>
    </cdr:to>
    <cdr:pic>
      <cdr:nvPicPr>
        <cdr:cNvPr id="2" name="Imagen 1" descr="Resultado de imagen para vector viajero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 cstate="print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  <a:duotone>
            <a:schemeClr val="accent1">
              <a:shade val="45000"/>
              <a:satMod val="135000"/>
            </a:schemeClr>
            <a:prstClr val="white"/>
          </a:duotone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 flipH="1">
          <a:off x="717989" y="708032"/>
          <a:ext cx="816333" cy="968621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  <cdr:relSizeAnchor xmlns:cdr="http://schemas.openxmlformats.org/drawingml/2006/chartDrawing">
    <cdr:from>
      <cdr:x>0.75566</cdr:x>
      <cdr:y>0.39005</cdr:y>
    </cdr:from>
    <cdr:to>
      <cdr:x>0.85855</cdr:x>
      <cdr:y>0.6964</cdr:y>
    </cdr:to>
    <cdr:pic>
      <cdr:nvPicPr>
        <cdr:cNvPr id="3" name="Imagen 2" descr="Imagen relacionada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2" cstate="print">
          <a:clrChange>
            <a:clrFrom>
              <a:srgbClr val="F6F6F6"/>
            </a:clrFrom>
            <a:clrTo>
              <a:srgbClr val="F6F6F6">
                <a:alpha val="0"/>
              </a:srgbClr>
            </a:clrTo>
          </a:clrChange>
          <a:duotone>
            <a:schemeClr val="accent4">
              <a:shade val="45000"/>
              <a:satMod val="135000"/>
            </a:schemeClr>
            <a:prstClr val="white"/>
          </a:duotone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4243755" y="1235684"/>
          <a:ext cx="577824" cy="970522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  <cdr:relSizeAnchor xmlns:cdr="http://schemas.openxmlformats.org/drawingml/2006/chartDrawing">
    <cdr:from>
      <cdr:x>0.00069</cdr:x>
      <cdr:y>0.01852</cdr:y>
    </cdr:from>
    <cdr:to>
      <cdr:x>1</cdr:x>
      <cdr:y>0.17708</cdr:y>
    </cdr:to>
    <cdr:sp macro="" textlink="">
      <cdr:nvSpPr>
        <cdr:cNvPr id="5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70" y="50800"/>
          <a:ext cx="5612130" cy="434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es-MX" sz="1000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Figura 4</a:t>
          </a:r>
          <a:r>
            <a:rPr lang="es-MX" sz="1000" b="1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. Consumo turístico interior</a:t>
          </a:r>
          <a:r>
            <a:rPr lang="es-MX" sz="100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, </a:t>
          </a:r>
          <a:r>
            <a:rPr lang="es-ES_tradnl" sz="1000" b="1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2017</a:t>
          </a:r>
          <a:endParaRPr lang="es-MX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  <a:p xmlns:a="http://schemas.openxmlformats.org/drawingml/2006/main">
          <a:pPr algn="ctr">
            <a:spcAft>
              <a:spcPts val="0"/>
            </a:spcAft>
          </a:pPr>
          <a:r>
            <a:rPr lang="es-ES_tradnl" sz="900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Porcentaje</a:t>
          </a:r>
          <a:endParaRPr lang="es-MX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0.88</cdr:y>
    </cdr:from>
    <cdr:to>
      <cdr:x>0.99931</cdr:x>
      <cdr:y>1</cdr:y>
    </cdr:to>
    <cdr:sp macro="" textlink="">
      <cdr:nvSpPr>
        <cdr:cNvPr id="6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2414016"/>
          <a:ext cx="5612065" cy="3291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r>
            <a:rPr lang="es-ES_tradnl" sz="750" b="1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</a:t>
          </a:r>
          <a:r>
            <a:rPr lang="es-ES_tradnl" sz="750" b="0" spc="2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INEGI. Sistema de Cuentas Nacionales de México. Cuenta satélite del turismo de </a:t>
          </a:r>
          <a:r>
            <a:rPr lang="es-ES_tradnl" sz="75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México, 2017. Año base </a:t>
          </a:r>
        </a:p>
        <a:p xmlns:a="http://schemas.openxmlformats.org/drawingml/2006/main">
          <a:pPr algn="just"/>
          <a:r>
            <a:rPr lang="es-ES_tradnl" sz="75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 2013. Aguascalientes, México 2018.</a:t>
          </a:r>
          <a:endParaRPr lang="es-MX" sz="750" b="1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0.00069</cdr:x>
      <cdr:y>0.01484</cdr:y>
    </cdr:from>
    <cdr:to>
      <cdr:x>1</cdr:x>
      <cdr:y>0.14189</cdr:y>
    </cdr:to>
    <cdr:sp macro="" textlink="">
      <cdr:nvSpPr>
        <cdr:cNvPr id="2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5612130" cy="434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es-MX" sz="1000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Figura 5.</a:t>
          </a:r>
          <a:r>
            <a:rPr lang="es-MX" sz="1000" b="1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Aportación de los Puestos de Trabajo Ocupados Remunerados en el Turismo, 2017</a:t>
          </a:r>
          <a:endParaRPr lang="es-MX" sz="10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 algn="ctr">
            <a:spcAft>
              <a:spcPts val="0"/>
            </a:spcAft>
          </a:pPr>
          <a:r>
            <a:rPr lang="es-ES_tradnl" sz="900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Porcentaje</a:t>
          </a:r>
          <a:endParaRPr lang="es-MX" sz="9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0.86247</cdr:y>
    </cdr:from>
    <cdr:to>
      <cdr:x>0.99931</cdr:x>
      <cdr:y>1</cdr:y>
    </cdr:to>
    <cdr:sp macro="" textlink="">
      <cdr:nvSpPr>
        <cdr:cNvPr id="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2952749"/>
          <a:ext cx="5612130" cy="470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396240" marR="122555" indent="-396240" algn="just">
            <a:spcAft>
              <a:spcPts val="0"/>
            </a:spcAft>
          </a:pPr>
          <a:r>
            <a:rPr lang="es-ES_tradnl" sz="75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Fuente: </a:t>
          </a:r>
          <a:r>
            <a:rPr lang="es-ES_tradnl" sz="750" b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INEGI. Sistema de Cuentas Nacionales de México. Cuenta satélite del turismo de México, 2017. Año base 2013. Aguascalientes, México 2018.</a:t>
          </a:r>
          <a:endParaRPr lang="es-MX" sz="750" b="1">
            <a:solidFill>
              <a:sysClr val="windowText" lastClr="000000"/>
            </a:solidFill>
            <a:effectLst/>
            <a:latin typeface="Arial" panose="020B0604020202020204" pitchFamily="34" charset="0"/>
            <a:ea typeface="Times New Roman" panose="02020603050405020304" pitchFamily="18" charset="0"/>
          </a:endParaRPr>
        </a:p>
        <a:p xmlns:a="http://schemas.openxmlformats.org/drawingml/2006/main">
          <a:pPr marR="121285" algn="just">
            <a:spcAft>
              <a:spcPts val="0"/>
            </a:spcAft>
          </a:pPr>
          <a:r>
            <a:rPr lang="es-ES_tradnl" sz="750" b="1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Nota: </a:t>
          </a:r>
          <a:r>
            <a:rPr lang="es-ES_tradnl" sz="75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Otros incluye los servicios profesionales, de reparación y mantenimiento, salud, entre otros.</a:t>
          </a:r>
          <a:endParaRPr lang="es-MX" sz="750">
            <a:solidFill>
              <a:sysClr val="windowText" lastClr="000000"/>
            </a:solidFill>
            <a:effectLst/>
            <a:latin typeface="Arial" panose="020B0604020202020204" pitchFamily="34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0.21492</cdr:x>
      <cdr:y>0.53143</cdr:y>
    </cdr:from>
    <cdr:to>
      <cdr:x>0.26988</cdr:x>
      <cdr:y>0.5919</cdr:y>
    </cdr:to>
    <cdr:pic>
      <cdr:nvPicPr>
        <cdr:cNvPr id="4" name="Imagen 3" descr="Resultado de imagen para hoteles vector"/>
        <cdr:cNvPicPr/>
      </cdr:nvPicPr>
      <cdr:blipFill>
        <a:blip xmlns:a="http://schemas.openxmlformats.org/drawingml/2006/main" xmlns:r="http://schemas.openxmlformats.org/officeDocument/2006/relationships" r:embed="rId1" cstate="print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  <a:duotone>
            <a:schemeClr val="accent4">
              <a:shade val="45000"/>
              <a:satMod val="135000"/>
            </a:schemeClr>
            <a:prstClr val="white"/>
          </a:duotone>
        </a:blip>
        <a:srcRect xmlns:a="http://schemas.openxmlformats.org/drawingml/2006/main" l="67495" b="66205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206997" y="1819248"/>
          <a:ext cx="308610" cy="20701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0.12219</cdr:x>
      <cdr:y>0.33121</cdr:y>
    </cdr:from>
    <cdr:to>
      <cdr:x>0.14639</cdr:x>
      <cdr:y>0.36887</cdr:y>
    </cdr:to>
    <cdr:pic>
      <cdr:nvPicPr>
        <cdr:cNvPr id="5" name="Imagen 4" descr="Resultado de imagen para GLOBO png"/>
        <cdr:cNvPicPr/>
      </cdr:nvPicPr>
      <cdr:blipFill>
        <a:blip xmlns:a="http://schemas.openxmlformats.org/drawingml/2006/main" xmlns:r="http://schemas.openxmlformats.org/officeDocument/2006/relationships" r:embed="rId2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686214" y="1133834"/>
          <a:ext cx="135890" cy="128905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  <cdr:relSizeAnchor xmlns:cdr="http://schemas.openxmlformats.org/drawingml/2006/chartDrawing">
    <cdr:from>
      <cdr:x>0.13405</cdr:x>
      <cdr:y>0.39674</cdr:y>
    </cdr:from>
    <cdr:to>
      <cdr:x>0.16289</cdr:x>
      <cdr:y>0.44961</cdr:y>
    </cdr:to>
    <cdr:pic>
      <cdr:nvPicPr>
        <cdr:cNvPr id="6" name="Imagen 5" descr="Resultado de imagen para ARTESANIAS png dibujo"/>
        <cdr:cNvPicPr/>
      </cdr:nvPicPr>
      <cdr:blipFill>
        <a:blip xmlns:a="http://schemas.openxmlformats.org/drawingml/2006/main" xmlns:r="http://schemas.openxmlformats.org/officeDocument/2006/relationships" r:embed="rId3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752834" y="1358155"/>
          <a:ext cx="161925" cy="180975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  <cdr:relSizeAnchor xmlns:cdr="http://schemas.openxmlformats.org/drawingml/2006/chartDrawing">
    <cdr:from>
      <cdr:x>0.09258</cdr:x>
      <cdr:y>0.17278</cdr:y>
    </cdr:from>
    <cdr:to>
      <cdr:x>0.13057</cdr:x>
      <cdr:y>0.24327</cdr:y>
    </cdr:to>
    <cdr:pic>
      <cdr:nvPicPr>
        <cdr:cNvPr id="7" name="Imagen 6" descr="Resultado de imagen para agencia de viajes"/>
        <cdr:cNvPicPr/>
      </cdr:nvPicPr>
      <cdr:blipFill>
        <a:blip xmlns:a="http://schemas.openxmlformats.org/drawingml/2006/main" xmlns:r="http://schemas.openxmlformats.org/officeDocument/2006/relationships" r:embed="rId4" cstate="print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19927" y="591489"/>
          <a:ext cx="213360" cy="24130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0.13419</cdr:x>
      <cdr:y>0.46182</cdr:y>
    </cdr:from>
    <cdr:to>
      <cdr:x>0.18484</cdr:x>
      <cdr:y>0.5247</cdr:y>
    </cdr:to>
    <cdr:pic>
      <cdr:nvPicPr>
        <cdr:cNvPr id="8" name="Imagen 7" descr="Imagen relacionada"/>
        <cdr:cNvPicPr/>
      </cdr:nvPicPr>
      <cdr:blipFill>
        <a:blip xmlns:a="http://schemas.openxmlformats.org/drawingml/2006/main" xmlns:r="http://schemas.openxmlformats.org/officeDocument/2006/relationships" r:embed="rId5" cstate="print">
          <a:duotone>
            <a:schemeClr val="accent5">
              <a:shade val="45000"/>
              <a:satMod val="135000"/>
            </a:schemeClr>
            <a:prstClr val="white"/>
          </a:duotone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753580" y="1580930"/>
          <a:ext cx="284480" cy="215265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  <cdr:relSizeAnchor xmlns:cdr="http://schemas.openxmlformats.org/drawingml/2006/chartDrawing">
    <cdr:from>
      <cdr:x>0.47083</cdr:x>
      <cdr:y>0.66509</cdr:y>
    </cdr:from>
    <cdr:to>
      <cdr:x>0.50011</cdr:x>
      <cdr:y>0.75061</cdr:y>
    </cdr:to>
    <cdr:pic>
      <cdr:nvPicPr>
        <cdr:cNvPr id="9" name="Imagen 8" descr="Imagen relacionada"/>
        <cdr:cNvPicPr/>
      </cdr:nvPicPr>
      <cdr:blipFill>
        <a:blip xmlns:a="http://schemas.openxmlformats.org/drawingml/2006/main" xmlns:r="http://schemas.openxmlformats.org/officeDocument/2006/relationships" r:embed="rId6" cstate="print">
          <a:duotone>
            <a:schemeClr val="accent2">
              <a:shade val="45000"/>
              <a:satMod val="135000"/>
            </a:schemeClr>
            <a:prstClr val="white"/>
          </a:duoton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644140" y="2276806"/>
          <a:ext cx="164465" cy="29273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0.45392</cdr:x>
      <cdr:y>0.74417</cdr:y>
    </cdr:from>
    <cdr:to>
      <cdr:x>0.50265</cdr:x>
      <cdr:y>0.80705</cdr:y>
    </cdr:to>
    <cdr:pic>
      <cdr:nvPicPr>
        <cdr:cNvPr id="10" name="Imagen 9" descr="Imagen relacionada"/>
        <cdr:cNvPicPr/>
      </cdr:nvPicPr>
      <cdr:blipFill>
        <a:blip xmlns:a="http://schemas.openxmlformats.org/drawingml/2006/main" xmlns:r="http://schemas.openxmlformats.org/officeDocument/2006/relationships" r:embed="rId7" cstate="print">
          <a:duotone>
            <a:schemeClr val="accent1">
              <a:shade val="45000"/>
              <a:satMod val="135000"/>
            </a:schemeClr>
            <a:prstClr val="white"/>
          </a:duoton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549166" y="2547509"/>
          <a:ext cx="273685" cy="21526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0.46342</cdr:x>
      <cdr:y>0.60587</cdr:y>
    </cdr:from>
    <cdr:to>
      <cdr:x>0.50142</cdr:x>
      <cdr:y>0.66876</cdr:y>
    </cdr:to>
    <cdr:pic>
      <cdr:nvPicPr>
        <cdr:cNvPr id="11" name="Imagen 10" descr="Imagen relacionada"/>
        <cdr:cNvPicPr/>
      </cdr:nvPicPr>
      <cdr:blipFill>
        <a:blip xmlns:a="http://schemas.openxmlformats.org/drawingml/2006/main" xmlns:r="http://schemas.openxmlformats.org/officeDocument/2006/relationships" r:embed="rId8" cstate="print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  <a:duotone>
            <a:prstClr val="black"/>
            <a:schemeClr val="accent3">
              <a:tint val="45000"/>
              <a:satMod val="400000"/>
            </a:schemeClr>
          </a:duoton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602562" y="2074076"/>
          <a:ext cx="213360" cy="2152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0.11195</cdr:x>
      <cdr:y>0.25261</cdr:y>
    </cdr:from>
    <cdr:to>
      <cdr:x>0.13875</cdr:x>
      <cdr:y>0.3066</cdr:y>
    </cdr:to>
    <cdr:pic>
      <cdr:nvPicPr>
        <cdr:cNvPr id="12" name="Imagen 11" descr="Resultado de imagen para icono cultura"/>
        <cdr:cNvPicPr/>
      </cdr:nvPicPr>
      <cdr:blipFill>
        <a:blip xmlns:a="http://schemas.openxmlformats.org/drawingml/2006/main" xmlns:r="http://schemas.openxmlformats.org/officeDocument/2006/relationships" r:embed="rId9" cstate="print">
          <a:duotone>
            <a:schemeClr val="accent2">
              <a:shade val="45000"/>
              <a:satMod val="135000"/>
            </a:schemeClr>
            <a:prstClr val="white"/>
          </a:duoton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628705" y="864760"/>
          <a:ext cx="150523" cy="184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0.00069</cdr:x>
      <cdr:y>0.01335</cdr:y>
    </cdr:from>
    <cdr:to>
      <cdr:x>1</cdr:x>
      <cdr:y>0.12766</cdr:y>
    </cdr:to>
    <cdr:sp macro="" textlink="">
      <cdr:nvSpPr>
        <cdr:cNvPr id="2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5612130" cy="434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es-MX" sz="1000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Figura 6.</a:t>
          </a:r>
          <a:r>
            <a:rPr lang="es-MX" sz="1000" b="1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</a:t>
          </a:r>
          <a:r>
            <a:rPr lang="es-MX" sz="100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Variación porcentual anual del Producto Interno Bruto Turístico Trimestral </a:t>
          </a:r>
          <a:endParaRPr lang="es-MX" sz="10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 algn="ctr">
            <a:spcAft>
              <a:spcPts val="0"/>
            </a:spcAft>
          </a:pPr>
          <a:r>
            <a:rPr lang="es-ES_tradnl" sz="900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(Cifras</a:t>
          </a:r>
          <a:r>
            <a:rPr lang="es-ES_tradnl" sz="900" kern="1200" baseline="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originales)</a:t>
          </a:r>
          <a:endParaRPr lang="es-MX" sz="9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0.8761</cdr:y>
    </cdr:from>
    <cdr:to>
      <cdr:x>0.99931</cdr:x>
      <cdr:y>0.99626</cdr:y>
    </cdr:to>
    <cdr:sp macro="" textlink="">
      <cdr:nvSpPr>
        <cdr:cNvPr id="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3333750"/>
          <a:ext cx="5612130" cy="4572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spcAft>
              <a:spcPts val="0"/>
            </a:spcAft>
          </a:pPr>
          <a:r>
            <a:rPr lang="es-MX" sz="75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Fuente: </a:t>
          </a:r>
          <a:r>
            <a:rPr lang="es-MX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INEGI.</a:t>
          </a:r>
          <a:r>
            <a:rPr lang="es-ES_tradnl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 Sistema de Cuentas Nacionales de México. </a:t>
          </a:r>
          <a:r>
            <a:rPr lang="es-MX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Indicadores Trimestrales de la Actividad Turística (ITAT).  (2013=100) (1°Trim). </a:t>
          </a:r>
        </a:p>
        <a:p xmlns:a="http://schemas.openxmlformats.org/drawingml/2006/main">
          <a:pPr algn="just">
            <a:spcAft>
              <a:spcPts val="0"/>
            </a:spcAft>
          </a:pPr>
          <a:r>
            <a:rPr lang="es-MX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Cifras preliminares a partir del primer trimestre de 2016.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0.00069</cdr:x>
      <cdr:y>0.01335</cdr:y>
    </cdr:from>
    <cdr:to>
      <cdr:x>1</cdr:x>
      <cdr:y>0.12766</cdr:y>
    </cdr:to>
    <cdr:sp macro="" textlink="">
      <cdr:nvSpPr>
        <cdr:cNvPr id="2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5612130" cy="434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es-MX" sz="1000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Figura 7.</a:t>
          </a:r>
          <a:r>
            <a:rPr lang="es-MX" sz="1000" b="1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</a:t>
          </a:r>
          <a:r>
            <a:rPr lang="es-MX" sz="100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Variación porcentual anual del Consumo Turístico Interior Trimestral</a:t>
          </a:r>
          <a:endParaRPr lang="es-MX" sz="10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 xmlns:a="http://schemas.openxmlformats.org/drawingml/2006/main">
          <a:pPr algn="ctr">
            <a:spcAft>
              <a:spcPts val="0"/>
            </a:spcAft>
          </a:pPr>
          <a:r>
            <a:rPr lang="es-ES_tradnl" sz="900" kern="12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(Cifras</a:t>
          </a:r>
          <a:r>
            <a:rPr lang="es-ES_tradnl" sz="900" kern="1200" baseline="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originales)</a:t>
          </a:r>
          <a:endParaRPr lang="es-MX" sz="9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0.8761</cdr:y>
    </cdr:from>
    <cdr:to>
      <cdr:x>0.99931</cdr:x>
      <cdr:y>0.99626</cdr:y>
    </cdr:to>
    <cdr:sp macro="" textlink="">
      <cdr:nvSpPr>
        <cdr:cNvPr id="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3333750"/>
          <a:ext cx="5612130" cy="4572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91440" tIns="45720" rIns="91440" bIns="4572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spcAft>
              <a:spcPts val="0"/>
            </a:spcAft>
          </a:pPr>
          <a:r>
            <a:rPr lang="es-MX" sz="750" b="1">
              <a:effectLst/>
              <a:latin typeface="Arial" panose="020B0604020202020204" pitchFamily="34" charset="0"/>
              <a:ea typeface="Times New Roman" panose="02020603050405020304" pitchFamily="18" charset="0"/>
            </a:rPr>
            <a:t>Fuente: </a:t>
          </a:r>
          <a:r>
            <a:rPr lang="es-MX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INEGI.</a:t>
          </a:r>
          <a:r>
            <a:rPr lang="es-ES_tradnl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 Sistema de Cuentas Nacionales de México. </a:t>
          </a:r>
          <a:r>
            <a:rPr lang="es-MX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Indicadores Trimestrales de la Actividad Turística (ITAT).  (2013=100) (1°Trim). </a:t>
          </a:r>
        </a:p>
        <a:p xmlns:a="http://schemas.openxmlformats.org/drawingml/2006/main">
          <a:pPr algn="just">
            <a:spcAft>
              <a:spcPts val="0"/>
            </a:spcAft>
          </a:pPr>
          <a:r>
            <a:rPr lang="es-MX" sz="750">
              <a:effectLst/>
              <a:latin typeface="Arial" panose="020B0604020202020204" pitchFamily="34" charset="0"/>
              <a:ea typeface="Times New Roman" panose="02020603050405020304" pitchFamily="18" charset="0"/>
            </a:rPr>
            <a:t>Cifras preliminares a partir del primer trimestre de 2016.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8885-A43D-4607-AFFB-135ABA2A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ESTADÍSTICAS A PROPÓSITO DEL DÍA MUNDIAL DEL TURISMO</vt:lpstr>
    </vt:vector>
  </TitlesOfParts>
  <Company>INEGI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ESTADÍSTICAS A PROPÓSITO DEL DÍA MUNDIAL DEL TURISMO</dc:title>
  <dc:creator>INEGI</dc:creator>
  <cp:lastModifiedBy>MORONES RUIZ FABIOLA CRISTINA</cp:lastModifiedBy>
  <cp:revision>2</cp:revision>
  <cp:lastPrinted>2019-09-12T17:03:00Z</cp:lastPrinted>
  <dcterms:created xsi:type="dcterms:W3CDTF">2019-09-25T15:45:00Z</dcterms:created>
  <dcterms:modified xsi:type="dcterms:W3CDTF">2019-09-25T15:45:00Z</dcterms:modified>
</cp:coreProperties>
</file>