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3B5FA" w14:textId="77777777" w:rsidR="00C509CE" w:rsidRDefault="00C509CE" w:rsidP="004244D8">
      <w:pPr>
        <w:spacing w:after="0" w:line="240" w:lineRule="auto"/>
        <w:ind w:left="708" w:hanging="708"/>
        <w:jc w:val="center"/>
        <w:rPr>
          <w:rFonts w:ascii="Arial" w:hAnsi="Arial" w:cs="Arial"/>
          <w:b/>
          <w:bCs/>
        </w:rPr>
      </w:pPr>
    </w:p>
    <w:p w14:paraId="3193882B" w14:textId="77777777" w:rsidR="00C509CE" w:rsidRDefault="00C509CE" w:rsidP="004244D8">
      <w:pPr>
        <w:spacing w:after="0" w:line="240" w:lineRule="auto"/>
        <w:ind w:left="708" w:hanging="708"/>
        <w:jc w:val="center"/>
        <w:rPr>
          <w:rFonts w:ascii="Arial" w:hAnsi="Arial" w:cs="Arial"/>
          <w:b/>
          <w:bCs/>
        </w:rPr>
      </w:pPr>
    </w:p>
    <w:p w14:paraId="4DE0E272" w14:textId="4E4A16E3" w:rsidR="00C509CE" w:rsidRDefault="00C509CE" w:rsidP="00542939">
      <w:pPr>
        <w:spacing w:after="0"/>
        <w:ind w:left="-284" w:right="-235"/>
        <w:jc w:val="center"/>
        <w:rPr>
          <w:rFonts w:ascii="Arial" w:eastAsiaTheme="majorEastAsia" w:hAnsi="Arial" w:cs="Arial"/>
          <w:b/>
          <w:bCs/>
          <w:color w:val="000000" w:themeColor="text1"/>
          <w:sz w:val="24"/>
          <w:szCs w:val="20"/>
        </w:rPr>
      </w:pPr>
      <w:r w:rsidRPr="00A90902">
        <w:rPr>
          <w:rFonts w:ascii="Arial" w:eastAsiaTheme="majorEastAsia" w:hAnsi="Arial" w:cs="Arial"/>
          <w:b/>
          <w:bCs/>
          <w:color w:val="000000" w:themeColor="text1"/>
          <w:sz w:val="24"/>
          <w:szCs w:val="20"/>
        </w:rPr>
        <w:t xml:space="preserve">ESTADÍSTICAS A PROPÓSITO DEL DÍA INTERNACIONAL DE </w:t>
      </w:r>
      <w:r>
        <w:rPr>
          <w:rFonts w:ascii="Arial" w:eastAsiaTheme="majorEastAsia" w:hAnsi="Arial" w:cs="Arial"/>
          <w:b/>
          <w:bCs/>
          <w:color w:val="000000" w:themeColor="text1"/>
          <w:sz w:val="24"/>
          <w:szCs w:val="20"/>
        </w:rPr>
        <w:t>LA LUCHA CONTRA</w:t>
      </w:r>
    </w:p>
    <w:p w14:paraId="475BFB8B" w14:textId="0B5CD078" w:rsidR="00C509CE" w:rsidRDefault="00C509CE" w:rsidP="00542939">
      <w:pPr>
        <w:spacing w:after="0"/>
        <w:ind w:left="-284" w:right="-235"/>
        <w:jc w:val="center"/>
        <w:rPr>
          <w:rFonts w:ascii="Arial" w:eastAsiaTheme="majorEastAsia" w:hAnsi="Arial" w:cs="Arial"/>
          <w:b/>
          <w:bCs/>
          <w:color w:val="000000" w:themeColor="text1"/>
          <w:sz w:val="24"/>
          <w:szCs w:val="20"/>
        </w:rPr>
      </w:pPr>
      <w:r>
        <w:rPr>
          <w:rFonts w:ascii="Arial" w:eastAsiaTheme="majorEastAsia" w:hAnsi="Arial" w:cs="Arial"/>
          <w:b/>
          <w:bCs/>
          <w:color w:val="000000" w:themeColor="text1"/>
          <w:sz w:val="24"/>
          <w:szCs w:val="20"/>
        </w:rPr>
        <w:t>EL USO INDEBIDO Y EL TRÁFICO DE DROGAS</w:t>
      </w:r>
      <w:r w:rsidRPr="00A90902">
        <w:rPr>
          <w:rFonts w:ascii="Arial" w:eastAsiaTheme="majorEastAsia" w:hAnsi="Arial" w:cs="Arial"/>
          <w:b/>
          <w:bCs/>
          <w:color w:val="000000" w:themeColor="text1"/>
          <w:sz w:val="24"/>
          <w:szCs w:val="20"/>
        </w:rPr>
        <w:t xml:space="preserve"> (2</w:t>
      </w:r>
      <w:r>
        <w:rPr>
          <w:rFonts w:ascii="Arial" w:eastAsiaTheme="majorEastAsia" w:hAnsi="Arial" w:cs="Arial"/>
          <w:b/>
          <w:bCs/>
          <w:color w:val="000000" w:themeColor="text1"/>
          <w:sz w:val="24"/>
          <w:szCs w:val="20"/>
        </w:rPr>
        <w:t xml:space="preserve">6 </w:t>
      </w:r>
      <w:r w:rsidRPr="00A90902">
        <w:rPr>
          <w:rFonts w:ascii="Arial" w:eastAsiaTheme="majorEastAsia" w:hAnsi="Arial" w:cs="Arial"/>
          <w:b/>
          <w:bCs/>
          <w:color w:val="000000" w:themeColor="text1"/>
          <w:sz w:val="24"/>
          <w:szCs w:val="20"/>
        </w:rPr>
        <w:t>DE JUNIO)</w:t>
      </w:r>
    </w:p>
    <w:p w14:paraId="2ECDCBF4" w14:textId="77777777" w:rsidR="00C509CE" w:rsidRDefault="00C509CE" w:rsidP="00C509CE">
      <w:pPr>
        <w:tabs>
          <w:tab w:val="left" w:pos="2091"/>
        </w:tabs>
        <w:jc w:val="both"/>
        <w:rPr>
          <w:rFonts w:ascii="Arial" w:hAnsi="Arial" w:cs="Arial"/>
          <w:color w:val="002060"/>
        </w:rPr>
      </w:pPr>
    </w:p>
    <w:p w14:paraId="28161BEB" w14:textId="2D7671DE" w:rsidR="00C509CE" w:rsidRPr="00450443" w:rsidRDefault="00C509CE" w:rsidP="00542939">
      <w:pPr>
        <w:pStyle w:val="Prrafodelista"/>
        <w:numPr>
          <w:ilvl w:val="0"/>
          <w:numId w:val="7"/>
        </w:numPr>
        <w:spacing w:after="120" w:line="240" w:lineRule="auto"/>
        <w:ind w:left="426" w:right="190" w:hanging="284"/>
        <w:contextualSpacing w:val="0"/>
        <w:jc w:val="both"/>
        <w:rPr>
          <w:rFonts w:ascii="Arial" w:hAnsi="Arial" w:cs="Arial"/>
        </w:rPr>
      </w:pPr>
      <w:r>
        <w:rPr>
          <w:rFonts w:ascii="Arial" w:hAnsi="Arial" w:cs="Arial"/>
        </w:rPr>
        <w:t xml:space="preserve">A </w:t>
      </w:r>
      <w:r w:rsidRPr="00450443">
        <w:rPr>
          <w:rFonts w:ascii="Arial" w:hAnsi="Arial" w:cs="Arial"/>
        </w:rPr>
        <w:t>nivel nacional, la tasa de delitos de narcomenudeo y delitos contra la salud</w:t>
      </w:r>
      <w:r>
        <w:rPr>
          <w:rFonts w:ascii="Arial" w:hAnsi="Arial" w:cs="Arial"/>
        </w:rPr>
        <w:t xml:space="preserve"> registrados</w:t>
      </w:r>
      <w:r w:rsidRPr="00450443">
        <w:rPr>
          <w:rFonts w:ascii="Arial" w:hAnsi="Arial" w:cs="Arial"/>
        </w:rPr>
        <w:t xml:space="preserve"> </w:t>
      </w:r>
      <w:bookmarkStart w:id="0" w:name="_GoBack"/>
      <w:bookmarkEnd w:id="0"/>
      <w:r>
        <w:rPr>
          <w:rFonts w:ascii="Arial" w:hAnsi="Arial" w:cs="Arial"/>
        </w:rPr>
        <w:t xml:space="preserve">en averiguaciones previas y carpetas de investigación iniciadas en 2018 </w:t>
      </w:r>
      <w:r w:rsidRPr="00450443">
        <w:rPr>
          <w:rFonts w:ascii="Arial" w:hAnsi="Arial" w:cs="Arial"/>
        </w:rPr>
        <w:t>fue de</w:t>
      </w:r>
      <w:r w:rsidRPr="00450443">
        <w:rPr>
          <w:rFonts w:ascii="Arial" w:hAnsi="Arial" w:cs="Arial"/>
          <w:i/>
          <w:iCs/>
        </w:rPr>
        <w:t xml:space="preserve"> </w:t>
      </w:r>
      <w:r w:rsidRPr="00450443">
        <w:rPr>
          <w:rFonts w:ascii="Arial" w:hAnsi="Arial" w:cs="Arial"/>
        </w:rPr>
        <w:t xml:space="preserve">83.9 </w:t>
      </w:r>
      <w:r>
        <w:rPr>
          <w:rFonts w:ascii="Arial" w:hAnsi="Arial" w:cs="Arial"/>
        </w:rPr>
        <w:t xml:space="preserve">delitos </w:t>
      </w:r>
      <w:r w:rsidRPr="00450443">
        <w:rPr>
          <w:rFonts w:ascii="Arial" w:hAnsi="Arial" w:cs="Arial"/>
        </w:rPr>
        <w:t xml:space="preserve">por cada cien mil </w:t>
      </w:r>
      <w:r>
        <w:rPr>
          <w:rFonts w:ascii="Arial" w:hAnsi="Arial" w:cs="Arial"/>
        </w:rPr>
        <w:t>personas</w:t>
      </w:r>
      <w:r w:rsidRPr="00450443">
        <w:rPr>
          <w:rFonts w:ascii="Arial" w:hAnsi="Arial" w:cs="Arial"/>
        </w:rPr>
        <w:t xml:space="preserve"> de 12 años y más. </w:t>
      </w:r>
    </w:p>
    <w:p w14:paraId="7339DCC3" w14:textId="77777777" w:rsidR="00C509CE" w:rsidRPr="00287877" w:rsidRDefault="00C509CE" w:rsidP="00542939">
      <w:pPr>
        <w:pStyle w:val="Prrafodelista"/>
        <w:numPr>
          <w:ilvl w:val="0"/>
          <w:numId w:val="7"/>
        </w:numPr>
        <w:spacing w:after="120" w:line="240" w:lineRule="auto"/>
        <w:ind w:left="426" w:right="190" w:hanging="284"/>
        <w:contextualSpacing w:val="0"/>
        <w:jc w:val="both"/>
        <w:rPr>
          <w:rFonts w:ascii="Arial" w:hAnsi="Arial" w:cs="Arial"/>
        </w:rPr>
      </w:pPr>
      <w:r>
        <w:rPr>
          <w:rFonts w:ascii="Arial" w:hAnsi="Arial" w:cs="Arial"/>
        </w:rPr>
        <w:t>E</w:t>
      </w:r>
      <w:r w:rsidRPr="0027236B">
        <w:rPr>
          <w:rFonts w:ascii="Arial" w:hAnsi="Arial" w:cs="Arial"/>
        </w:rPr>
        <w:t xml:space="preserve">l delito de narcomenudeo </w:t>
      </w:r>
      <w:r>
        <w:rPr>
          <w:rFonts w:ascii="Arial" w:hAnsi="Arial" w:cs="Arial"/>
        </w:rPr>
        <w:t xml:space="preserve">fue el </w:t>
      </w:r>
      <w:r w:rsidRPr="0027236B">
        <w:rPr>
          <w:rFonts w:ascii="Arial" w:hAnsi="Arial" w:cs="Arial"/>
        </w:rPr>
        <w:t xml:space="preserve">segundo delito </w:t>
      </w:r>
      <w:r>
        <w:rPr>
          <w:rFonts w:ascii="Arial" w:hAnsi="Arial" w:cs="Arial"/>
        </w:rPr>
        <w:t xml:space="preserve">registrado por el que más adolescentes fueron imputados en 2018, </w:t>
      </w:r>
      <w:r w:rsidRPr="0027236B">
        <w:rPr>
          <w:rFonts w:ascii="Arial" w:hAnsi="Arial" w:cs="Arial"/>
        </w:rPr>
        <w:t>por detrás del delito de robo</w:t>
      </w:r>
      <w:r>
        <w:rPr>
          <w:rFonts w:ascii="Arial" w:hAnsi="Arial" w:cs="Arial"/>
        </w:rPr>
        <w:t>.</w:t>
      </w:r>
    </w:p>
    <w:p w14:paraId="0DD70F3E" w14:textId="77777777" w:rsidR="00C509CE" w:rsidRPr="00287877" w:rsidRDefault="00C509CE" w:rsidP="00542939">
      <w:pPr>
        <w:pStyle w:val="Prrafodelista"/>
        <w:numPr>
          <w:ilvl w:val="0"/>
          <w:numId w:val="7"/>
        </w:numPr>
        <w:spacing w:after="120" w:line="240" w:lineRule="auto"/>
        <w:ind w:left="426" w:right="190" w:hanging="284"/>
        <w:contextualSpacing w:val="0"/>
        <w:jc w:val="both"/>
        <w:rPr>
          <w:rFonts w:ascii="Arial" w:hAnsi="Arial" w:cs="Arial"/>
          <w:b/>
          <w:bCs/>
        </w:rPr>
      </w:pPr>
      <w:r>
        <w:rPr>
          <w:rFonts w:ascii="Arial" w:hAnsi="Arial" w:cs="Arial"/>
        </w:rPr>
        <w:t xml:space="preserve">De los imputados por el delito de narcomenudeo en 2018, 80.3% de los adolescentes y 41.6% de los adultos fueron imputados por la tenencia de cannabis. Más de la mitad de ellos </w:t>
      </w:r>
      <w:r w:rsidRPr="009E30CC">
        <w:rPr>
          <w:rFonts w:ascii="Arial" w:hAnsi="Arial" w:cs="Arial"/>
        </w:rPr>
        <w:t xml:space="preserve">fueron imputados por la tenencia de </w:t>
      </w:r>
      <w:r>
        <w:rPr>
          <w:rFonts w:ascii="Arial" w:hAnsi="Arial" w:cs="Arial"/>
        </w:rPr>
        <w:t xml:space="preserve">entre </w:t>
      </w:r>
      <w:r w:rsidRPr="009E30CC">
        <w:rPr>
          <w:rFonts w:ascii="Arial" w:hAnsi="Arial" w:cs="Arial"/>
        </w:rPr>
        <w:t xml:space="preserve">5 </w:t>
      </w:r>
      <w:r>
        <w:rPr>
          <w:rFonts w:ascii="Arial" w:hAnsi="Arial" w:cs="Arial"/>
        </w:rPr>
        <w:t>y</w:t>
      </w:r>
      <w:r w:rsidRPr="009E30CC">
        <w:rPr>
          <w:rFonts w:ascii="Arial" w:hAnsi="Arial" w:cs="Arial"/>
        </w:rPr>
        <w:t xml:space="preserve"> </w:t>
      </w:r>
      <w:r>
        <w:rPr>
          <w:rFonts w:ascii="Arial" w:hAnsi="Arial" w:cs="Arial"/>
        </w:rPr>
        <w:t xml:space="preserve">100 </w:t>
      </w:r>
      <w:r w:rsidRPr="009E30CC">
        <w:rPr>
          <w:rFonts w:ascii="Arial" w:hAnsi="Arial" w:cs="Arial"/>
        </w:rPr>
        <w:t>gramos de marihuana</w:t>
      </w:r>
      <w:r>
        <w:rPr>
          <w:rFonts w:ascii="Arial" w:hAnsi="Arial" w:cs="Arial"/>
        </w:rPr>
        <w:t>.</w:t>
      </w:r>
    </w:p>
    <w:p w14:paraId="0E706E4E" w14:textId="77777777" w:rsidR="00C509CE" w:rsidRDefault="00C509CE" w:rsidP="00C509CE">
      <w:pPr>
        <w:spacing w:after="0" w:line="240" w:lineRule="auto"/>
        <w:jc w:val="both"/>
        <w:rPr>
          <w:rFonts w:ascii="Arial" w:hAnsi="Arial" w:cs="Arial"/>
        </w:rPr>
      </w:pPr>
    </w:p>
    <w:p w14:paraId="0A446355" w14:textId="46B65118" w:rsidR="00C509CE" w:rsidRDefault="00542939" w:rsidP="00542939">
      <w:pPr>
        <w:spacing w:line="240" w:lineRule="auto"/>
        <w:ind w:left="-284" w:right="-235"/>
        <w:jc w:val="both"/>
        <w:rPr>
          <w:rFonts w:ascii="Arial" w:hAnsi="Arial" w:cs="Arial"/>
        </w:rPr>
      </w:pPr>
      <w:r>
        <w:rPr>
          <w:rFonts w:ascii="Arial" w:hAnsi="Arial" w:cs="Arial"/>
        </w:rPr>
        <w:t>El INEGI pone a disposición de los usuarios información sobre l</w:t>
      </w:r>
      <w:r w:rsidR="00C509CE">
        <w:rPr>
          <w:rFonts w:ascii="Arial" w:hAnsi="Arial" w:cs="Arial"/>
        </w:rPr>
        <w:t xml:space="preserve">as características y </w:t>
      </w:r>
      <w:r w:rsidR="00C509CE" w:rsidRPr="00960522">
        <w:rPr>
          <w:rFonts w:ascii="Arial" w:hAnsi="Arial" w:cs="Arial"/>
        </w:rPr>
        <w:t>cambios en las tendencias de los delitos de narcomenudeo y delitos contra la salud</w:t>
      </w:r>
      <w:r w:rsidR="00C509CE">
        <w:rPr>
          <w:rFonts w:ascii="Arial" w:hAnsi="Arial" w:cs="Arial"/>
        </w:rPr>
        <w:t xml:space="preserve"> que forman parte de expedientes judiciales en distintas etapas del sistema de justicia penal</w:t>
      </w:r>
      <w:r>
        <w:rPr>
          <w:rFonts w:ascii="Arial" w:hAnsi="Arial" w:cs="Arial"/>
        </w:rPr>
        <w:t>, proveniente del</w:t>
      </w:r>
      <w:r w:rsidR="00C509CE" w:rsidRPr="001D41CD">
        <w:rPr>
          <w:rFonts w:ascii="Arial" w:hAnsi="Arial" w:cs="Arial"/>
        </w:rPr>
        <w:t xml:space="preserve"> Censo Nacional de Procuración de Justicia Estatal</w:t>
      </w:r>
      <w:r w:rsidR="00C509CE">
        <w:rPr>
          <w:rFonts w:ascii="Arial" w:hAnsi="Arial" w:cs="Arial"/>
        </w:rPr>
        <w:t xml:space="preserve"> </w:t>
      </w:r>
      <w:r w:rsidR="00C509CE" w:rsidRPr="001D41CD">
        <w:rPr>
          <w:rFonts w:ascii="Arial" w:hAnsi="Arial" w:cs="Arial"/>
        </w:rPr>
        <w:t xml:space="preserve">(CNPJE), </w:t>
      </w:r>
      <w:r w:rsidR="00C509CE">
        <w:rPr>
          <w:rFonts w:ascii="Arial" w:hAnsi="Arial" w:cs="Arial"/>
        </w:rPr>
        <w:t>d</w:t>
      </w:r>
      <w:r w:rsidR="00C509CE" w:rsidRPr="001D41CD">
        <w:rPr>
          <w:rFonts w:ascii="Arial" w:hAnsi="Arial" w:cs="Arial"/>
        </w:rPr>
        <w:t>el Censo Nacional de Procuración de Justicia Federal</w:t>
      </w:r>
      <w:r w:rsidR="00C509CE">
        <w:rPr>
          <w:rFonts w:ascii="Arial" w:hAnsi="Arial" w:cs="Arial"/>
        </w:rPr>
        <w:t xml:space="preserve"> </w:t>
      </w:r>
      <w:r w:rsidR="00C509CE" w:rsidRPr="001D41CD">
        <w:rPr>
          <w:rFonts w:ascii="Arial" w:hAnsi="Arial" w:cs="Arial"/>
        </w:rPr>
        <w:t xml:space="preserve">(CNPJF), </w:t>
      </w:r>
      <w:r w:rsidR="00C509CE">
        <w:rPr>
          <w:rFonts w:ascii="Arial" w:hAnsi="Arial" w:cs="Arial"/>
        </w:rPr>
        <w:t>d</w:t>
      </w:r>
      <w:r w:rsidR="00C509CE" w:rsidRPr="001D41CD">
        <w:rPr>
          <w:rFonts w:ascii="Arial" w:hAnsi="Arial" w:cs="Arial"/>
        </w:rPr>
        <w:t>el Censo Nacional de Impartición de Justicia Estatal</w:t>
      </w:r>
      <w:r w:rsidR="00C509CE">
        <w:rPr>
          <w:rFonts w:ascii="Arial" w:hAnsi="Arial" w:cs="Arial"/>
        </w:rPr>
        <w:t xml:space="preserve"> </w:t>
      </w:r>
      <w:r w:rsidR="00C509CE" w:rsidRPr="001D41CD">
        <w:rPr>
          <w:rFonts w:ascii="Arial" w:hAnsi="Arial" w:cs="Arial"/>
        </w:rPr>
        <w:t xml:space="preserve">(CNIJE), </w:t>
      </w:r>
      <w:r w:rsidR="00C509CE">
        <w:rPr>
          <w:rFonts w:ascii="Arial" w:hAnsi="Arial" w:cs="Arial"/>
        </w:rPr>
        <w:t>d</w:t>
      </w:r>
      <w:r w:rsidR="00C509CE" w:rsidRPr="001D41CD">
        <w:rPr>
          <w:rFonts w:ascii="Arial" w:hAnsi="Arial" w:cs="Arial"/>
        </w:rPr>
        <w:t>el Censo Nacional de Impartición de Justicia Federal</w:t>
      </w:r>
      <w:r w:rsidR="00C509CE">
        <w:rPr>
          <w:rFonts w:ascii="Arial" w:hAnsi="Arial" w:cs="Arial"/>
        </w:rPr>
        <w:t xml:space="preserve"> </w:t>
      </w:r>
      <w:r w:rsidR="00C509CE" w:rsidRPr="001D41CD">
        <w:rPr>
          <w:rFonts w:ascii="Arial" w:hAnsi="Arial" w:cs="Arial"/>
        </w:rPr>
        <w:t>(CNIJF)</w:t>
      </w:r>
      <w:r w:rsidR="00C509CE">
        <w:rPr>
          <w:rFonts w:ascii="Arial" w:hAnsi="Arial" w:cs="Arial"/>
        </w:rPr>
        <w:t>, d</w:t>
      </w:r>
      <w:r w:rsidR="00C509CE" w:rsidRPr="001D41CD">
        <w:rPr>
          <w:rFonts w:ascii="Arial" w:hAnsi="Arial" w:cs="Arial"/>
        </w:rPr>
        <w:t>el Censo Nacional de Gobierno, Seguridad Pública y Sistema Penitenciario Estatales</w:t>
      </w:r>
      <w:r w:rsidR="00C509CE">
        <w:rPr>
          <w:rFonts w:ascii="Arial" w:hAnsi="Arial" w:cs="Arial"/>
        </w:rPr>
        <w:t xml:space="preserve"> </w:t>
      </w:r>
      <w:r w:rsidR="00C509CE" w:rsidRPr="001D41CD">
        <w:rPr>
          <w:rFonts w:ascii="Arial" w:hAnsi="Arial" w:cs="Arial"/>
        </w:rPr>
        <w:t>(CNGSPSPE)</w:t>
      </w:r>
      <w:r w:rsidR="00C509CE">
        <w:rPr>
          <w:rFonts w:ascii="Arial" w:hAnsi="Arial" w:cs="Arial"/>
        </w:rPr>
        <w:t xml:space="preserve"> y del Censo Nacional de Sistema Penitenciario Federal (CNSPF)</w:t>
      </w:r>
      <w:r>
        <w:rPr>
          <w:rFonts w:ascii="Arial" w:hAnsi="Arial" w:cs="Arial"/>
        </w:rPr>
        <w:t>.</w:t>
      </w:r>
    </w:p>
    <w:p w14:paraId="7CA361CE" w14:textId="5B51DAD6" w:rsidR="00C509CE" w:rsidRDefault="00C509CE" w:rsidP="00542939">
      <w:pPr>
        <w:spacing w:after="120" w:line="240" w:lineRule="auto"/>
        <w:ind w:left="-284" w:right="-235"/>
        <w:jc w:val="both"/>
        <w:rPr>
          <w:rFonts w:ascii="Arial" w:hAnsi="Arial" w:cs="Arial"/>
        </w:rPr>
      </w:pPr>
      <w:r w:rsidRPr="000407EA">
        <w:rPr>
          <w:rFonts w:ascii="Arial" w:hAnsi="Arial" w:cs="Arial"/>
        </w:rPr>
        <w:t>En 2018, 3.9%</w:t>
      </w:r>
      <w:r>
        <w:rPr>
          <w:rFonts w:ascii="Arial" w:hAnsi="Arial" w:cs="Arial"/>
        </w:rPr>
        <w:t xml:space="preserve"> de los </w:t>
      </w:r>
      <w:r w:rsidRPr="000407EA">
        <w:rPr>
          <w:rFonts w:ascii="Arial" w:hAnsi="Arial" w:cs="Arial"/>
        </w:rPr>
        <w:t>1 935 451 delitos del fuero común</w:t>
      </w:r>
      <w:r>
        <w:rPr>
          <w:rFonts w:ascii="Arial" w:hAnsi="Arial" w:cs="Arial"/>
        </w:rPr>
        <w:t xml:space="preserve"> registrados</w:t>
      </w:r>
      <w:r w:rsidRPr="000407EA">
        <w:rPr>
          <w:rFonts w:ascii="Arial" w:hAnsi="Arial" w:cs="Arial"/>
        </w:rPr>
        <w:t xml:space="preserve"> en averiguaciones previas y carpetas de investigación iniciadas</w:t>
      </w:r>
      <w:r>
        <w:rPr>
          <w:rFonts w:ascii="Arial" w:hAnsi="Arial" w:cs="Arial"/>
        </w:rPr>
        <w:t xml:space="preserve"> en el año</w:t>
      </w:r>
      <w:r w:rsidRPr="000407EA">
        <w:rPr>
          <w:rFonts w:ascii="Arial" w:hAnsi="Arial" w:cs="Arial"/>
        </w:rPr>
        <w:t>, correspondieron a delitos de narcomenudeo.</w:t>
      </w:r>
      <w:r w:rsidRPr="00D21A59" w:rsidDel="00D21A59">
        <w:rPr>
          <w:rFonts w:ascii="Arial" w:hAnsi="Arial" w:cs="Arial"/>
        </w:rPr>
        <w:t xml:space="preserve"> </w:t>
      </w:r>
      <w:r>
        <w:rPr>
          <w:rFonts w:ascii="Arial" w:hAnsi="Arial" w:cs="Arial"/>
        </w:rPr>
        <w:t>En</w:t>
      </w:r>
      <w:r w:rsidRPr="00D21A59">
        <w:rPr>
          <w:rFonts w:ascii="Arial" w:hAnsi="Arial" w:cs="Arial"/>
        </w:rPr>
        <w:t xml:space="preserve"> el</w:t>
      </w:r>
      <w:r>
        <w:rPr>
          <w:rFonts w:ascii="Arial" w:hAnsi="Arial" w:cs="Arial"/>
        </w:rPr>
        <w:t xml:space="preserve"> fuero federal, la proporción de delitos federales asociados a narcóticos (delitos contra la salud y narcomenudeo) representó </w:t>
      </w:r>
      <w:r w:rsidRPr="00893A18">
        <w:rPr>
          <w:rFonts w:ascii="Arial" w:hAnsi="Arial" w:cs="Arial"/>
        </w:rPr>
        <w:t>6.7%</w:t>
      </w:r>
      <w:r>
        <w:rPr>
          <w:rFonts w:ascii="Arial" w:hAnsi="Arial" w:cs="Arial"/>
        </w:rPr>
        <w:t xml:space="preserve"> de los 112 920 delitos federales registrados ese año.</w:t>
      </w:r>
    </w:p>
    <w:p w14:paraId="22EC294D" w14:textId="77777777" w:rsidR="00C509CE" w:rsidRDefault="00C509CE" w:rsidP="00542939">
      <w:pPr>
        <w:spacing w:after="120" w:line="240" w:lineRule="auto"/>
        <w:ind w:left="-284" w:right="-235"/>
        <w:jc w:val="both"/>
        <w:rPr>
          <w:rFonts w:ascii="Arial" w:hAnsi="Arial" w:cs="Arial"/>
        </w:rPr>
      </w:pPr>
      <w:r>
        <w:rPr>
          <w:rFonts w:ascii="Arial" w:hAnsi="Arial" w:cs="Arial"/>
        </w:rPr>
        <w:t>E</w:t>
      </w:r>
      <w:r w:rsidRPr="0027236B">
        <w:rPr>
          <w:rFonts w:ascii="Arial" w:hAnsi="Arial" w:cs="Arial"/>
        </w:rPr>
        <w:t xml:space="preserve">l delito de narcomenudeo </w:t>
      </w:r>
      <w:r>
        <w:rPr>
          <w:rFonts w:ascii="Arial" w:hAnsi="Arial" w:cs="Arial"/>
        </w:rPr>
        <w:t xml:space="preserve">fue el </w:t>
      </w:r>
      <w:r w:rsidRPr="0027236B">
        <w:rPr>
          <w:rFonts w:ascii="Arial" w:hAnsi="Arial" w:cs="Arial"/>
        </w:rPr>
        <w:t xml:space="preserve">segundo delito </w:t>
      </w:r>
      <w:r>
        <w:rPr>
          <w:rFonts w:ascii="Arial" w:hAnsi="Arial" w:cs="Arial"/>
        </w:rPr>
        <w:t>por el que mayormente fueron imputados los adolescentes en las procuradurías y fiscalías de justica del país</w:t>
      </w:r>
      <w:r w:rsidRPr="008E5784">
        <w:rPr>
          <w:rFonts w:ascii="Arial" w:hAnsi="Arial" w:cs="Arial"/>
        </w:rPr>
        <w:t xml:space="preserve"> </w:t>
      </w:r>
      <w:r>
        <w:rPr>
          <w:rFonts w:ascii="Arial" w:hAnsi="Arial" w:cs="Arial"/>
        </w:rPr>
        <w:t xml:space="preserve">en el 2018, </w:t>
      </w:r>
      <w:r w:rsidRPr="0027236B">
        <w:rPr>
          <w:rFonts w:ascii="Arial" w:hAnsi="Arial" w:cs="Arial"/>
        </w:rPr>
        <w:t>por detrás del delito de robo</w:t>
      </w:r>
      <w:r>
        <w:rPr>
          <w:rFonts w:ascii="Arial" w:hAnsi="Arial" w:cs="Arial"/>
        </w:rPr>
        <w:t>.</w:t>
      </w:r>
    </w:p>
    <w:p w14:paraId="58F9466A" w14:textId="77777777" w:rsidR="00C509CE" w:rsidRDefault="00C509CE" w:rsidP="00542939">
      <w:pPr>
        <w:spacing w:after="120" w:line="240" w:lineRule="auto"/>
        <w:ind w:left="-284" w:right="-235"/>
        <w:jc w:val="both"/>
        <w:rPr>
          <w:rFonts w:ascii="Arial" w:hAnsi="Arial" w:cs="Arial"/>
        </w:rPr>
      </w:pPr>
      <w:r>
        <w:rPr>
          <w:rFonts w:ascii="Arial" w:hAnsi="Arial" w:cs="Arial"/>
        </w:rPr>
        <w:t>Entre 2016 y 2018 aumentó más del doble la cantidad de delitos de narcomenudeo registrados en las averiguaciones previas y carpetas de investigación iniciadas en las agencias estatales del ministerio público</w:t>
      </w:r>
    </w:p>
    <w:p w14:paraId="6E0F295F" w14:textId="26B8B67F" w:rsidR="00C509CE" w:rsidRDefault="00C509CE" w:rsidP="00542939">
      <w:pPr>
        <w:spacing w:line="240" w:lineRule="auto"/>
        <w:ind w:left="-284" w:right="-235"/>
        <w:jc w:val="both"/>
        <w:rPr>
          <w:rFonts w:ascii="Arial" w:hAnsi="Arial" w:cs="Arial"/>
        </w:rPr>
      </w:pPr>
      <w:r>
        <w:rPr>
          <w:rFonts w:ascii="Arial" w:hAnsi="Arial" w:cs="Arial"/>
        </w:rPr>
        <w:t xml:space="preserve">Respecto a las conductas que conforman el delito de narcomenudeo, 82.7% de los delitos registrados </w:t>
      </w:r>
      <w:r w:rsidRPr="009E30CC">
        <w:rPr>
          <w:rFonts w:ascii="Arial" w:hAnsi="Arial" w:cs="Arial"/>
        </w:rPr>
        <w:t>en 2018</w:t>
      </w:r>
      <w:r>
        <w:rPr>
          <w:rFonts w:ascii="Arial" w:hAnsi="Arial" w:cs="Arial"/>
        </w:rPr>
        <w:t xml:space="preserve"> </w:t>
      </w:r>
      <w:bookmarkStart w:id="1" w:name="_Hlk42754215"/>
      <w:r>
        <w:rPr>
          <w:rFonts w:ascii="Arial" w:hAnsi="Arial" w:cs="Arial"/>
        </w:rPr>
        <w:t>por las procuradurías y fiscalías estatales de justica</w:t>
      </w:r>
      <w:bookmarkEnd w:id="1"/>
      <w:r>
        <w:rPr>
          <w:rFonts w:ascii="Arial" w:hAnsi="Arial" w:cs="Arial"/>
        </w:rPr>
        <w:t>, fueron por posesión simple de narcóticos; mientras que 37.7% de los delitos contra la salud, registrados por los ministerios públicos federales durante 2018, correspondieron al delito de posesión de narcóticos con posibles fines de comercio, suministro, transporte o producción</w:t>
      </w:r>
      <w:r>
        <w:rPr>
          <w:rStyle w:val="Refdenotaalpie"/>
          <w:rFonts w:ascii="Arial" w:hAnsi="Arial" w:cs="Arial"/>
        </w:rPr>
        <w:footnoteReference w:id="1"/>
      </w:r>
      <w:r>
        <w:rPr>
          <w:rFonts w:ascii="Arial" w:hAnsi="Arial" w:cs="Arial"/>
        </w:rPr>
        <w:t>.</w:t>
      </w:r>
    </w:p>
    <w:p w14:paraId="173DEF7F" w14:textId="3E1987F2" w:rsidR="00D546E1" w:rsidRDefault="00D546E1" w:rsidP="00542939">
      <w:pPr>
        <w:spacing w:line="240" w:lineRule="auto"/>
        <w:ind w:left="-284" w:right="-235"/>
        <w:jc w:val="both"/>
        <w:rPr>
          <w:rFonts w:ascii="Arial" w:hAnsi="Arial" w:cs="Arial"/>
        </w:rPr>
      </w:pPr>
    </w:p>
    <w:p w14:paraId="45F6CA9F" w14:textId="77777777" w:rsidR="00D546E1" w:rsidRDefault="00D546E1" w:rsidP="00542939">
      <w:pPr>
        <w:spacing w:line="240" w:lineRule="auto"/>
        <w:ind w:left="-284" w:right="-235"/>
        <w:jc w:val="both"/>
        <w:rPr>
          <w:rFonts w:ascii="Arial" w:hAnsi="Arial" w:cs="Arial"/>
        </w:rPr>
      </w:pPr>
    </w:p>
    <w:p w14:paraId="56B30BAF" w14:textId="415B1906" w:rsidR="00C509CE" w:rsidRDefault="00C509CE" w:rsidP="00542939">
      <w:pPr>
        <w:spacing w:line="240" w:lineRule="auto"/>
        <w:ind w:left="-284" w:right="-235"/>
        <w:jc w:val="both"/>
        <w:rPr>
          <w:rFonts w:ascii="Arial" w:hAnsi="Arial" w:cs="Arial"/>
        </w:rPr>
      </w:pPr>
      <w:r>
        <w:rPr>
          <w:rFonts w:ascii="Arial" w:hAnsi="Arial" w:cs="Arial"/>
        </w:rPr>
        <w:t>Asimismo, 80% de los adolescentes imputados en 2018 fue por la tenencia de cannabis</w:t>
      </w:r>
      <w:r w:rsidR="00D546E1">
        <w:rPr>
          <w:rFonts w:ascii="Arial" w:hAnsi="Arial" w:cs="Arial"/>
        </w:rPr>
        <w:t>. D</w:t>
      </w:r>
      <w:r>
        <w:rPr>
          <w:rFonts w:ascii="Arial" w:hAnsi="Arial" w:cs="Arial"/>
        </w:rPr>
        <w:t>e ellos, 94% fue por posesión de entre 5 y 100 gramos</w:t>
      </w:r>
      <w:r w:rsidRPr="00832663">
        <w:rPr>
          <w:rFonts w:ascii="Arial" w:hAnsi="Arial" w:cs="Arial"/>
        </w:rPr>
        <w:t xml:space="preserve"> </w:t>
      </w:r>
      <w:r>
        <w:rPr>
          <w:rFonts w:ascii="Arial" w:hAnsi="Arial" w:cs="Arial"/>
        </w:rPr>
        <w:t>de esta sustancia; en cambio, 4 de cada 10 adultos imputados por el delito de narcomenudeo fueron imputados por la tenencia de estimulantes de tipo anfetamínico y una razón similar por la tenencia de cannabis</w:t>
      </w:r>
      <w:r w:rsidR="00D546E1">
        <w:rPr>
          <w:rFonts w:ascii="Arial" w:hAnsi="Arial" w:cs="Arial"/>
        </w:rPr>
        <w:t>. D</w:t>
      </w:r>
      <w:r>
        <w:rPr>
          <w:rFonts w:ascii="Arial" w:hAnsi="Arial" w:cs="Arial"/>
        </w:rPr>
        <w:t xml:space="preserve">e estos últimos, 58% fueron imputados por la posesión de entre 5 y 100 gramos. </w:t>
      </w:r>
    </w:p>
    <w:p w14:paraId="2DD42140" w14:textId="77777777" w:rsidR="00C509CE" w:rsidRDefault="00C509CE" w:rsidP="00542939">
      <w:pPr>
        <w:spacing w:line="240" w:lineRule="auto"/>
        <w:ind w:left="-284" w:right="-235"/>
        <w:jc w:val="both"/>
        <w:rPr>
          <w:rFonts w:ascii="Arial" w:hAnsi="Arial" w:cs="Arial"/>
        </w:rPr>
      </w:pPr>
      <w:r>
        <w:rPr>
          <w:rFonts w:ascii="Arial" w:hAnsi="Arial" w:cs="Arial"/>
        </w:rPr>
        <w:t xml:space="preserve">Con relación a las causas penales que iniciaron proceso en los tribunales de justicia del país, se encontró que en </w:t>
      </w:r>
      <w:r w:rsidRPr="009E30CC">
        <w:rPr>
          <w:rFonts w:ascii="Arial" w:hAnsi="Arial" w:cs="Arial"/>
        </w:rPr>
        <w:t>2018</w:t>
      </w:r>
      <w:r>
        <w:rPr>
          <w:rFonts w:ascii="Arial" w:hAnsi="Arial" w:cs="Arial"/>
        </w:rPr>
        <w:t xml:space="preserve"> se registraron </w:t>
      </w:r>
      <w:r w:rsidRPr="009E30CC">
        <w:rPr>
          <w:rFonts w:ascii="Arial" w:hAnsi="Arial" w:cs="Arial"/>
        </w:rPr>
        <w:t xml:space="preserve">31 338 </w:t>
      </w:r>
      <w:r>
        <w:rPr>
          <w:rFonts w:ascii="Arial" w:hAnsi="Arial" w:cs="Arial"/>
        </w:rPr>
        <w:t xml:space="preserve">delitos relacionados con drogas </w:t>
      </w:r>
      <w:r w:rsidRPr="009E30CC">
        <w:rPr>
          <w:rFonts w:ascii="Arial" w:hAnsi="Arial" w:cs="Arial"/>
        </w:rPr>
        <w:t>a nivel nacional</w:t>
      </w:r>
      <w:r>
        <w:rPr>
          <w:rFonts w:ascii="Arial" w:hAnsi="Arial" w:cs="Arial"/>
        </w:rPr>
        <w:t>,</w:t>
      </w:r>
      <w:r w:rsidRPr="009E30CC">
        <w:rPr>
          <w:rFonts w:ascii="Arial" w:hAnsi="Arial" w:cs="Arial"/>
        </w:rPr>
        <w:t xml:space="preserve"> </w:t>
      </w:r>
      <w:r>
        <w:rPr>
          <w:rFonts w:ascii="Arial" w:hAnsi="Arial" w:cs="Arial"/>
        </w:rPr>
        <w:t xml:space="preserve">de los cuales </w:t>
      </w:r>
      <w:r w:rsidRPr="009E30CC">
        <w:rPr>
          <w:rFonts w:ascii="Arial" w:hAnsi="Arial" w:cs="Arial"/>
        </w:rPr>
        <w:t>8</w:t>
      </w:r>
      <w:r>
        <w:rPr>
          <w:rFonts w:ascii="Arial" w:hAnsi="Arial" w:cs="Arial"/>
        </w:rPr>
        <w:t>4.7</w:t>
      </w:r>
      <w:r w:rsidRPr="009E30CC">
        <w:rPr>
          <w:rFonts w:ascii="Arial" w:hAnsi="Arial" w:cs="Arial"/>
        </w:rPr>
        <w:t xml:space="preserve">% correspondieron a delitos de narcomenudeo </w:t>
      </w:r>
      <w:r>
        <w:rPr>
          <w:rFonts w:ascii="Arial" w:hAnsi="Arial" w:cs="Arial"/>
        </w:rPr>
        <w:t>y</w:t>
      </w:r>
      <w:r w:rsidRPr="009E30CC">
        <w:rPr>
          <w:rFonts w:ascii="Arial" w:hAnsi="Arial" w:cs="Arial"/>
        </w:rPr>
        <w:t xml:space="preserve"> 1</w:t>
      </w:r>
      <w:r>
        <w:rPr>
          <w:rFonts w:ascii="Arial" w:hAnsi="Arial" w:cs="Arial"/>
        </w:rPr>
        <w:t>5.3</w:t>
      </w:r>
      <w:r w:rsidRPr="009E30CC">
        <w:rPr>
          <w:rFonts w:ascii="Arial" w:hAnsi="Arial" w:cs="Arial"/>
        </w:rPr>
        <w:t>% a delitos contra la salud</w:t>
      </w:r>
      <w:r>
        <w:rPr>
          <w:rFonts w:ascii="Arial" w:hAnsi="Arial" w:cs="Arial"/>
        </w:rPr>
        <w:t>. Entre 2016 y 2018, la cantidad de delitos de narcomenudeo registrados en las causas penales iniciadas en l</w:t>
      </w:r>
      <w:r w:rsidRPr="009E30CC">
        <w:rPr>
          <w:rFonts w:ascii="Arial" w:hAnsi="Arial" w:cs="Arial"/>
        </w:rPr>
        <w:t xml:space="preserve">os órganos jurisdiccionales </w:t>
      </w:r>
      <w:r>
        <w:rPr>
          <w:rFonts w:ascii="Arial" w:hAnsi="Arial" w:cs="Arial"/>
        </w:rPr>
        <w:t>estatales aumentó más del doble.</w:t>
      </w:r>
    </w:p>
    <w:p w14:paraId="3E0C6493" w14:textId="47569FF9" w:rsidR="00C509CE" w:rsidRDefault="00C509CE" w:rsidP="00542939">
      <w:pPr>
        <w:spacing w:line="240" w:lineRule="auto"/>
        <w:ind w:left="-284" w:right="-235"/>
        <w:jc w:val="both"/>
        <w:rPr>
          <w:rFonts w:ascii="Arial" w:hAnsi="Arial" w:cs="Arial"/>
        </w:rPr>
      </w:pPr>
      <w:r w:rsidRPr="00F25428">
        <w:rPr>
          <w:rFonts w:ascii="Arial" w:hAnsi="Arial" w:cs="Arial"/>
        </w:rPr>
        <w:t xml:space="preserve">En </w:t>
      </w:r>
      <w:r>
        <w:rPr>
          <w:rFonts w:ascii="Arial" w:hAnsi="Arial" w:cs="Arial"/>
        </w:rPr>
        <w:t>cuanto a las sentencias, entre</w:t>
      </w:r>
      <w:r w:rsidRPr="00F25428">
        <w:rPr>
          <w:rFonts w:ascii="Arial" w:hAnsi="Arial" w:cs="Arial"/>
        </w:rPr>
        <w:t xml:space="preserve"> 2016 </w:t>
      </w:r>
      <w:r>
        <w:rPr>
          <w:rFonts w:ascii="Arial" w:hAnsi="Arial" w:cs="Arial"/>
        </w:rPr>
        <w:t>y</w:t>
      </w:r>
      <w:r w:rsidRPr="00F25428">
        <w:rPr>
          <w:rFonts w:ascii="Arial" w:hAnsi="Arial" w:cs="Arial"/>
        </w:rPr>
        <w:t xml:space="preserve"> 2018 </w:t>
      </w:r>
      <w:r>
        <w:rPr>
          <w:rFonts w:ascii="Arial" w:hAnsi="Arial" w:cs="Arial"/>
        </w:rPr>
        <w:t>hubo</w:t>
      </w:r>
      <w:r w:rsidRPr="00F25428">
        <w:rPr>
          <w:rFonts w:ascii="Arial" w:hAnsi="Arial" w:cs="Arial"/>
        </w:rPr>
        <w:t xml:space="preserve"> un</w:t>
      </w:r>
      <w:r>
        <w:rPr>
          <w:rFonts w:ascii="Arial" w:hAnsi="Arial" w:cs="Arial"/>
        </w:rPr>
        <w:t>a disminución</w:t>
      </w:r>
      <w:r w:rsidRPr="00F25428">
        <w:rPr>
          <w:rFonts w:ascii="Arial" w:hAnsi="Arial" w:cs="Arial"/>
        </w:rPr>
        <w:t xml:space="preserve"> </w:t>
      </w:r>
      <w:bookmarkStart w:id="2" w:name="_Hlk42756915"/>
      <w:r w:rsidRPr="00F25428">
        <w:rPr>
          <w:rFonts w:ascii="Arial" w:hAnsi="Arial" w:cs="Arial"/>
        </w:rPr>
        <w:t>en el número de delitos relacionados con drogas que recibieron algún tipo de sentencia</w:t>
      </w:r>
      <w:r>
        <w:rPr>
          <w:rFonts w:ascii="Arial" w:hAnsi="Arial" w:cs="Arial"/>
        </w:rPr>
        <w:t>,</w:t>
      </w:r>
      <w:r w:rsidRPr="00F25428">
        <w:rPr>
          <w:rFonts w:ascii="Arial" w:hAnsi="Arial" w:cs="Arial"/>
        </w:rPr>
        <w:t xml:space="preserve"> sea condenatoria o absolutoria</w:t>
      </w:r>
      <w:bookmarkEnd w:id="2"/>
      <w:r w:rsidRPr="00F25428">
        <w:rPr>
          <w:rFonts w:ascii="Arial" w:hAnsi="Arial" w:cs="Arial"/>
        </w:rPr>
        <w:t xml:space="preserve">. </w:t>
      </w:r>
      <w:r>
        <w:rPr>
          <w:rFonts w:ascii="Arial" w:hAnsi="Arial" w:cs="Arial"/>
        </w:rPr>
        <w:t>E</w:t>
      </w:r>
      <w:r w:rsidRPr="00F25428">
        <w:rPr>
          <w:rFonts w:ascii="Arial" w:hAnsi="Arial" w:cs="Arial"/>
        </w:rPr>
        <w:t xml:space="preserve">n 2018, </w:t>
      </w:r>
      <w:bookmarkStart w:id="3" w:name="_Hlk42754680"/>
      <w:r w:rsidR="00D546E1">
        <w:rPr>
          <w:rFonts w:ascii="Arial" w:hAnsi="Arial" w:cs="Arial"/>
        </w:rPr>
        <w:t>nueve</w:t>
      </w:r>
      <w:r w:rsidRPr="00F25428">
        <w:rPr>
          <w:rFonts w:ascii="Arial" w:hAnsi="Arial" w:cs="Arial"/>
        </w:rPr>
        <w:t xml:space="preserve"> de cada </w:t>
      </w:r>
      <w:r w:rsidR="00D546E1">
        <w:rPr>
          <w:rFonts w:ascii="Arial" w:hAnsi="Arial" w:cs="Arial"/>
        </w:rPr>
        <w:t>diez</w:t>
      </w:r>
      <w:r w:rsidRPr="00F25428">
        <w:rPr>
          <w:rFonts w:ascii="Arial" w:hAnsi="Arial" w:cs="Arial"/>
        </w:rPr>
        <w:t xml:space="preserve"> de delitos de narcomenudeo y contra la salud cometidos por adultos fueron sentenciados en sentido condenatorio, mientras que </w:t>
      </w:r>
      <w:r w:rsidR="00D546E1">
        <w:rPr>
          <w:rFonts w:ascii="Arial" w:hAnsi="Arial" w:cs="Arial"/>
        </w:rPr>
        <w:t>ocho</w:t>
      </w:r>
      <w:r w:rsidRPr="00F25428">
        <w:rPr>
          <w:rFonts w:ascii="Arial" w:hAnsi="Arial" w:cs="Arial"/>
        </w:rPr>
        <w:t xml:space="preserve"> de cada </w:t>
      </w:r>
      <w:r w:rsidR="00D546E1">
        <w:rPr>
          <w:rFonts w:ascii="Arial" w:hAnsi="Arial" w:cs="Arial"/>
        </w:rPr>
        <w:t>diez</w:t>
      </w:r>
      <w:r w:rsidRPr="00F25428">
        <w:rPr>
          <w:rFonts w:ascii="Arial" w:hAnsi="Arial" w:cs="Arial"/>
        </w:rPr>
        <w:t xml:space="preserve"> de delitos de narcomenudeo cometidos por adolescentes recibieron una sentencia condenatoria</w:t>
      </w:r>
      <w:bookmarkEnd w:id="3"/>
      <w:r w:rsidRPr="00F25428">
        <w:rPr>
          <w:rFonts w:ascii="Arial" w:hAnsi="Arial" w:cs="Arial"/>
        </w:rPr>
        <w:t>.</w:t>
      </w:r>
    </w:p>
    <w:p w14:paraId="7C7B2A73" w14:textId="77777777" w:rsidR="00C509CE" w:rsidRDefault="00C509CE" w:rsidP="00542939">
      <w:pPr>
        <w:spacing w:line="240" w:lineRule="auto"/>
        <w:ind w:left="-284" w:right="-235"/>
        <w:jc w:val="both"/>
        <w:rPr>
          <w:rFonts w:ascii="Arial" w:hAnsi="Arial" w:cs="Arial"/>
        </w:rPr>
      </w:pPr>
      <w:r>
        <w:rPr>
          <w:rFonts w:ascii="Arial" w:hAnsi="Arial" w:cs="Arial"/>
        </w:rPr>
        <w:t xml:space="preserve">El </w:t>
      </w:r>
      <w:r w:rsidRPr="009E30CC">
        <w:rPr>
          <w:rFonts w:ascii="Arial" w:hAnsi="Arial" w:cs="Arial"/>
        </w:rPr>
        <w:t>delito de narcomenudeo representó 14% del total de delitos del fuero común cometidos por los adultos que ingresaron a prisión</w:t>
      </w:r>
      <w:r>
        <w:rPr>
          <w:rFonts w:ascii="Arial" w:hAnsi="Arial" w:cs="Arial"/>
        </w:rPr>
        <w:t xml:space="preserve"> en 2018, siendo el segundo delito más importante por el que son privados de la libertad, solo por detrás del delito de robo; mientras que los delitos federales asociados con narcóticos (delitos contra la salud y narcomenudeo) constituyeron la principal causa por la cual las personas adultas ingresaron a los centros penitenciaros estatales y federales en 2018.</w:t>
      </w:r>
    </w:p>
    <w:p w14:paraId="1C186FD2" w14:textId="62A23989" w:rsidR="00C509CE" w:rsidRPr="00F57FB6" w:rsidRDefault="00C509CE" w:rsidP="00542939">
      <w:pPr>
        <w:spacing w:line="240" w:lineRule="auto"/>
        <w:ind w:left="-284" w:right="-235"/>
        <w:jc w:val="both"/>
        <w:rPr>
          <w:rFonts w:ascii="Arial" w:hAnsi="Arial" w:cs="Arial"/>
        </w:rPr>
      </w:pPr>
      <w:r w:rsidRPr="00F57FB6">
        <w:rPr>
          <w:rFonts w:ascii="Arial" w:hAnsi="Arial" w:cs="Arial"/>
        </w:rPr>
        <w:t>Finalmente, al cierre de 2018, 44% de los delitos asociados con narcóticos cometidos por la población adulta privada de la libertad en los centros penitenciarios estatales no habían recibido sentencia</w:t>
      </w:r>
      <w:r w:rsidR="00D546E1">
        <w:rPr>
          <w:rFonts w:ascii="Arial" w:hAnsi="Arial" w:cs="Arial"/>
        </w:rPr>
        <w:t>. E</w:t>
      </w:r>
      <w:r>
        <w:rPr>
          <w:rFonts w:ascii="Arial" w:hAnsi="Arial" w:cs="Arial"/>
        </w:rPr>
        <w:t>n contraste, 30% de los delitos cometidos por los adultos que se encuentran recluidos en centros penitenciarios federales enfrentaban la misma situación.</w:t>
      </w:r>
    </w:p>
    <w:p w14:paraId="70869072" w14:textId="77777777" w:rsidR="00C509CE" w:rsidRDefault="00C509CE" w:rsidP="00C509CE">
      <w:pPr>
        <w:spacing w:line="240" w:lineRule="auto"/>
        <w:jc w:val="both"/>
        <w:rPr>
          <w:rFonts w:ascii="Arial" w:hAnsi="Arial" w:cs="Arial"/>
        </w:rPr>
      </w:pPr>
    </w:p>
    <w:p w14:paraId="7560585A" w14:textId="04861A5C" w:rsidR="00C509CE" w:rsidRDefault="00C509CE" w:rsidP="00C509CE">
      <w:pPr>
        <w:spacing w:line="240" w:lineRule="auto"/>
        <w:jc w:val="center"/>
        <w:rPr>
          <w:rFonts w:ascii="Arial" w:hAnsi="Arial" w:cs="Arial"/>
          <w:b/>
          <w:bCs/>
        </w:rPr>
      </w:pPr>
      <w:r w:rsidRPr="00D546E1">
        <w:rPr>
          <w:rFonts w:ascii="Arial" w:hAnsi="Arial" w:cs="Arial"/>
          <w:b/>
          <w:bCs/>
        </w:rPr>
        <w:t>Se anexa Nota Técnica</w:t>
      </w:r>
    </w:p>
    <w:p w14:paraId="27ADE9E1" w14:textId="55F227E4" w:rsidR="00D546E1" w:rsidRDefault="00D546E1" w:rsidP="00C509CE">
      <w:pPr>
        <w:spacing w:line="240" w:lineRule="auto"/>
        <w:jc w:val="center"/>
        <w:rPr>
          <w:rFonts w:ascii="Arial" w:hAnsi="Arial" w:cs="Arial"/>
          <w:b/>
          <w:bCs/>
        </w:rPr>
      </w:pPr>
    </w:p>
    <w:p w14:paraId="45F136C9" w14:textId="51CF9882" w:rsidR="00D546E1" w:rsidRDefault="00D546E1" w:rsidP="00C509CE">
      <w:pPr>
        <w:spacing w:line="240" w:lineRule="auto"/>
        <w:jc w:val="center"/>
        <w:rPr>
          <w:rFonts w:ascii="Arial" w:hAnsi="Arial" w:cs="Arial"/>
          <w:b/>
          <w:bCs/>
        </w:rPr>
      </w:pPr>
    </w:p>
    <w:p w14:paraId="241A84C0" w14:textId="28638534" w:rsidR="00D546E1" w:rsidRDefault="00D546E1" w:rsidP="00C509CE">
      <w:pPr>
        <w:spacing w:line="240" w:lineRule="auto"/>
        <w:jc w:val="center"/>
        <w:rPr>
          <w:rFonts w:ascii="Arial" w:hAnsi="Arial" w:cs="Arial"/>
          <w:b/>
          <w:bCs/>
        </w:rPr>
      </w:pPr>
    </w:p>
    <w:p w14:paraId="3CDE4DC3" w14:textId="77777777" w:rsidR="00D546E1" w:rsidRPr="00D546E1" w:rsidRDefault="00D546E1" w:rsidP="00C509CE">
      <w:pPr>
        <w:spacing w:line="240" w:lineRule="auto"/>
        <w:jc w:val="center"/>
        <w:rPr>
          <w:rFonts w:ascii="Arial" w:hAnsi="Arial" w:cs="Arial"/>
          <w:b/>
          <w:bCs/>
        </w:rPr>
      </w:pPr>
    </w:p>
    <w:p w14:paraId="0C2A671D" w14:textId="77777777" w:rsidR="00C509CE" w:rsidRPr="002C58E3" w:rsidRDefault="00C509CE" w:rsidP="00C509CE">
      <w:pPr>
        <w:spacing w:after="0" w:line="240" w:lineRule="auto"/>
        <w:jc w:val="center"/>
        <w:rPr>
          <w:rFonts w:ascii="Arial" w:hAnsi="Arial" w:cs="Arial"/>
        </w:rPr>
      </w:pPr>
    </w:p>
    <w:p w14:paraId="51C28519" w14:textId="77777777" w:rsidR="00C509CE" w:rsidRPr="002C58E3" w:rsidRDefault="00C509CE" w:rsidP="00C509CE">
      <w:pPr>
        <w:spacing w:after="0" w:line="240" w:lineRule="auto"/>
        <w:jc w:val="center"/>
        <w:rPr>
          <w:rFonts w:ascii="Arial" w:hAnsi="Arial" w:cs="Arial"/>
        </w:rPr>
      </w:pPr>
      <w:r w:rsidRPr="002C58E3">
        <w:rPr>
          <w:rFonts w:ascii="Arial" w:hAnsi="Arial" w:cs="Arial"/>
        </w:rPr>
        <w:t>Para consultas de medios y periodistas, contactar a: comunicacionsocial@inegi.org.mx</w:t>
      </w:r>
    </w:p>
    <w:p w14:paraId="2E78E773" w14:textId="77777777" w:rsidR="00C509CE" w:rsidRPr="002C58E3" w:rsidRDefault="00C509CE" w:rsidP="00C509CE">
      <w:pPr>
        <w:spacing w:after="0" w:line="240" w:lineRule="auto"/>
        <w:jc w:val="center"/>
        <w:rPr>
          <w:rFonts w:ascii="Arial" w:hAnsi="Arial" w:cs="Arial"/>
        </w:rPr>
      </w:pPr>
      <w:r w:rsidRPr="002C58E3">
        <w:rPr>
          <w:rFonts w:ascii="Arial" w:hAnsi="Arial" w:cs="Arial"/>
        </w:rPr>
        <w:t>o llamar al teléfono (55) 52-78-10-00, exts. 1134, 1260 y 1241.</w:t>
      </w:r>
    </w:p>
    <w:p w14:paraId="6F53F8AC" w14:textId="77777777" w:rsidR="00C509CE" w:rsidRPr="002C58E3" w:rsidRDefault="00C509CE" w:rsidP="00C509CE">
      <w:pPr>
        <w:spacing w:after="0" w:line="240" w:lineRule="auto"/>
        <w:jc w:val="center"/>
        <w:rPr>
          <w:rFonts w:ascii="Arial" w:hAnsi="Arial" w:cs="Arial"/>
        </w:rPr>
      </w:pPr>
      <w:r w:rsidRPr="002C58E3">
        <w:rPr>
          <w:rFonts w:ascii="Arial" w:hAnsi="Arial" w:cs="Arial"/>
        </w:rPr>
        <w:t>Dirección de Atención a Medios / Dirección General Adjunta de Comunicación</w:t>
      </w:r>
    </w:p>
    <w:p w14:paraId="706653F2" w14:textId="77777777" w:rsidR="002721A0" w:rsidRDefault="00C509CE" w:rsidP="00C509CE">
      <w:pPr>
        <w:spacing w:line="240" w:lineRule="auto"/>
        <w:jc w:val="both"/>
        <w:rPr>
          <w:rFonts w:ascii="Arial" w:hAnsi="Arial" w:cs="Arial"/>
        </w:rPr>
        <w:sectPr w:rsidR="002721A0" w:rsidSect="0087788A">
          <w:headerReference w:type="default" r:id="rId11"/>
          <w:footerReference w:type="default" r:id="rId12"/>
          <w:pgSz w:w="12240" w:h="15840"/>
          <w:pgMar w:top="1418" w:right="1418" w:bottom="1418" w:left="1418" w:header="708" w:footer="708" w:gutter="0"/>
          <w:cols w:space="708"/>
          <w:docGrid w:linePitch="360"/>
        </w:sectPr>
      </w:pPr>
      <w:r w:rsidRPr="002C58E3">
        <w:rPr>
          <w:rFonts w:ascii="Arial" w:hAnsi="Arial" w:cs="Arial"/>
        </w:rPr>
        <w:t xml:space="preserve">           </w:t>
      </w:r>
      <w:r w:rsidRPr="002C58E3">
        <w:rPr>
          <w:noProof/>
          <w:lang w:val="en-US"/>
        </w:rPr>
        <w:drawing>
          <wp:inline distT="0" distB="0" distL="0" distR="0" wp14:anchorId="25F7D685" wp14:editId="2FED7932">
            <wp:extent cx="5614035" cy="6248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4035" cy="624840"/>
                    </a:xfrm>
                    <a:prstGeom prst="rect">
                      <a:avLst/>
                    </a:prstGeom>
                    <a:noFill/>
                    <a:ln>
                      <a:noFill/>
                    </a:ln>
                  </pic:spPr>
                </pic:pic>
              </a:graphicData>
            </a:graphic>
          </wp:inline>
        </w:drawing>
      </w:r>
    </w:p>
    <w:p w14:paraId="0377CCC8" w14:textId="3E698028" w:rsidR="00C509CE" w:rsidRPr="002C58E3" w:rsidRDefault="00C509CE" w:rsidP="00C509CE">
      <w:pPr>
        <w:spacing w:line="240" w:lineRule="auto"/>
        <w:jc w:val="both"/>
        <w:rPr>
          <w:rFonts w:ascii="Arial" w:hAnsi="Arial" w:cs="Arial"/>
        </w:rPr>
      </w:pPr>
    </w:p>
    <w:p w14:paraId="40B511EE" w14:textId="77777777" w:rsidR="00C509CE" w:rsidRDefault="00C509CE" w:rsidP="00D546E1">
      <w:pPr>
        <w:spacing w:after="0" w:line="240" w:lineRule="auto"/>
        <w:rPr>
          <w:rFonts w:ascii="Arial" w:hAnsi="Arial" w:cs="Arial"/>
          <w:b/>
          <w:bCs/>
        </w:rPr>
      </w:pPr>
    </w:p>
    <w:p w14:paraId="1C9C8640" w14:textId="7D7DA023" w:rsidR="00B550E6" w:rsidRDefault="00864E82" w:rsidP="004244D8">
      <w:pPr>
        <w:spacing w:after="0" w:line="240" w:lineRule="auto"/>
        <w:ind w:left="708" w:hanging="708"/>
        <w:jc w:val="center"/>
        <w:rPr>
          <w:rFonts w:ascii="Arial" w:hAnsi="Arial" w:cs="Arial"/>
          <w:b/>
          <w:bCs/>
        </w:rPr>
      </w:pPr>
      <w:r w:rsidRPr="00546337">
        <w:rPr>
          <w:rFonts w:ascii="Arial" w:hAnsi="Arial" w:cs="Arial"/>
          <w:b/>
          <w:bCs/>
        </w:rPr>
        <w:t xml:space="preserve">ESTADÍSTICAS A PRÓPOSITO DEL DÍA INTERNACIONAL DE LA LUCHA CONTRA EL USO INDEBIDO Y EL TRÁFICO </w:t>
      </w:r>
      <w:r w:rsidR="00546337" w:rsidRPr="00546337">
        <w:rPr>
          <w:rFonts w:ascii="Arial" w:hAnsi="Arial" w:cs="Arial"/>
          <w:b/>
          <w:bCs/>
        </w:rPr>
        <w:t>ILÍCITO DE DROGAS (26 DE JUNIO)</w:t>
      </w:r>
    </w:p>
    <w:p w14:paraId="09432ED1" w14:textId="77777777" w:rsidR="00172DBE" w:rsidRDefault="00172DBE" w:rsidP="009310B5">
      <w:pPr>
        <w:pStyle w:val="Prrafodelista"/>
        <w:spacing w:after="0" w:line="240" w:lineRule="auto"/>
        <w:jc w:val="both"/>
        <w:rPr>
          <w:rFonts w:ascii="Arial" w:hAnsi="Arial" w:cs="Arial"/>
          <w:b/>
          <w:bCs/>
        </w:rPr>
      </w:pPr>
    </w:p>
    <w:p w14:paraId="79B1C332" w14:textId="484817CE" w:rsidR="003B49AF" w:rsidRDefault="00A86D38" w:rsidP="009310B5">
      <w:pPr>
        <w:spacing w:line="240" w:lineRule="auto"/>
        <w:rPr>
          <w:rFonts w:ascii="Arial" w:hAnsi="Arial" w:cs="Arial"/>
          <w:b/>
          <w:bCs/>
        </w:rPr>
      </w:pPr>
      <w:r>
        <w:rPr>
          <w:rFonts w:ascii="Arial" w:hAnsi="Arial" w:cs="Arial"/>
          <w:b/>
          <w:bCs/>
        </w:rPr>
        <w:t>CONTEXTO</w:t>
      </w:r>
    </w:p>
    <w:p w14:paraId="740FCA73" w14:textId="0B140EFF" w:rsidR="003B49AF" w:rsidRDefault="003B49AF" w:rsidP="009310B5">
      <w:pPr>
        <w:spacing w:after="120" w:line="240" w:lineRule="auto"/>
        <w:jc w:val="both"/>
        <w:rPr>
          <w:rFonts w:ascii="Arial" w:hAnsi="Arial" w:cs="Arial"/>
        </w:rPr>
      </w:pPr>
      <w:r w:rsidRPr="007315E0">
        <w:rPr>
          <w:rFonts w:ascii="Arial" w:hAnsi="Arial" w:cs="Arial"/>
        </w:rPr>
        <w:t xml:space="preserve">En 1987, la Asamblea General de las Naciones Unidas decidió conmemorar el </w:t>
      </w:r>
      <w:r w:rsidRPr="007315E0">
        <w:rPr>
          <w:rFonts w:ascii="Arial" w:hAnsi="Arial" w:cs="Arial"/>
          <w:i/>
          <w:iCs/>
        </w:rPr>
        <w:t>Día Internacional de la Lucha contra el Uso Indebido y el Tráfico Ilícito de Drogas</w:t>
      </w:r>
      <w:r w:rsidRPr="007315E0">
        <w:rPr>
          <w:rFonts w:ascii="Arial" w:hAnsi="Arial" w:cs="Arial"/>
        </w:rPr>
        <w:t xml:space="preserve"> cada 26 de junio</w:t>
      </w:r>
      <w:r w:rsidRPr="007315E0">
        <w:rPr>
          <w:rStyle w:val="Refdenotaalpie"/>
          <w:rFonts w:ascii="Arial" w:hAnsi="Arial" w:cs="Arial"/>
        </w:rPr>
        <w:footnoteReference w:id="2"/>
      </w:r>
      <w:r w:rsidRPr="007315E0">
        <w:rPr>
          <w:rFonts w:ascii="Arial" w:hAnsi="Arial" w:cs="Arial"/>
        </w:rPr>
        <w:t xml:space="preserve">, </w:t>
      </w:r>
      <w:r>
        <w:rPr>
          <w:rFonts w:ascii="Arial" w:hAnsi="Arial" w:cs="Arial"/>
        </w:rPr>
        <w:t xml:space="preserve">con el fin de </w:t>
      </w:r>
      <w:r w:rsidRPr="007315E0">
        <w:rPr>
          <w:rFonts w:ascii="Arial" w:hAnsi="Arial" w:cs="Arial"/>
        </w:rPr>
        <w:t>refrendar las estrategias y acciones contempladas en las convenciones internacionales</w:t>
      </w:r>
      <w:r w:rsidR="00E7318A">
        <w:rPr>
          <w:rFonts w:ascii="Arial" w:hAnsi="Arial" w:cs="Arial"/>
        </w:rPr>
        <w:t xml:space="preserve"> </w:t>
      </w:r>
      <w:r w:rsidR="00490B48">
        <w:rPr>
          <w:rFonts w:ascii="Arial" w:hAnsi="Arial" w:cs="Arial"/>
        </w:rPr>
        <w:t xml:space="preserve">que definen lineamientos para </w:t>
      </w:r>
      <w:r w:rsidR="00E35AD2">
        <w:rPr>
          <w:rFonts w:ascii="Arial" w:hAnsi="Arial" w:cs="Arial"/>
        </w:rPr>
        <w:t xml:space="preserve">una </w:t>
      </w:r>
      <w:r>
        <w:rPr>
          <w:rFonts w:ascii="Arial" w:hAnsi="Arial" w:cs="Arial"/>
        </w:rPr>
        <w:t>política nacional de drogas</w:t>
      </w:r>
      <w:r w:rsidR="00AE7BA1">
        <w:rPr>
          <w:rFonts w:ascii="Arial" w:hAnsi="Arial" w:cs="Arial"/>
        </w:rPr>
        <w:t xml:space="preserve"> </w:t>
      </w:r>
      <w:r w:rsidR="00E35AD2">
        <w:rPr>
          <w:rFonts w:ascii="Arial" w:hAnsi="Arial" w:cs="Arial"/>
        </w:rPr>
        <w:t xml:space="preserve">que busque </w:t>
      </w:r>
      <w:r>
        <w:rPr>
          <w:rFonts w:ascii="Arial" w:hAnsi="Arial" w:cs="Arial"/>
        </w:rPr>
        <w:t>reducir demanda y oferta de sustancias ilícitas</w:t>
      </w:r>
      <w:r>
        <w:rPr>
          <w:rStyle w:val="Refdenotaalpie"/>
          <w:rFonts w:ascii="Arial" w:hAnsi="Arial" w:cs="Arial"/>
        </w:rPr>
        <w:footnoteReference w:id="3"/>
      </w:r>
      <w:r>
        <w:rPr>
          <w:rFonts w:ascii="Arial" w:hAnsi="Arial" w:cs="Arial"/>
        </w:rPr>
        <w:t>.</w:t>
      </w:r>
    </w:p>
    <w:p w14:paraId="2DB2E6DE" w14:textId="77D9ADE7" w:rsidR="007330F7" w:rsidRPr="00A00CB5" w:rsidRDefault="00E35AD2" w:rsidP="007330F7">
      <w:pPr>
        <w:spacing w:after="120" w:line="240" w:lineRule="auto"/>
        <w:jc w:val="both"/>
        <w:rPr>
          <w:rFonts w:ascii="Arial" w:hAnsi="Arial" w:cs="Arial"/>
        </w:rPr>
      </w:pPr>
      <w:bookmarkStart w:id="4" w:name="_Hlk43293484"/>
      <w:r>
        <w:rPr>
          <w:rFonts w:ascii="Arial" w:hAnsi="Arial" w:cs="Arial"/>
        </w:rPr>
        <w:t>No obstante estos lineamientos</w:t>
      </w:r>
      <w:r w:rsidR="003B49AF">
        <w:rPr>
          <w:rFonts w:ascii="Arial" w:hAnsi="Arial" w:cs="Arial"/>
        </w:rPr>
        <w:t xml:space="preserve">, </w:t>
      </w:r>
      <w:r>
        <w:rPr>
          <w:rFonts w:ascii="Arial" w:hAnsi="Arial" w:cs="Arial"/>
        </w:rPr>
        <w:t xml:space="preserve">algunos países han concentrado las intervenciones públicas para atender los problemas de demanda y oferta de drogas en </w:t>
      </w:r>
      <w:r w:rsidR="003B49AF">
        <w:rPr>
          <w:rFonts w:ascii="Arial" w:hAnsi="Arial" w:cs="Arial"/>
        </w:rPr>
        <w:t xml:space="preserve">acciones punitivas </w:t>
      </w:r>
      <w:r w:rsidR="00B45179">
        <w:rPr>
          <w:rFonts w:ascii="Arial" w:hAnsi="Arial" w:cs="Arial"/>
        </w:rPr>
        <w:t>con</w:t>
      </w:r>
      <w:r>
        <w:rPr>
          <w:rFonts w:ascii="Arial" w:hAnsi="Arial" w:cs="Arial"/>
        </w:rPr>
        <w:t xml:space="preserve"> altos </w:t>
      </w:r>
      <w:r w:rsidR="003B49AF" w:rsidRPr="00A00CB5">
        <w:rPr>
          <w:rFonts w:ascii="Arial" w:hAnsi="Arial" w:cs="Arial"/>
        </w:rPr>
        <w:t xml:space="preserve">costos sociales y </w:t>
      </w:r>
      <w:r w:rsidRPr="00A00CB5">
        <w:rPr>
          <w:rFonts w:ascii="Arial" w:hAnsi="Arial" w:cs="Arial"/>
        </w:rPr>
        <w:t xml:space="preserve">un </w:t>
      </w:r>
      <w:r w:rsidR="003B49AF" w:rsidRPr="00A00CB5">
        <w:rPr>
          <w:rFonts w:ascii="Arial" w:hAnsi="Arial" w:cs="Arial"/>
        </w:rPr>
        <w:t xml:space="preserve">impacto </w:t>
      </w:r>
      <w:r w:rsidRPr="00A00CB5">
        <w:rPr>
          <w:rFonts w:ascii="Arial" w:hAnsi="Arial" w:cs="Arial"/>
        </w:rPr>
        <w:t xml:space="preserve">no previsto </w:t>
      </w:r>
      <w:r w:rsidR="003B49AF" w:rsidRPr="00A00CB5">
        <w:rPr>
          <w:rFonts w:ascii="Arial" w:hAnsi="Arial" w:cs="Arial"/>
        </w:rPr>
        <w:t xml:space="preserve">sobre poblaciones vulnerables. Por ello, en 2016, </w:t>
      </w:r>
      <w:r w:rsidR="00F61726" w:rsidRPr="00A00CB5">
        <w:rPr>
          <w:rFonts w:ascii="Arial" w:hAnsi="Arial" w:cs="Arial"/>
        </w:rPr>
        <w:t xml:space="preserve">bajo la convocatoria de México, Colombia y Guatemala, </w:t>
      </w:r>
      <w:r w:rsidR="003B49AF" w:rsidRPr="00A00CB5">
        <w:rPr>
          <w:rFonts w:ascii="Arial" w:hAnsi="Arial" w:cs="Arial"/>
        </w:rPr>
        <w:t>los países participantes de</w:t>
      </w:r>
      <w:r w:rsidR="00F61726" w:rsidRPr="00A00CB5">
        <w:rPr>
          <w:rFonts w:ascii="Arial" w:hAnsi="Arial" w:cs="Arial"/>
        </w:rPr>
        <w:t>l</w:t>
      </w:r>
      <w:r w:rsidR="003B49AF" w:rsidRPr="00A00CB5">
        <w:rPr>
          <w:rFonts w:ascii="Arial" w:hAnsi="Arial" w:cs="Arial"/>
        </w:rPr>
        <w:t xml:space="preserve"> </w:t>
      </w:r>
      <w:r w:rsidR="00F61726" w:rsidRPr="00A00CB5">
        <w:rPr>
          <w:rFonts w:ascii="Arial" w:hAnsi="Arial" w:cs="Arial"/>
        </w:rPr>
        <w:t xml:space="preserve">trigésimo período extraordinario de sesiones de la Asamblea General de las Naciones Unidas (UNGASS 2016), </w:t>
      </w:r>
      <w:r w:rsidR="003B49AF" w:rsidRPr="00A00CB5">
        <w:rPr>
          <w:rFonts w:ascii="Arial" w:hAnsi="Arial" w:cs="Arial"/>
        </w:rPr>
        <w:t xml:space="preserve">acordaron adoptar la perspectiva de género y de derechos humanos con el fin de promover y aplicar respuestas eficaces en materia de justicia penal para los delitos relacionados con narcóticos. </w:t>
      </w:r>
      <w:r w:rsidR="007330F7" w:rsidRPr="00A00CB5">
        <w:rPr>
          <w:rFonts w:ascii="Arial" w:hAnsi="Arial" w:cs="Arial"/>
        </w:rPr>
        <w:t xml:space="preserve">En esa sesión, </w:t>
      </w:r>
      <w:r w:rsidR="009B31A5" w:rsidRPr="00A00CB5">
        <w:rPr>
          <w:rFonts w:ascii="Arial" w:hAnsi="Arial" w:cs="Arial"/>
        </w:rPr>
        <w:t>se acordaron</w:t>
      </w:r>
      <w:r w:rsidR="00F61726" w:rsidRPr="00A00CB5">
        <w:rPr>
          <w:rFonts w:ascii="Arial" w:hAnsi="Arial" w:cs="Arial"/>
        </w:rPr>
        <w:t xml:space="preserve">, entre otras medidas, </w:t>
      </w:r>
      <w:r w:rsidR="007330F7" w:rsidRPr="00A00CB5">
        <w:rPr>
          <w:rFonts w:ascii="Arial" w:hAnsi="Arial" w:cs="Arial"/>
        </w:rPr>
        <w:t xml:space="preserve">el promover penas proporcionales y alternativas para los delitos relacionados con drogas, así como atender el consumo de sustancias </w:t>
      </w:r>
      <w:r w:rsidR="00F61726" w:rsidRPr="00A00CB5">
        <w:rPr>
          <w:rFonts w:ascii="Arial" w:hAnsi="Arial" w:cs="Arial"/>
        </w:rPr>
        <w:t xml:space="preserve">psicoactivas </w:t>
      </w:r>
      <w:r w:rsidR="007330F7" w:rsidRPr="00A00CB5">
        <w:rPr>
          <w:rFonts w:ascii="Arial" w:hAnsi="Arial" w:cs="Arial"/>
        </w:rPr>
        <w:t>desde el ámbito de la salud pública</w:t>
      </w:r>
      <w:r w:rsidR="009B31A5" w:rsidRPr="00A00CB5">
        <w:rPr>
          <w:rStyle w:val="Refdenotaalpie"/>
          <w:rFonts w:ascii="Arial" w:hAnsi="Arial" w:cs="Arial"/>
        </w:rPr>
        <w:footnoteReference w:id="4"/>
      </w:r>
      <w:r w:rsidR="007330F7" w:rsidRPr="00A00CB5">
        <w:rPr>
          <w:rFonts w:ascii="Arial" w:hAnsi="Arial" w:cs="Arial"/>
        </w:rPr>
        <w:t xml:space="preserve">. </w:t>
      </w:r>
    </w:p>
    <w:p w14:paraId="24E009DB" w14:textId="1CE42ACB" w:rsidR="00507ACE" w:rsidRPr="00A00CB5" w:rsidRDefault="003B49AF" w:rsidP="009310B5">
      <w:pPr>
        <w:spacing w:after="120" w:line="240" w:lineRule="auto"/>
        <w:jc w:val="both"/>
        <w:rPr>
          <w:rFonts w:ascii="Arial" w:hAnsi="Arial" w:cs="Arial"/>
        </w:rPr>
      </w:pPr>
      <w:r w:rsidRPr="00A00CB5">
        <w:rPr>
          <w:rFonts w:ascii="Arial" w:hAnsi="Arial" w:cs="Arial"/>
        </w:rPr>
        <w:t xml:space="preserve">Estos puntos </w:t>
      </w:r>
      <w:r w:rsidR="00B31283" w:rsidRPr="00A00CB5">
        <w:rPr>
          <w:rFonts w:ascii="Arial" w:hAnsi="Arial" w:cs="Arial"/>
        </w:rPr>
        <w:t xml:space="preserve">se reflejan también en el </w:t>
      </w:r>
      <w:r w:rsidR="00266CEF" w:rsidRPr="00A00CB5">
        <w:rPr>
          <w:rFonts w:ascii="Arial" w:hAnsi="Arial" w:cs="Arial"/>
        </w:rPr>
        <w:t>actual P</w:t>
      </w:r>
      <w:r w:rsidRPr="00A00CB5">
        <w:rPr>
          <w:rFonts w:ascii="Arial" w:hAnsi="Arial" w:cs="Arial"/>
        </w:rPr>
        <w:t xml:space="preserve">lan Nacional de Desarrollo 2019 – 2024 </w:t>
      </w:r>
      <w:r w:rsidR="00B31283" w:rsidRPr="00A00CB5">
        <w:rPr>
          <w:rFonts w:ascii="Arial" w:hAnsi="Arial" w:cs="Arial"/>
        </w:rPr>
        <w:t xml:space="preserve">donde se </w:t>
      </w:r>
      <w:r w:rsidRPr="00A00CB5">
        <w:rPr>
          <w:rFonts w:ascii="Arial" w:hAnsi="Arial" w:cs="Arial"/>
        </w:rPr>
        <w:t xml:space="preserve">hace explícito reformular el combate a las drogas </w:t>
      </w:r>
      <w:r w:rsidR="00237C02" w:rsidRPr="00A00CB5">
        <w:rPr>
          <w:rFonts w:ascii="Arial" w:hAnsi="Arial" w:cs="Arial"/>
        </w:rPr>
        <w:t>haciendo</w:t>
      </w:r>
      <w:r w:rsidR="00B31283" w:rsidRPr="00A00CB5">
        <w:rPr>
          <w:rFonts w:ascii="Arial" w:hAnsi="Arial" w:cs="Arial"/>
        </w:rPr>
        <w:t xml:space="preserve"> énfasis en el </w:t>
      </w:r>
      <w:r w:rsidRPr="00A00CB5">
        <w:rPr>
          <w:rFonts w:ascii="Arial" w:hAnsi="Arial" w:cs="Arial"/>
        </w:rPr>
        <w:t xml:space="preserve">enfoque de salud </w:t>
      </w:r>
      <w:r w:rsidR="00B31283" w:rsidRPr="00A00CB5">
        <w:rPr>
          <w:rFonts w:ascii="Arial" w:hAnsi="Arial" w:cs="Arial"/>
        </w:rPr>
        <w:t xml:space="preserve">y la </w:t>
      </w:r>
      <w:r w:rsidRPr="00A00CB5">
        <w:rPr>
          <w:rFonts w:ascii="Arial" w:hAnsi="Arial" w:cs="Arial"/>
        </w:rPr>
        <w:t xml:space="preserve">implementación de estrategias </w:t>
      </w:r>
      <w:r w:rsidR="001A6C14" w:rsidRPr="00A00CB5">
        <w:rPr>
          <w:rFonts w:ascii="Arial" w:hAnsi="Arial" w:cs="Arial"/>
        </w:rPr>
        <w:t>encaminadas al</w:t>
      </w:r>
      <w:r w:rsidRPr="00A00CB5">
        <w:rPr>
          <w:rFonts w:ascii="Arial" w:hAnsi="Arial" w:cs="Arial"/>
        </w:rPr>
        <w:t xml:space="preserve"> desarrollo </w:t>
      </w:r>
      <w:r w:rsidR="001A6C14" w:rsidRPr="00A00CB5">
        <w:rPr>
          <w:rFonts w:ascii="Arial" w:hAnsi="Arial" w:cs="Arial"/>
        </w:rPr>
        <w:t xml:space="preserve">de las comunidades y grupos </w:t>
      </w:r>
      <w:r w:rsidR="00B31283" w:rsidRPr="00A00CB5">
        <w:rPr>
          <w:rFonts w:ascii="Arial" w:hAnsi="Arial" w:cs="Arial"/>
        </w:rPr>
        <w:t>vulnerables al tema</w:t>
      </w:r>
      <w:r w:rsidR="00B31283" w:rsidRPr="00A00CB5">
        <w:rPr>
          <w:rStyle w:val="Refdenotaalpie"/>
          <w:rFonts w:ascii="Arial" w:hAnsi="Arial" w:cs="Arial"/>
        </w:rPr>
        <w:footnoteReference w:id="5"/>
      </w:r>
      <w:r w:rsidR="00A6066C" w:rsidRPr="00A00CB5">
        <w:rPr>
          <w:rFonts w:ascii="Arial" w:hAnsi="Arial" w:cs="Arial"/>
        </w:rPr>
        <w:t>.</w:t>
      </w:r>
      <w:r w:rsidR="00A426C2" w:rsidRPr="00A00CB5">
        <w:rPr>
          <w:rFonts w:ascii="Arial" w:hAnsi="Arial" w:cs="Arial"/>
        </w:rPr>
        <w:t xml:space="preserve"> </w:t>
      </w:r>
    </w:p>
    <w:bookmarkEnd w:id="4"/>
    <w:p w14:paraId="1A4FFCA1" w14:textId="77777777" w:rsidR="002721A0" w:rsidRDefault="00D42C0C" w:rsidP="009310B5">
      <w:pPr>
        <w:spacing w:after="0" w:line="240" w:lineRule="auto"/>
        <w:jc w:val="both"/>
        <w:rPr>
          <w:rFonts w:ascii="Arial" w:hAnsi="Arial" w:cs="Arial"/>
        </w:rPr>
      </w:pPr>
      <w:r w:rsidRPr="00A00CB5">
        <w:rPr>
          <w:rFonts w:ascii="Arial" w:hAnsi="Arial" w:cs="Arial"/>
        </w:rPr>
        <w:t xml:space="preserve">Ante este contexto y en </w:t>
      </w:r>
      <w:r w:rsidR="00880C90" w:rsidRPr="00A00CB5">
        <w:rPr>
          <w:rFonts w:ascii="Arial" w:hAnsi="Arial" w:cs="Arial"/>
        </w:rPr>
        <w:t xml:space="preserve">concordancia con la </w:t>
      </w:r>
      <w:r w:rsidR="001128EB" w:rsidRPr="00A00CB5">
        <w:rPr>
          <w:rFonts w:ascii="Arial" w:hAnsi="Arial" w:cs="Arial"/>
        </w:rPr>
        <w:t>c</w:t>
      </w:r>
      <w:r w:rsidR="00880C90" w:rsidRPr="00A00CB5">
        <w:rPr>
          <w:rFonts w:ascii="Arial" w:hAnsi="Arial" w:cs="Arial"/>
        </w:rPr>
        <w:t xml:space="preserve">ampaña </w:t>
      </w:r>
      <w:r w:rsidR="001128EB" w:rsidRPr="00A00CB5">
        <w:rPr>
          <w:rFonts w:ascii="Arial" w:hAnsi="Arial" w:cs="Arial"/>
        </w:rPr>
        <w:t xml:space="preserve">mundial </w:t>
      </w:r>
      <w:r w:rsidR="00880C90" w:rsidRPr="00A00CB5">
        <w:rPr>
          <w:rFonts w:ascii="Arial" w:hAnsi="Arial" w:cs="Arial"/>
        </w:rPr>
        <w:t>“Salud para la Justicia. Justicia para la Salud”</w:t>
      </w:r>
      <w:r w:rsidR="00617FBA" w:rsidRPr="00A00CB5">
        <w:rPr>
          <w:rStyle w:val="Refdenotaalpie"/>
          <w:rFonts w:ascii="Arial" w:hAnsi="Arial" w:cs="Arial"/>
        </w:rPr>
        <w:footnoteReference w:id="6"/>
      </w:r>
      <w:r w:rsidR="00B52523" w:rsidRPr="00A00CB5">
        <w:rPr>
          <w:rFonts w:ascii="Arial" w:hAnsi="Arial" w:cs="Arial"/>
        </w:rPr>
        <w:t>,</w:t>
      </w:r>
      <w:r w:rsidR="00E54E52" w:rsidRPr="00A00CB5">
        <w:rPr>
          <w:rFonts w:ascii="Arial" w:hAnsi="Arial" w:cs="Arial"/>
        </w:rPr>
        <w:t xml:space="preserve"> </w:t>
      </w:r>
      <w:r w:rsidR="00880C90" w:rsidRPr="00A00CB5">
        <w:rPr>
          <w:rFonts w:ascii="Arial" w:hAnsi="Arial" w:cs="Arial"/>
        </w:rPr>
        <w:t xml:space="preserve">el </w:t>
      </w:r>
      <w:r w:rsidR="002721A0">
        <w:rPr>
          <w:rFonts w:ascii="Arial" w:hAnsi="Arial" w:cs="Arial"/>
        </w:rPr>
        <w:t>INEGI</w:t>
      </w:r>
      <w:r w:rsidR="00880C90" w:rsidRPr="00A00CB5">
        <w:rPr>
          <w:rFonts w:ascii="Arial" w:hAnsi="Arial" w:cs="Arial"/>
        </w:rPr>
        <w:t xml:space="preserve"> </w:t>
      </w:r>
      <w:r w:rsidR="0073482C" w:rsidRPr="00A00CB5">
        <w:rPr>
          <w:rFonts w:ascii="Arial" w:hAnsi="Arial" w:cs="Arial"/>
        </w:rPr>
        <w:t>ofrece</w:t>
      </w:r>
      <w:r w:rsidR="00880C90" w:rsidRPr="00A00CB5">
        <w:rPr>
          <w:rFonts w:ascii="Arial" w:hAnsi="Arial" w:cs="Arial"/>
        </w:rPr>
        <w:t xml:space="preserve"> </w:t>
      </w:r>
      <w:r w:rsidR="00E54E52" w:rsidRPr="00A00CB5">
        <w:rPr>
          <w:rFonts w:ascii="Arial" w:hAnsi="Arial" w:cs="Arial"/>
        </w:rPr>
        <w:t xml:space="preserve">un panorama estadístico sobre </w:t>
      </w:r>
      <w:r w:rsidR="00B31283" w:rsidRPr="00A00CB5">
        <w:rPr>
          <w:rFonts w:ascii="Arial" w:hAnsi="Arial" w:cs="Arial"/>
        </w:rPr>
        <w:t xml:space="preserve">un aspecto del problema: </w:t>
      </w:r>
      <w:r w:rsidR="00BA1FD2" w:rsidRPr="00A00CB5">
        <w:rPr>
          <w:rFonts w:ascii="Arial" w:hAnsi="Arial" w:cs="Arial"/>
        </w:rPr>
        <w:t>la criminalidad asociad</w:t>
      </w:r>
      <w:r w:rsidR="00BD58C0" w:rsidRPr="00A00CB5">
        <w:rPr>
          <w:rFonts w:ascii="Arial" w:hAnsi="Arial" w:cs="Arial"/>
        </w:rPr>
        <w:t xml:space="preserve">a con </w:t>
      </w:r>
      <w:r w:rsidR="00BA1FD2" w:rsidRPr="00A00CB5">
        <w:rPr>
          <w:rFonts w:ascii="Arial" w:hAnsi="Arial" w:cs="Arial"/>
        </w:rPr>
        <w:t>drogas</w:t>
      </w:r>
      <w:r w:rsidR="00B31283" w:rsidRPr="00A00CB5">
        <w:rPr>
          <w:rFonts w:ascii="Arial" w:hAnsi="Arial" w:cs="Arial"/>
        </w:rPr>
        <w:t xml:space="preserve">. </w:t>
      </w:r>
      <w:r w:rsidR="0073482C" w:rsidRPr="00A00CB5">
        <w:rPr>
          <w:rFonts w:ascii="Arial" w:hAnsi="Arial" w:cs="Arial"/>
        </w:rPr>
        <w:t xml:space="preserve">A partir de la última información disponible en el Censo Nacional de Procuración de Justicia Estatal </w:t>
      </w:r>
      <w:r w:rsidR="00D745D1" w:rsidRPr="00A00CB5">
        <w:rPr>
          <w:rFonts w:ascii="Arial" w:hAnsi="Arial" w:cs="Arial"/>
        </w:rPr>
        <w:t xml:space="preserve"> </w:t>
      </w:r>
      <w:r w:rsidR="0073482C" w:rsidRPr="00A00CB5">
        <w:rPr>
          <w:rFonts w:ascii="Arial" w:hAnsi="Arial" w:cs="Arial"/>
        </w:rPr>
        <w:t xml:space="preserve">(CNPJE), el Censo Nacional de Procuración de Justicia Federal </w:t>
      </w:r>
      <w:r w:rsidR="00D745D1" w:rsidRPr="00A00CB5">
        <w:rPr>
          <w:rFonts w:ascii="Arial" w:hAnsi="Arial" w:cs="Arial"/>
        </w:rPr>
        <w:t xml:space="preserve"> </w:t>
      </w:r>
      <w:r w:rsidR="0073482C" w:rsidRPr="00A00CB5">
        <w:rPr>
          <w:rFonts w:ascii="Arial" w:hAnsi="Arial" w:cs="Arial"/>
        </w:rPr>
        <w:t xml:space="preserve">(CNPJF), el Censo Nacional de Impartición de Justicia Estatal </w:t>
      </w:r>
      <w:r w:rsidR="00D745D1" w:rsidRPr="00A00CB5">
        <w:rPr>
          <w:rFonts w:ascii="Arial" w:hAnsi="Arial" w:cs="Arial"/>
        </w:rPr>
        <w:t xml:space="preserve"> </w:t>
      </w:r>
      <w:r w:rsidR="0073482C" w:rsidRPr="00A00CB5">
        <w:rPr>
          <w:rFonts w:ascii="Arial" w:hAnsi="Arial" w:cs="Arial"/>
        </w:rPr>
        <w:t xml:space="preserve">(CNIJE), el Censo Nacional de Impartición de Justicia Federal </w:t>
      </w:r>
      <w:r w:rsidR="00D745D1" w:rsidRPr="00A00CB5">
        <w:rPr>
          <w:rFonts w:ascii="Arial" w:hAnsi="Arial" w:cs="Arial"/>
        </w:rPr>
        <w:t xml:space="preserve"> </w:t>
      </w:r>
      <w:r w:rsidR="0073482C" w:rsidRPr="00A00CB5">
        <w:rPr>
          <w:rFonts w:ascii="Arial" w:hAnsi="Arial" w:cs="Arial"/>
        </w:rPr>
        <w:t xml:space="preserve">(CNIJF), el Censo Nacional de Gobierno, Seguridad </w:t>
      </w:r>
    </w:p>
    <w:p w14:paraId="2AF39EED" w14:textId="77777777" w:rsidR="002721A0" w:rsidRDefault="002721A0" w:rsidP="009310B5">
      <w:pPr>
        <w:spacing w:after="0" w:line="240" w:lineRule="auto"/>
        <w:jc w:val="both"/>
        <w:rPr>
          <w:rFonts w:ascii="Arial" w:hAnsi="Arial" w:cs="Arial"/>
        </w:rPr>
      </w:pPr>
    </w:p>
    <w:p w14:paraId="6B0823CF" w14:textId="77777777" w:rsidR="002721A0" w:rsidRDefault="002721A0" w:rsidP="009310B5">
      <w:pPr>
        <w:spacing w:after="0" w:line="240" w:lineRule="auto"/>
        <w:jc w:val="both"/>
        <w:rPr>
          <w:rFonts w:ascii="Arial" w:hAnsi="Arial" w:cs="Arial"/>
        </w:rPr>
      </w:pPr>
    </w:p>
    <w:p w14:paraId="1384A1DC" w14:textId="77777777" w:rsidR="002721A0" w:rsidRDefault="002721A0" w:rsidP="009310B5">
      <w:pPr>
        <w:spacing w:after="0" w:line="240" w:lineRule="auto"/>
        <w:jc w:val="both"/>
        <w:rPr>
          <w:rFonts w:ascii="Arial" w:hAnsi="Arial" w:cs="Arial"/>
        </w:rPr>
      </w:pPr>
    </w:p>
    <w:p w14:paraId="6DBC3746" w14:textId="2535943D" w:rsidR="00AB7E39" w:rsidRPr="00A00CB5" w:rsidRDefault="0073482C" w:rsidP="009310B5">
      <w:pPr>
        <w:spacing w:after="0" w:line="240" w:lineRule="auto"/>
        <w:jc w:val="both"/>
        <w:rPr>
          <w:rFonts w:ascii="Arial" w:hAnsi="Arial" w:cs="Arial"/>
        </w:rPr>
      </w:pPr>
      <w:r w:rsidRPr="00A00CB5">
        <w:rPr>
          <w:rFonts w:ascii="Arial" w:hAnsi="Arial" w:cs="Arial"/>
        </w:rPr>
        <w:t xml:space="preserve">Pública y Sistema Penitenciario Estatales </w:t>
      </w:r>
      <w:r w:rsidR="00D745D1" w:rsidRPr="00A00CB5">
        <w:rPr>
          <w:rFonts w:ascii="Arial" w:hAnsi="Arial" w:cs="Arial"/>
        </w:rPr>
        <w:t xml:space="preserve"> </w:t>
      </w:r>
      <w:r w:rsidRPr="00A00CB5">
        <w:rPr>
          <w:rFonts w:ascii="Arial" w:hAnsi="Arial" w:cs="Arial"/>
        </w:rPr>
        <w:t xml:space="preserve">(CNGSPSPE) y en el Censo Nacional de Sistema Penitenciario Federal </w:t>
      </w:r>
      <w:r w:rsidR="00D745D1" w:rsidRPr="00A00CB5">
        <w:rPr>
          <w:rFonts w:ascii="Arial" w:hAnsi="Arial" w:cs="Arial"/>
        </w:rPr>
        <w:t xml:space="preserve"> </w:t>
      </w:r>
      <w:r w:rsidRPr="00A00CB5">
        <w:rPr>
          <w:rFonts w:ascii="Arial" w:hAnsi="Arial" w:cs="Arial"/>
        </w:rPr>
        <w:t>(CNSPF), se llevó a cabo un analisis</w:t>
      </w:r>
      <w:r w:rsidR="00AB7E39" w:rsidRPr="00A00CB5">
        <w:rPr>
          <w:rFonts w:ascii="Arial" w:hAnsi="Arial" w:cs="Arial"/>
        </w:rPr>
        <w:t xml:space="preserve">, para el periodo 2016 a 2018, </w:t>
      </w:r>
      <w:r w:rsidRPr="00A00CB5">
        <w:rPr>
          <w:rFonts w:ascii="Arial" w:hAnsi="Arial" w:cs="Arial"/>
        </w:rPr>
        <w:t xml:space="preserve">de los datos sobre </w:t>
      </w:r>
      <w:r w:rsidR="003B49AF" w:rsidRPr="00A00CB5">
        <w:rPr>
          <w:rFonts w:ascii="Arial" w:hAnsi="Arial" w:cs="Arial"/>
        </w:rPr>
        <w:t>delitos de narcomenudeo</w:t>
      </w:r>
      <w:r w:rsidR="003B6C73" w:rsidRPr="00A00CB5">
        <w:rPr>
          <w:rFonts w:ascii="Arial" w:hAnsi="Arial" w:cs="Arial"/>
        </w:rPr>
        <w:t>,</w:t>
      </w:r>
      <w:r w:rsidR="003B49AF" w:rsidRPr="00A00CB5">
        <w:rPr>
          <w:rFonts w:ascii="Arial" w:hAnsi="Arial" w:cs="Arial"/>
        </w:rPr>
        <w:t xml:space="preserve"> delitos contra la salud</w:t>
      </w:r>
      <w:r w:rsidR="00F6260D" w:rsidRPr="00A00CB5">
        <w:rPr>
          <w:rFonts w:ascii="Arial" w:hAnsi="Arial" w:cs="Arial"/>
        </w:rPr>
        <w:t xml:space="preserve">, así como </w:t>
      </w:r>
      <w:r w:rsidRPr="00A00CB5">
        <w:rPr>
          <w:rFonts w:ascii="Arial" w:hAnsi="Arial" w:cs="Arial"/>
        </w:rPr>
        <w:t>de la información referente a</w:t>
      </w:r>
      <w:r w:rsidR="00B31283" w:rsidRPr="00A00CB5">
        <w:rPr>
          <w:rFonts w:ascii="Arial" w:hAnsi="Arial" w:cs="Arial"/>
        </w:rPr>
        <w:t xml:space="preserve"> </w:t>
      </w:r>
      <w:r w:rsidR="003B49AF" w:rsidRPr="00A00CB5">
        <w:rPr>
          <w:rFonts w:ascii="Arial" w:hAnsi="Arial" w:cs="Arial"/>
        </w:rPr>
        <w:t xml:space="preserve">las personas que presuntamente cometieron </w:t>
      </w:r>
      <w:r w:rsidR="00F6260D" w:rsidRPr="00A00CB5">
        <w:rPr>
          <w:rFonts w:ascii="Arial" w:hAnsi="Arial" w:cs="Arial"/>
        </w:rPr>
        <w:t>estos</w:t>
      </w:r>
      <w:r w:rsidR="003B49AF" w:rsidRPr="00A00CB5">
        <w:rPr>
          <w:rFonts w:ascii="Arial" w:hAnsi="Arial" w:cs="Arial"/>
        </w:rPr>
        <w:t xml:space="preserve"> delitos</w:t>
      </w:r>
      <w:r w:rsidR="00AB7E39" w:rsidRPr="00A00CB5">
        <w:rPr>
          <w:rFonts w:ascii="Arial" w:hAnsi="Arial" w:cs="Arial"/>
        </w:rPr>
        <w:t>.</w:t>
      </w:r>
    </w:p>
    <w:p w14:paraId="31B70384" w14:textId="77777777" w:rsidR="00A00CB5" w:rsidRDefault="00A00CB5" w:rsidP="009310B5">
      <w:pPr>
        <w:spacing w:line="240" w:lineRule="auto"/>
        <w:jc w:val="both"/>
        <w:rPr>
          <w:rFonts w:ascii="Arial" w:hAnsi="Arial" w:cs="Arial"/>
          <w:b/>
          <w:bCs/>
        </w:rPr>
      </w:pPr>
    </w:p>
    <w:p w14:paraId="13B50CA3" w14:textId="6AAA2BEE" w:rsidR="00062A54" w:rsidRPr="00A00CB5" w:rsidRDefault="00A86D38" w:rsidP="009310B5">
      <w:pPr>
        <w:spacing w:line="240" w:lineRule="auto"/>
        <w:jc w:val="both"/>
        <w:rPr>
          <w:rFonts w:ascii="Arial" w:hAnsi="Arial" w:cs="Arial"/>
          <w:b/>
          <w:bCs/>
        </w:rPr>
      </w:pPr>
      <w:r w:rsidRPr="00A00CB5">
        <w:rPr>
          <w:rFonts w:ascii="Arial" w:hAnsi="Arial" w:cs="Arial"/>
          <w:b/>
          <w:bCs/>
        </w:rPr>
        <w:t>DELITOS ASOCIADOS CON NARCÓTICOS</w:t>
      </w:r>
    </w:p>
    <w:p w14:paraId="62FA300B" w14:textId="5D72B40F" w:rsidR="00062A54" w:rsidRDefault="00062A54" w:rsidP="009310B5">
      <w:pPr>
        <w:spacing w:line="240" w:lineRule="auto"/>
        <w:jc w:val="both"/>
        <w:rPr>
          <w:rStyle w:val="Refdecomentario"/>
          <w:rFonts w:ascii="Arial" w:hAnsi="Arial" w:cs="Arial"/>
          <w:sz w:val="22"/>
          <w:szCs w:val="22"/>
        </w:rPr>
      </w:pPr>
      <w:r w:rsidRPr="00A00CB5">
        <w:rPr>
          <w:rFonts w:ascii="Arial" w:hAnsi="Arial" w:cs="Arial"/>
        </w:rPr>
        <w:t xml:space="preserve">Los delitos asociados con narcóticos </w:t>
      </w:r>
      <w:r w:rsidR="007825BA" w:rsidRPr="00A00CB5">
        <w:rPr>
          <w:rFonts w:ascii="Arial" w:hAnsi="Arial" w:cs="Arial"/>
        </w:rPr>
        <w:t xml:space="preserve">se </w:t>
      </w:r>
      <w:r w:rsidRPr="00A00CB5">
        <w:rPr>
          <w:rFonts w:ascii="Arial" w:hAnsi="Arial" w:cs="Arial"/>
        </w:rPr>
        <w:t>refieren a narcomenudeo y a los delitos contra la salud.</w:t>
      </w:r>
      <w:r>
        <w:rPr>
          <w:rFonts w:ascii="Arial" w:hAnsi="Arial" w:cs="Arial"/>
        </w:rPr>
        <w:t xml:space="preserve"> De acuerdo </w:t>
      </w:r>
      <w:r w:rsidR="00970098">
        <w:rPr>
          <w:rFonts w:ascii="Arial" w:hAnsi="Arial" w:cs="Arial"/>
        </w:rPr>
        <w:t>con la</w:t>
      </w:r>
      <w:r>
        <w:rPr>
          <w:rFonts w:ascii="Arial" w:hAnsi="Arial" w:cs="Arial"/>
        </w:rPr>
        <w:t xml:space="preserve"> Ley General de Salud, el delito de narcomenudeo existe cuando la cantidad de cannabis, cocaína, opio, heroína, alucinógenos y/o estimulantes de tipo anfetam</w:t>
      </w:r>
      <w:r w:rsidR="004460B4">
        <w:rPr>
          <w:rFonts w:ascii="Arial" w:hAnsi="Arial" w:cs="Arial"/>
        </w:rPr>
        <w:t>í</w:t>
      </w:r>
      <w:r>
        <w:rPr>
          <w:rFonts w:ascii="Arial" w:hAnsi="Arial" w:cs="Arial"/>
        </w:rPr>
        <w:t xml:space="preserve">nico es inferior a lo que resulte de multiplicar por mil el gramaje especificado en la </w:t>
      </w:r>
      <w:r w:rsidRPr="00FA43EA">
        <w:rPr>
          <w:rFonts w:ascii="Arial" w:hAnsi="Arial" w:cs="Arial"/>
          <w:i/>
          <w:iCs/>
        </w:rPr>
        <w:t>Tabla de orientación de dosis máximas de consumo personal e inmediato</w:t>
      </w:r>
      <w:r w:rsidRPr="007315E0">
        <w:rPr>
          <w:rStyle w:val="Refdenotaalpie"/>
          <w:rFonts w:ascii="Arial" w:hAnsi="Arial" w:cs="Arial"/>
        </w:rPr>
        <w:footnoteReference w:id="7"/>
      </w:r>
      <w:r w:rsidR="005C5ADE" w:rsidRPr="005C5ADE">
        <w:rPr>
          <w:rFonts w:ascii="Arial" w:hAnsi="Arial" w:cs="Arial"/>
        </w:rPr>
        <w:t xml:space="preserve"> </w:t>
      </w:r>
      <w:r w:rsidR="00875BB7" w:rsidRPr="00E1394E">
        <w:rPr>
          <w:rFonts w:ascii="Arial" w:hAnsi="Arial" w:cs="Arial"/>
        </w:rPr>
        <w:t>(Anexo 1)</w:t>
      </w:r>
      <w:r w:rsidR="00E1394E">
        <w:rPr>
          <w:rFonts w:ascii="Arial" w:hAnsi="Arial" w:cs="Arial"/>
        </w:rPr>
        <w:t>,</w:t>
      </w:r>
      <w:r>
        <w:rPr>
          <w:rFonts w:ascii="Arial" w:hAnsi="Arial" w:cs="Arial"/>
          <w:i/>
          <w:iCs/>
        </w:rPr>
        <w:t xml:space="preserve"> </w:t>
      </w:r>
      <w:r w:rsidRPr="00341EBD">
        <w:rPr>
          <w:rFonts w:ascii="Arial" w:hAnsi="Arial" w:cs="Arial"/>
        </w:rPr>
        <w:t>y no existan elementos para presumir delincuencia organizada</w:t>
      </w:r>
      <w:r>
        <w:rPr>
          <w:rFonts w:ascii="Arial" w:hAnsi="Arial" w:cs="Arial"/>
        </w:rPr>
        <w:t>;</w:t>
      </w:r>
      <w:r w:rsidRPr="00341EBD">
        <w:rPr>
          <w:rFonts w:ascii="Arial" w:hAnsi="Arial" w:cs="Arial"/>
        </w:rPr>
        <w:t xml:space="preserve"> por tanto, las autoridades de procuración e impartición de justicia del fuero </w:t>
      </w:r>
      <w:r w:rsidR="00BD58C0">
        <w:rPr>
          <w:rFonts w:ascii="Arial" w:hAnsi="Arial" w:cs="Arial"/>
        </w:rPr>
        <w:t>común</w:t>
      </w:r>
      <w:r w:rsidRPr="00341EBD">
        <w:rPr>
          <w:rFonts w:ascii="Arial" w:hAnsi="Arial" w:cs="Arial"/>
        </w:rPr>
        <w:t xml:space="preserve"> tienen la</w:t>
      </w:r>
      <w:r>
        <w:rPr>
          <w:rFonts w:ascii="Arial" w:hAnsi="Arial" w:cs="Arial"/>
        </w:rPr>
        <w:t>s</w:t>
      </w:r>
      <w:r w:rsidRPr="00341EBD">
        <w:rPr>
          <w:rFonts w:ascii="Arial" w:hAnsi="Arial" w:cs="Arial"/>
        </w:rPr>
        <w:t xml:space="preserve"> facultad</w:t>
      </w:r>
      <w:r>
        <w:rPr>
          <w:rFonts w:ascii="Arial" w:hAnsi="Arial" w:cs="Arial"/>
        </w:rPr>
        <w:t xml:space="preserve">es </w:t>
      </w:r>
      <w:r w:rsidRPr="00341EBD">
        <w:rPr>
          <w:rFonts w:ascii="Arial" w:hAnsi="Arial" w:cs="Arial"/>
        </w:rPr>
        <w:t>de investigar, perseguir y sancionar</w:t>
      </w:r>
      <w:r w:rsidR="00AA78A7">
        <w:rPr>
          <w:rFonts w:ascii="Arial" w:hAnsi="Arial" w:cs="Arial"/>
        </w:rPr>
        <w:t xml:space="preserve"> este delito</w:t>
      </w:r>
      <w:r w:rsidR="009B6040">
        <w:rPr>
          <w:rFonts w:ascii="Arial" w:hAnsi="Arial" w:cs="Arial"/>
        </w:rPr>
        <w:t xml:space="preserve"> conforme a lo estipulado en </w:t>
      </w:r>
      <w:r w:rsidR="001D5E7E">
        <w:rPr>
          <w:rFonts w:ascii="Arial" w:hAnsi="Arial" w:cs="Arial"/>
        </w:rPr>
        <w:t>dicha Ley</w:t>
      </w:r>
      <w:r>
        <w:rPr>
          <w:rStyle w:val="Refdenotaalpie"/>
          <w:rFonts w:ascii="Arial" w:hAnsi="Arial" w:cs="Arial"/>
        </w:rPr>
        <w:footnoteReference w:id="8"/>
      </w:r>
      <w:r w:rsidR="00AA78A7">
        <w:rPr>
          <w:rFonts w:ascii="Arial" w:hAnsi="Arial" w:cs="Arial"/>
        </w:rPr>
        <w:t>.</w:t>
      </w:r>
    </w:p>
    <w:p w14:paraId="3311FB86" w14:textId="3FBCC0F1" w:rsidR="00062A54" w:rsidRDefault="00062A54" w:rsidP="006D650D">
      <w:pPr>
        <w:spacing w:after="0" w:line="240" w:lineRule="auto"/>
        <w:jc w:val="both"/>
        <w:rPr>
          <w:rFonts w:ascii="Arial" w:hAnsi="Arial" w:cs="Arial"/>
        </w:rPr>
      </w:pPr>
      <w:r w:rsidRPr="007315E0">
        <w:rPr>
          <w:rStyle w:val="Refdecomentario"/>
          <w:rFonts w:ascii="Arial" w:hAnsi="Arial" w:cs="Arial"/>
          <w:sz w:val="22"/>
          <w:szCs w:val="22"/>
        </w:rPr>
        <w:t xml:space="preserve">En cambio, si la cantidad de la droga es igual o superior al producto de dicha multiplicación, o el narcótico no se encuentra incluido en la Tabla, el narcomenudeo será competencia de la federación y se sanciona de acuerdo con el </w:t>
      </w:r>
      <w:r w:rsidRPr="007315E0">
        <w:rPr>
          <w:rFonts w:ascii="Arial" w:hAnsi="Arial" w:cs="Arial"/>
        </w:rPr>
        <w:t>Código Penal Federal</w:t>
      </w:r>
      <w:r>
        <w:rPr>
          <w:rStyle w:val="Refdenotaalpie"/>
          <w:rFonts w:ascii="Arial" w:hAnsi="Arial" w:cs="Arial"/>
        </w:rPr>
        <w:footnoteReference w:id="9"/>
      </w:r>
      <w:r w:rsidRPr="007315E0">
        <w:rPr>
          <w:rFonts w:ascii="Arial" w:hAnsi="Arial" w:cs="Arial"/>
        </w:rPr>
        <w:t>. Por su parte,</w:t>
      </w:r>
      <w:r w:rsidR="00970098">
        <w:rPr>
          <w:rFonts w:ascii="Arial" w:hAnsi="Arial" w:cs="Arial"/>
        </w:rPr>
        <w:t xml:space="preserve"> las modalidades de</w:t>
      </w:r>
      <w:r w:rsidRPr="007315E0">
        <w:rPr>
          <w:rFonts w:ascii="Arial" w:hAnsi="Arial" w:cs="Arial"/>
        </w:rPr>
        <w:t xml:space="preserve"> delitos contra la salud </w:t>
      </w:r>
      <w:r w:rsidR="00970098">
        <w:rPr>
          <w:rFonts w:ascii="Arial" w:hAnsi="Arial" w:cs="Arial"/>
        </w:rPr>
        <w:t xml:space="preserve">relacionados con narcóticos </w:t>
      </w:r>
      <w:r w:rsidRPr="007315E0">
        <w:rPr>
          <w:rFonts w:ascii="Arial" w:hAnsi="Arial" w:cs="Arial"/>
        </w:rPr>
        <w:t>refieren a la producción, transporte, tráfico, comercio, suministro y posesión de drogas ilícitas</w:t>
      </w:r>
      <w:r>
        <w:rPr>
          <w:rFonts w:ascii="Arial" w:hAnsi="Arial" w:cs="Arial"/>
        </w:rPr>
        <w:t>,</w:t>
      </w:r>
      <w:r w:rsidR="00970098">
        <w:rPr>
          <w:rFonts w:ascii="Arial" w:hAnsi="Arial" w:cs="Arial"/>
        </w:rPr>
        <w:t xml:space="preserve"> y </w:t>
      </w:r>
      <w:r w:rsidRPr="007315E0">
        <w:rPr>
          <w:rFonts w:ascii="Arial" w:hAnsi="Arial" w:cs="Arial"/>
        </w:rPr>
        <w:t xml:space="preserve">las autoridades judiciales del fuero federal tienen la atribución de ejercer acción penal conforme a lo estipulado </w:t>
      </w:r>
      <w:r w:rsidR="006D6822">
        <w:rPr>
          <w:rFonts w:ascii="Arial" w:hAnsi="Arial" w:cs="Arial"/>
        </w:rPr>
        <w:t xml:space="preserve">en </w:t>
      </w:r>
      <w:r w:rsidRPr="007315E0">
        <w:rPr>
          <w:rFonts w:ascii="Arial" w:hAnsi="Arial" w:cs="Arial"/>
        </w:rPr>
        <w:t>el Código Penal Federal</w:t>
      </w:r>
      <w:r>
        <w:rPr>
          <w:rStyle w:val="Refdenotaalpie"/>
          <w:rFonts w:ascii="Arial" w:hAnsi="Arial" w:cs="Arial"/>
        </w:rPr>
        <w:footnoteReference w:id="10"/>
      </w:r>
      <w:r w:rsidR="00DD2437">
        <w:rPr>
          <w:rFonts w:ascii="Arial" w:hAnsi="Arial" w:cs="Arial"/>
        </w:rPr>
        <w:t>.</w:t>
      </w:r>
    </w:p>
    <w:p w14:paraId="4742BC43" w14:textId="77777777" w:rsidR="006D650D" w:rsidRPr="007315E0" w:rsidRDefault="006D650D" w:rsidP="006D650D">
      <w:pPr>
        <w:spacing w:after="0" w:line="240" w:lineRule="auto"/>
        <w:jc w:val="both"/>
        <w:rPr>
          <w:rFonts w:ascii="Arial" w:hAnsi="Arial" w:cs="Arial"/>
        </w:rPr>
      </w:pPr>
    </w:p>
    <w:p w14:paraId="73B695B5" w14:textId="61062453" w:rsidR="001E4477" w:rsidRDefault="00A86D38" w:rsidP="009310B5">
      <w:pPr>
        <w:spacing w:after="120" w:line="240" w:lineRule="auto"/>
        <w:jc w:val="both"/>
        <w:rPr>
          <w:rFonts w:ascii="Arial" w:hAnsi="Arial" w:cs="Arial"/>
          <w:b/>
          <w:bCs/>
        </w:rPr>
      </w:pPr>
      <w:r w:rsidRPr="001E4477">
        <w:rPr>
          <w:rFonts w:ascii="Arial" w:hAnsi="Arial" w:cs="Arial"/>
          <w:b/>
          <w:bCs/>
        </w:rPr>
        <w:t xml:space="preserve">PROCURACIÓN DE </w:t>
      </w:r>
      <w:r>
        <w:rPr>
          <w:rFonts w:ascii="Arial" w:hAnsi="Arial" w:cs="Arial"/>
          <w:b/>
          <w:bCs/>
        </w:rPr>
        <w:t>JUSTICIA</w:t>
      </w:r>
    </w:p>
    <w:p w14:paraId="03834835" w14:textId="399F1E09" w:rsidR="00B3798E" w:rsidRDefault="004D64D6" w:rsidP="00A3126D">
      <w:pPr>
        <w:spacing w:after="120" w:line="240" w:lineRule="auto"/>
        <w:jc w:val="both"/>
        <w:rPr>
          <w:rFonts w:ascii="Arial" w:hAnsi="Arial" w:cs="Arial"/>
        </w:rPr>
      </w:pPr>
      <w:r>
        <w:rPr>
          <w:rFonts w:ascii="Arial" w:hAnsi="Arial" w:cs="Arial"/>
        </w:rPr>
        <w:t xml:space="preserve">Al </w:t>
      </w:r>
      <w:r w:rsidR="00B3798E" w:rsidRPr="00096739">
        <w:rPr>
          <w:rFonts w:ascii="Arial" w:hAnsi="Arial" w:cs="Arial"/>
        </w:rPr>
        <w:t xml:space="preserve">cierre de 2018, se registró un total de 3 707 agencias del </w:t>
      </w:r>
      <w:r w:rsidR="00B3798E">
        <w:rPr>
          <w:rFonts w:ascii="Arial" w:hAnsi="Arial" w:cs="Arial"/>
        </w:rPr>
        <w:t>M</w:t>
      </w:r>
      <w:r w:rsidR="00B3798E" w:rsidRPr="00096739">
        <w:rPr>
          <w:rFonts w:ascii="Arial" w:hAnsi="Arial" w:cs="Arial"/>
        </w:rPr>
        <w:t xml:space="preserve">inisterio </w:t>
      </w:r>
      <w:r w:rsidR="00B3798E">
        <w:rPr>
          <w:rFonts w:ascii="Arial" w:hAnsi="Arial" w:cs="Arial"/>
        </w:rPr>
        <w:t>P</w:t>
      </w:r>
      <w:r w:rsidR="00B3798E" w:rsidRPr="00096739">
        <w:rPr>
          <w:rFonts w:ascii="Arial" w:hAnsi="Arial" w:cs="Arial"/>
        </w:rPr>
        <w:t>úblic</w:t>
      </w:r>
      <w:r w:rsidR="00B3798E">
        <w:rPr>
          <w:rFonts w:ascii="Arial" w:hAnsi="Arial" w:cs="Arial"/>
        </w:rPr>
        <w:t>o de las procuradurías o fiscalías estatales</w:t>
      </w:r>
      <w:r w:rsidR="00B3798E" w:rsidRPr="00096739">
        <w:rPr>
          <w:rFonts w:ascii="Arial" w:hAnsi="Arial" w:cs="Arial"/>
        </w:rPr>
        <w:t xml:space="preserve">, de las cuales </w:t>
      </w:r>
      <w:r w:rsidR="006D650D">
        <w:rPr>
          <w:rFonts w:ascii="Arial" w:hAnsi="Arial" w:cs="Arial"/>
        </w:rPr>
        <w:t>66</w:t>
      </w:r>
      <w:r w:rsidR="003150BA">
        <w:rPr>
          <w:rFonts w:ascii="Arial" w:hAnsi="Arial" w:cs="Arial"/>
        </w:rPr>
        <w:t xml:space="preserve"> (</w:t>
      </w:r>
      <w:r w:rsidR="00B3798E" w:rsidRPr="00096739">
        <w:rPr>
          <w:rFonts w:ascii="Arial" w:hAnsi="Arial" w:cs="Arial"/>
        </w:rPr>
        <w:t>1.8%</w:t>
      </w:r>
      <w:r w:rsidR="003150BA">
        <w:rPr>
          <w:rFonts w:ascii="Arial" w:hAnsi="Arial" w:cs="Arial"/>
        </w:rPr>
        <w:t>)</w:t>
      </w:r>
      <w:r w:rsidR="00B3798E" w:rsidRPr="00096739">
        <w:rPr>
          <w:rFonts w:ascii="Arial" w:hAnsi="Arial" w:cs="Arial"/>
        </w:rPr>
        <w:t xml:space="preserve"> </w:t>
      </w:r>
      <w:r w:rsidR="00970098">
        <w:rPr>
          <w:rFonts w:ascii="Arial" w:hAnsi="Arial" w:cs="Arial"/>
        </w:rPr>
        <w:t>eran</w:t>
      </w:r>
      <w:r w:rsidR="00B3798E" w:rsidRPr="00096739">
        <w:rPr>
          <w:rFonts w:ascii="Arial" w:hAnsi="Arial" w:cs="Arial"/>
        </w:rPr>
        <w:t xml:space="preserve"> especializadas en </w:t>
      </w:r>
      <w:r w:rsidR="00B3798E">
        <w:rPr>
          <w:rFonts w:ascii="Arial" w:hAnsi="Arial" w:cs="Arial"/>
        </w:rPr>
        <w:t xml:space="preserve">atención a </w:t>
      </w:r>
      <w:r w:rsidR="00B3798E" w:rsidRPr="00096739">
        <w:rPr>
          <w:rFonts w:ascii="Arial" w:hAnsi="Arial" w:cs="Arial"/>
        </w:rPr>
        <w:t xml:space="preserve">delitos de narcomenudeo y </w:t>
      </w:r>
      <w:r w:rsidR="000407EA">
        <w:rPr>
          <w:rFonts w:ascii="Arial" w:hAnsi="Arial" w:cs="Arial"/>
        </w:rPr>
        <w:t xml:space="preserve">14 </w:t>
      </w:r>
      <w:r w:rsidR="00237C02">
        <w:rPr>
          <w:rFonts w:ascii="Arial" w:hAnsi="Arial" w:cs="Arial"/>
        </w:rPr>
        <w:t xml:space="preserve">(0.4%) </w:t>
      </w:r>
      <w:r w:rsidR="00B3798E" w:rsidRPr="00096739">
        <w:rPr>
          <w:rFonts w:ascii="Arial" w:hAnsi="Arial" w:cs="Arial"/>
        </w:rPr>
        <w:t xml:space="preserve">en delitos contra la salud. </w:t>
      </w:r>
      <w:r w:rsidR="00B3798E" w:rsidRPr="000407EA">
        <w:rPr>
          <w:rFonts w:ascii="Arial" w:hAnsi="Arial" w:cs="Arial"/>
        </w:rPr>
        <w:t xml:space="preserve">Por su parte, la Fiscalía General de la República </w:t>
      </w:r>
      <w:r>
        <w:rPr>
          <w:rFonts w:ascii="Arial" w:hAnsi="Arial" w:cs="Arial"/>
        </w:rPr>
        <w:t xml:space="preserve">(FGR) </w:t>
      </w:r>
      <w:r w:rsidR="006143D3" w:rsidRPr="000407EA">
        <w:rPr>
          <w:rFonts w:ascii="Arial" w:hAnsi="Arial" w:cs="Arial"/>
        </w:rPr>
        <w:t>contaba en ese mismo año</w:t>
      </w:r>
      <w:r w:rsidR="00B3798E" w:rsidRPr="000407EA">
        <w:rPr>
          <w:rFonts w:ascii="Arial" w:hAnsi="Arial" w:cs="Arial"/>
        </w:rPr>
        <w:t xml:space="preserve"> </w:t>
      </w:r>
      <w:r w:rsidR="0052097F">
        <w:rPr>
          <w:rFonts w:ascii="Arial" w:hAnsi="Arial" w:cs="Arial"/>
        </w:rPr>
        <w:t xml:space="preserve">con </w:t>
      </w:r>
      <w:r w:rsidR="004E0762">
        <w:rPr>
          <w:rFonts w:ascii="Arial" w:hAnsi="Arial" w:cs="Arial"/>
        </w:rPr>
        <w:t>la</w:t>
      </w:r>
      <w:r w:rsidR="00701586">
        <w:rPr>
          <w:rFonts w:ascii="Arial" w:hAnsi="Arial" w:cs="Arial"/>
        </w:rPr>
        <w:t xml:space="preserve"> </w:t>
      </w:r>
      <w:r w:rsidR="00B3798E" w:rsidRPr="000407EA">
        <w:rPr>
          <w:rFonts w:ascii="Arial" w:hAnsi="Arial" w:cs="Arial"/>
        </w:rPr>
        <w:t xml:space="preserve">Unidad Especializada en Investigación de Delitos contra la Salud y </w:t>
      </w:r>
      <w:r>
        <w:rPr>
          <w:rFonts w:ascii="Arial" w:hAnsi="Arial" w:cs="Arial"/>
        </w:rPr>
        <w:t xml:space="preserve">con </w:t>
      </w:r>
      <w:r w:rsidR="00B3798E" w:rsidRPr="000407EA">
        <w:rPr>
          <w:rFonts w:ascii="Arial" w:hAnsi="Arial" w:cs="Arial"/>
        </w:rPr>
        <w:t xml:space="preserve">la Unidad Especializada en Investigación de Delitos </w:t>
      </w:r>
      <w:r w:rsidR="00B3798E" w:rsidRPr="0027236B">
        <w:rPr>
          <w:rFonts w:ascii="Arial" w:hAnsi="Arial" w:cs="Arial"/>
        </w:rPr>
        <w:t>de Comercio de Narcóticos Destinados al Consumo Final</w:t>
      </w:r>
      <w:r w:rsidR="004E0762" w:rsidRPr="0027236B">
        <w:rPr>
          <w:rFonts w:ascii="Arial" w:hAnsi="Arial" w:cs="Arial"/>
        </w:rPr>
        <w:t xml:space="preserve"> que tienen la </w:t>
      </w:r>
      <w:r w:rsidRPr="0027236B">
        <w:rPr>
          <w:rFonts w:ascii="Arial" w:hAnsi="Arial" w:cs="Arial"/>
        </w:rPr>
        <w:t>atribuci</w:t>
      </w:r>
      <w:r>
        <w:rPr>
          <w:rFonts w:ascii="Arial" w:hAnsi="Arial" w:cs="Arial"/>
        </w:rPr>
        <w:t>ón</w:t>
      </w:r>
      <w:r w:rsidRPr="0027236B">
        <w:rPr>
          <w:rFonts w:ascii="Arial" w:hAnsi="Arial" w:cs="Arial"/>
        </w:rPr>
        <w:t xml:space="preserve"> </w:t>
      </w:r>
      <w:r w:rsidR="004E0762" w:rsidRPr="0027236B">
        <w:rPr>
          <w:rFonts w:ascii="Arial" w:hAnsi="Arial" w:cs="Arial"/>
        </w:rPr>
        <w:t>de investigar la comisión de los delitos federales asociados con drogas ilícitas</w:t>
      </w:r>
      <w:r w:rsidR="00B555E9" w:rsidRPr="0027236B">
        <w:rPr>
          <w:rFonts w:ascii="Arial" w:hAnsi="Arial" w:cs="Arial"/>
        </w:rPr>
        <w:t>.</w:t>
      </w:r>
    </w:p>
    <w:p w14:paraId="0136A6E5" w14:textId="0D3471B4" w:rsidR="00D87F00" w:rsidRDefault="007A188A" w:rsidP="00DA7E49">
      <w:pPr>
        <w:spacing w:after="120" w:line="240" w:lineRule="auto"/>
        <w:jc w:val="both"/>
        <w:rPr>
          <w:rFonts w:ascii="Arial" w:hAnsi="Arial" w:cs="Arial"/>
        </w:rPr>
      </w:pPr>
      <w:r w:rsidRPr="000407EA">
        <w:rPr>
          <w:rFonts w:ascii="Arial" w:hAnsi="Arial" w:cs="Arial"/>
        </w:rPr>
        <w:t>En 2018, se registraron 1 935 451 delitos del fuero común</w:t>
      </w:r>
      <w:r w:rsidR="00D21A59" w:rsidRPr="000407EA">
        <w:rPr>
          <w:rFonts w:ascii="Arial" w:hAnsi="Arial" w:cs="Arial"/>
        </w:rPr>
        <w:t xml:space="preserve"> </w:t>
      </w:r>
      <w:r w:rsidRPr="000407EA">
        <w:rPr>
          <w:rFonts w:ascii="Arial" w:hAnsi="Arial" w:cs="Arial"/>
        </w:rPr>
        <w:t xml:space="preserve">en averiguaciones previas y carpetas de investigación </w:t>
      </w:r>
      <w:r w:rsidR="00753FC6" w:rsidRPr="000407EA">
        <w:rPr>
          <w:rFonts w:ascii="Arial" w:hAnsi="Arial" w:cs="Arial"/>
        </w:rPr>
        <w:t>iniciadas</w:t>
      </w:r>
      <w:r w:rsidRPr="000407EA">
        <w:rPr>
          <w:rFonts w:ascii="Arial" w:hAnsi="Arial" w:cs="Arial"/>
        </w:rPr>
        <w:t>,</w:t>
      </w:r>
      <w:r w:rsidR="00970098" w:rsidRPr="000407EA">
        <w:rPr>
          <w:rFonts w:ascii="Arial" w:hAnsi="Arial" w:cs="Arial"/>
        </w:rPr>
        <w:t xml:space="preserve"> de los cuales</w:t>
      </w:r>
      <w:r w:rsidRPr="000407EA">
        <w:rPr>
          <w:rFonts w:ascii="Arial" w:hAnsi="Arial" w:cs="Arial"/>
        </w:rPr>
        <w:t xml:space="preserve"> 3.9% correspondieron a delitos de narcomenudeo. </w:t>
      </w:r>
      <w:r w:rsidR="00D21A59" w:rsidRPr="000407EA">
        <w:rPr>
          <w:rFonts w:ascii="Arial" w:hAnsi="Arial" w:cs="Arial"/>
        </w:rPr>
        <w:t>De estos, 70 705 fueron delitos registrados en los ministerios públicos estatales (adultos) y 4 669 registrados en los ministerios públicos estatales especializados en adolescentes</w:t>
      </w:r>
      <w:r w:rsidR="00237C02">
        <w:rPr>
          <w:rFonts w:ascii="Arial" w:hAnsi="Arial" w:cs="Arial"/>
        </w:rPr>
        <w:t>. C</w:t>
      </w:r>
      <w:r w:rsidR="004D64D6">
        <w:rPr>
          <w:rFonts w:ascii="Arial" w:hAnsi="Arial" w:cs="Arial"/>
        </w:rPr>
        <w:t xml:space="preserve">abe resaltar que </w:t>
      </w:r>
      <w:r w:rsidR="004D64D6" w:rsidRPr="0027236B">
        <w:rPr>
          <w:rFonts w:ascii="Arial" w:hAnsi="Arial" w:cs="Arial"/>
        </w:rPr>
        <w:t xml:space="preserve">el delito de narcomenudeo </w:t>
      </w:r>
      <w:r w:rsidR="004D64D6">
        <w:rPr>
          <w:rFonts w:ascii="Arial" w:hAnsi="Arial" w:cs="Arial"/>
        </w:rPr>
        <w:t xml:space="preserve">fue el </w:t>
      </w:r>
      <w:r w:rsidR="004D64D6" w:rsidRPr="0027236B">
        <w:rPr>
          <w:rFonts w:ascii="Arial" w:hAnsi="Arial" w:cs="Arial"/>
        </w:rPr>
        <w:t xml:space="preserve">segundo delito </w:t>
      </w:r>
      <w:r w:rsidR="004D64D6">
        <w:rPr>
          <w:rFonts w:ascii="Arial" w:hAnsi="Arial" w:cs="Arial"/>
        </w:rPr>
        <w:t xml:space="preserve">por el que mayormente fueron imputados los adolescentes en 2018, </w:t>
      </w:r>
      <w:r w:rsidR="004D64D6" w:rsidRPr="0027236B">
        <w:rPr>
          <w:rFonts w:ascii="Arial" w:hAnsi="Arial" w:cs="Arial"/>
        </w:rPr>
        <w:t>por detrás del delito de robo</w:t>
      </w:r>
      <w:r w:rsidR="004D64D6">
        <w:rPr>
          <w:rFonts w:ascii="Arial" w:hAnsi="Arial" w:cs="Arial"/>
        </w:rPr>
        <w:t>.</w:t>
      </w:r>
      <w:r w:rsidR="00D21A59" w:rsidRPr="00D21A59" w:rsidDel="00D21A59">
        <w:rPr>
          <w:rFonts w:ascii="Arial" w:hAnsi="Arial" w:cs="Arial"/>
        </w:rPr>
        <w:t xml:space="preserve"> </w:t>
      </w:r>
      <w:r w:rsidR="00D21A59" w:rsidRPr="00D21A59">
        <w:rPr>
          <w:rFonts w:ascii="Arial" w:hAnsi="Arial" w:cs="Arial"/>
        </w:rPr>
        <w:t>Por su parte</w:t>
      </w:r>
      <w:r w:rsidRPr="00D21A59">
        <w:rPr>
          <w:rFonts w:ascii="Arial" w:hAnsi="Arial" w:cs="Arial"/>
        </w:rPr>
        <w:t>, en el</w:t>
      </w:r>
      <w:r>
        <w:rPr>
          <w:rFonts w:ascii="Arial" w:hAnsi="Arial" w:cs="Arial"/>
        </w:rPr>
        <w:t xml:space="preserve"> fuero federal, la proporción de delitos federales asociados a narcóticos (delitos contra la salud y narcomenudeo) </w:t>
      </w:r>
      <w:r w:rsidR="00D21A59">
        <w:rPr>
          <w:rFonts w:ascii="Arial" w:hAnsi="Arial" w:cs="Arial"/>
        </w:rPr>
        <w:t xml:space="preserve">representó </w:t>
      </w:r>
      <w:r w:rsidRPr="00893A18">
        <w:rPr>
          <w:rFonts w:ascii="Arial" w:hAnsi="Arial" w:cs="Arial"/>
        </w:rPr>
        <w:t>6.7%</w:t>
      </w:r>
      <w:r>
        <w:rPr>
          <w:rFonts w:ascii="Arial" w:hAnsi="Arial" w:cs="Arial"/>
        </w:rPr>
        <w:t xml:space="preserve"> de los</w:t>
      </w:r>
      <w:r w:rsidR="00970098">
        <w:rPr>
          <w:rFonts w:ascii="Arial" w:hAnsi="Arial" w:cs="Arial"/>
        </w:rPr>
        <w:t xml:space="preserve"> </w:t>
      </w:r>
      <w:r>
        <w:rPr>
          <w:rFonts w:ascii="Arial" w:hAnsi="Arial" w:cs="Arial"/>
        </w:rPr>
        <w:t>112 9</w:t>
      </w:r>
      <w:r w:rsidR="0088513C">
        <w:rPr>
          <w:rFonts w:ascii="Arial" w:hAnsi="Arial" w:cs="Arial"/>
        </w:rPr>
        <w:t>20</w:t>
      </w:r>
      <w:r>
        <w:rPr>
          <w:rFonts w:ascii="Arial" w:hAnsi="Arial" w:cs="Arial"/>
        </w:rPr>
        <w:t xml:space="preserve"> delitos federales registrados</w:t>
      </w:r>
      <w:r w:rsidR="00D21A59">
        <w:rPr>
          <w:rFonts w:ascii="Arial" w:hAnsi="Arial" w:cs="Arial"/>
        </w:rPr>
        <w:t xml:space="preserve"> en 2018</w:t>
      </w:r>
      <w:r w:rsidR="00D666C5">
        <w:rPr>
          <w:rFonts w:ascii="Arial" w:hAnsi="Arial" w:cs="Arial"/>
        </w:rPr>
        <w:t xml:space="preserve"> (Gráfica 1). </w:t>
      </w:r>
    </w:p>
    <w:p w14:paraId="1D3762F3" w14:textId="1F7DCB5F" w:rsidR="0027236B" w:rsidRDefault="0027236B" w:rsidP="00DA7E49">
      <w:pPr>
        <w:spacing w:after="120" w:line="240" w:lineRule="auto"/>
        <w:jc w:val="both"/>
        <w:rPr>
          <w:rFonts w:ascii="Arial" w:hAnsi="Arial" w:cs="Arial"/>
        </w:rPr>
      </w:pPr>
    </w:p>
    <w:p w14:paraId="37EFC40B" w14:textId="0440AD3F" w:rsidR="002721A0" w:rsidRDefault="002721A0" w:rsidP="00DA7E49">
      <w:pPr>
        <w:spacing w:after="120" w:line="240" w:lineRule="auto"/>
        <w:jc w:val="both"/>
        <w:rPr>
          <w:rFonts w:ascii="Arial" w:hAnsi="Arial" w:cs="Arial"/>
        </w:rPr>
      </w:pPr>
    </w:p>
    <w:p w14:paraId="4042F5CC" w14:textId="4E729E9D" w:rsidR="002721A0" w:rsidRDefault="002721A0" w:rsidP="00DA7E49">
      <w:pPr>
        <w:spacing w:after="120" w:line="240" w:lineRule="auto"/>
        <w:jc w:val="both"/>
        <w:rPr>
          <w:rFonts w:ascii="Arial" w:hAnsi="Arial" w:cs="Arial"/>
        </w:rPr>
      </w:pPr>
    </w:p>
    <w:p w14:paraId="64B4BDF9" w14:textId="3A270A6E" w:rsidR="0088513C" w:rsidRDefault="00DB34FD" w:rsidP="008F0435">
      <w:pPr>
        <w:spacing w:after="0" w:line="240" w:lineRule="auto"/>
        <w:jc w:val="center"/>
        <w:rPr>
          <w:rFonts w:ascii="Arial" w:hAnsi="Arial" w:cs="Arial"/>
        </w:rPr>
      </w:pPr>
      <w:r>
        <w:rPr>
          <w:rFonts w:ascii="Arial" w:hAnsi="Arial" w:cs="Arial"/>
          <w:noProof/>
          <w:lang w:val="en-US"/>
        </w:rPr>
        <w:lastRenderedPageBreak/>
        <w:drawing>
          <wp:inline distT="0" distB="0" distL="0" distR="0" wp14:anchorId="6F372D8F" wp14:editId="7FDF720B">
            <wp:extent cx="5834380" cy="444436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4380" cy="4444365"/>
                    </a:xfrm>
                    <a:prstGeom prst="rect">
                      <a:avLst/>
                    </a:prstGeom>
                    <a:noFill/>
                  </pic:spPr>
                </pic:pic>
              </a:graphicData>
            </a:graphic>
          </wp:inline>
        </w:drawing>
      </w:r>
    </w:p>
    <w:p w14:paraId="07F30297" w14:textId="77777777" w:rsidR="008F0435" w:rsidRDefault="008F0435" w:rsidP="008F0435">
      <w:pPr>
        <w:spacing w:after="0" w:line="240" w:lineRule="auto"/>
        <w:jc w:val="center"/>
        <w:rPr>
          <w:rFonts w:ascii="Arial" w:hAnsi="Arial" w:cs="Arial"/>
        </w:rPr>
      </w:pPr>
    </w:p>
    <w:p w14:paraId="36643A19" w14:textId="2FB04D94" w:rsidR="004650DA" w:rsidRDefault="00D87F00" w:rsidP="009C3093">
      <w:pPr>
        <w:spacing w:after="120" w:line="240" w:lineRule="auto"/>
        <w:jc w:val="both"/>
        <w:rPr>
          <w:rFonts w:ascii="Arial" w:hAnsi="Arial" w:cs="Arial"/>
        </w:rPr>
      </w:pPr>
      <w:r>
        <w:rPr>
          <w:rFonts w:ascii="Arial" w:hAnsi="Arial" w:cs="Arial"/>
        </w:rPr>
        <w:t>La cantidad total de delitos asociados con drogas (narcomenudeo y delitos contra la salud), registrados</w:t>
      </w:r>
      <w:r w:rsidR="0059285E">
        <w:rPr>
          <w:rFonts w:ascii="Arial" w:hAnsi="Arial" w:cs="Arial"/>
        </w:rPr>
        <w:t xml:space="preserve"> durante 2018</w:t>
      </w:r>
      <w:r>
        <w:rPr>
          <w:rFonts w:ascii="Arial" w:hAnsi="Arial" w:cs="Arial"/>
        </w:rPr>
        <w:t xml:space="preserve"> </w:t>
      </w:r>
      <w:r w:rsidR="00E542FF">
        <w:rPr>
          <w:rFonts w:ascii="Arial" w:hAnsi="Arial" w:cs="Arial"/>
        </w:rPr>
        <w:t xml:space="preserve">en las </w:t>
      </w:r>
      <w:r w:rsidR="008A5E49">
        <w:rPr>
          <w:rFonts w:ascii="Arial" w:hAnsi="Arial" w:cs="Arial"/>
        </w:rPr>
        <w:t>P</w:t>
      </w:r>
      <w:r w:rsidR="00E542FF">
        <w:rPr>
          <w:rFonts w:ascii="Arial" w:hAnsi="Arial" w:cs="Arial"/>
        </w:rPr>
        <w:t xml:space="preserve">rocuradurías </w:t>
      </w:r>
      <w:r w:rsidR="0059285E">
        <w:rPr>
          <w:rFonts w:ascii="Arial" w:hAnsi="Arial" w:cs="Arial"/>
        </w:rPr>
        <w:t>y</w:t>
      </w:r>
      <w:r w:rsidR="00E542FF">
        <w:rPr>
          <w:rFonts w:ascii="Arial" w:hAnsi="Arial" w:cs="Arial"/>
        </w:rPr>
        <w:t xml:space="preserve"> </w:t>
      </w:r>
      <w:r w:rsidR="008A5E49">
        <w:rPr>
          <w:rFonts w:ascii="Arial" w:hAnsi="Arial" w:cs="Arial"/>
        </w:rPr>
        <w:t>F</w:t>
      </w:r>
      <w:r w:rsidR="00E542FF">
        <w:rPr>
          <w:rFonts w:ascii="Arial" w:hAnsi="Arial" w:cs="Arial"/>
        </w:rPr>
        <w:t xml:space="preserve">iscalías de </w:t>
      </w:r>
      <w:r w:rsidR="008A5E49">
        <w:rPr>
          <w:rFonts w:ascii="Arial" w:hAnsi="Arial" w:cs="Arial"/>
        </w:rPr>
        <w:t>J</w:t>
      </w:r>
      <w:r w:rsidR="00E542FF">
        <w:rPr>
          <w:rFonts w:ascii="Arial" w:hAnsi="Arial" w:cs="Arial"/>
        </w:rPr>
        <w:t xml:space="preserve">ustica </w:t>
      </w:r>
      <w:r w:rsidR="008A5E49">
        <w:rPr>
          <w:rFonts w:ascii="Arial" w:hAnsi="Arial" w:cs="Arial"/>
        </w:rPr>
        <w:t>E</w:t>
      </w:r>
      <w:r w:rsidR="00E542FF">
        <w:rPr>
          <w:rFonts w:ascii="Arial" w:hAnsi="Arial" w:cs="Arial"/>
        </w:rPr>
        <w:t>statales</w:t>
      </w:r>
      <w:r w:rsidR="008A5E49">
        <w:rPr>
          <w:rFonts w:ascii="Arial" w:hAnsi="Arial" w:cs="Arial"/>
        </w:rPr>
        <w:t>, así como en la Fiscalía General de la República</w:t>
      </w:r>
      <w:r w:rsidR="00E542FF">
        <w:rPr>
          <w:rFonts w:ascii="Arial" w:hAnsi="Arial" w:cs="Arial"/>
        </w:rPr>
        <w:t>,</w:t>
      </w:r>
      <w:r>
        <w:rPr>
          <w:rFonts w:ascii="Arial" w:hAnsi="Arial" w:cs="Arial"/>
        </w:rPr>
        <w:t xml:space="preserve"> ascendió </w:t>
      </w:r>
      <w:r w:rsidRPr="00893A18">
        <w:rPr>
          <w:rFonts w:ascii="Arial" w:hAnsi="Arial" w:cs="Arial"/>
        </w:rPr>
        <w:t xml:space="preserve">a </w:t>
      </w:r>
      <w:r w:rsidR="009B3046" w:rsidRPr="00893A18">
        <w:rPr>
          <w:rFonts w:ascii="Arial" w:hAnsi="Arial" w:cs="Arial"/>
        </w:rPr>
        <w:t>82 905 delitos</w:t>
      </w:r>
      <w:r w:rsidR="009164BC">
        <w:rPr>
          <w:rFonts w:ascii="Arial" w:hAnsi="Arial" w:cs="Arial"/>
        </w:rPr>
        <w:t>,</w:t>
      </w:r>
      <w:r w:rsidR="004D78C2">
        <w:rPr>
          <w:rFonts w:ascii="Arial" w:hAnsi="Arial" w:cs="Arial"/>
        </w:rPr>
        <w:t xml:space="preserve"> </w:t>
      </w:r>
      <w:r w:rsidR="004D64D6">
        <w:rPr>
          <w:rFonts w:ascii="Arial" w:hAnsi="Arial" w:cs="Arial"/>
        </w:rPr>
        <w:t xml:space="preserve">lo que </w:t>
      </w:r>
      <w:r w:rsidR="004D78C2">
        <w:rPr>
          <w:rFonts w:ascii="Arial" w:hAnsi="Arial" w:cs="Arial"/>
        </w:rPr>
        <w:t xml:space="preserve">representó una tasa </w:t>
      </w:r>
      <w:r w:rsidR="00837714">
        <w:rPr>
          <w:rFonts w:ascii="Arial" w:hAnsi="Arial" w:cs="Arial"/>
        </w:rPr>
        <w:t>de</w:t>
      </w:r>
      <w:r w:rsidR="00801AC8">
        <w:rPr>
          <w:rFonts w:ascii="Arial" w:hAnsi="Arial" w:cs="Arial"/>
        </w:rPr>
        <w:t xml:space="preserve"> </w:t>
      </w:r>
      <w:r w:rsidR="007A188A">
        <w:rPr>
          <w:rFonts w:ascii="Arial" w:hAnsi="Arial" w:cs="Arial"/>
        </w:rPr>
        <w:t xml:space="preserve">83.9 </w:t>
      </w:r>
      <w:r w:rsidR="004D64D6">
        <w:rPr>
          <w:rFonts w:ascii="Arial" w:hAnsi="Arial" w:cs="Arial"/>
        </w:rPr>
        <w:t xml:space="preserve">delitos </w:t>
      </w:r>
      <w:r w:rsidR="007A188A">
        <w:rPr>
          <w:rFonts w:ascii="Arial" w:hAnsi="Arial" w:cs="Arial"/>
        </w:rPr>
        <w:t>por cada cien mil habitantes de 12 años y más,</w:t>
      </w:r>
      <w:r w:rsidR="00A3126D">
        <w:rPr>
          <w:rFonts w:ascii="Arial" w:hAnsi="Arial" w:cs="Arial"/>
        </w:rPr>
        <w:t xml:space="preserve"> </w:t>
      </w:r>
      <w:r w:rsidR="00970098">
        <w:rPr>
          <w:rFonts w:ascii="Arial" w:hAnsi="Arial" w:cs="Arial"/>
        </w:rPr>
        <w:t xml:space="preserve">prácticamente </w:t>
      </w:r>
      <w:r w:rsidR="00BE28E9">
        <w:rPr>
          <w:rFonts w:ascii="Arial" w:hAnsi="Arial" w:cs="Arial"/>
        </w:rPr>
        <w:t xml:space="preserve">el doble de </w:t>
      </w:r>
      <w:r w:rsidR="00970098">
        <w:rPr>
          <w:rFonts w:ascii="Arial" w:hAnsi="Arial" w:cs="Arial"/>
        </w:rPr>
        <w:t>l</w:t>
      </w:r>
      <w:r w:rsidR="007A188A">
        <w:rPr>
          <w:rFonts w:ascii="Arial" w:hAnsi="Arial" w:cs="Arial"/>
        </w:rPr>
        <w:t xml:space="preserve">a tasa observada en 2016 </w:t>
      </w:r>
      <w:r w:rsidR="009C3093">
        <w:rPr>
          <w:rFonts w:ascii="Arial" w:hAnsi="Arial" w:cs="Arial"/>
        </w:rPr>
        <w:t xml:space="preserve">que fue </w:t>
      </w:r>
      <w:r w:rsidR="007A188A">
        <w:rPr>
          <w:rFonts w:ascii="Arial" w:hAnsi="Arial" w:cs="Arial"/>
        </w:rPr>
        <w:t>de 42.8</w:t>
      </w:r>
      <w:r w:rsidR="00AD7A63">
        <w:rPr>
          <w:rFonts w:ascii="Arial" w:hAnsi="Arial" w:cs="Arial"/>
        </w:rPr>
        <w:t xml:space="preserve">, </w:t>
      </w:r>
      <w:r w:rsidR="00237C02">
        <w:rPr>
          <w:rFonts w:ascii="Arial" w:hAnsi="Arial" w:cs="Arial"/>
        </w:rPr>
        <w:t>sin embargo,</w:t>
      </w:r>
      <w:r w:rsidR="005C3B18">
        <w:rPr>
          <w:rFonts w:ascii="Arial" w:hAnsi="Arial" w:cs="Arial"/>
        </w:rPr>
        <w:t xml:space="preserve"> </w:t>
      </w:r>
      <w:r w:rsidR="00237C02">
        <w:rPr>
          <w:rFonts w:ascii="Arial" w:hAnsi="Arial" w:cs="Arial"/>
        </w:rPr>
        <w:t>en comparación con otros delitos del fuero</w:t>
      </w:r>
      <w:r w:rsidR="00E1394E">
        <w:rPr>
          <w:rFonts w:ascii="Arial" w:hAnsi="Arial" w:cs="Arial"/>
        </w:rPr>
        <w:t xml:space="preserve"> común</w:t>
      </w:r>
      <w:r w:rsidR="00B52523">
        <w:rPr>
          <w:rFonts w:ascii="Arial" w:hAnsi="Arial" w:cs="Arial"/>
        </w:rPr>
        <w:t xml:space="preserve"> y </w:t>
      </w:r>
      <w:r w:rsidR="00AB7E39">
        <w:rPr>
          <w:rFonts w:ascii="Arial" w:hAnsi="Arial" w:cs="Arial"/>
        </w:rPr>
        <w:t xml:space="preserve">del fuero </w:t>
      </w:r>
      <w:r w:rsidR="00B52523">
        <w:rPr>
          <w:rFonts w:ascii="Arial" w:hAnsi="Arial" w:cs="Arial"/>
        </w:rPr>
        <w:t>federal</w:t>
      </w:r>
      <w:r w:rsidR="00237C02">
        <w:rPr>
          <w:rFonts w:ascii="Arial" w:hAnsi="Arial" w:cs="Arial"/>
        </w:rPr>
        <w:t xml:space="preserve">, </w:t>
      </w:r>
      <w:r w:rsidR="00B52523">
        <w:rPr>
          <w:rFonts w:ascii="Arial" w:hAnsi="Arial" w:cs="Arial"/>
        </w:rPr>
        <w:t>fueron</w:t>
      </w:r>
      <w:r w:rsidR="00AD7A63">
        <w:rPr>
          <w:rFonts w:ascii="Arial" w:hAnsi="Arial" w:cs="Arial"/>
        </w:rPr>
        <w:t xml:space="preserve"> los delitos que registraron menor incremento en el periodo analizado</w:t>
      </w:r>
      <w:r w:rsidR="00B555E9">
        <w:rPr>
          <w:rFonts w:ascii="Arial" w:hAnsi="Arial" w:cs="Arial"/>
        </w:rPr>
        <w:t>.</w:t>
      </w:r>
      <w:r w:rsidR="00AD7A63">
        <w:rPr>
          <w:rFonts w:ascii="Arial" w:hAnsi="Arial" w:cs="Arial"/>
        </w:rPr>
        <w:t xml:space="preserve"> </w:t>
      </w:r>
    </w:p>
    <w:p w14:paraId="366F7BF9" w14:textId="38AF8EEB" w:rsidR="009C3093" w:rsidRPr="00297FD1" w:rsidRDefault="00AD7A63" w:rsidP="009C3093">
      <w:pPr>
        <w:spacing w:after="120" w:line="240" w:lineRule="auto"/>
        <w:jc w:val="both"/>
        <w:rPr>
          <w:rFonts w:ascii="Arial" w:hAnsi="Arial" w:cs="Arial"/>
          <w:i/>
          <w:iCs/>
        </w:rPr>
      </w:pPr>
      <w:r>
        <w:rPr>
          <w:rFonts w:ascii="Arial" w:hAnsi="Arial" w:cs="Arial"/>
        </w:rPr>
        <w:t xml:space="preserve">Este aumento en la tasa de delitos asociados con drogas se explica por </w:t>
      </w:r>
      <w:r w:rsidR="001E75AA">
        <w:rPr>
          <w:rFonts w:ascii="Arial" w:hAnsi="Arial" w:cs="Arial"/>
        </w:rPr>
        <w:t>el in</w:t>
      </w:r>
      <w:r w:rsidR="00BA094C">
        <w:rPr>
          <w:rFonts w:ascii="Arial" w:hAnsi="Arial" w:cs="Arial"/>
        </w:rPr>
        <w:t xml:space="preserve">cremento </w:t>
      </w:r>
      <w:r>
        <w:rPr>
          <w:rFonts w:ascii="Arial" w:hAnsi="Arial" w:cs="Arial"/>
        </w:rPr>
        <w:t xml:space="preserve">en el registro </w:t>
      </w:r>
      <w:r w:rsidR="00BA094C">
        <w:rPr>
          <w:rFonts w:ascii="Arial" w:hAnsi="Arial" w:cs="Arial"/>
        </w:rPr>
        <w:t>de delitos de narcomenudeo cometidos por adultos</w:t>
      </w:r>
      <w:r>
        <w:rPr>
          <w:rFonts w:ascii="Arial" w:hAnsi="Arial" w:cs="Arial"/>
        </w:rPr>
        <w:t xml:space="preserve">, cuyas </w:t>
      </w:r>
      <w:r w:rsidRPr="009E30CC">
        <w:rPr>
          <w:rFonts w:ascii="Arial" w:hAnsi="Arial" w:cs="Arial"/>
        </w:rPr>
        <w:t>tasa</w:t>
      </w:r>
      <w:r>
        <w:rPr>
          <w:rFonts w:ascii="Arial" w:hAnsi="Arial" w:cs="Arial"/>
        </w:rPr>
        <w:t>s</w:t>
      </w:r>
      <w:r w:rsidRPr="009E30CC">
        <w:rPr>
          <w:rFonts w:ascii="Arial" w:hAnsi="Arial" w:cs="Arial"/>
        </w:rPr>
        <w:t xml:space="preserve"> por cada cien mil </w:t>
      </w:r>
      <w:r>
        <w:rPr>
          <w:rFonts w:ascii="Arial" w:hAnsi="Arial" w:cs="Arial"/>
        </w:rPr>
        <w:t>personas</w:t>
      </w:r>
      <w:r w:rsidRPr="009E30CC">
        <w:rPr>
          <w:rFonts w:ascii="Arial" w:hAnsi="Arial" w:cs="Arial"/>
        </w:rPr>
        <w:t xml:space="preserve"> de 18 años y má</w:t>
      </w:r>
      <w:r>
        <w:rPr>
          <w:rFonts w:ascii="Arial" w:hAnsi="Arial" w:cs="Arial"/>
        </w:rPr>
        <w:t xml:space="preserve">s se duplicó en el periodo de 2016 a 2018 </w:t>
      </w:r>
      <w:r w:rsidR="00021A76">
        <w:rPr>
          <w:rFonts w:ascii="Arial" w:hAnsi="Arial" w:cs="Arial"/>
        </w:rPr>
        <w:t>(Gráfica 2),</w:t>
      </w:r>
      <w:r w:rsidR="007247BE" w:rsidRPr="00D666C5">
        <w:rPr>
          <w:rFonts w:ascii="Arial" w:hAnsi="Arial" w:cs="Arial"/>
        </w:rPr>
        <w:t xml:space="preserve"> </w:t>
      </w:r>
      <w:r w:rsidR="00C14D7E" w:rsidRPr="00D666C5">
        <w:rPr>
          <w:rFonts w:ascii="Arial" w:hAnsi="Arial" w:cs="Arial"/>
        </w:rPr>
        <w:t>específicamente</w:t>
      </w:r>
      <w:r w:rsidR="007C3848">
        <w:rPr>
          <w:rFonts w:ascii="Arial" w:hAnsi="Arial" w:cs="Arial"/>
        </w:rPr>
        <w:t>,</w:t>
      </w:r>
      <w:r w:rsidR="00C14D7E" w:rsidRPr="00C56EC5">
        <w:rPr>
          <w:rFonts w:ascii="Arial" w:hAnsi="Arial" w:cs="Arial"/>
        </w:rPr>
        <w:t xml:space="preserve"> el </w:t>
      </w:r>
      <w:r w:rsidR="00A86D38">
        <w:rPr>
          <w:rFonts w:ascii="Arial" w:hAnsi="Arial" w:cs="Arial"/>
        </w:rPr>
        <w:t>e</w:t>
      </w:r>
      <w:r w:rsidR="00C14D7E" w:rsidRPr="00C56EC5">
        <w:rPr>
          <w:rFonts w:ascii="Arial" w:hAnsi="Arial" w:cs="Arial"/>
        </w:rPr>
        <w:t xml:space="preserve">stado de México registró </w:t>
      </w:r>
      <w:r>
        <w:rPr>
          <w:rFonts w:ascii="Arial" w:hAnsi="Arial" w:cs="Arial"/>
        </w:rPr>
        <w:t>el mayor</w:t>
      </w:r>
      <w:r w:rsidR="00C14D7E" w:rsidRPr="00C56EC5">
        <w:rPr>
          <w:rFonts w:ascii="Arial" w:hAnsi="Arial" w:cs="Arial"/>
        </w:rPr>
        <w:t xml:space="preserve"> </w:t>
      </w:r>
      <w:r w:rsidR="00C14D7E" w:rsidRPr="00AB6C3E">
        <w:rPr>
          <w:rFonts w:ascii="Arial" w:hAnsi="Arial" w:cs="Arial"/>
        </w:rPr>
        <w:t>crecimiento</w:t>
      </w:r>
      <w:r w:rsidR="006C564B" w:rsidRPr="00AB6C3E">
        <w:rPr>
          <w:rFonts w:ascii="Arial" w:hAnsi="Arial" w:cs="Arial"/>
        </w:rPr>
        <w:t xml:space="preserve"> de delitos registrados</w:t>
      </w:r>
      <w:r w:rsidR="00C14D7E" w:rsidRPr="00AB6C3E">
        <w:rPr>
          <w:rFonts w:ascii="Arial" w:hAnsi="Arial" w:cs="Arial"/>
        </w:rPr>
        <w:t>,</w:t>
      </w:r>
      <w:r w:rsidR="00C56EC5" w:rsidRPr="00AB6C3E">
        <w:rPr>
          <w:rFonts w:ascii="Arial" w:hAnsi="Arial" w:cs="Arial"/>
        </w:rPr>
        <w:t xml:space="preserve"> </w:t>
      </w:r>
      <w:r w:rsidR="00AB6C3E">
        <w:rPr>
          <w:rFonts w:ascii="Arial" w:hAnsi="Arial" w:cs="Arial"/>
        </w:rPr>
        <w:t>al pasar de</w:t>
      </w:r>
      <w:r w:rsidR="00C14D7E" w:rsidRPr="00AB6C3E">
        <w:rPr>
          <w:rFonts w:ascii="Arial" w:hAnsi="Arial" w:cs="Arial"/>
        </w:rPr>
        <w:t xml:space="preserve"> </w:t>
      </w:r>
      <w:r w:rsidR="006C564B" w:rsidRPr="00AB6C3E">
        <w:rPr>
          <w:rFonts w:ascii="Arial" w:hAnsi="Arial" w:cs="Arial"/>
        </w:rPr>
        <w:t>2 353 en 2016 a 14 955 en 2018.</w:t>
      </w:r>
    </w:p>
    <w:p w14:paraId="30AD4528" w14:textId="7B237EC8" w:rsidR="0069537C" w:rsidRDefault="0069537C" w:rsidP="0069537C">
      <w:pPr>
        <w:spacing w:line="240" w:lineRule="auto"/>
        <w:jc w:val="both"/>
        <w:rPr>
          <w:rFonts w:ascii="Arial" w:hAnsi="Arial" w:cs="Arial"/>
        </w:rPr>
      </w:pPr>
      <w:r>
        <w:rPr>
          <w:rFonts w:ascii="Arial" w:hAnsi="Arial" w:cs="Arial"/>
        </w:rPr>
        <w:t>Pese a</w:t>
      </w:r>
      <w:r w:rsidRPr="009E30CC">
        <w:rPr>
          <w:rFonts w:ascii="Arial" w:hAnsi="Arial" w:cs="Arial"/>
        </w:rPr>
        <w:t xml:space="preserve"> que la tasa de incidencia de los delitos</w:t>
      </w:r>
      <w:r>
        <w:rPr>
          <w:rFonts w:ascii="Arial" w:hAnsi="Arial" w:cs="Arial"/>
        </w:rPr>
        <w:t xml:space="preserve"> federales asociados con </w:t>
      </w:r>
      <w:r w:rsidR="00DE24E4">
        <w:rPr>
          <w:rFonts w:ascii="Arial" w:hAnsi="Arial" w:cs="Arial"/>
        </w:rPr>
        <w:t>drogas</w:t>
      </w:r>
      <w:r>
        <w:rPr>
          <w:rFonts w:ascii="Arial" w:hAnsi="Arial" w:cs="Arial"/>
        </w:rPr>
        <w:t xml:space="preserve"> </w:t>
      </w:r>
      <w:r w:rsidR="00EE2DA2">
        <w:rPr>
          <w:rFonts w:ascii="Arial" w:hAnsi="Arial" w:cs="Arial"/>
        </w:rPr>
        <w:t xml:space="preserve">registrados por la Fiscalía General de la República </w:t>
      </w:r>
      <w:r>
        <w:rPr>
          <w:rFonts w:ascii="Arial" w:hAnsi="Arial" w:cs="Arial"/>
        </w:rPr>
        <w:t xml:space="preserve">se mantuvo sin cambios </w:t>
      </w:r>
      <w:r w:rsidRPr="009E30CC">
        <w:rPr>
          <w:rFonts w:ascii="Arial" w:hAnsi="Arial" w:cs="Arial"/>
        </w:rPr>
        <w:t xml:space="preserve">entre 2016 </w:t>
      </w:r>
      <w:r w:rsidR="006E693D">
        <w:rPr>
          <w:rFonts w:ascii="Arial" w:hAnsi="Arial" w:cs="Arial"/>
        </w:rPr>
        <w:t>y</w:t>
      </w:r>
      <w:r w:rsidRPr="009E30CC">
        <w:rPr>
          <w:rFonts w:ascii="Arial" w:hAnsi="Arial" w:cs="Arial"/>
        </w:rPr>
        <w:t xml:space="preserve"> 2018, </w:t>
      </w:r>
      <w:r w:rsidR="00F71137" w:rsidRPr="00AB6C3E">
        <w:rPr>
          <w:rFonts w:ascii="Arial" w:hAnsi="Arial" w:cs="Arial"/>
        </w:rPr>
        <w:t xml:space="preserve">los ministerios públicos federales de Jalisco, San Luis Potosí y Sinaloa </w:t>
      </w:r>
      <w:r w:rsidR="005174BD">
        <w:rPr>
          <w:rFonts w:ascii="Arial" w:hAnsi="Arial" w:cs="Arial"/>
        </w:rPr>
        <w:t>tuvieron</w:t>
      </w:r>
      <w:r w:rsidR="00F71137" w:rsidRPr="00AB6C3E">
        <w:rPr>
          <w:rFonts w:ascii="Arial" w:hAnsi="Arial" w:cs="Arial"/>
        </w:rPr>
        <w:t xml:space="preserve"> </w:t>
      </w:r>
      <w:r w:rsidR="004650DA">
        <w:rPr>
          <w:rFonts w:ascii="Arial" w:hAnsi="Arial" w:cs="Arial"/>
        </w:rPr>
        <w:t xml:space="preserve">aumentos </w:t>
      </w:r>
      <w:r w:rsidR="00AB6C3E" w:rsidRPr="00AB6C3E">
        <w:rPr>
          <w:rFonts w:ascii="Arial" w:hAnsi="Arial" w:cs="Arial"/>
        </w:rPr>
        <w:t xml:space="preserve">de </w:t>
      </w:r>
      <w:r w:rsidR="005174BD">
        <w:rPr>
          <w:rFonts w:ascii="Arial" w:hAnsi="Arial" w:cs="Arial"/>
        </w:rPr>
        <w:t xml:space="preserve">más de 20% en los delitos </w:t>
      </w:r>
      <w:r w:rsidR="00B52523">
        <w:rPr>
          <w:rFonts w:ascii="Arial" w:hAnsi="Arial" w:cs="Arial"/>
        </w:rPr>
        <w:t xml:space="preserve">relacionados con drogas </w:t>
      </w:r>
      <w:r w:rsidR="00AB6C3E" w:rsidRPr="00AB6C3E">
        <w:rPr>
          <w:rFonts w:ascii="Arial" w:hAnsi="Arial" w:cs="Arial"/>
        </w:rPr>
        <w:t>registrados</w:t>
      </w:r>
      <w:r w:rsidR="004650DA">
        <w:rPr>
          <w:rFonts w:ascii="Arial" w:hAnsi="Arial" w:cs="Arial"/>
        </w:rPr>
        <w:t xml:space="preserve"> </w:t>
      </w:r>
      <w:r w:rsidR="00AB6C3E" w:rsidRPr="00AB6C3E">
        <w:rPr>
          <w:rFonts w:ascii="Arial" w:hAnsi="Arial" w:cs="Arial"/>
        </w:rPr>
        <w:t xml:space="preserve">en </w:t>
      </w:r>
      <w:r w:rsidR="005174BD">
        <w:rPr>
          <w:rFonts w:ascii="Arial" w:hAnsi="Arial" w:cs="Arial"/>
        </w:rPr>
        <w:t xml:space="preserve">las </w:t>
      </w:r>
      <w:r w:rsidR="00AB6C3E" w:rsidRPr="00AB6C3E">
        <w:rPr>
          <w:rFonts w:ascii="Arial" w:hAnsi="Arial" w:cs="Arial"/>
        </w:rPr>
        <w:t xml:space="preserve">averiguaciones previas y carpetas </w:t>
      </w:r>
      <w:r w:rsidR="005174BD">
        <w:rPr>
          <w:rFonts w:ascii="Arial" w:hAnsi="Arial" w:cs="Arial"/>
        </w:rPr>
        <w:t xml:space="preserve">de investigación </w:t>
      </w:r>
      <w:r w:rsidR="00AB6C3E" w:rsidRPr="00AB6C3E">
        <w:rPr>
          <w:rFonts w:ascii="Arial" w:hAnsi="Arial" w:cs="Arial"/>
        </w:rPr>
        <w:t xml:space="preserve">iniciadas durante </w:t>
      </w:r>
      <w:r w:rsidR="007C3848">
        <w:rPr>
          <w:rFonts w:ascii="Arial" w:hAnsi="Arial" w:cs="Arial"/>
        </w:rPr>
        <w:t>2018</w:t>
      </w:r>
      <w:r w:rsidR="00B74D55" w:rsidRPr="00AB6C3E">
        <w:rPr>
          <w:rFonts w:ascii="Arial" w:hAnsi="Arial" w:cs="Arial"/>
        </w:rPr>
        <w:t>.</w:t>
      </w:r>
      <w:r w:rsidR="00B74D55">
        <w:rPr>
          <w:rFonts w:ascii="Arial" w:hAnsi="Arial" w:cs="Arial"/>
        </w:rPr>
        <w:t xml:space="preserve"> </w:t>
      </w:r>
      <w:r w:rsidR="00C80CF5">
        <w:rPr>
          <w:rFonts w:ascii="Arial" w:hAnsi="Arial" w:cs="Arial"/>
        </w:rPr>
        <w:t xml:space="preserve">Asimismo, </w:t>
      </w:r>
      <w:r w:rsidRPr="009E30CC">
        <w:rPr>
          <w:rFonts w:ascii="Arial" w:hAnsi="Arial" w:cs="Arial"/>
        </w:rPr>
        <w:t>en la</w:t>
      </w:r>
      <w:r>
        <w:rPr>
          <w:rFonts w:ascii="Arial" w:hAnsi="Arial" w:cs="Arial"/>
        </w:rPr>
        <w:t xml:space="preserve">s </w:t>
      </w:r>
      <w:r w:rsidRPr="009E30CC">
        <w:rPr>
          <w:rFonts w:ascii="Arial" w:hAnsi="Arial" w:cs="Arial"/>
        </w:rPr>
        <w:t>agencia</w:t>
      </w:r>
      <w:r>
        <w:rPr>
          <w:rFonts w:ascii="Arial" w:hAnsi="Arial" w:cs="Arial"/>
        </w:rPr>
        <w:t>s</w:t>
      </w:r>
      <w:r w:rsidRPr="009E30CC">
        <w:rPr>
          <w:rFonts w:ascii="Arial" w:hAnsi="Arial" w:cs="Arial"/>
        </w:rPr>
        <w:t xml:space="preserve"> </w:t>
      </w:r>
      <w:r>
        <w:rPr>
          <w:rFonts w:ascii="Arial" w:hAnsi="Arial" w:cs="Arial"/>
        </w:rPr>
        <w:t xml:space="preserve">de las Unidades </w:t>
      </w:r>
      <w:r w:rsidRPr="009E30CC">
        <w:rPr>
          <w:rFonts w:ascii="Arial" w:hAnsi="Arial" w:cs="Arial"/>
        </w:rPr>
        <w:t>adscrita</w:t>
      </w:r>
      <w:r>
        <w:rPr>
          <w:rFonts w:ascii="Arial" w:hAnsi="Arial" w:cs="Arial"/>
        </w:rPr>
        <w:t xml:space="preserve">s </w:t>
      </w:r>
      <w:r w:rsidRPr="009E30CC">
        <w:rPr>
          <w:rFonts w:ascii="Arial" w:hAnsi="Arial" w:cs="Arial"/>
        </w:rPr>
        <w:t>a la Subprocuraduría Especializada en Investigación de Delincuencia Organizada de la Fiscalía General de la República</w:t>
      </w:r>
      <w:r>
        <w:rPr>
          <w:rFonts w:ascii="Arial" w:hAnsi="Arial" w:cs="Arial"/>
        </w:rPr>
        <w:t xml:space="preserve"> se duplicó la cantidad de delitos contra la salud y de narcomenudeo</w:t>
      </w:r>
      <w:r w:rsidR="00C80CF5">
        <w:rPr>
          <w:rFonts w:ascii="Arial" w:hAnsi="Arial" w:cs="Arial"/>
        </w:rPr>
        <w:t xml:space="preserve"> registrados</w:t>
      </w:r>
      <w:r>
        <w:rPr>
          <w:rFonts w:ascii="Arial" w:hAnsi="Arial" w:cs="Arial"/>
        </w:rPr>
        <w:t>, al pasar de 55 a 112 delitos</w:t>
      </w:r>
      <w:r w:rsidR="00C80CF5">
        <w:rPr>
          <w:rFonts w:ascii="Arial" w:hAnsi="Arial" w:cs="Arial"/>
        </w:rPr>
        <w:t>.</w:t>
      </w:r>
      <w:r>
        <w:rPr>
          <w:rFonts w:ascii="Arial" w:hAnsi="Arial" w:cs="Arial"/>
        </w:rPr>
        <w:t xml:space="preserve"> </w:t>
      </w:r>
    </w:p>
    <w:p w14:paraId="1BC3AA68" w14:textId="77777777" w:rsidR="001969E3" w:rsidRDefault="001969E3" w:rsidP="0069537C">
      <w:pPr>
        <w:spacing w:line="240" w:lineRule="auto"/>
        <w:jc w:val="both"/>
        <w:rPr>
          <w:rFonts w:ascii="Arial" w:hAnsi="Arial" w:cs="Arial"/>
        </w:rPr>
      </w:pPr>
    </w:p>
    <w:p w14:paraId="220BFC2C" w14:textId="404BB5CC" w:rsidR="00840FAF" w:rsidRDefault="00840FAF" w:rsidP="00293413">
      <w:pPr>
        <w:spacing w:after="0" w:line="240" w:lineRule="auto"/>
        <w:jc w:val="center"/>
        <w:rPr>
          <w:rFonts w:ascii="Arial" w:hAnsi="Arial" w:cs="Arial"/>
        </w:rPr>
      </w:pPr>
      <w:r>
        <w:rPr>
          <w:rFonts w:ascii="Arial" w:hAnsi="Arial" w:cs="Arial"/>
          <w:noProof/>
          <w:lang w:val="en-US"/>
        </w:rPr>
        <w:drawing>
          <wp:inline distT="0" distB="0" distL="0" distR="0" wp14:anchorId="0D396DBB" wp14:editId="4FE23DDA">
            <wp:extent cx="5755005" cy="3572510"/>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005" cy="3572510"/>
                    </a:xfrm>
                    <a:prstGeom prst="rect">
                      <a:avLst/>
                    </a:prstGeom>
                    <a:noFill/>
                  </pic:spPr>
                </pic:pic>
              </a:graphicData>
            </a:graphic>
          </wp:inline>
        </w:drawing>
      </w:r>
    </w:p>
    <w:p w14:paraId="338A1B31" w14:textId="77777777" w:rsidR="00293413" w:rsidRPr="009E30CC" w:rsidRDefault="00293413" w:rsidP="00293413">
      <w:pPr>
        <w:spacing w:after="0" w:line="240" w:lineRule="auto"/>
        <w:jc w:val="center"/>
        <w:rPr>
          <w:rFonts w:ascii="Arial" w:hAnsi="Arial" w:cs="Arial"/>
        </w:rPr>
      </w:pPr>
    </w:p>
    <w:p w14:paraId="1A71DF93" w14:textId="77777777" w:rsidR="00A86D38" w:rsidRDefault="00A86D38" w:rsidP="009310B5">
      <w:pPr>
        <w:spacing w:line="240" w:lineRule="auto"/>
        <w:jc w:val="both"/>
        <w:rPr>
          <w:rFonts w:ascii="Arial" w:hAnsi="Arial" w:cs="Arial"/>
        </w:rPr>
      </w:pPr>
    </w:p>
    <w:p w14:paraId="48066E7D" w14:textId="10C61720" w:rsidR="002E4105" w:rsidRDefault="00371505" w:rsidP="009310B5">
      <w:pPr>
        <w:spacing w:line="240" w:lineRule="auto"/>
        <w:jc w:val="both"/>
        <w:rPr>
          <w:rFonts w:ascii="Arial" w:hAnsi="Arial" w:cs="Arial"/>
        </w:rPr>
      </w:pPr>
      <w:r w:rsidRPr="009E30CC">
        <w:rPr>
          <w:rFonts w:ascii="Arial" w:hAnsi="Arial" w:cs="Arial"/>
        </w:rPr>
        <w:t xml:space="preserve">Si bien, los delitos asociados con </w:t>
      </w:r>
      <w:r>
        <w:rPr>
          <w:rFonts w:ascii="Arial" w:hAnsi="Arial" w:cs="Arial"/>
        </w:rPr>
        <w:t>drogas ilícitas</w:t>
      </w:r>
      <w:r w:rsidRPr="009E30CC">
        <w:rPr>
          <w:rFonts w:ascii="Arial" w:hAnsi="Arial" w:cs="Arial"/>
        </w:rPr>
        <w:t xml:space="preserve"> constituyen un problema que se encuentra extendido a lo largo del país,</w:t>
      </w:r>
      <w:r>
        <w:rPr>
          <w:rFonts w:ascii="Arial" w:hAnsi="Arial" w:cs="Arial"/>
        </w:rPr>
        <w:t xml:space="preserve"> se observan heterogeneidades </w:t>
      </w:r>
      <w:r w:rsidR="00E84A2A">
        <w:rPr>
          <w:rFonts w:ascii="Arial" w:hAnsi="Arial" w:cs="Arial"/>
        </w:rPr>
        <w:t>importantes entre</w:t>
      </w:r>
      <w:r w:rsidRPr="009E30CC">
        <w:rPr>
          <w:rFonts w:ascii="Arial" w:hAnsi="Arial" w:cs="Arial"/>
        </w:rPr>
        <w:t xml:space="preserve"> entidades federativas. En 2018, Chihuahua</w:t>
      </w:r>
      <w:r w:rsidR="00021A76">
        <w:rPr>
          <w:rFonts w:ascii="Arial" w:hAnsi="Arial" w:cs="Arial"/>
        </w:rPr>
        <w:t xml:space="preserve">, </w:t>
      </w:r>
      <w:r w:rsidRPr="009E30CC">
        <w:rPr>
          <w:rFonts w:ascii="Arial" w:hAnsi="Arial" w:cs="Arial"/>
        </w:rPr>
        <w:t>Coahuila, Ciudad de México, México, Aguascalientes</w:t>
      </w:r>
      <w:r w:rsidR="00450C14">
        <w:rPr>
          <w:rFonts w:ascii="Arial" w:hAnsi="Arial" w:cs="Arial"/>
        </w:rPr>
        <w:t xml:space="preserve"> y </w:t>
      </w:r>
      <w:r w:rsidRPr="009E30CC">
        <w:rPr>
          <w:rFonts w:ascii="Arial" w:hAnsi="Arial" w:cs="Arial"/>
        </w:rPr>
        <w:t xml:space="preserve">Baja California reportaron las tasas más altas de </w:t>
      </w:r>
      <w:r>
        <w:rPr>
          <w:rFonts w:ascii="Arial" w:hAnsi="Arial" w:cs="Arial"/>
        </w:rPr>
        <w:t xml:space="preserve">delitos </w:t>
      </w:r>
      <w:r w:rsidRPr="009E30CC">
        <w:rPr>
          <w:rFonts w:ascii="Arial" w:hAnsi="Arial" w:cs="Arial"/>
        </w:rPr>
        <w:t>de narcomenudeo</w:t>
      </w:r>
      <w:r>
        <w:rPr>
          <w:rFonts w:ascii="Arial" w:hAnsi="Arial" w:cs="Arial"/>
        </w:rPr>
        <w:t xml:space="preserve"> registrados</w:t>
      </w:r>
      <w:r w:rsidR="00A3126D">
        <w:rPr>
          <w:rFonts w:ascii="Arial" w:hAnsi="Arial" w:cs="Arial"/>
        </w:rPr>
        <w:t xml:space="preserve"> </w:t>
      </w:r>
      <w:r w:rsidR="00E84A2A">
        <w:rPr>
          <w:rFonts w:ascii="Arial" w:hAnsi="Arial" w:cs="Arial"/>
        </w:rPr>
        <w:t xml:space="preserve">en averiguaciones previas y carpetas de investigación iniciadas </w:t>
      </w:r>
      <w:r w:rsidR="004650DA">
        <w:rPr>
          <w:rFonts w:ascii="Arial" w:hAnsi="Arial" w:cs="Arial"/>
        </w:rPr>
        <w:t xml:space="preserve">en </w:t>
      </w:r>
      <w:r w:rsidR="00AD7A63">
        <w:rPr>
          <w:rFonts w:ascii="Arial" w:hAnsi="Arial" w:cs="Arial"/>
        </w:rPr>
        <w:t>ese</w:t>
      </w:r>
      <w:r w:rsidR="00A3126D" w:rsidRPr="00C90DC2">
        <w:rPr>
          <w:rFonts w:ascii="Arial" w:hAnsi="Arial" w:cs="Arial"/>
        </w:rPr>
        <w:t xml:space="preserve"> año</w:t>
      </w:r>
      <w:r w:rsidRPr="00C90DC2">
        <w:rPr>
          <w:rFonts w:ascii="Arial" w:hAnsi="Arial" w:cs="Arial"/>
        </w:rPr>
        <w:t xml:space="preserve">, tanto </w:t>
      </w:r>
      <w:r w:rsidR="00E84A2A">
        <w:rPr>
          <w:rFonts w:ascii="Arial" w:hAnsi="Arial" w:cs="Arial"/>
        </w:rPr>
        <w:t xml:space="preserve">en el sistema </w:t>
      </w:r>
      <w:r w:rsidR="00DF460E">
        <w:rPr>
          <w:rFonts w:ascii="Arial" w:hAnsi="Arial" w:cs="Arial"/>
        </w:rPr>
        <w:t xml:space="preserve">para </w:t>
      </w:r>
      <w:r w:rsidRPr="00C90DC2">
        <w:rPr>
          <w:rFonts w:ascii="Arial" w:hAnsi="Arial" w:cs="Arial"/>
        </w:rPr>
        <w:t xml:space="preserve">adultos como </w:t>
      </w:r>
      <w:r w:rsidR="00E84A2A">
        <w:rPr>
          <w:rFonts w:ascii="Arial" w:hAnsi="Arial" w:cs="Arial"/>
        </w:rPr>
        <w:t>en el</w:t>
      </w:r>
      <w:r w:rsidR="00DF460E">
        <w:rPr>
          <w:rFonts w:ascii="Arial" w:hAnsi="Arial" w:cs="Arial"/>
        </w:rPr>
        <w:t xml:space="preserve"> sistema de justicia para</w:t>
      </w:r>
      <w:r w:rsidR="00E84A2A">
        <w:rPr>
          <w:rFonts w:ascii="Arial" w:hAnsi="Arial" w:cs="Arial"/>
        </w:rPr>
        <w:t xml:space="preserve"> </w:t>
      </w:r>
      <w:r w:rsidRPr="00C90DC2">
        <w:rPr>
          <w:rFonts w:ascii="Arial" w:hAnsi="Arial" w:cs="Arial"/>
        </w:rPr>
        <w:t>adolescentes (Mapa 1)</w:t>
      </w:r>
      <w:r w:rsidR="00DF460E">
        <w:rPr>
          <w:rFonts w:ascii="Arial" w:hAnsi="Arial" w:cs="Arial"/>
        </w:rPr>
        <w:t xml:space="preserve">, </w:t>
      </w:r>
      <w:r w:rsidR="00005DDA">
        <w:rPr>
          <w:rFonts w:ascii="Arial" w:hAnsi="Arial" w:cs="Arial"/>
        </w:rPr>
        <w:t>estando las</w:t>
      </w:r>
      <w:r w:rsidR="00DF460E">
        <w:rPr>
          <w:rFonts w:ascii="Arial" w:hAnsi="Arial" w:cs="Arial"/>
        </w:rPr>
        <w:t xml:space="preserve"> tasas de delitos de </w:t>
      </w:r>
      <w:r w:rsidR="00515917" w:rsidRPr="00C90DC2">
        <w:rPr>
          <w:rFonts w:ascii="Arial" w:hAnsi="Arial" w:cs="Arial"/>
        </w:rPr>
        <w:t xml:space="preserve">narcomenudeo </w:t>
      </w:r>
      <w:r w:rsidR="00005DDA">
        <w:rPr>
          <w:rFonts w:ascii="Arial" w:hAnsi="Arial" w:cs="Arial"/>
        </w:rPr>
        <w:t xml:space="preserve">de ambas poblaciones </w:t>
      </w:r>
      <w:r w:rsidR="00DF460E">
        <w:rPr>
          <w:rFonts w:ascii="Arial" w:hAnsi="Arial" w:cs="Arial"/>
        </w:rPr>
        <w:t xml:space="preserve">altamente correlacionadas, como se aprecia en </w:t>
      </w:r>
      <w:r w:rsidR="00AD7A63">
        <w:rPr>
          <w:rFonts w:ascii="Arial" w:hAnsi="Arial" w:cs="Arial"/>
        </w:rPr>
        <w:t xml:space="preserve">la </w:t>
      </w:r>
      <w:r w:rsidR="00C90DC2" w:rsidRPr="00C90DC2">
        <w:rPr>
          <w:rFonts w:ascii="Arial" w:hAnsi="Arial" w:cs="Arial"/>
        </w:rPr>
        <w:t xml:space="preserve">Gráfica </w:t>
      </w:r>
      <w:r w:rsidR="002E4105">
        <w:rPr>
          <w:rFonts w:ascii="Arial" w:hAnsi="Arial" w:cs="Arial"/>
        </w:rPr>
        <w:t>3</w:t>
      </w:r>
      <w:r w:rsidR="00515917" w:rsidRPr="00C90DC2">
        <w:rPr>
          <w:rFonts w:ascii="Arial" w:hAnsi="Arial" w:cs="Arial"/>
        </w:rPr>
        <w:t>.</w:t>
      </w:r>
    </w:p>
    <w:p w14:paraId="6B0FFEA1" w14:textId="34FB0774" w:rsidR="001A4B9E" w:rsidRDefault="001A4B9E" w:rsidP="009310B5">
      <w:pPr>
        <w:spacing w:line="240" w:lineRule="auto"/>
        <w:jc w:val="both"/>
        <w:rPr>
          <w:rFonts w:ascii="Arial" w:hAnsi="Arial" w:cs="Arial"/>
        </w:rPr>
      </w:pPr>
      <w:r>
        <w:rPr>
          <w:rFonts w:ascii="Arial" w:hAnsi="Arial" w:cs="Arial"/>
        </w:rPr>
        <w:t xml:space="preserve">En el caso de los delitos </w:t>
      </w:r>
      <w:r w:rsidR="00005DDA">
        <w:rPr>
          <w:rFonts w:ascii="Arial" w:hAnsi="Arial" w:cs="Arial"/>
        </w:rPr>
        <w:t xml:space="preserve">relacionados con </w:t>
      </w:r>
      <w:r w:rsidRPr="009E30CC">
        <w:rPr>
          <w:rFonts w:ascii="Arial" w:hAnsi="Arial" w:cs="Arial"/>
        </w:rPr>
        <w:t>narcomenudeo y contra la salud</w:t>
      </w:r>
      <w:r w:rsidR="00EE2DA2">
        <w:rPr>
          <w:rFonts w:ascii="Arial" w:hAnsi="Arial" w:cs="Arial"/>
        </w:rPr>
        <w:t xml:space="preserve"> registrados por las agencias del ministerio público federal en 2018</w:t>
      </w:r>
      <w:r w:rsidR="00DF460E">
        <w:rPr>
          <w:rFonts w:ascii="Arial" w:hAnsi="Arial" w:cs="Arial"/>
        </w:rPr>
        <w:t>,</w:t>
      </w:r>
      <w:r w:rsidR="000358C2">
        <w:rPr>
          <w:rFonts w:ascii="Arial" w:hAnsi="Arial" w:cs="Arial"/>
        </w:rPr>
        <w:t xml:space="preserve"> </w:t>
      </w:r>
      <w:r w:rsidRPr="009E30CC">
        <w:rPr>
          <w:rFonts w:ascii="Arial" w:hAnsi="Arial" w:cs="Arial"/>
        </w:rPr>
        <w:t>15 entidades</w:t>
      </w:r>
      <w:r w:rsidRPr="009E30CC">
        <w:rPr>
          <w:rStyle w:val="Refdenotaalpie"/>
          <w:rFonts w:ascii="Arial" w:hAnsi="Arial" w:cs="Arial"/>
        </w:rPr>
        <w:footnoteReference w:id="11"/>
      </w:r>
      <w:r w:rsidRPr="009E30CC">
        <w:rPr>
          <w:rFonts w:ascii="Arial" w:hAnsi="Arial" w:cs="Arial"/>
        </w:rPr>
        <w:t xml:space="preserve"> superaron la tasa nacional de delitos federales </w:t>
      </w:r>
      <w:r w:rsidR="00005DDA">
        <w:rPr>
          <w:rFonts w:ascii="Arial" w:hAnsi="Arial" w:cs="Arial"/>
        </w:rPr>
        <w:t xml:space="preserve">asociados </w:t>
      </w:r>
      <w:r>
        <w:rPr>
          <w:rFonts w:ascii="Arial" w:hAnsi="Arial" w:cs="Arial"/>
        </w:rPr>
        <w:t>con</w:t>
      </w:r>
      <w:r w:rsidRPr="009E30CC">
        <w:rPr>
          <w:rFonts w:ascii="Arial" w:hAnsi="Arial" w:cs="Arial"/>
        </w:rPr>
        <w:t xml:space="preserve"> </w:t>
      </w:r>
      <w:r>
        <w:rPr>
          <w:rFonts w:ascii="Arial" w:hAnsi="Arial" w:cs="Arial"/>
        </w:rPr>
        <w:t>drogas</w:t>
      </w:r>
      <w:r w:rsidRPr="009E30CC">
        <w:rPr>
          <w:rFonts w:ascii="Arial" w:hAnsi="Arial" w:cs="Arial"/>
        </w:rPr>
        <w:t>, entre las que destacan Baja California, Baja California Sur, Sinaloa y Sonora con las tasas más altas.</w:t>
      </w:r>
    </w:p>
    <w:p w14:paraId="1D59B1A1" w14:textId="150021B7" w:rsidR="001969E3" w:rsidRDefault="001969E3" w:rsidP="009310B5">
      <w:pPr>
        <w:spacing w:line="240" w:lineRule="auto"/>
        <w:jc w:val="both"/>
        <w:rPr>
          <w:rFonts w:ascii="Arial" w:hAnsi="Arial" w:cs="Arial"/>
        </w:rPr>
      </w:pPr>
    </w:p>
    <w:p w14:paraId="411A341C" w14:textId="254DECB7" w:rsidR="001969E3" w:rsidRDefault="001969E3" w:rsidP="009310B5">
      <w:pPr>
        <w:spacing w:line="240" w:lineRule="auto"/>
        <w:jc w:val="both"/>
        <w:rPr>
          <w:rFonts w:ascii="Arial" w:hAnsi="Arial" w:cs="Arial"/>
        </w:rPr>
      </w:pPr>
    </w:p>
    <w:p w14:paraId="397EFA74" w14:textId="575B030A" w:rsidR="001969E3" w:rsidRDefault="001969E3" w:rsidP="009310B5">
      <w:pPr>
        <w:spacing w:line="240" w:lineRule="auto"/>
        <w:jc w:val="both"/>
        <w:rPr>
          <w:rFonts w:ascii="Arial" w:hAnsi="Arial" w:cs="Arial"/>
        </w:rPr>
      </w:pPr>
    </w:p>
    <w:p w14:paraId="59907ABC" w14:textId="16C171EA" w:rsidR="001969E3" w:rsidRDefault="001969E3" w:rsidP="009310B5">
      <w:pPr>
        <w:spacing w:line="240" w:lineRule="auto"/>
        <w:jc w:val="both"/>
        <w:rPr>
          <w:rFonts w:ascii="Arial" w:hAnsi="Arial" w:cs="Arial"/>
        </w:rPr>
      </w:pPr>
    </w:p>
    <w:p w14:paraId="5F96FB6A" w14:textId="116FE1BF" w:rsidR="002E4105" w:rsidRDefault="007103AD" w:rsidP="002E4105">
      <w:pPr>
        <w:spacing w:line="240" w:lineRule="auto"/>
        <w:jc w:val="center"/>
        <w:rPr>
          <w:rFonts w:ascii="Arial" w:hAnsi="Arial" w:cs="Arial"/>
        </w:rPr>
      </w:pPr>
      <w:r>
        <w:rPr>
          <w:rFonts w:ascii="Arial" w:hAnsi="Arial" w:cs="Arial"/>
          <w:noProof/>
          <w:lang w:val="en-US"/>
        </w:rPr>
        <w:drawing>
          <wp:inline distT="0" distB="0" distL="0" distR="0" wp14:anchorId="2197752E" wp14:editId="1F3C47B9">
            <wp:extent cx="5773420" cy="685228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6852285"/>
                    </a:xfrm>
                    <a:prstGeom prst="rect">
                      <a:avLst/>
                    </a:prstGeom>
                    <a:noFill/>
                  </pic:spPr>
                </pic:pic>
              </a:graphicData>
            </a:graphic>
          </wp:inline>
        </w:drawing>
      </w:r>
    </w:p>
    <w:p w14:paraId="0C34120A" w14:textId="44A4BF35" w:rsidR="001969E3" w:rsidRDefault="001969E3" w:rsidP="002E4105">
      <w:pPr>
        <w:spacing w:line="240" w:lineRule="auto"/>
        <w:jc w:val="center"/>
        <w:rPr>
          <w:rFonts w:ascii="Arial" w:hAnsi="Arial" w:cs="Arial"/>
        </w:rPr>
      </w:pPr>
    </w:p>
    <w:p w14:paraId="7F482938" w14:textId="0E6248CD" w:rsidR="001969E3" w:rsidRDefault="001969E3" w:rsidP="002E4105">
      <w:pPr>
        <w:spacing w:line="240" w:lineRule="auto"/>
        <w:jc w:val="center"/>
        <w:rPr>
          <w:rFonts w:ascii="Arial" w:hAnsi="Arial" w:cs="Arial"/>
        </w:rPr>
      </w:pPr>
    </w:p>
    <w:p w14:paraId="6B8F92E6" w14:textId="7E0364C2" w:rsidR="001969E3" w:rsidRDefault="001969E3" w:rsidP="002E4105">
      <w:pPr>
        <w:spacing w:line="240" w:lineRule="auto"/>
        <w:jc w:val="center"/>
        <w:rPr>
          <w:rFonts w:ascii="Arial" w:hAnsi="Arial" w:cs="Arial"/>
        </w:rPr>
      </w:pPr>
    </w:p>
    <w:p w14:paraId="633D5332" w14:textId="42AD9495" w:rsidR="001969E3" w:rsidRDefault="001969E3" w:rsidP="002E4105">
      <w:pPr>
        <w:spacing w:line="240" w:lineRule="auto"/>
        <w:jc w:val="center"/>
        <w:rPr>
          <w:rFonts w:ascii="Arial" w:hAnsi="Arial" w:cs="Arial"/>
        </w:rPr>
      </w:pPr>
    </w:p>
    <w:p w14:paraId="1829F5CB" w14:textId="77777777" w:rsidR="001969E3" w:rsidRPr="009E30CC" w:rsidRDefault="001969E3" w:rsidP="002E4105">
      <w:pPr>
        <w:spacing w:line="240" w:lineRule="auto"/>
        <w:jc w:val="center"/>
        <w:rPr>
          <w:rFonts w:ascii="Arial" w:hAnsi="Arial" w:cs="Arial"/>
        </w:rPr>
      </w:pPr>
    </w:p>
    <w:p w14:paraId="51061281" w14:textId="421BFD10" w:rsidR="00274F3F" w:rsidRDefault="00274F3F" w:rsidP="00274F3F">
      <w:pPr>
        <w:spacing w:after="0" w:line="240" w:lineRule="auto"/>
        <w:jc w:val="center"/>
        <w:rPr>
          <w:rFonts w:ascii="Arial" w:hAnsi="Arial" w:cs="Arial"/>
          <w:b/>
          <w:bCs/>
        </w:rPr>
      </w:pPr>
      <w:r>
        <w:rPr>
          <w:rFonts w:ascii="Arial" w:hAnsi="Arial" w:cs="Arial"/>
          <w:b/>
          <w:bCs/>
          <w:noProof/>
          <w:lang w:val="en-US"/>
        </w:rPr>
        <w:drawing>
          <wp:inline distT="0" distB="0" distL="0" distR="0" wp14:anchorId="614A32FA" wp14:editId="5BB3D3A8">
            <wp:extent cx="5742940" cy="3688715"/>
            <wp:effectExtent l="0" t="0" r="0" b="698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2940" cy="3688715"/>
                    </a:xfrm>
                    <a:prstGeom prst="rect">
                      <a:avLst/>
                    </a:prstGeom>
                    <a:noFill/>
                  </pic:spPr>
                </pic:pic>
              </a:graphicData>
            </a:graphic>
          </wp:inline>
        </w:drawing>
      </w:r>
    </w:p>
    <w:p w14:paraId="46C829B3" w14:textId="77777777" w:rsidR="00274F3F" w:rsidRDefault="00274F3F" w:rsidP="00274F3F">
      <w:pPr>
        <w:spacing w:after="0" w:line="240" w:lineRule="auto"/>
        <w:jc w:val="center"/>
        <w:rPr>
          <w:rFonts w:ascii="Arial" w:hAnsi="Arial" w:cs="Arial"/>
          <w:b/>
          <w:bCs/>
        </w:rPr>
      </w:pPr>
    </w:p>
    <w:p w14:paraId="3981D076" w14:textId="77777777" w:rsidR="00E90A2C" w:rsidRDefault="00E90A2C" w:rsidP="009310B5">
      <w:pPr>
        <w:spacing w:line="240" w:lineRule="auto"/>
        <w:rPr>
          <w:rFonts w:ascii="Arial" w:hAnsi="Arial" w:cs="Arial"/>
          <w:b/>
          <w:bCs/>
        </w:rPr>
      </w:pPr>
    </w:p>
    <w:p w14:paraId="6319319D" w14:textId="6293400F" w:rsidR="005D33B2" w:rsidRPr="009E30CC" w:rsidRDefault="00A86D38" w:rsidP="009310B5">
      <w:pPr>
        <w:spacing w:line="240" w:lineRule="auto"/>
        <w:rPr>
          <w:rFonts w:ascii="Arial" w:hAnsi="Arial" w:cs="Arial"/>
        </w:rPr>
      </w:pPr>
      <w:r w:rsidRPr="009E30CC">
        <w:rPr>
          <w:rFonts w:ascii="Arial" w:hAnsi="Arial" w:cs="Arial"/>
          <w:b/>
          <w:bCs/>
        </w:rPr>
        <w:t xml:space="preserve">CONDUCTAS DELICTIVAS QUE </w:t>
      </w:r>
      <w:r>
        <w:rPr>
          <w:rFonts w:ascii="Arial" w:hAnsi="Arial" w:cs="Arial"/>
          <w:b/>
          <w:bCs/>
        </w:rPr>
        <w:t>CONFORMAN EL</w:t>
      </w:r>
      <w:r w:rsidRPr="009E30CC">
        <w:rPr>
          <w:rFonts w:ascii="Arial" w:hAnsi="Arial" w:cs="Arial"/>
          <w:b/>
          <w:bCs/>
        </w:rPr>
        <w:t xml:space="preserve"> NARCOMENUDEO Y LOS DELITOS CONTRA LA SALUD</w:t>
      </w:r>
    </w:p>
    <w:p w14:paraId="05C0AB64" w14:textId="3BC9468D" w:rsidR="00B82D76" w:rsidRDefault="006E2622" w:rsidP="000358C2">
      <w:pPr>
        <w:spacing w:after="120" w:line="240" w:lineRule="auto"/>
        <w:jc w:val="both"/>
        <w:rPr>
          <w:rFonts w:ascii="Arial" w:hAnsi="Arial" w:cs="Arial"/>
        </w:rPr>
      </w:pPr>
      <w:r>
        <w:rPr>
          <w:rFonts w:ascii="Arial" w:hAnsi="Arial" w:cs="Arial"/>
        </w:rPr>
        <w:t>D</w:t>
      </w:r>
      <w:r w:rsidRPr="009E30CC">
        <w:rPr>
          <w:rFonts w:ascii="Arial" w:hAnsi="Arial" w:cs="Arial"/>
        </w:rPr>
        <w:t xml:space="preserve">e las cinco conductas que integran </w:t>
      </w:r>
      <w:r w:rsidR="00591BA8">
        <w:rPr>
          <w:rFonts w:ascii="Arial" w:hAnsi="Arial" w:cs="Arial"/>
        </w:rPr>
        <w:t>el delito de</w:t>
      </w:r>
      <w:r w:rsidR="00591BA8" w:rsidRPr="009E30CC">
        <w:rPr>
          <w:rFonts w:ascii="Arial" w:hAnsi="Arial" w:cs="Arial"/>
        </w:rPr>
        <w:t xml:space="preserve"> </w:t>
      </w:r>
      <w:r w:rsidRPr="009E30CC">
        <w:rPr>
          <w:rFonts w:ascii="Arial" w:hAnsi="Arial" w:cs="Arial"/>
        </w:rPr>
        <w:t>narcomenudeo</w:t>
      </w:r>
      <w:r>
        <w:rPr>
          <w:rFonts w:ascii="Arial" w:hAnsi="Arial" w:cs="Arial"/>
        </w:rPr>
        <w:t>, d</w:t>
      </w:r>
      <w:r w:rsidRPr="009E30CC">
        <w:rPr>
          <w:rFonts w:ascii="Arial" w:hAnsi="Arial" w:cs="Arial"/>
        </w:rPr>
        <w:t xml:space="preserve">e acuerdo con la Norma Técnica para la Clasificación Nacional de Delitos para fines Estadísticos del INEGI, </w:t>
      </w:r>
      <w:r w:rsidR="00506D42">
        <w:rPr>
          <w:rFonts w:ascii="Arial" w:hAnsi="Arial" w:cs="Arial"/>
        </w:rPr>
        <w:t xml:space="preserve">82.7% </w:t>
      </w:r>
      <w:r w:rsidR="00E744A6">
        <w:rPr>
          <w:rFonts w:ascii="Arial" w:hAnsi="Arial" w:cs="Arial"/>
        </w:rPr>
        <w:t xml:space="preserve">de los delitos registrados </w:t>
      </w:r>
      <w:r w:rsidR="00C90DC2" w:rsidRPr="009E30CC">
        <w:rPr>
          <w:rFonts w:ascii="Arial" w:hAnsi="Arial" w:cs="Arial"/>
        </w:rPr>
        <w:t>en 2018</w:t>
      </w:r>
      <w:r w:rsidR="00681F51">
        <w:rPr>
          <w:rFonts w:ascii="Arial" w:hAnsi="Arial" w:cs="Arial"/>
        </w:rPr>
        <w:t xml:space="preserve"> </w:t>
      </w:r>
      <w:r w:rsidR="00E744A6">
        <w:rPr>
          <w:rFonts w:ascii="Arial" w:hAnsi="Arial" w:cs="Arial"/>
        </w:rPr>
        <w:t xml:space="preserve">por </w:t>
      </w:r>
      <w:r w:rsidR="00591BA8">
        <w:rPr>
          <w:rFonts w:ascii="Arial" w:hAnsi="Arial" w:cs="Arial"/>
        </w:rPr>
        <w:t xml:space="preserve">las procuradurías y fiscalías estatales de justica fueron por </w:t>
      </w:r>
      <w:r w:rsidR="000F41A3">
        <w:rPr>
          <w:rFonts w:ascii="Arial" w:hAnsi="Arial" w:cs="Arial"/>
        </w:rPr>
        <w:t>posesión simple de narcóticos</w:t>
      </w:r>
      <w:r w:rsidR="00591BA8">
        <w:rPr>
          <w:rFonts w:ascii="Arial" w:hAnsi="Arial" w:cs="Arial"/>
        </w:rPr>
        <w:t xml:space="preserve">. </w:t>
      </w:r>
      <w:r w:rsidR="00E83A86">
        <w:rPr>
          <w:rFonts w:ascii="Arial" w:hAnsi="Arial" w:cs="Arial"/>
        </w:rPr>
        <w:t>Además, c</w:t>
      </w:r>
      <w:r w:rsidR="00591BA8">
        <w:rPr>
          <w:rFonts w:ascii="Arial" w:hAnsi="Arial" w:cs="Arial"/>
        </w:rPr>
        <w:t xml:space="preserve">abe resaltar que el registro de esta conducta delictiva </w:t>
      </w:r>
      <w:r w:rsidR="00506D42">
        <w:rPr>
          <w:rFonts w:ascii="Arial" w:hAnsi="Arial" w:cs="Arial"/>
        </w:rPr>
        <w:t>aumentó en 205%</w:t>
      </w:r>
      <w:r w:rsidR="00591BA8">
        <w:rPr>
          <w:rFonts w:ascii="Arial" w:hAnsi="Arial" w:cs="Arial"/>
        </w:rPr>
        <w:t xml:space="preserve"> entre 2016 y 2018</w:t>
      </w:r>
      <w:r w:rsidR="001740A6">
        <w:rPr>
          <w:rFonts w:ascii="Arial" w:hAnsi="Arial" w:cs="Arial"/>
        </w:rPr>
        <w:t xml:space="preserve">, al pasar de 20 354 a 62 096 </w:t>
      </w:r>
      <w:r w:rsidR="00E83A86">
        <w:rPr>
          <w:rFonts w:ascii="Arial" w:hAnsi="Arial" w:cs="Arial"/>
        </w:rPr>
        <w:t xml:space="preserve">delitos </w:t>
      </w:r>
      <w:r w:rsidR="001740A6" w:rsidRPr="009E30CC">
        <w:rPr>
          <w:rFonts w:ascii="Arial" w:hAnsi="Arial" w:cs="Arial"/>
        </w:rPr>
        <w:t xml:space="preserve">(Gráfica </w:t>
      </w:r>
      <w:r w:rsidR="00B82D76">
        <w:rPr>
          <w:rFonts w:ascii="Arial" w:hAnsi="Arial" w:cs="Arial"/>
        </w:rPr>
        <w:t>4</w:t>
      </w:r>
      <w:r w:rsidR="001740A6" w:rsidRPr="009E30CC">
        <w:rPr>
          <w:rFonts w:ascii="Arial" w:hAnsi="Arial" w:cs="Arial"/>
        </w:rPr>
        <w:t>)</w:t>
      </w:r>
      <w:r w:rsidR="0061257E" w:rsidRPr="009E30CC">
        <w:rPr>
          <w:rFonts w:ascii="Arial" w:hAnsi="Arial" w:cs="Arial"/>
        </w:rPr>
        <w:t>.</w:t>
      </w:r>
      <w:r w:rsidR="00C945EE">
        <w:rPr>
          <w:rFonts w:ascii="Arial" w:hAnsi="Arial" w:cs="Arial"/>
        </w:rPr>
        <w:t xml:space="preserve"> </w:t>
      </w:r>
    </w:p>
    <w:p w14:paraId="7711472B" w14:textId="1CC7222C" w:rsidR="00C11F85" w:rsidRDefault="00E83A86" w:rsidP="000358C2">
      <w:pPr>
        <w:spacing w:after="120" w:line="240" w:lineRule="auto"/>
        <w:jc w:val="both"/>
        <w:rPr>
          <w:rFonts w:ascii="Arial" w:hAnsi="Arial" w:cs="Arial"/>
        </w:rPr>
      </w:pPr>
      <w:r>
        <w:rPr>
          <w:rFonts w:ascii="Arial" w:hAnsi="Arial" w:cs="Arial"/>
        </w:rPr>
        <w:t xml:space="preserve">En contraste, </w:t>
      </w:r>
      <w:r w:rsidR="007F2000">
        <w:rPr>
          <w:rFonts w:ascii="Arial" w:hAnsi="Arial" w:cs="Arial"/>
        </w:rPr>
        <w:t xml:space="preserve">el número de delitos </w:t>
      </w:r>
      <w:r>
        <w:rPr>
          <w:rFonts w:ascii="Arial" w:hAnsi="Arial" w:cs="Arial"/>
        </w:rPr>
        <w:t xml:space="preserve">relacionados con el </w:t>
      </w:r>
      <w:r w:rsidR="007F2000">
        <w:rPr>
          <w:rFonts w:ascii="Arial" w:hAnsi="Arial" w:cs="Arial"/>
        </w:rPr>
        <w:t>comercio</w:t>
      </w:r>
      <w:r w:rsidR="00503699">
        <w:rPr>
          <w:rFonts w:ascii="Arial" w:hAnsi="Arial" w:cs="Arial"/>
        </w:rPr>
        <w:t xml:space="preserve"> </w:t>
      </w:r>
      <w:r>
        <w:rPr>
          <w:rFonts w:ascii="Arial" w:hAnsi="Arial" w:cs="Arial"/>
        </w:rPr>
        <w:t xml:space="preserve">o suministro </w:t>
      </w:r>
      <w:r w:rsidR="00C945EE">
        <w:rPr>
          <w:rFonts w:ascii="Arial" w:hAnsi="Arial" w:cs="Arial"/>
        </w:rPr>
        <w:t xml:space="preserve">de drogas, </w:t>
      </w:r>
      <w:r w:rsidR="00503699">
        <w:rPr>
          <w:rFonts w:ascii="Arial" w:hAnsi="Arial" w:cs="Arial"/>
        </w:rPr>
        <w:t>registrados</w:t>
      </w:r>
      <w:r>
        <w:rPr>
          <w:rFonts w:ascii="Arial" w:hAnsi="Arial" w:cs="Arial"/>
        </w:rPr>
        <w:t xml:space="preserve"> en</w:t>
      </w:r>
      <w:r w:rsidR="00C945EE">
        <w:rPr>
          <w:rFonts w:ascii="Arial" w:hAnsi="Arial" w:cs="Arial"/>
        </w:rPr>
        <w:t xml:space="preserve"> </w:t>
      </w:r>
      <w:r>
        <w:rPr>
          <w:rFonts w:ascii="Arial" w:hAnsi="Arial" w:cs="Arial"/>
        </w:rPr>
        <w:t>las averiguaciones previas o carpetas de investigación in</w:t>
      </w:r>
      <w:r w:rsidR="00C945EE">
        <w:rPr>
          <w:rFonts w:ascii="Arial" w:hAnsi="Arial" w:cs="Arial"/>
        </w:rPr>
        <w:t>i</w:t>
      </w:r>
      <w:r>
        <w:rPr>
          <w:rFonts w:ascii="Arial" w:hAnsi="Arial" w:cs="Arial"/>
        </w:rPr>
        <w:t>ciadas en el año</w:t>
      </w:r>
      <w:r w:rsidR="00C945EE">
        <w:rPr>
          <w:rFonts w:ascii="Arial" w:hAnsi="Arial" w:cs="Arial"/>
        </w:rPr>
        <w:t>,</w:t>
      </w:r>
      <w:r w:rsidR="00503699">
        <w:rPr>
          <w:rFonts w:ascii="Arial" w:hAnsi="Arial" w:cs="Arial"/>
        </w:rPr>
        <w:t xml:space="preserve"> disminuyó </w:t>
      </w:r>
      <w:r w:rsidR="00D539C9">
        <w:rPr>
          <w:rFonts w:ascii="Arial" w:hAnsi="Arial" w:cs="Arial"/>
        </w:rPr>
        <w:t xml:space="preserve">entre 2016 </w:t>
      </w:r>
      <w:r w:rsidR="00FB6948">
        <w:rPr>
          <w:rFonts w:ascii="Arial" w:hAnsi="Arial" w:cs="Arial"/>
        </w:rPr>
        <w:t>y</w:t>
      </w:r>
      <w:r w:rsidR="00D539C9">
        <w:rPr>
          <w:rFonts w:ascii="Arial" w:hAnsi="Arial" w:cs="Arial"/>
        </w:rPr>
        <w:t xml:space="preserve"> 2018</w:t>
      </w:r>
      <w:r w:rsidR="00C945EE">
        <w:rPr>
          <w:rFonts w:ascii="Arial" w:hAnsi="Arial" w:cs="Arial"/>
        </w:rPr>
        <w:t>.</w:t>
      </w:r>
    </w:p>
    <w:p w14:paraId="1E76B905" w14:textId="4BA4AFC9" w:rsidR="001969E3" w:rsidRDefault="001969E3" w:rsidP="000358C2">
      <w:pPr>
        <w:spacing w:after="120" w:line="240" w:lineRule="auto"/>
        <w:jc w:val="both"/>
        <w:rPr>
          <w:rFonts w:ascii="Arial" w:hAnsi="Arial" w:cs="Arial"/>
        </w:rPr>
      </w:pPr>
    </w:p>
    <w:p w14:paraId="07F889FD" w14:textId="64D26BD3" w:rsidR="001969E3" w:rsidRDefault="001969E3" w:rsidP="000358C2">
      <w:pPr>
        <w:spacing w:after="120" w:line="240" w:lineRule="auto"/>
        <w:jc w:val="both"/>
        <w:rPr>
          <w:rFonts w:ascii="Arial" w:hAnsi="Arial" w:cs="Arial"/>
        </w:rPr>
      </w:pPr>
    </w:p>
    <w:p w14:paraId="777F7157" w14:textId="6F2C01D3" w:rsidR="001969E3" w:rsidRDefault="001969E3" w:rsidP="000358C2">
      <w:pPr>
        <w:spacing w:after="120" w:line="240" w:lineRule="auto"/>
        <w:jc w:val="both"/>
        <w:rPr>
          <w:rFonts w:ascii="Arial" w:hAnsi="Arial" w:cs="Arial"/>
        </w:rPr>
      </w:pPr>
    </w:p>
    <w:p w14:paraId="064EF929" w14:textId="1EB956F7" w:rsidR="001969E3" w:rsidRDefault="001969E3" w:rsidP="000358C2">
      <w:pPr>
        <w:spacing w:after="120" w:line="240" w:lineRule="auto"/>
        <w:jc w:val="both"/>
        <w:rPr>
          <w:rFonts w:ascii="Arial" w:hAnsi="Arial" w:cs="Arial"/>
        </w:rPr>
      </w:pPr>
    </w:p>
    <w:p w14:paraId="4749F6A1" w14:textId="7B876177" w:rsidR="001969E3" w:rsidRDefault="001969E3" w:rsidP="000358C2">
      <w:pPr>
        <w:spacing w:after="120" w:line="240" w:lineRule="auto"/>
        <w:jc w:val="both"/>
        <w:rPr>
          <w:rFonts w:ascii="Arial" w:hAnsi="Arial" w:cs="Arial"/>
        </w:rPr>
      </w:pPr>
    </w:p>
    <w:p w14:paraId="13B3106A" w14:textId="5789617D" w:rsidR="001969E3" w:rsidRDefault="001969E3" w:rsidP="000358C2">
      <w:pPr>
        <w:spacing w:after="120" w:line="240" w:lineRule="auto"/>
        <w:jc w:val="both"/>
        <w:rPr>
          <w:rFonts w:ascii="Arial" w:hAnsi="Arial" w:cs="Arial"/>
        </w:rPr>
      </w:pPr>
    </w:p>
    <w:p w14:paraId="4C6DCDFA" w14:textId="2B83DA4C" w:rsidR="001969E3" w:rsidRDefault="001969E3" w:rsidP="000358C2">
      <w:pPr>
        <w:spacing w:after="120" w:line="240" w:lineRule="auto"/>
        <w:jc w:val="both"/>
        <w:rPr>
          <w:rFonts w:ascii="Arial" w:hAnsi="Arial" w:cs="Arial"/>
        </w:rPr>
      </w:pPr>
    </w:p>
    <w:p w14:paraId="7C5A4D5A" w14:textId="2F567B4B" w:rsidR="001969E3" w:rsidRDefault="001969E3" w:rsidP="000358C2">
      <w:pPr>
        <w:spacing w:after="120" w:line="240" w:lineRule="auto"/>
        <w:jc w:val="both"/>
        <w:rPr>
          <w:rFonts w:ascii="Arial" w:hAnsi="Arial" w:cs="Arial"/>
        </w:rPr>
      </w:pPr>
    </w:p>
    <w:p w14:paraId="23C4C0FE" w14:textId="4E2C9475" w:rsidR="001969E3" w:rsidRDefault="001969E3" w:rsidP="000358C2">
      <w:pPr>
        <w:spacing w:after="120" w:line="240" w:lineRule="auto"/>
        <w:jc w:val="both"/>
        <w:rPr>
          <w:rFonts w:ascii="Arial" w:hAnsi="Arial" w:cs="Arial"/>
        </w:rPr>
      </w:pPr>
    </w:p>
    <w:p w14:paraId="1A428108" w14:textId="2ADAA7C6" w:rsidR="00274F3F" w:rsidRDefault="00FD59DF" w:rsidP="00274F3F">
      <w:pPr>
        <w:tabs>
          <w:tab w:val="left" w:pos="5760"/>
        </w:tabs>
        <w:spacing w:after="0" w:line="240" w:lineRule="auto"/>
        <w:jc w:val="center"/>
        <w:rPr>
          <w:rFonts w:ascii="Arial" w:hAnsi="Arial" w:cs="Arial"/>
        </w:rPr>
      </w:pPr>
      <w:r>
        <w:rPr>
          <w:rFonts w:ascii="Arial" w:hAnsi="Arial" w:cs="Arial"/>
          <w:noProof/>
          <w:lang w:val="en-US"/>
        </w:rPr>
        <w:drawing>
          <wp:inline distT="0" distB="0" distL="0" distR="0" wp14:anchorId="2EE7AEB9" wp14:editId="76F68CBC">
            <wp:extent cx="5941308" cy="3724275"/>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0042" cy="3729750"/>
                    </a:xfrm>
                    <a:prstGeom prst="rect">
                      <a:avLst/>
                    </a:prstGeom>
                    <a:noFill/>
                  </pic:spPr>
                </pic:pic>
              </a:graphicData>
            </a:graphic>
          </wp:inline>
        </w:drawing>
      </w:r>
    </w:p>
    <w:p w14:paraId="1D6CC7AA" w14:textId="77777777" w:rsidR="00274F3F" w:rsidRDefault="00274F3F" w:rsidP="00274F3F">
      <w:pPr>
        <w:tabs>
          <w:tab w:val="left" w:pos="5760"/>
        </w:tabs>
        <w:spacing w:after="0" w:line="240" w:lineRule="auto"/>
        <w:jc w:val="both"/>
        <w:rPr>
          <w:rFonts w:ascii="Arial" w:hAnsi="Arial" w:cs="Arial"/>
        </w:rPr>
      </w:pPr>
    </w:p>
    <w:p w14:paraId="0B3825C3" w14:textId="77777777" w:rsidR="00A86D38" w:rsidRDefault="00A86D38" w:rsidP="009310B5">
      <w:pPr>
        <w:tabs>
          <w:tab w:val="left" w:pos="5760"/>
        </w:tabs>
        <w:spacing w:line="240" w:lineRule="auto"/>
        <w:jc w:val="both"/>
        <w:rPr>
          <w:rFonts w:ascii="Arial" w:hAnsi="Arial" w:cs="Arial"/>
        </w:rPr>
      </w:pPr>
    </w:p>
    <w:p w14:paraId="64EF41FA" w14:textId="460D6713" w:rsidR="00863CB6" w:rsidRDefault="00500B1C" w:rsidP="009310B5">
      <w:pPr>
        <w:tabs>
          <w:tab w:val="left" w:pos="5760"/>
        </w:tabs>
        <w:spacing w:line="240" w:lineRule="auto"/>
        <w:jc w:val="both"/>
        <w:rPr>
          <w:rFonts w:ascii="Arial" w:hAnsi="Arial" w:cs="Arial"/>
        </w:rPr>
      </w:pPr>
      <w:r>
        <w:rPr>
          <w:rFonts w:ascii="Arial" w:hAnsi="Arial" w:cs="Arial"/>
        </w:rPr>
        <w:t>De los 6 432 delitos contra la salud registrados por los ministerios</w:t>
      </w:r>
      <w:r w:rsidR="00D611D9">
        <w:rPr>
          <w:rFonts w:ascii="Arial" w:hAnsi="Arial" w:cs="Arial"/>
        </w:rPr>
        <w:t xml:space="preserve"> </w:t>
      </w:r>
      <w:r>
        <w:rPr>
          <w:rFonts w:ascii="Arial" w:hAnsi="Arial" w:cs="Arial"/>
        </w:rPr>
        <w:t>públicos federales durante 2018, 3</w:t>
      </w:r>
      <w:r w:rsidR="00930DF7">
        <w:rPr>
          <w:rFonts w:ascii="Arial" w:hAnsi="Arial" w:cs="Arial"/>
        </w:rPr>
        <w:t>7</w:t>
      </w:r>
      <w:r w:rsidR="00CF2B8B">
        <w:rPr>
          <w:rFonts w:ascii="Arial" w:hAnsi="Arial" w:cs="Arial"/>
        </w:rPr>
        <w:t>.7</w:t>
      </w:r>
      <w:r w:rsidR="00930DF7">
        <w:rPr>
          <w:rFonts w:ascii="Arial" w:hAnsi="Arial" w:cs="Arial"/>
        </w:rPr>
        <w:t>%</w:t>
      </w:r>
      <w:r w:rsidR="002B41A1">
        <w:rPr>
          <w:rFonts w:ascii="Arial" w:hAnsi="Arial" w:cs="Arial"/>
        </w:rPr>
        <w:t xml:space="preserve"> </w:t>
      </w:r>
      <w:r>
        <w:rPr>
          <w:rFonts w:ascii="Arial" w:hAnsi="Arial" w:cs="Arial"/>
        </w:rPr>
        <w:t>correspondieron a</w:t>
      </w:r>
      <w:r w:rsidR="00AE4CFD">
        <w:rPr>
          <w:rFonts w:ascii="Arial" w:hAnsi="Arial" w:cs="Arial"/>
        </w:rPr>
        <w:t xml:space="preserve">l </w:t>
      </w:r>
      <w:r w:rsidR="00D14617">
        <w:rPr>
          <w:rFonts w:ascii="Arial" w:hAnsi="Arial" w:cs="Arial"/>
        </w:rPr>
        <w:t>delito de</w:t>
      </w:r>
      <w:r>
        <w:rPr>
          <w:rFonts w:ascii="Arial" w:hAnsi="Arial" w:cs="Arial"/>
        </w:rPr>
        <w:t xml:space="preserve"> </w:t>
      </w:r>
      <w:r w:rsidR="006B13A7">
        <w:rPr>
          <w:rFonts w:ascii="Arial" w:hAnsi="Arial" w:cs="Arial"/>
        </w:rPr>
        <w:t>posesión</w:t>
      </w:r>
      <w:r w:rsidR="00C501D5">
        <w:rPr>
          <w:rFonts w:ascii="Arial" w:hAnsi="Arial" w:cs="Arial"/>
        </w:rPr>
        <w:t xml:space="preserve"> </w:t>
      </w:r>
      <w:r w:rsidR="00777C1D">
        <w:rPr>
          <w:rFonts w:ascii="Arial" w:hAnsi="Arial" w:cs="Arial"/>
        </w:rPr>
        <w:t>de narcóticos</w:t>
      </w:r>
      <w:r w:rsidR="00A81482">
        <w:rPr>
          <w:rStyle w:val="Refdenotaalpie"/>
          <w:rFonts w:ascii="Arial" w:hAnsi="Arial" w:cs="Arial"/>
        </w:rPr>
        <w:footnoteReference w:id="12"/>
      </w:r>
      <w:r w:rsidR="00004059">
        <w:rPr>
          <w:rFonts w:ascii="Arial" w:hAnsi="Arial" w:cs="Arial"/>
        </w:rPr>
        <w:t xml:space="preserve"> (Gráfica </w:t>
      </w:r>
      <w:r w:rsidR="008510E0">
        <w:rPr>
          <w:rFonts w:ascii="Arial" w:hAnsi="Arial" w:cs="Arial"/>
        </w:rPr>
        <w:t>5</w:t>
      </w:r>
      <w:r w:rsidR="00004059">
        <w:rPr>
          <w:rFonts w:ascii="Arial" w:hAnsi="Arial" w:cs="Arial"/>
        </w:rPr>
        <w:t>)</w:t>
      </w:r>
      <w:r w:rsidR="009D6795">
        <w:rPr>
          <w:rFonts w:ascii="Arial" w:hAnsi="Arial" w:cs="Arial"/>
        </w:rPr>
        <w:t xml:space="preserve">, </w:t>
      </w:r>
      <w:r w:rsidR="00194614">
        <w:rPr>
          <w:rFonts w:ascii="Arial" w:hAnsi="Arial" w:cs="Arial"/>
        </w:rPr>
        <w:t xml:space="preserve">siendo </w:t>
      </w:r>
      <w:r w:rsidR="00C06A36">
        <w:rPr>
          <w:rFonts w:ascii="Arial" w:hAnsi="Arial" w:cs="Arial"/>
        </w:rPr>
        <w:t xml:space="preserve">Baja California, Chihuahua, Jalisco, </w:t>
      </w:r>
      <w:r w:rsidR="009949EA">
        <w:rPr>
          <w:rFonts w:ascii="Arial" w:hAnsi="Arial" w:cs="Arial"/>
        </w:rPr>
        <w:t>Michoacán</w:t>
      </w:r>
      <w:r w:rsidR="00C06A36">
        <w:rPr>
          <w:rFonts w:ascii="Arial" w:hAnsi="Arial" w:cs="Arial"/>
        </w:rPr>
        <w:t xml:space="preserve"> y Sonora </w:t>
      </w:r>
      <w:r w:rsidR="00194614">
        <w:rPr>
          <w:rFonts w:ascii="Arial" w:hAnsi="Arial" w:cs="Arial"/>
        </w:rPr>
        <w:t xml:space="preserve">los estados que </w:t>
      </w:r>
      <w:r w:rsidR="008B4BF3">
        <w:rPr>
          <w:rFonts w:ascii="Arial" w:hAnsi="Arial" w:cs="Arial"/>
        </w:rPr>
        <w:t>concentraron</w:t>
      </w:r>
      <w:r w:rsidR="00C06A36">
        <w:rPr>
          <w:rFonts w:ascii="Arial" w:hAnsi="Arial" w:cs="Arial"/>
        </w:rPr>
        <w:t xml:space="preserve"> 50.2% del total de delitos registrados por posesión</w:t>
      </w:r>
      <w:r w:rsidR="00194614">
        <w:rPr>
          <w:rFonts w:ascii="Arial" w:hAnsi="Arial" w:cs="Arial"/>
        </w:rPr>
        <w:t xml:space="preserve">; por su parte, </w:t>
      </w:r>
      <w:r w:rsidR="00AC4744">
        <w:rPr>
          <w:rFonts w:ascii="Arial" w:hAnsi="Arial" w:cs="Arial"/>
        </w:rPr>
        <w:t xml:space="preserve">San Luis Potosí y Sinaloa </w:t>
      </w:r>
      <w:r w:rsidR="005723A4">
        <w:rPr>
          <w:rFonts w:ascii="Arial" w:hAnsi="Arial" w:cs="Arial"/>
        </w:rPr>
        <w:t>concentraron</w:t>
      </w:r>
      <w:r w:rsidR="006C19AD">
        <w:rPr>
          <w:rFonts w:ascii="Arial" w:hAnsi="Arial" w:cs="Arial"/>
        </w:rPr>
        <w:t xml:space="preserve"> 5</w:t>
      </w:r>
      <w:r w:rsidR="00C06A36">
        <w:rPr>
          <w:rFonts w:ascii="Arial" w:hAnsi="Arial" w:cs="Arial"/>
        </w:rPr>
        <w:t>2.9</w:t>
      </w:r>
      <w:r w:rsidR="006C19AD">
        <w:rPr>
          <w:rFonts w:ascii="Arial" w:hAnsi="Arial" w:cs="Arial"/>
        </w:rPr>
        <w:t xml:space="preserve">% </w:t>
      </w:r>
      <w:r w:rsidR="005723A4">
        <w:rPr>
          <w:rFonts w:ascii="Arial" w:hAnsi="Arial" w:cs="Arial"/>
        </w:rPr>
        <w:t>de</w:t>
      </w:r>
      <w:r w:rsidR="006C19AD">
        <w:rPr>
          <w:rFonts w:ascii="Arial" w:hAnsi="Arial" w:cs="Arial"/>
        </w:rPr>
        <w:t xml:space="preserve"> los delitos</w:t>
      </w:r>
      <w:r w:rsidR="00EA3647">
        <w:rPr>
          <w:rFonts w:ascii="Arial" w:hAnsi="Arial" w:cs="Arial"/>
        </w:rPr>
        <w:t xml:space="preserve"> de transporte</w:t>
      </w:r>
      <w:r w:rsidR="00194614">
        <w:rPr>
          <w:rFonts w:ascii="Arial" w:hAnsi="Arial" w:cs="Arial"/>
        </w:rPr>
        <w:t xml:space="preserve"> de narcóticos</w:t>
      </w:r>
      <w:r w:rsidR="00EA3647">
        <w:rPr>
          <w:rFonts w:ascii="Arial" w:hAnsi="Arial" w:cs="Arial"/>
        </w:rPr>
        <w:t xml:space="preserve"> registrados</w:t>
      </w:r>
      <w:r w:rsidR="00691802">
        <w:rPr>
          <w:rFonts w:ascii="Arial" w:hAnsi="Arial" w:cs="Arial"/>
        </w:rPr>
        <w:t xml:space="preserve"> en 2018</w:t>
      </w:r>
      <w:r w:rsidR="00194614">
        <w:rPr>
          <w:rFonts w:ascii="Arial" w:hAnsi="Arial" w:cs="Arial"/>
        </w:rPr>
        <w:t>; e</w:t>
      </w:r>
      <w:r w:rsidR="00691802" w:rsidRPr="00F44134">
        <w:rPr>
          <w:rFonts w:ascii="Arial" w:hAnsi="Arial" w:cs="Arial"/>
        </w:rPr>
        <w:t xml:space="preserve">n tanto que </w:t>
      </w:r>
      <w:r w:rsidR="00194614" w:rsidRPr="00F44134">
        <w:rPr>
          <w:rFonts w:ascii="Arial" w:hAnsi="Arial" w:cs="Arial"/>
        </w:rPr>
        <w:t xml:space="preserve">Baja California, Jalisco, Nuevo León y Sonora </w:t>
      </w:r>
      <w:r w:rsidR="00194614">
        <w:rPr>
          <w:rFonts w:ascii="Arial" w:hAnsi="Arial" w:cs="Arial"/>
        </w:rPr>
        <w:t xml:space="preserve">concentraron </w:t>
      </w:r>
      <w:r w:rsidR="00F44134" w:rsidRPr="00F44134">
        <w:rPr>
          <w:rFonts w:ascii="Arial" w:hAnsi="Arial" w:cs="Arial"/>
        </w:rPr>
        <w:t xml:space="preserve">62.2% de los delitos registrados </w:t>
      </w:r>
      <w:r w:rsidR="00691802" w:rsidRPr="00F44134">
        <w:rPr>
          <w:rFonts w:ascii="Arial" w:hAnsi="Arial" w:cs="Arial"/>
        </w:rPr>
        <w:t>por</w:t>
      </w:r>
      <w:r w:rsidR="00D25974" w:rsidRPr="00F44134">
        <w:rPr>
          <w:rFonts w:ascii="Arial" w:hAnsi="Arial" w:cs="Arial"/>
        </w:rPr>
        <w:t xml:space="preserve"> producción de narcótico</w:t>
      </w:r>
      <w:r w:rsidR="00517080" w:rsidRPr="00F44134">
        <w:rPr>
          <w:rFonts w:ascii="Arial" w:hAnsi="Arial" w:cs="Arial"/>
        </w:rPr>
        <w:t>s</w:t>
      </w:r>
      <w:r w:rsidR="00F44134" w:rsidRPr="00F44134">
        <w:rPr>
          <w:rFonts w:ascii="Arial" w:hAnsi="Arial" w:cs="Arial"/>
        </w:rPr>
        <w:t>.</w:t>
      </w:r>
    </w:p>
    <w:p w14:paraId="1AB3AB92" w14:textId="79C9B9BB" w:rsidR="001969E3" w:rsidRDefault="001969E3" w:rsidP="009310B5">
      <w:pPr>
        <w:tabs>
          <w:tab w:val="left" w:pos="5760"/>
        </w:tabs>
        <w:spacing w:line="240" w:lineRule="auto"/>
        <w:jc w:val="both"/>
        <w:rPr>
          <w:rFonts w:ascii="Arial" w:hAnsi="Arial" w:cs="Arial"/>
        </w:rPr>
      </w:pPr>
    </w:p>
    <w:p w14:paraId="4AE735E4" w14:textId="230B4884" w:rsidR="001969E3" w:rsidRDefault="001969E3" w:rsidP="009310B5">
      <w:pPr>
        <w:tabs>
          <w:tab w:val="left" w:pos="5760"/>
        </w:tabs>
        <w:spacing w:line="240" w:lineRule="auto"/>
        <w:jc w:val="both"/>
        <w:rPr>
          <w:rFonts w:ascii="Arial" w:hAnsi="Arial" w:cs="Arial"/>
        </w:rPr>
      </w:pPr>
    </w:p>
    <w:p w14:paraId="02E9BDE2" w14:textId="5C2636FB" w:rsidR="001969E3" w:rsidRDefault="001969E3" w:rsidP="009310B5">
      <w:pPr>
        <w:tabs>
          <w:tab w:val="left" w:pos="5760"/>
        </w:tabs>
        <w:spacing w:line="240" w:lineRule="auto"/>
        <w:jc w:val="both"/>
        <w:rPr>
          <w:rFonts w:ascii="Arial" w:hAnsi="Arial" w:cs="Arial"/>
        </w:rPr>
      </w:pPr>
    </w:p>
    <w:p w14:paraId="411817A6" w14:textId="54500B54" w:rsidR="001969E3" w:rsidRDefault="001969E3" w:rsidP="009310B5">
      <w:pPr>
        <w:tabs>
          <w:tab w:val="left" w:pos="5760"/>
        </w:tabs>
        <w:spacing w:line="240" w:lineRule="auto"/>
        <w:jc w:val="both"/>
        <w:rPr>
          <w:rFonts w:ascii="Arial" w:hAnsi="Arial" w:cs="Arial"/>
        </w:rPr>
      </w:pPr>
    </w:p>
    <w:p w14:paraId="1DCF6F0F" w14:textId="39E44840" w:rsidR="001969E3" w:rsidRDefault="001969E3" w:rsidP="009310B5">
      <w:pPr>
        <w:tabs>
          <w:tab w:val="left" w:pos="5760"/>
        </w:tabs>
        <w:spacing w:line="240" w:lineRule="auto"/>
        <w:jc w:val="both"/>
        <w:rPr>
          <w:rFonts w:ascii="Arial" w:hAnsi="Arial" w:cs="Arial"/>
        </w:rPr>
      </w:pPr>
    </w:p>
    <w:p w14:paraId="05B482C4" w14:textId="79093F90" w:rsidR="001969E3" w:rsidRDefault="001969E3" w:rsidP="009310B5">
      <w:pPr>
        <w:tabs>
          <w:tab w:val="left" w:pos="5760"/>
        </w:tabs>
        <w:spacing w:line="240" w:lineRule="auto"/>
        <w:jc w:val="both"/>
        <w:rPr>
          <w:rFonts w:ascii="Arial" w:hAnsi="Arial" w:cs="Arial"/>
        </w:rPr>
      </w:pPr>
    </w:p>
    <w:p w14:paraId="7F39976D" w14:textId="77777777" w:rsidR="001969E3" w:rsidRPr="00F44134" w:rsidRDefault="001969E3" w:rsidP="009310B5">
      <w:pPr>
        <w:tabs>
          <w:tab w:val="left" w:pos="5760"/>
        </w:tabs>
        <w:spacing w:line="240" w:lineRule="auto"/>
        <w:jc w:val="both"/>
        <w:rPr>
          <w:rFonts w:ascii="Arial" w:hAnsi="Arial" w:cs="Arial"/>
          <w:highlight w:val="darkGray"/>
        </w:rPr>
      </w:pPr>
    </w:p>
    <w:p w14:paraId="4B8AE76E" w14:textId="083D21D2" w:rsidR="00A12EED" w:rsidRDefault="00FD59DF" w:rsidP="00D33C1F">
      <w:pPr>
        <w:tabs>
          <w:tab w:val="left" w:pos="5760"/>
        </w:tabs>
        <w:spacing w:after="0" w:line="240" w:lineRule="auto"/>
        <w:jc w:val="center"/>
        <w:rPr>
          <w:rFonts w:ascii="Arial" w:hAnsi="Arial" w:cs="Arial"/>
        </w:rPr>
      </w:pPr>
      <w:r>
        <w:rPr>
          <w:rFonts w:ascii="Arial" w:hAnsi="Arial" w:cs="Arial"/>
          <w:noProof/>
          <w:lang w:val="en-US"/>
        </w:rPr>
        <w:drawing>
          <wp:inline distT="0" distB="0" distL="0" distR="0" wp14:anchorId="24125B49" wp14:editId="1F9A946F">
            <wp:extent cx="5773420" cy="3267710"/>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3420" cy="3267710"/>
                    </a:xfrm>
                    <a:prstGeom prst="rect">
                      <a:avLst/>
                    </a:prstGeom>
                    <a:noFill/>
                  </pic:spPr>
                </pic:pic>
              </a:graphicData>
            </a:graphic>
          </wp:inline>
        </w:drawing>
      </w:r>
    </w:p>
    <w:p w14:paraId="731A6E25" w14:textId="77777777" w:rsidR="00C55B2B" w:rsidRDefault="00C55B2B" w:rsidP="00C55B2B">
      <w:pPr>
        <w:tabs>
          <w:tab w:val="left" w:pos="5760"/>
        </w:tabs>
        <w:spacing w:after="0" w:line="240" w:lineRule="auto"/>
        <w:rPr>
          <w:rFonts w:ascii="Arial" w:hAnsi="Arial" w:cs="Arial"/>
          <w:b/>
          <w:bCs/>
        </w:rPr>
      </w:pPr>
    </w:p>
    <w:p w14:paraId="23468304" w14:textId="162FA26B" w:rsidR="00EE2FF9" w:rsidRDefault="00A86D38" w:rsidP="00A13929">
      <w:pPr>
        <w:tabs>
          <w:tab w:val="left" w:pos="5760"/>
        </w:tabs>
        <w:spacing w:line="240" w:lineRule="auto"/>
        <w:rPr>
          <w:rFonts w:ascii="Arial" w:hAnsi="Arial" w:cs="Arial"/>
          <w:b/>
          <w:bCs/>
        </w:rPr>
      </w:pPr>
      <w:r w:rsidRPr="009E30CC">
        <w:rPr>
          <w:rFonts w:ascii="Arial" w:hAnsi="Arial" w:cs="Arial"/>
          <w:b/>
          <w:bCs/>
        </w:rPr>
        <w:t>IMPUTADOS POR DELITOS DE NARCOMENUDEO</w:t>
      </w:r>
    </w:p>
    <w:p w14:paraId="20771CEE" w14:textId="3515011C" w:rsidR="002326EB" w:rsidRDefault="002D6A57" w:rsidP="009310B5">
      <w:pPr>
        <w:spacing w:line="240" w:lineRule="auto"/>
        <w:jc w:val="both"/>
        <w:rPr>
          <w:rFonts w:ascii="Arial" w:hAnsi="Arial" w:cs="Arial"/>
        </w:rPr>
      </w:pPr>
      <w:r>
        <w:rPr>
          <w:rFonts w:ascii="Arial" w:hAnsi="Arial" w:cs="Arial"/>
        </w:rPr>
        <w:t>E</w:t>
      </w:r>
      <w:r w:rsidR="006F0757">
        <w:rPr>
          <w:rFonts w:ascii="Arial" w:hAnsi="Arial" w:cs="Arial"/>
        </w:rPr>
        <w:t>n 2018 se registr</w:t>
      </w:r>
      <w:r w:rsidR="002C05CE">
        <w:rPr>
          <w:rFonts w:ascii="Arial" w:hAnsi="Arial" w:cs="Arial"/>
        </w:rPr>
        <w:t>aron</w:t>
      </w:r>
      <w:r w:rsidR="006F0757">
        <w:rPr>
          <w:rFonts w:ascii="Arial" w:hAnsi="Arial" w:cs="Arial"/>
        </w:rPr>
        <w:t xml:space="preserve"> en total</w:t>
      </w:r>
      <w:r>
        <w:rPr>
          <w:rFonts w:ascii="Arial" w:hAnsi="Arial" w:cs="Arial"/>
        </w:rPr>
        <w:t xml:space="preserve"> </w:t>
      </w:r>
      <w:r w:rsidR="00A963E1">
        <w:rPr>
          <w:rFonts w:ascii="Arial" w:hAnsi="Arial" w:cs="Arial"/>
        </w:rPr>
        <w:t>64</w:t>
      </w:r>
      <w:r>
        <w:rPr>
          <w:rFonts w:ascii="Arial" w:hAnsi="Arial" w:cs="Arial"/>
        </w:rPr>
        <w:t xml:space="preserve"> </w:t>
      </w:r>
      <w:r w:rsidR="00A963E1">
        <w:rPr>
          <w:rFonts w:ascii="Arial" w:hAnsi="Arial" w:cs="Arial"/>
        </w:rPr>
        <w:t>446</w:t>
      </w:r>
      <w:r w:rsidR="006F0757">
        <w:rPr>
          <w:rFonts w:ascii="Arial" w:hAnsi="Arial" w:cs="Arial"/>
        </w:rPr>
        <w:t xml:space="preserve"> adultos y adolescentes imputados por delitos de narcomenudeo</w:t>
      </w:r>
      <w:r w:rsidR="00D148AD">
        <w:rPr>
          <w:rFonts w:ascii="Arial" w:hAnsi="Arial" w:cs="Arial"/>
        </w:rPr>
        <w:t xml:space="preserve"> en averiguaciones previas y carpetas de investigación iniciadas</w:t>
      </w:r>
      <w:r w:rsidR="00295597">
        <w:rPr>
          <w:rFonts w:ascii="Arial" w:hAnsi="Arial" w:cs="Arial"/>
        </w:rPr>
        <w:t xml:space="preserve"> </w:t>
      </w:r>
      <w:r w:rsidR="00CB413B">
        <w:rPr>
          <w:rFonts w:ascii="Arial" w:hAnsi="Arial" w:cs="Arial"/>
        </w:rPr>
        <w:t>en el año</w:t>
      </w:r>
      <w:r>
        <w:rPr>
          <w:rFonts w:ascii="Arial" w:hAnsi="Arial" w:cs="Arial"/>
        </w:rPr>
        <w:t xml:space="preserve">, observándose </w:t>
      </w:r>
      <w:r w:rsidR="00D148AD">
        <w:rPr>
          <w:rFonts w:ascii="Arial" w:hAnsi="Arial" w:cs="Arial"/>
        </w:rPr>
        <w:t xml:space="preserve">un aumento </w:t>
      </w:r>
      <w:r w:rsidR="00CB413B">
        <w:rPr>
          <w:rFonts w:ascii="Arial" w:hAnsi="Arial" w:cs="Arial"/>
        </w:rPr>
        <w:t>de más del doble</w:t>
      </w:r>
      <w:r w:rsidR="00DC3884">
        <w:rPr>
          <w:rFonts w:ascii="Arial" w:hAnsi="Arial" w:cs="Arial"/>
        </w:rPr>
        <w:t xml:space="preserve"> </w:t>
      </w:r>
      <w:r>
        <w:rPr>
          <w:rFonts w:ascii="Arial" w:hAnsi="Arial" w:cs="Arial"/>
        </w:rPr>
        <w:t xml:space="preserve">respecto al número de personas imputadas en 2016 </w:t>
      </w:r>
      <w:r w:rsidR="00C121D5">
        <w:rPr>
          <w:rFonts w:ascii="Arial" w:hAnsi="Arial" w:cs="Arial"/>
        </w:rPr>
        <w:t xml:space="preserve">(Gráfica </w:t>
      </w:r>
      <w:r w:rsidR="004B0208">
        <w:rPr>
          <w:rFonts w:ascii="Arial" w:hAnsi="Arial" w:cs="Arial"/>
        </w:rPr>
        <w:t>6</w:t>
      </w:r>
      <w:r w:rsidR="00C121D5">
        <w:rPr>
          <w:rFonts w:ascii="Arial" w:hAnsi="Arial" w:cs="Arial"/>
        </w:rPr>
        <w:t xml:space="preserve">). </w:t>
      </w:r>
      <w:r>
        <w:rPr>
          <w:rFonts w:ascii="Arial" w:hAnsi="Arial" w:cs="Arial"/>
        </w:rPr>
        <w:t>La</w:t>
      </w:r>
      <w:r w:rsidR="00C121D5">
        <w:rPr>
          <w:rFonts w:ascii="Arial" w:hAnsi="Arial" w:cs="Arial"/>
        </w:rPr>
        <w:t xml:space="preserve"> </w:t>
      </w:r>
      <w:r w:rsidR="00AB6C3E">
        <w:rPr>
          <w:rFonts w:ascii="Arial" w:hAnsi="Arial" w:cs="Arial"/>
        </w:rPr>
        <w:t xml:space="preserve">Ciudad de México destacó por </w:t>
      </w:r>
      <w:r>
        <w:rPr>
          <w:rFonts w:ascii="Arial" w:hAnsi="Arial" w:cs="Arial"/>
        </w:rPr>
        <w:t>presentar</w:t>
      </w:r>
      <w:r w:rsidR="00AB6C3E">
        <w:rPr>
          <w:rFonts w:ascii="Arial" w:hAnsi="Arial" w:cs="Arial"/>
        </w:rPr>
        <w:t xml:space="preserve"> el mayor aumento de hombres imputados de 12 años y más, al pasar de 1 124 a 8 514 en el periodo de 2016 a 2018.</w:t>
      </w:r>
    </w:p>
    <w:p w14:paraId="01D868F1" w14:textId="77777777" w:rsidR="002D6A57" w:rsidRDefault="002D6A57" w:rsidP="009310B5">
      <w:pPr>
        <w:spacing w:line="240" w:lineRule="auto"/>
        <w:jc w:val="both"/>
        <w:rPr>
          <w:rFonts w:ascii="Arial" w:hAnsi="Arial" w:cs="Arial"/>
        </w:rPr>
      </w:pPr>
    </w:p>
    <w:p w14:paraId="6CB07CFD" w14:textId="0E013624" w:rsidR="00A963E1" w:rsidRDefault="004B0208" w:rsidP="004B0208">
      <w:pPr>
        <w:spacing w:line="240" w:lineRule="auto"/>
        <w:jc w:val="center"/>
        <w:rPr>
          <w:rFonts w:ascii="Arial" w:hAnsi="Arial" w:cs="Arial"/>
        </w:rPr>
      </w:pPr>
      <w:r>
        <w:rPr>
          <w:rFonts w:ascii="Arial" w:hAnsi="Arial" w:cs="Arial"/>
          <w:noProof/>
          <w:lang w:val="en-US"/>
        </w:rPr>
        <w:drawing>
          <wp:inline distT="0" distB="0" distL="0" distR="0" wp14:anchorId="24BBAFB9" wp14:editId="5EF23C53">
            <wp:extent cx="5779770" cy="3048000"/>
            <wp:effectExtent l="0" t="0" r="0" b="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9770" cy="3048000"/>
                    </a:xfrm>
                    <a:prstGeom prst="rect">
                      <a:avLst/>
                    </a:prstGeom>
                    <a:noFill/>
                  </pic:spPr>
                </pic:pic>
              </a:graphicData>
            </a:graphic>
          </wp:inline>
        </w:drawing>
      </w:r>
    </w:p>
    <w:p w14:paraId="5DF95EB0" w14:textId="77777777" w:rsidR="001969E3" w:rsidRDefault="001969E3" w:rsidP="0019097D">
      <w:pPr>
        <w:spacing w:line="240" w:lineRule="auto"/>
        <w:jc w:val="both"/>
        <w:rPr>
          <w:rFonts w:ascii="Arial" w:hAnsi="Arial" w:cs="Arial"/>
        </w:rPr>
      </w:pPr>
    </w:p>
    <w:p w14:paraId="24E1C84E" w14:textId="52BA6850" w:rsidR="0019097D" w:rsidRDefault="0019097D" w:rsidP="0019097D">
      <w:pPr>
        <w:spacing w:line="240" w:lineRule="auto"/>
        <w:jc w:val="both"/>
        <w:rPr>
          <w:rFonts w:ascii="Arial" w:hAnsi="Arial" w:cs="Arial"/>
        </w:rPr>
      </w:pPr>
      <w:r>
        <w:rPr>
          <w:rFonts w:ascii="Arial" w:hAnsi="Arial" w:cs="Arial"/>
        </w:rPr>
        <w:t>Si bien, las mujeres imputadas por el delito de narcomenudeo representaron 13.3% del total de adultos imputados por ese delito en 2018,</w:t>
      </w:r>
      <w:r w:rsidRPr="00A963E1">
        <w:rPr>
          <w:rFonts w:ascii="Arial" w:hAnsi="Arial" w:cs="Arial"/>
        </w:rPr>
        <w:t xml:space="preserve"> la cantidad de mujeres adultas imputadas</w:t>
      </w:r>
      <w:r>
        <w:rPr>
          <w:rFonts w:ascii="Arial" w:hAnsi="Arial" w:cs="Arial"/>
        </w:rPr>
        <w:t xml:space="preserve"> se </w:t>
      </w:r>
      <w:r w:rsidRPr="00A963E1">
        <w:rPr>
          <w:rFonts w:ascii="Arial" w:hAnsi="Arial" w:cs="Arial"/>
        </w:rPr>
        <w:t>incrementó 216%</w:t>
      </w:r>
      <w:r>
        <w:rPr>
          <w:rFonts w:ascii="Arial" w:hAnsi="Arial" w:cs="Arial"/>
        </w:rPr>
        <w:t xml:space="preserve"> respecto a 2016. Cabe resaltar que en 2018, el </w:t>
      </w:r>
      <w:r w:rsidR="001969E3">
        <w:rPr>
          <w:rFonts w:ascii="Arial" w:hAnsi="Arial" w:cs="Arial"/>
        </w:rPr>
        <w:t>e</w:t>
      </w:r>
      <w:r w:rsidR="007A7C16" w:rsidRPr="004779E6">
        <w:rPr>
          <w:rFonts w:ascii="Arial" w:hAnsi="Arial" w:cs="Arial"/>
        </w:rPr>
        <w:t xml:space="preserve">stado </w:t>
      </w:r>
      <w:r w:rsidRPr="004779E6">
        <w:rPr>
          <w:rFonts w:ascii="Arial" w:hAnsi="Arial" w:cs="Arial"/>
        </w:rPr>
        <w:t>de México</w:t>
      </w:r>
      <w:r>
        <w:rPr>
          <w:rFonts w:ascii="Arial" w:hAnsi="Arial" w:cs="Arial"/>
        </w:rPr>
        <w:t xml:space="preserve"> concentró </w:t>
      </w:r>
      <w:r w:rsidRPr="004779E6">
        <w:rPr>
          <w:rFonts w:ascii="Arial" w:hAnsi="Arial" w:cs="Arial"/>
        </w:rPr>
        <w:t>57%</w:t>
      </w:r>
      <w:r>
        <w:rPr>
          <w:rFonts w:ascii="Arial" w:hAnsi="Arial" w:cs="Arial"/>
        </w:rPr>
        <w:t xml:space="preserve"> del total de </w:t>
      </w:r>
      <w:r w:rsidRPr="004779E6">
        <w:rPr>
          <w:rFonts w:ascii="Arial" w:hAnsi="Arial" w:cs="Arial"/>
        </w:rPr>
        <w:t>mujeres</w:t>
      </w:r>
      <w:r>
        <w:rPr>
          <w:rFonts w:ascii="Arial" w:hAnsi="Arial" w:cs="Arial"/>
        </w:rPr>
        <w:t xml:space="preserve"> a las que se inició </w:t>
      </w:r>
      <w:r w:rsidRPr="004779E6">
        <w:rPr>
          <w:rFonts w:ascii="Arial" w:hAnsi="Arial" w:cs="Arial"/>
        </w:rPr>
        <w:t>investigación por la probable comisión de</w:t>
      </w:r>
      <w:r>
        <w:rPr>
          <w:rFonts w:ascii="Arial" w:hAnsi="Arial" w:cs="Arial"/>
        </w:rPr>
        <w:t xml:space="preserve"> algún delito de </w:t>
      </w:r>
      <w:r w:rsidRPr="004779E6">
        <w:rPr>
          <w:rFonts w:ascii="Arial" w:hAnsi="Arial" w:cs="Arial"/>
        </w:rPr>
        <w:t>narcomenudeo en el país.</w:t>
      </w:r>
    </w:p>
    <w:p w14:paraId="52305F62" w14:textId="77777777" w:rsidR="00510AC6" w:rsidRDefault="007458FB" w:rsidP="00AB6C3E">
      <w:pPr>
        <w:spacing w:line="240" w:lineRule="auto"/>
        <w:jc w:val="both"/>
        <w:rPr>
          <w:rFonts w:ascii="Arial" w:hAnsi="Arial" w:cs="Arial"/>
        </w:rPr>
      </w:pPr>
      <w:r>
        <w:rPr>
          <w:rFonts w:ascii="Arial" w:hAnsi="Arial" w:cs="Arial"/>
        </w:rPr>
        <w:t xml:space="preserve">Otro aspecto relevante </w:t>
      </w:r>
      <w:r w:rsidR="000F3A12">
        <w:rPr>
          <w:rFonts w:ascii="Arial" w:hAnsi="Arial" w:cs="Arial"/>
        </w:rPr>
        <w:t>es</w:t>
      </w:r>
      <w:r>
        <w:rPr>
          <w:rFonts w:ascii="Arial" w:hAnsi="Arial" w:cs="Arial"/>
        </w:rPr>
        <w:t xml:space="preserve"> conocer el narcótico por</w:t>
      </w:r>
      <w:r w:rsidR="002B193F">
        <w:rPr>
          <w:rFonts w:ascii="Arial" w:hAnsi="Arial" w:cs="Arial"/>
        </w:rPr>
        <w:t xml:space="preserve"> el que más </w:t>
      </w:r>
      <w:r w:rsidR="00626338">
        <w:rPr>
          <w:rFonts w:ascii="Arial" w:hAnsi="Arial" w:cs="Arial"/>
        </w:rPr>
        <w:t>personas</w:t>
      </w:r>
      <w:r w:rsidR="002B193F">
        <w:rPr>
          <w:rFonts w:ascii="Arial" w:hAnsi="Arial" w:cs="Arial"/>
        </w:rPr>
        <w:t xml:space="preserve"> fueron imputad</w:t>
      </w:r>
      <w:r w:rsidR="00626338">
        <w:rPr>
          <w:rFonts w:ascii="Arial" w:hAnsi="Arial" w:cs="Arial"/>
        </w:rPr>
        <w:t>as</w:t>
      </w:r>
      <w:r w:rsidR="002B193F">
        <w:rPr>
          <w:rFonts w:ascii="Arial" w:hAnsi="Arial" w:cs="Arial"/>
        </w:rPr>
        <w:t xml:space="preserve">. En 2018, </w:t>
      </w:r>
      <w:r w:rsidR="002013DF">
        <w:rPr>
          <w:rFonts w:ascii="Arial" w:hAnsi="Arial" w:cs="Arial"/>
        </w:rPr>
        <w:t>alrededor de 80%</w:t>
      </w:r>
      <w:r w:rsidR="00AE7B83">
        <w:rPr>
          <w:rFonts w:ascii="Arial" w:hAnsi="Arial" w:cs="Arial"/>
        </w:rPr>
        <w:t xml:space="preserve"> </w:t>
      </w:r>
      <w:r w:rsidR="002013DF">
        <w:rPr>
          <w:rFonts w:ascii="Arial" w:hAnsi="Arial" w:cs="Arial"/>
        </w:rPr>
        <w:t xml:space="preserve">de los </w:t>
      </w:r>
      <w:r w:rsidR="002A627D">
        <w:rPr>
          <w:rFonts w:ascii="Arial" w:hAnsi="Arial" w:cs="Arial"/>
        </w:rPr>
        <w:t xml:space="preserve">adolescentes fueron </w:t>
      </w:r>
      <w:r w:rsidR="00626338">
        <w:rPr>
          <w:rFonts w:ascii="Arial" w:hAnsi="Arial" w:cs="Arial"/>
        </w:rPr>
        <w:t>imputados por la tenencia de cannabis</w:t>
      </w:r>
      <w:r w:rsidR="002013DF">
        <w:rPr>
          <w:rFonts w:ascii="Arial" w:hAnsi="Arial" w:cs="Arial"/>
        </w:rPr>
        <w:t xml:space="preserve"> y en menor medida por la tenencia de </w:t>
      </w:r>
      <w:r w:rsidR="00626338">
        <w:rPr>
          <w:rFonts w:ascii="Arial" w:hAnsi="Arial" w:cs="Arial"/>
        </w:rPr>
        <w:t>estimulantes de tipo anfetam</w:t>
      </w:r>
      <w:r w:rsidR="005A3469">
        <w:rPr>
          <w:rFonts w:ascii="Arial" w:hAnsi="Arial" w:cs="Arial"/>
        </w:rPr>
        <w:t>í</w:t>
      </w:r>
      <w:r w:rsidR="00626338">
        <w:rPr>
          <w:rFonts w:ascii="Arial" w:hAnsi="Arial" w:cs="Arial"/>
        </w:rPr>
        <w:t xml:space="preserve">nico y </w:t>
      </w:r>
      <w:r w:rsidR="00794C18">
        <w:rPr>
          <w:rFonts w:ascii="Arial" w:hAnsi="Arial" w:cs="Arial"/>
        </w:rPr>
        <w:t>cocaína (</w:t>
      </w:r>
      <w:r w:rsidR="00AE7B83">
        <w:rPr>
          <w:rFonts w:ascii="Arial" w:hAnsi="Arial" w:cs="Arial"/>
        </w:rPr>
        <w:t>Gráfica</w:t>
      </w:r>
      <w:r w:rsidR="00081994">
        <w:rPr>
          <w:rFonts w:ascii="Arial" w:hAnsi="Arial" w:cs="Arial"/>
        </w:rPr>
        <w:t xml:space="preserve"> </w:t>
      </w:r>
      <w:r w:rsidR="00AC4BBA">
        <w:rPr>
          <w:rFonts w:ascii="Arial" w:hAnsi="Arial" w:cs="Arial"/>
        </w:rPr>
        <w:t>7</w:t>
      </w:r>
      <w:r w:rsidR="00794C18">
        <w:rPr>
          <w:rFonts w:ascii="Arial" w:hAnsi="Arial" w:cs="Arial"/>
        </w:rPr>
        <w:t xml:space="preserve">). </w:t>
      </w:r>
      <w:r w:rsidR="002013DF">
        <w:rPr>
          <w:rFonts w:ascii="Arial" w:hAnsi="Arial" w:cs="Arial"/>
        </w:rPr>
        <w:t>En cambio, 4 de cada 10 adultos imputados por el delito de narcomenudeo fue por tenencia de estimulantes de tipo anfetamínico y una razón similar por la tenencia de cannabis.</w:t>
      </w:r>
    </w:p>
    <w:p w14:paraId="6AFFF623" w14:textId="005B1373" w:rsidR="00081994" w:rsidRDefault="00081994" w:rsidP="00AB6C3E">
      <w:pPr>
        <w:spacing w:line="240" w:lineRule="auto"/>
        <w:jc w:val="both"/>
        <w:rPr>
          <w:rFonts w:ascii="Arial" w:hAnsi="Arial" w:cs="Arial"/>
        </w:rPr>
      </w:pPr>
    </w:p>
    <w:p w14:paraId="53F01092" w14:textId="41C2E519" w:rsidR="00AB6C3E" w:rsidRDefault="00510AC6" w:rsidP="00E31572">
      <w:pPr>
        <w:spacing w:line="240" w:lineRule="auto"/>
        <w:jc w:val="center"/>
        <w:rPr>
          <w:rFonts w:ascii="Arial" w:hAnsi="Arial" w:cs="Arial"/>
        </w:rPr>
      </w:pPr>
      <w:r>
        <w:rPr>
          <w:rFonts w:ascii="Arial" w:hAnsi="Arial" w:cs="Arial"/>
          <w:noProof/>
          <w:lang w:val="en-US"/>
        </w:rPr>
        <w:drawing>
          <wp:inline distT="0" distB="0" distL="0" distR="0" wp14:anchorId="5A0CBC8A" wp14:editId="5B1CF45E">
            <wp:extent cx="5876925" cy="29416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3830" cy="2945150"/>
                    </a:xfrm>
                    <a:prstGeom prst="rect">
                      <a:avLst/>
                    </a:prstGeom>
                    <a:noFill/>
                  </pic:spPr>
                </pic:pic>
              </a:graphicData>
            </a:graphic>
          </wp:inline>
        </w:drawing>
      </w:r>
    </w:p>
    <w:p w14:paraId="4E92CFD4" w14:textId="0F819F29" w:rsidR="00752EF3" w:rsidRDefault="000F3A12" w:rsidP="00137DE6">
      <w:pPr>
        <w:spacing w:after="0" w:line="240" w:lineRule="auto"/>
        <w:jc w:val="both"/>
        <w:rPr>
          <w:rFonts w:ascii="Arial" w:hAnsi="Arial" w:cs="Arial"/>
        </w:rPr>
      </w:pPr>
      <w:r>
        <w:rPr>
          <w:rFonts w:ascii="Arial" w:hAnsi="Arial" w:cs="Arial"/>
        </w:rPr>
        <w:t>Complementariamente</w:t>
      </w:r>
      <w:r w:rsidR="00752EF3" w:rsidRPr="00C70531">
        <w:rPr>
          <w:rFonts w:ascii="Arial" w:hAnsi="Arial" w:cs="Arial"/>
        </w:rPr>
        <w:t xml:space="preserve">, </w:t>
      </w:r>
      <w:r w:rsidR="00AE30E9" w:rsidRPr="00C70531">
        <w:rPr>
          <w:rFonts w:ascii="Arial" w:hAnsi="Arial" w:cs="Arial"/>
        </w:rPr>
        <w:t xml:space="preserve">el dictamen de la Ley para la Regulación del Cannabis, </w:t>
      </w:r>
      <w:r w:rsidR="00AE30E9" w:rsidRPr="009E30CC">
        <w:rPr>
          <w:rFonts w:ascii="Arial" w:hAnsi="Arial" w:cs="Arial"/>
        </w:rPr>
        <w:t xml:space="preserve">aprobado en marzo de 2020, </w:t>
      </w:r>
      <w:r w:rsidR="00752EF3" w:rsidRPr="009E30CC">
        <w:rPr>
          <w:rFonts w:ascii="Arial" w:hAnsi="Arial" w:cs="Arial"/>
        </w:rPr>
        <w:t>plantea una reforma al artículo 479 de la Ley General de Salud, para ampliar la dosis máxima de consumo personal de cannabis de 28 a 200 gramos</w:t>
      </w:r>
      <w:r w:rsidR="00137DE6">
        <w:rPr>
          <w:rStyle w:val="Refdenotaalpie"/>
          <w:rFonts w:ascii="Arial" w:hAnsi="Arial" w:cs="Arial"/>
        </w:rPr>
        <w:footnoteReference w:id="13"/>
      </w:r>
      <w:r w:rsidR="00752EF3">
        <w:rPr>
          <w:rFonts w:ascii="Arial" w:hAnsi="Arial" w:cs="Arial"/>
        </w:rPr>
        <w:t xml:space="preserve">; </w:t>
      </w:r>
      <w:r w:rsidR="00752EF3" w:rsidRPr="009E30CC">
        <w:rPr>
          <w:rFonts w:ascii="Arial" w:hAnsi="Arial" w:cs="Arial"/>
        </w:rPr>
        <w:t xml:space="preserve">actualmente, solo se permite el uso </w:t>
      </w:r>
      <w:r w:rsidR="000E2823">
        <w:rPr>
          <w:rFonts w:ascii="Arial" w:hAnsi="Arial" w:cs="Arial"/>
        </w:rPr>
        <w:t xml:space="preserve">máximo </w:t>
      </w:r>
      <w:r w:rsidR="00752EF3" w:rsidRPr="009E30CC">
        <w:rPr>
          <w:rFonts w:ascii="Arial" w:hAnsi="Arial" w:cs="Arial"/>
        </w:rPr>
        <w:t>de 5 gramos</w:t>
      </w:r>
      <w:r w:rsidR="000E2823">
        <w:rPr>
          <w:rFonts w:ascii="Arial" w:hAnsi="Arial" w:cs="Arial"/>
        </w:rPr>
        <w:t xml:space="preserve">. </w:t>
      </w:r>
      <w:r w:rsidR="00752EF3" w:rsidRPr="009E30CC">
        <w:rPr>
          <w:rFonts w:ascii="Arial" w:hAnsi="Arial" w:cs="Arial"/>
        </w:rPr>
        <w:t xml:space="preserve">Al respecto, en 2018, </w:t>
      </w:r>
      <w:r w:rsidR="001855C5">
        <w:rPr>
          <w:rFonts w:ascii="Arial" w:hAnsi="Arial" w:cs="Arial"/>
        </w:rPr>
        <w:t>9</w:t>
      </w:r>
      <w:r w:rsidR="00010BC9">
        <w:rPr>
          <w:rFonts w:ascii="Arial" w:hAnsi="Arial" w:cs="Arial"/>
        </w:rPr>
        <w:t>4</w:t>
      </w:r>
      <w:r w:rsidR="001855C5">
        <w:rPr>
          <w:rFonts w:ascii="Arial" w:hAnsi="Arial" w:cs="Arial"/>
        </w:rPr>
        <w:t xml:space="preserve">% de </w:t>
      </w:r>
      <w:r w:rsidR="00752EF3" w:rsidRPr="009E30CC">
        <w:rPr>
          <w:rFonts w:ascii="Arial" w:hAnsi="Arial" w:cs="Arial"/>
        </w:rPr>
        <w:t xml:space="preserve">adolescentes fueron imputados por la tenencia de 5 a </w:t>
      </w:r>
      <w:r w:rsidR="001855C5">
        <w:rPr>
          <w:rFonts w:ascii="Arial" w:hAnsi="Arial" w:cs="Arial"/>
        </w:rPr>
        <w:t xml:space="preserve">100 </w:t>
      </w:r>
      <w:r w:rsidR="00752EF3" w:rsidRPr="009E30CC">
        <w:rPr>
          <w:rFonts w:ascii="Arial" w:hAnsi="Arial" w:cs="Arial"/>
        </w:rPr>
        <w:t>gramos de marihuana, mientras que 6 de cada 10 adultos fueron imputados por el mismo gramaje (Cuadro</w:t>
      </w:r>
      <w:r w:rsidR="002E10E3">
        <w:rPr>
          <w:rFonts w:ascii="Arial" w:hAnsi="Arial" w:cs="Arial"/>
        </w:rPr>
        <w:t xml:space="preserve"> </w:t>
      </w:r>
      <w:r w:rsidR="0082531A">
        <w:rPr>
          <w:rFonts w:ascii="Arial" w:hAnsi="Arial" w:cs="Arial"/>
        </w:rPr>
        <w:t>1</w:t>
      </w:r>
      <w:r w:rsidR="00752EF3" w:rsidRPr="009E30CC">
        <w:rPr>
          <w:rFonts w:ascii="Arial" w:hAnsi="Arial" w:cs="Arial"/>
        </w:rPr>
        <w:t>)</w:t>
      </w:r>
      <w:r w:rsidR="001855C5">
        <w:rPr>
          <w:rFonts w:ascii="Arial" w:hAnsi="Arial" w:cs="Arial"/>
        </w:rPr>
        <w:t xml:space="preserve">, esto sugiere que, en caso de aprobarse dicha Ley, </w:t>
      </w:r>
      <w:r w:rsidR="00E01996">
        <w:rPr>
          <w:rFonts w:ascii="Arial" w:hAnsi="Arial" w:cs="Arial"/>
        </w:rPr>
        <w:t>más de 50</w:t>
      </w:r>
      <w:r w:rsidR="001855C5">
        <w:rPr>
          <w:rFonts w:ascii="Arial" w:hAnsi="Arial" w:cs="Arial"/>
        </w:rPr>
        <w:t xml:space="preserve">% de los ahora imputados por el delito de </w:t>
      </w:r>
      <w:r w:rsidR="00E01996">
        <w:rPr>
          <w:rFonts w:ascii="Arial" w:hAnsi="Arial" w:cs="Arial"/>
        </w:rPr>
        <w:t>posesión simple de cannabis</w:t>
      </w:r>
      <w:r w:rsidR="001855C5">
        <w:rPr>
          <w:rFonts w:ascii="Arial" w:hAnsi="Arial" w:cs="Arial"/>
        </w:rPr>
        <w:t xml:space="preserve"> dejarían de serlo</w:t>
      </w:r>
      <w:r w:rsidR="00010BC9">
        <w:rPr>
          <w:rFonts w:ascii="Arial" w:hAnsi="Arial" w:cs="Arial"/>
        </w:rPr>
        <w:t>.</w:t>
      </w:r>
    </w:p>
    <w:p w14:paraId="5EBDF7AB" w14:textId="77777777" w:rsidR="00510AC6" w:rsidRPr="009E30CC" w:rsidRDefault="00510AC6" w:rsidP="00081994">
      <w:pPr>
        <w:spacing w:line="240" w:lineRule="auto"/>
        <w:jc w:val="both"/>
        <w:rPr>
          <w:rFonts w:ascii="Arial" w:hAnsi="Arial" w:cs="Arial"/>
        </w:rPr>
      </w:pPr>
    </w:p>
    <w:tbl>
      <w:tblPr>
        <w:tblW w:w="9524" w:type="dxa"/>
        <w:tblCellMar>
          <w:left w:w="70" w:type="dxa"/>
          <w:right w:w="70" w:type="dxa"/>
        </w:tblCellMar>
        <w:tblLook w:val="04A0" w:firstRow="1" w:lastRow="0" w:firstColumn="1" w:lastColumn="0" w:noHBand="0" w:noVBand="1"/>
      </w:tblPr>
      <w:tblGrid>
        <w:gridCol w:w="2912"/>
        <w:gridCol w:w="1121"/>
        <w:gridCol w:w="1024"/>
        <w:gridCol w:w="1121"/>
        <w:gridCol w:w="1024"/>
        <w:gridCol w:w="1122"/>
        <w:gridCol w:w="1200"/>
      </w:tblGrid>
      <w:tr w:rsidR="00752EF3" w:rsidRPr="00437E31" w14:paraId="4306E509" w14:textId="77777777" w:rsidTr="0082531A">
        <w:trPr>
          <w:trHeight w:val="397"/>
        </w:trPr>
        <w:tc>
          <w:tcPr>
            <w:tcW w:w="8324" w:type="dxa"/>
            <w:gridSpan w:val="6"/>
            <w:tcBorders>
              <w:top w:val="single" w:sz="4" w:space="0" w:color="auto"/>
              <w:left w:val="single" w:sz="4" w:space="0" w:color="auto"/>
              <w:bottom w:val="single" w:sz="4" w:space="0" w:color="000000"/>
              <w:right w:val="nil"/>
            </w:tcBorders>
            <w:shd w:val="clear" w:color="auto" w:fill="D9D9D9" w:themeFill="background1" w:themeFillShade="D9"/>
            <w:vAlign w:val="center"/>
            <w:hideMark/>
          </w:tcPr>
          <w:p w14:paraId="0E2BD854" w14:textId="77777777" w:rsidR="005A1F6B" w:rsidRPr="00AF0563" w:rsidRDefault="00752EF3" w:rsidP="009310B5">
            <w:pPr>
              <w:spacing w:after="0" w:line="240" w:lineRule="auto"/>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Distribución porcentual de</w:t>
            </w:r>
            <w:r w:rsidR="005A1F6B" w:rsidRPr="00AF0563">
              <w:rPr>
                <w:rFonts w:ascii="Arial" w:eastAsia="Times New Roman" w:hAnsi="Arial" w:cs="Arial"/>
                <w:b/>
                <w:bCs/>
                <w:color w:val="000000"/>
                <w:sz w:val="17"/>
                <w:szCs w:val="17"/>
                <w:lang w:eastAsia="es-MX"/>
              </w:rPr>
              <w:t xml:space="preserve"> personas</w:t>
            </w:r>
            <w:r w:rsidRPr="00AF0563">
              <w:rPr>
                <w:rFonts w:ascii="Arial" w:eastAsia="Times New Roman" w:hAnsi="Arial" w:cs="Arial"/>
                <w:b/>
                <w:bCs/>
                <w:color w:val="000000"/>
                <w:sz w:val="17"/>
                <w:szCs w:val="17"/>
                <w:lang w:eastAsia="es-MX"/>
              </w:rPr>
              <w:t xml:space="preserve"> imputad</w:t>
            </w:r>
            <w:r w:rsidR="005A1F6B" w:rsidRPr="00AF0563">
              <w:rPr>
                <w:rFonts w:ascii="Arial" w:eastAsia="Times New Roman" w:hAnsi="Arial" w:cs="Arial"/>
                <w:b/>
                <w:bCs/>
                <w:color w:val="000000"/>
                <w:sz w:val="17"/>
                <w:szCs w:val="17"/>
                <w:lang w:eastAsia="es-MX"/>
              </w:rPr>
              <w:t>a</w:t>
            </w:r>
            <w:r w:rsidRPr="00AF0563">
              <w:rPr>
                <w:rFonts w:ascii="Arial" w:eastAsia="Times New Roman" w:hAnsi="Arial" w:cs="Arial"/>
                <w:b/>
                <w:bCs/>
                <w:color w:val="000000"/>
                <w:sz w:val="17"/>
                <w:szCs w:val="17"/>
                <w:lang w:eastAsia="es-MX"/>
              </w:rPr>
              <w:t xml:space="preserve">s por narcomenudeo por la tenencia </w:t>
            </w:r>
          </w:p>
          <w:p w14:paraId="713BD48D" w14:textId="7FDE4C8E" w:rsidR="00752EF3" w:rsidRPr="00AF0563" w:rsidRDefault="00752EF3" w:rsidP="009310B5">
            <w:pPr>
              <w:spacing w:after="0" w:line="240" w:lineRule="auto"/>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de cannabis, según gramaje</w:t>
            </w:r>
          </w:p>
        </w:tc>
        <w:tc>
          <w:tcPr>
            <w:tcW w:w="1200" w:type="dxa"/>
            <w:tcBorders>
              <w:top w:val="single" w:sz="4" w:space="0" w:color="auto"/>
              <w:left w:val="nil"/>
              <w:bottom w:val="single" w:sz="4" w:space="0" w:color="000000"/>
              <w:right w:val="single" w:sz="4" w:space="0" w:color="auto"/>
            </w:tcBorders>
            <w:shd w:val="clear" w:color="auto" w:fill="D9D9D9" w:themeFill="background1" w:themeFillShade="D9"/>
            <w:vAlign w:val="center"/>
            <w:hideMark/>
          </w:tcPr>
          <w:p w14:paraId="1F560B94" w14:textId="4FC724E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 xml:space="preserve">Cuadro </w:t>
            </w:r>
            <w:r w:rsidR="0082531A">
              <w:rPr>
                <w:rFonts w:ascii="Arial" w:eastAsia="Times New Roman" w:hAnsi="Arial" w:cs="Arial"/>
                <w:color w:val="000000"/>
                <w:sz w:val="17"/>
                <w:szCs w:val="17"/>
                <w:lang w:eastAsia="es-MX"/>
              </w:rPr>
              <w:t>1</w:t>
            </w:r>
            <w:r w:rsidRPr="00AF0563">
              <w:rPr>
                <w:rFonts w:ascii="Arial" w:eastAsia="Times New Roman" w:hAnsi="Arial" w:cs="Arial"/>
                <w:color w:val="000000"/>
                <w:sz w:val="17"/>
                <w:szCs w:val="17"/>
                <w:lang w:eastAsia="es-MX"/>
              </w:rPr>
              <w:t>.</w:t>
            </w:r>
          </w:p>
        </w:tc>
      </w:tr>
      <w:tr w:rsidR="00752EF3" w:rsidRPr="009E30CC" w14:paraId="27623A4F" w14:textId="77777777" w:rsidTr="0082531A">
        <w:trPr>
          <w:trHeight w:val="227"/>
        </w:trPr>
        <w:tc>
          <w:tcPr>
            <w:tcW w:w="2912" w:type="dxa"/>
            <w:vMerge w:val="restart"/>
            <w:tcBorders>
              <w:top w:val="nil"/>
              <w:left w:val="single" w:sz="4" w:space="0" w:color="auto"/>
              <w:bottom w:val="nil"/>
              <w:right w:val="nil"/>
            </w:tcBorders>
            <w:shd w:val="clear" w:color="000000" w:fill="D9D9D9"/>
            <w:noWrap/>
            <w:vAlign w:val="center"/>
            <w:hideMark/>
          </w:tcPr>
          <w:p w14:paraId="7A8D73EA" w14:textId="77777777" w:rsidR="00752EF3" w:rsidRPr="00AF0563" w:rsidRDefault="00752EF3" w:rsidP="009310B5">
            <w:pPr>
              <w:spacing w:after="0" w:line="240" w:lineRule="auto"/>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Gramaje</w:t>
            </w:r>
          </w:p>
        </w:tc>
        <w:tc>
          <w:tcPr>
            <w:tcW w:w="2145" w:type="dxa"/>
            <w:gridSpan w:val="2"/>
            <w:tcBorders>
              <w:top w:val="single" w:sz="4" w:space="0" w:color="auto"/>
              <w:left w:val="nil"/>
              <w:bottom w:val="single" w:sz="4" w:space="0" w:color="auto"/>
              <w:right w:val="nil"/>
            </w:tcBorders>
            <w:shd w:val="clear" w:color="000000" w:fill="D9D9D9"/>
            <w:noWrap/>
            <w:vAlign w:val="center"/>
            <w:hideMark/>
          </w:tcPr>
          <w:p w14:paraId="1FA4DC8F" w14:textId="77777777" w:rsidR="00752EF3" w:rsidRPr="00AF0563" w:rsidRDefault="00752EF3" w:rsidP="009310B5">
            <w:pPr>
              <w:spacing w:after="0" w:line="240" w:lineRule="auto"/>
              <w:jc w:val="center"/>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Total de imputados</w:t>
            </w:r>
          </w:p>
        </w:tc>
        <w:tc>
          <w:tcPr>
            <w:tcW w:w="2145" w:type="dxa"/>
            <w:gridSpan w:val="2"/>
            <w:tcBorders>
              <w:top w:val="single" w:sz="4" w:space="0" w:color="auto"/>
              <w:left w:val="nil"/>
              <w:bottom w:val="single" w:sz="4" w:space="0" w:color="auto"/>
              <w:right w:val="nil"/>
            </w:tcBorders>
            <w:shd w:val="clear" w:color="000000" w:fill="D9D9D9"/>
            <w:noWrap/>
            <w:vAlign w:val="center"/>
            <w:hideMark/>
          </w:tcPr>
          <w:p w14:paraId="12AE19DE" w14:textId="77777777" w:rsidR="00752EF3" w:rsidRPr="00AF0563" w:rsidRDefault="00752EF3" w:rsidP="009310B5">
            <w:pPr>
              <w:spacing w:after="0" w:line="240" w:lineRule="auto"/>
              <w:jc w:val="center"/>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Adultos imputados</w:t>
            </w:r>
          </w:p>
        </w:tc>
        <w:tc>
          <w:tcPr>
            <w:tcW w:w="2322"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C230ACD" w14:textId="77777777" w:rsidR="00752EF3" w:rsidRPr="00AF0563" w:rsidRDefault="00752EF3" w:rsidP="009310B5">
            <w:pPr>
              <w:spacing w:after="0" w:line="240" w:lineRule="auto"/>
              <w:jc w:val="center"/>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Adolescentes imputados</w:t>
            </w:r>
          </w:p>
        </w:tc>
      </w:tr>
      <w:tr w:rsidR="00752EF3" w:rsidRPr="009E30CC" w14:paraId="542F3D78" w14:textId="77777777" w:rsidTr="0082531A">
        <w:trPr>
          <w:trHeight w:val="227"/>
        </w:trPr>
        <w:tc>
          <w:tcPr>
            <w:tcW w:w="2912" w:type="dxa"/>
            <w:vMerge/>
            <w:tcBorders>
              <w:top w:val="nil"/>
              <w:left w:val="single" w:sz="4" w:space="0" w:color="auto"/>
              <w:bottom w:val="nil"/>
              <w:right w:val="nil"/>
            </w:tcBorders>
            <w:vAlign w:val="center"/>
            <w:hideMark/>
          </w:tcPr>
          <w:p w14:paraId="7E63A863" w14:textId="77777777" w:rsidR="00752EF3" w:rsidRPr="00AF0563" w:rsidRDefault="00752EF3" w:rsidP="009310B5">
            <w:pPr>
              <w:spacing w:after="0" w:line="240" w:lineRule="auto"/>
              <w:rPr>
                <w:rFonts w:ascii="Arial" w:eastAsia="Times New Roman" w:hAnsi="Arial" w:cs="Arial"/>
                <w:b/>
                <w:bCs/>
                <w:color w:val="000000"/>
                <w:sz w:val="17"/>
                <w:szCs w:val="17"/>
                <w:lang w:eastAsia="es-MX"/>
              </w:rPr>
            </w:pPr>
          </w:p>
        </w:tc>
        <w:tc>
          <w:tcPr>
            <w:tcW w:w="1121" w:type="dxa"/>
            <w:tcBorders>
              <w:top w:val="nil"/>
              <w:left w:val="nil"/>
              <w:bottom w:val="nil"/>
              <w:right w:val="nil"/>
            </w:tcBorders>
            <w:shd w:val="clear" w:color="000000" w:fill="D9D9D9"/>
            <w:noWrap/>
            <w:vAlign w:val="center"/>
            <w:hideMark/>
          </w:tcPr>
          <w:p w14:paraId="503FC6F0"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Absolutos </w:t>
            </w:r>
          </w:p>
        </w:tc>
        <w:tc>
          <w:tcPr>
            <w:tcW w:w="1024" w:type="dxa"/>
            <w:tcBorders>
              <w:top w:val="nil"/>
              <w:left w:val="nil"/>
              <w:bottom w:val="nil"/>
              <w:right w:val="nil"/>
            </w:tcBorders>
            <w:shd w:val="clear" w:color="000000" w:fill="D9D9D9"/>
            <w:noWrap/>
            <w:vAlign w:val="center"/>
            <w:hideMark/>
          </w:tcPr>
          <w:p w14:paraId="39BFD176"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Relativos</w:t>
            </w:r>
          </w:p>
        </w:tc>
        <w:tc>
          <w:tcPr>
            <w:tcW w:w="1121" w:type="dxa"/>
            <w:tcBorders>
              <w:top w:val="nil"/>
              <w:left w:val="nil"/>
              <w:bottom w:val="nil"/>
              <w:right w:val="nil"/>
            </w:tcBorders>
            <w:shd w:val="clear" w:color="000000" w:fill="D9D9D9"/>
            <w:noWrap/>
            <w:vAlign w:val="center"/>
            <w:hideMark/>
          </w:tcPr>
          <w:p w14:paraId="0ED36167"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Absolutos </w:t>
            </w:r>
          </w:p>
        </w:tc>
        <w:tc>
          <w:tcPr>
            <w:tcW w:w="1024" w:type="dxa"/>
            <w:tcBorders>
              <w:top w:val="nil"/>
              <w:left w:val="nil"/>
              <w:bottom w:val="nil"/>
              <w:right w:val="nil"/>
            </w:tcBorders>
            <w:shd w:val="clear" w:color="000000" w:fill="D9D9D9"/>
            <w:noWrap/>
            <w:vAlign w:val="center"/>
            <w:hideMark/>
          </w:tcPr>
          <w:p w14:paraId="5E4C7579"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Relativos</w:t>
            </w:r>
          </w:p>
        </w:tc>
        <w:tc>
          <w:tcPr>
            <w:tcW w:w="1122" w:type="dxa"/>
            <w:tcBorders>
              <w:top w:val="nil"/>
              <w:left w:val="nil"/>
              <w:bottom w:val="nil"/>
              <w:right w:val="nil"/>
            </w:tcBorders>
            <w:shd w:val="clear" w:color="000000" w:fill="D9D9D9"/>
            <w:noWrap/>
            <w:vAlign w:val="center"/>
            <w:hideMark/>
          </w:tcPr>
          <w:p w14:paraId="3643809E"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Absolutos </w:t>
            </w:r>
          </w:p>
        </w:tc>
        <w:tc>
          <w:tcPr>
            <w:tcW w:w="1200" w:type="dxa"/>
            <w:tcBorders>
              <w:top w:val="nil"/>
              <w:left w:val="nil"/>
              <w:bottom w:val="nil"/>
              <w:right w:val="single" w:sz="4" w:space="0" w:color="auto"/>
            </w:tcBorders>
            <w:shd w:val="clear" w:color="000000" w:fill="D9D9D9"/>
            <w:noWrap/>
            <w:vAlign w:val="center"/>
            <w:hideMark/>
          </w:tcPr>
          <w:p w14:paraId="56AA092F"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Relativos</w:t>
            </w:r>
          </w:p>
        </w:tc>
      </w:tr>
      <w:tr w:rsidR="00752EF3" w:rsidRPr="009E30CC" w14:paraId="6A21D9E5" w14:textId="77777777" w:rsidTr="00010BC9">
        <w:trPr>
          <w:trHeight w:val="20"/>
        </w:trPr>
        <w:tc>
          <w:tcPr>
            <w:tcW w:w="2912" w:type="dxa"/>
            <w:tcBorders>
              <w:top w:val="single" w:sz="4" w:space="0" w:color="auto"/>
              <w:left w:val="single" w:sz="4" w:space="0" w:color="auto"/>
              <w:right w:val="nil"/>
            </w:tcBorders>
            <w:shd w:val="clear" w:color="000000" w:fill="D9D9D9"/>
            <w:noWrap/>
            <w:vAlign w:val="center"/>
            <w:hideMark/>
          </w:tcPr>
          <w:p w14:paraId="335605ED" w14:textId="77777777" w:rsidR="00752EF3" w:rsidRPr="00AF0563" w:rsidRDefault="00752EF3" w:rsidP="009310B5">
            <w:pPr>
              <w:spacing w:after="0" w:line="240" w:lineRule="auto"/>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Total</w:t>
            </w:r>
          </w:p>
        </w:tc>
        <w:tc>
          <w:tcPr>
            <w:tcW w:w="1121" w:type="dxa"/>
            <w:tcBorders>
              <w:top w:val="single" w:sz="4" w:space="0" w:color="auto"/>
              <w:left w:val="nil"/>
              <w:right w:val="nil"/>
            </w:tcBorders>
            <w:shd w:val="clear" w:color="000000" w:fill="D9D9D9"/>
            <w:noWrap/>
            <w:vAlign w:val="center"/>
            <w:hideMark/>
          </w:tcPr>
          <w:p w14:paraId="062E2D11"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 17 204</w:t>
            </w:r>
          </w:p>
        </w:tc>
        <w:tc>
          <w:tcPr>
            <w:tcW w:w="1024" w:type="dxa"/>
            <w:tcBorders>
              <w:top w:val="single" w:sz="4" w:space="0" w:color="auto"/>
              <w:left w:val="nil"/>
              <w:right w:val="nil"/>
            </w:tcBorders>
            <w:shd w:val="clear" w:color="000000" w:fill="D9D9D9"/>
            <w:noWrap/>
            <w:vAlign w:val="center"/>
            <w:hideMark/>
          </w:tcPr>
          <w:p w14:paraId="3483A218"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100.0</w:t>
            </w:r>
          </w:p>
        </w:tc>
        <w:tc>
          <w:tcPr>
            <w:tcW w:w="1121" w:type="dxa"/>
            <w:tcBorders>
              <w:top w:val="single" w:sz="4" w:space="0" w:color="auto"/>
              <w:left w:val="nil"/>
              <w:right w:val="nil"/>
            </w:tcBorders>
            <w:shd w:val="clear" w:color="000000" w:fill="D9D9D9"/>
            <w:noWrap/>
            <w:vAlign w:val="center"/>
            <w:hideMark/>
          </w:tcPr>
          <w:p w14:paraId="38EE400C"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 14 739</w:t>
            </w:r>
          </w:p>
        </w:tc>
        <w:tc>
          <w:tcPr>
            <w:tcW w:w="1024" w:type="dxa"/>
            <w:tcBorders>
              <w:top w:val="single" w:sz="4" w:space="0" w:color="auto"/>
              <w:left w:val="nil"/>
              <w:right w:val="nil"/>
            </w:tcBorders>
            <w:shd w:val="clear" w:color="000000" w:fill="D9D9D9"/>
            <w:noWrap/>
            <w:vAlign w:val="center"/>
            <w:hideMark/>
          </w:tcPr>
          <w:p w14:paraId="271BD138"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100.0</w:t>
            </w:r>
          </w:p>
        </w:tc>
        <w:tc>
          <w:tcPr>
            <w:tcW w:w="1122" w:type="dxa"/>
            <w:tcBorders>
              <w:top w:val="single" w:sz="4" w:space="0" w:color="auto"/>
              <w:left w:val="nil"/>
              <w:right w:val="nil"/>
            </w:tcBorders>
            <w:shd w:val="clear" w:color="000000" w:fill="D9D9D9"/>
            <w:noWrap/>
            <w:vAlign w:val="center"/>
            <w:hideMark/>
          </w:tcPr>
          <w:p w14:paraId="71362868"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 xml:space="preserve"> 2 465</w:t>
            </w:r>
          </w:p>
        </w:tc>
        <w:tc>
          <w:tcPr>
            <w:tcW w:w="1200" w:type="dxa"/>
            <w:tcBorders>
              <w:top w:val="single" w:sz="4" w:space="0" w:color="auto"/>
              <w:left w:val="nil"/>
              <w:right w:val="single" w:sz="4" w:space="0" w:color="auto"/>
            </w:tcBorders>
            <w:shd w:val="clear" w:color="000000" w:fill="D9D9D9"/>
            <w:noWrap/>
            <w:vAlign w:val="center"/>
            <w:hideMark/>
          </w:tcPr>
          <w:p w14:paraId="45B92088" w14:textId="77777777" w:rsidR="00752EF3" w:rsidRPr="00AF0563" w:rsidRDefault="00752EF3" w:rsidP="009310B5">
            <w:pPr>
              <w:spacing w:after="0" w:line="240" w:lineRule="auto"/>
              <w:jc w:val="right"/>
              <w:rPr>
                <w:rFonts w:ascii="Arial" w:eastAsia="Times New Roman" w:hAnsi="Arial" w:cs="Arial"/>
                <w:b/>
                <w:bCs/>
                <w:color w:val="000000"/>
                <w:sz w:val="17"/>
                <w:szCs w:val="17"/>
                <w:lang w:eastAsia="es-MX"/>
              </w:rPr>
            </w:pPr>
            <w:r w:rsidRPr="00AF0563">
              <w:rPr>
                <w:rFonts w:ascii="Arial" w:eastAsia="Times New Roman" w:hAnsi="Arial" w:cs="Arial"/>
                <w:b/>
                <w:bCs/>
                <w:color w:val="000000"/>
                <w:sz w:val="17"/>
                <w:szCs w:val="17"/>
                <w:lang w:eastAsia="es-MX"/>
              </w:rPr>
              <w:t>100.0</w:t>
            </w:r>
          </w:p>
        </w:tc>
      </w:tr>
      <w:tr w:rsidR="00752EF3" w:rsidRPr="009E30CC" w14:paraId="61B1A6D5"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2FB113E3"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5 a 30 gramos</w:t>
            </w:r>
          </w:p>
        </w:tc>
        <w:tc>
          <w:tcPr>
            <w:tcW w:w="1121" w:type="dxa"/>
            <w:tcBorders>
              <w:top w:val="nil"/>
              <w:left w:val="nil"/>
              <w:bottom w:val="nil"/>
              <w:right w:val="nil"/>
            </w:tcBorders>
            <w:shd w:val="clear" w:color="auto" w:fill="auto"/>
            <w:noWrap/>
            <w:vAlign w:val="center"/>
            <w:hideMark/>
          </w:tcPr>
          <w:p w14:paraId="3754C24F" w14:textId="13B3C4D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7 788</w:t>
            </w:r>
          </w:p>
        </w:tc>
        <w:tc>
          <w:tcPr>
            <w:tcW w:w="1024" w:type="dxa"/>
            <w:tcBorders>
              <w:top w:val="nil"/>
              <w:left w:val="nil"/>
              <w:bottom w:val="nil"/>
              <w:right w:val="nil"/>
            </w:tcBorders>
            <w:shd w:val="clear" w:color="auto" w:fill="auto"/>
            <w:noWrap/>
            <w:vAlign w:val="center"/>
            <w:hideMark/>
          </w:tcPr>
          <w:p w14:paraId="49AF182E"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45.3</w:t>
            </w:r>
          </w:p>
        </w:tc>
        <w:tc>
          <w:tcPr>
            <w:tcW w:w="1121" w:type="dxa"/>
            <w:tcBorders>
              <w:top w:val="nil"/>
              <w:left w:val="nil"/>
              <w:bottom w:val="nil"/>
              <w:right w:val="nil"/>
            </w:tcBorders>
            <w:shd w:val="clear" w:color="auto" w:fill="auto"/>
            <w:noWrap/>
            <w:vAlign w:val="center"/>
            <w:hideMark/>
          </w:tcPr>
          <w:p w14:paraId="5D3F817D" w14:textId="30EC399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5 603</w:t>
            </w:r>
          </w:p>
        </w:tc>
        <w:tc>
          <w:tcPr>
            <w:tcW w:w="1024" w:type="dxa"/>
            <w:tcBorders>
              <w:top w:val="nil"/>
              <w:left w:val="nil"/>
              <w:bottom w:val="nil"/>
              <w:right w:val="nil"/>
            </w:tcBorders>
            <w:shd w:val="clear" w:color="auto" w:fill="auto"/>
            <w:noWrap/>
            <w:vAlign w:val="center"/>
            <w:hideMark/>
          </w:tcPr>
          <w:p w14:paraId="68577E03"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38.0</w:t>
            </w:r>
          </w:p>
        </w:tc>
        <w:tc>
          <w:tcPr>
            <w:tcW w:w="1122" w:type="dxa"/>
            <w:tcBorders>
              <w:top w:val="nil"/>
              <w:left w:val="nil"/>
              <w:bottom w:val="nil"/>
              <w:right w:val="nil"/>
            </w:tcBorders>
            <w:shd w:val="clear" w:color="auto" w:fill="auto"/>
            <w:noWrap/>
            <w:vAlign w:val="center"/>
            <w:hideMark/>
          </w:tcPr>
          <w:p w14:paraId="7F8A1E9D" w14:textId="6429C15F"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2 185</w:t>
            </w:r>
          </w:p>
        </w:tc>
        <w:tc>
          <w:tcPr>
            <w:tcW w:w="1200" w:type="dxa"/>
            <w:tcBorders>
              <w:top w:val="nil"/>
              <w:left w:val="nil"/>
              <w:bottom w:val="nil"/>
              <w:right w:val="single" w:sz="4" w:space="0" w:color="auto"/>
            </w:tcBorders>
            <w:shd w:val="clear" w:color="auto" w:fill="auto"/>
            <w:noWrap/>
            <w:vAlign w:val="center"/>
            <w:hideMark/>
          </w:tcPr>
          <w:p w14:paraId="70C571F5"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88.6</w:t>
            </w:r>
          </w:p>
        </w:tc>
      </w:tr>
      <w:tr w:rsidR="00752EF3" w:rsidRPr="009E30CC" w14:paraId="0B6D33BF"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775A29B2"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31 a 50 gramos</w:t>
            </w:r>
          </w:p>
        </w:tc>
        <w:tc>
          <w:tcPr>
            <w:tcW w:w="1121" w:type="dxa"/>
            <w:tcBorders>
              <w:top w:val="nil"/>
              <w:left w:val="nil"/>
              <w:bottom w:val="nil"/>
              <w:right w:val="nil"/>
            </w:tcBorders>
            <w:shd w:val="clear" w:color="auto" w:fill="auto"/>
            <w:noWrap/>
            <w:vAlign w:val="center"/>
            <w:hideMark/>
          </w:tcPr>
          <w:p w14:paraId="58FE7637" w14:textId="72931B6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1 508</w:t>
            </w:r>
          </w:p>
        </w:tc>
        <w:tc>
          <w:tcPr>
            <w:tcW w:w="1024" w:type="dxa"/>
            <w:tcBorders>
              <w:top w:val="nil"/>
              <w:left w:val="nil"/>
              <w:bottom w:val="nil"/>
              <w:right w:val="nil"/>
            </w:tcBorders>
            <w:shd w:val="clear" w:color="auto" w:fill="auto"/>
            <w:noWrap/>
            <w:vAlign w:val="center"/>
            <w:hideMark/>
          </w:tcPr>
          <w:p w14:paraId="350A1331"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8.8</w:t>
            </w:r>
          </w:p>
        </w:tc>
        <w:tc>
          <w:tcPr>
            <w:tcW w:w="1121" w:type="dxa"/>
            <w:tcBorders>
              <w:top w:val="nil"/>
              <w:left w:val="nil"/>
              <w:bottom w:val="nil"/>
              <w:right w:val="nil"/>
            </w:tcBorders>
            <w:shd w:val="clear" w:color="auto" w:fill="auto"/>
            <w:noWrap/>
            <w:vAlign w:val="center"/>
            <w:hideMark/>
          </w:tcPr>
          <w:p w14:paraId="5E8F1843" w14:textId="71696AA1"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1 422</w:t>
            </w:r>
          </w:p>
        </w:tc>
        <w:tc>
          <w:tcPr>
            <w:tcW w:w="1024" w:type="dxa"/>
            <w:tcBorders>
              <w:top w:val="nil"/>
              <w:left w:val="nil"/>
              <w:bottom w:val="nil"/>
              <w:right w:val="nil"/>
            </w:tcBorders>
            <w:shd w:val="clear" w:color="auto" w:fill="auto"/>
            <w:noWrap/>
            <w:vAlign w:val="center"/>
            <w:hideMark/>
          </w:tcPr>
          <w:p w14:paraId="32A2BDE6"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9.6</w:t>
            </w:r>
          </w:p>
        </w:tc>
        <w:tc>
          <w:tcPr>
            <w:tcW w:w="1122" w:type="dxa"/>
            <w:tcBorders>
              <w:top w:val="nil"/>
              <w:left w:val="nil"/>
              <w:bottom w:val="nil"/>
              <w:right w:val="nil"/>
            </w:tcBorders>
            <w:shd w:val="clear" w:color="auto" w:fill="auto"/>
            <w:noWrap/>
            <w:vAlign w:val="center"/>
            <w:hideMark/>
          </w:tcPr>
          <w:p w14:paraId="285BE830" w14:textId="14B4694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86</w:t>
            </w:r>
          </w:p>
        </w:tc>
        <w:tc>
          <w:tcPr>
            <w:tcW w:w="1200" w:type="dxa"/>
            <w:tcBorders>
              <w:top w:val="nil"/>
              <w:left w:val="nil"/>
              <w:bottom w:val="nil"/>
              <w:right w:val="single" w:sz="4" w:space="0" w:color="auto"/>
            </w:tcBorders>
            <w:shd w:val="clear" w:color="auto" w:fill="auto"/>
            <w:noWrap/>
            <w:vAlign w:val="center"/>
            <w:hideMark/>
          </w:tcPr>
          <w:p w14:paraId="68E745CA"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3.5</w:t>
            </w:r>
          </w:p>
        </w:tc>
      </w:tr>
      <w:tr w:rsidR="00752EF3" w:rsidRPr="009E30CC" w14:paraId="624560C5"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7766E64C"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51 a 100 gramos</w:t>
            </w:r>
          </w:p>
        </w:tc>
        <w:tc>
          <w:tcPr>
            <w:tcW w:w="1121" w:type="dxa"/>
            <w:tcBorders>
              <w:top w:val="nil"/>
              <w:left w:val="nil"/>
              <w:bottom w:val="nil"/>
              <w:right w:val="nil"/>
            </w:tcBorders>
            <w:shd w:val="clear" w:color="auto" w:fill="auto"/>
            <w:noWrap/>
            <w:vAlign w:val="center"/>
            <w:hideMark/>
          </w:tcPr>
          <w:p w14:paraId="419DEF7D" w14:textId="108E700C"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1 576</w:t>
            </w:r>
          </w:p>
        </w:tc>
        <w:tc>
          <w:tcPr>
            <w:tcW w:w="1024" w:type="dxa"/>
            <w:tcBorders>
              <w:top w:val="nil"/>
              <w:left w:val="nil"/>
              <w:bottom w:val="nil"/>
              <w:right w:val="nil"/>
            </w:tcBorders>
            <w:shd w:val="clear" w:color="auto" w:fill="auto"/>
            <w:noWrap/>
            <w:vAlign w:val="center"/>
            <w:hideMark/>
          </w:tcPr>
          <w:p w14:paraId="62F96E3E"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9.2</w:t>
            </w:r>
          </w:p>
        </w:tc>
        <w:tc>
          <w:tcPr>
            <w:tcW w:w="1121" w:type="dxa"/>
            <w:tcBorders>
              <w:top w:val="nil"/>
              <w:left w:val="nil"/>
              <w:bottom w:val="nil"/>
              <w:right w:val="nil"/>
            </w:tcBorders>
            <w:shd w:val="clear" w:color="auto" w:fill="auto"/>
            <w:noWrap/>
            <w:vAlign w:val="center"/>
            <w:hideMark/>
          </w:tcPr>
          <w:p w14:paraId="16072694" w14:textId="483944E0" w:rsidR="00752EF3" w:rsidRPr="00AF0563" w:rsidRDefault="00B52523" w:rsidP="009310B5">
            <w:pPr>
              <w:spacing w:after="0" w:line="240" w:lineRule="auto"/>
              <w:jc w:val="right"/>
              <w:rPr>
                <w:rFonts w:ascii="Arial" w:eastAsia="Times New Roman" w:hAnsi="Arial" w:cs="Arial"/>
                <w:color w:val="000000"/>
                <w:sz w:val="17"/>
                <w:szCs w:val="17"/>
                <w:lang w:eastAsia="es-MX"/>
              </w:rPr>
            </w:pPr>
            <w:r>
              <w:rPr>
                <w:rFonts w:ascii="Arial" w:eastAsia="Times New Roman" w:hAnsi="Arial" w:cs="Arial"/>
                <w:color w:val="000000"/>
                <w:sz w:val="17"/>
                <w:szCs w:val="17"/>
                <w:lang w:eastAsia="es-MX"/>
              </w:rPr>
              <w:t>1</w:t>
            </w:r>
            <w:r w:rsidR="00752EF3" w:rsidRPr="00AF0563">
              <w:rPr>
                <w:rFonts w:ascii="Arial" w:eastAsia="Times New Roman" w:hAnsi="Arial" w:cs="Arial"/>
                <w:color w:val="000000"/>
                <w:sz w:val="17"/>
                <w:szCs w:val="17"/>
                <w:lang w:eastAsia="es-MX"/>
              </w:rPr>
              <w:t xml:space="preserve"> 534</w:t>
            </w:r>
          </w:p>
        </w:tc>
        <w:tc>
          <w:tcPr>
            <w:tcW w:w="1024" w:type="dxa"/>
            <w:tcBorders>
              <w:top w:val="nil"/>
              <w:left w:val="nil"/>
              <w:bottom w:val="nil"/>
              <w:right w:val="nil"/>
            </w:tcBorders>
            <w:shd w:val="clear" w:color="auto" w:fill="auto"/>
            <w:noWrap/>
            <w:vAlign w:val="center"/>
            <w:hideMark/>
          </w:tcPr>
          <w:p w14:paraId="2B5FBE61"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10.4</w:t>
            </w:r>
          </w:p>
        </w:tc>
        <w:tc>
          <w:tcPr>
            <w:tcW w:w="1122" w:type="dxa"/>
            <w:tcBorders>
              <w:top w:val="nil"/>
              <w:left w:val="nil"/>
              <w:bottom w:val="nil"/>
              <w:right w:val="nil"/>
            </w:tcBorders>
            <w:shd w:val="clear" w:color="auto" w:fill="auto"/>
            <w:noWrap/>
            <w:vAlign w:val="center"/>
            <w:hideMark/>
          </w:tcPr>
          <w:p w14:paraId="13175513" w14:textId="1A525880"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42</w:t>
            </w:r>
          </w:p>
        </w:tc>
        <w:tc>
          <w:tcPr>
            <w:tcW w:w="1200" w:type="dxa"/>
            <w:tcBorders>
              <w:top w:val="nil"/>
              <w:left w:val="nil"/>
              <w:bottom w:val="nil"/>
              <w:right w:val="single" w:sz="4" w:space="0" w:color="auto"/>
            </w:tcBorders>
            <w:shd w:val="clear" w:color="auto" w:fill="auto"/>
            <w:noWrap/>
            <w:vAlign w:val="center"/>
            <w:hideMark/>
          </w:tcPr>
          <w:p w14:paraId="01277879"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1.7</w:t>
            </w:r>
          </w:p>
        </w:tc>
      </w:tr>
      <w:tr w:rsidR="00752EF3" w:rsidRPr="009E30CC" w14:paraId="46B46308"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1A9E42DB"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101 a 250 gramos</w:t>
            </w:r>
          </w:p>
        </w:tc>
        <w:tc>
          <w:tcPr>
            <w:tcW w:w="1121" w:type="dxa"/>
            <w:tcBorders>
              <w:top w:val="nil"/>
              <w:left w:val="nil"/>
              <w:bottom w:val="nil"/>
              <w:right w:val="nil"/>
            </w:tcBorders>
            <w:shd w:val="clear" w:color="auto" w:fill="auto"/>
            <w:noWrap/>
            <w:vAlign w:val="center"/>
            <w:hideMark/>
          </w:tcPr>
          <w:p w14:paraId="44778FF8" w14:textId="436D3023"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1 387</w:t>
            </w:r>
          </w:p>
        </w:tc>
        <w:tc>
          <w:tcPr>
            <w:tcW w:w="1024" w:type="dxa"/>
            <w:tcBorders>
              <w:top w:val="nil"/>
              <w:left w:val="nil"/>
              <w:bottom w:val="nil"/>
              <w:right w:val="nil"/>
            </w:tcBorders>
            <w:shd w:val="clear" w:color="auto" w:fill="auto"/>
            <w:noWrap/>
            <w:vAlign w:val="center"/>
            <w:hideMark/>
          </w:tcPr>
          <w:p w14:paraId="39DAF0B7"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8.1</w:t>
            </w:r>
          </w:p>
        </w:tc>
        <w:tc>
          <w:tcPr>
            <w:tcW w:w="1121" w:type="dxa"/>
            <w:tcBorders>
              <w:top w:val="nil"/>
              <w:left w:val="nil"/>
              <w:bottom w:val="nil"/>
              <w:right w:val="nil"/>
            </w:tcBorders>
            <w:shd w:val="clear" w:color="auto" w:fill="auto"/>
            <w:noWrap/>
            <w:vAlign w:val="center"/>
            <w:hideMark/>
          </w:tcPr>
          <w:p w14:paraId="1F516B3C" w14:textId="58142881"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1 343</w:t>
            </w:r>
          </w:p>
        </w:tc>
        <w:tc>
          <w:tcPr>
            <w:tcW w:w="1024" w:type="dxa"/>
            <w:tcBorders>
              <w:top w:val="nil"/>
              <w:left w:val="nil"/>
              <w:bottom w:val="nil"/>
              <w:right w:val="nil"/>
            </w:tcBorders>
            <w:shd w:val="clear" w:color="auto" w:fill="auto"/>
            <w:noWrap/>
            <w:vAlign w:val="center"/>
            <w:hideMark/>
          </w:tcPr>
          <w:p w14:paraId="118B8C9B"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9.1</w:t>
            </w:r>
          </w:p>
        </w:tc>
        <w:tc>
          <w:tcPr>
            <w:tcW w:w="1122" w:type="dxa"/>
            <w:tcBorders>
              <w:top w:val="nil"/>
              <w:left w:val="nil"/>
              <w:bottom w:val="nil"/>
              <w:right w:val="nil"/>
            </w:tcBorders>
            <w:shd w:val="clear" w:color="auto" w:fill="auto"/>
            <w:noWrap/>
            <w:vAlign w:val="center"/>
            <w:hideMark/>
          </w:tcPr>
          <w:p w14:paraId="319DC571" w14:textId="50B4C78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44</w:t>
            </w:r>
          </w:p>
        </w:tc>
        <w:tc>
          <w:tcPr>
            <w:tcW w:w="1200" w:type="dxa"/>
            <w:tcBorders>
              <w:top w:val="nil"/>
              <w:left w:val="nil"/>
              <w:bottom w:val="nil"/>
              <w:right w:val="single" w:sz="4" w:space="0" w:color="auto"/>
            </w:tcBorders>
            <w:shd w:val="clear" w:color="auto" w:fill="auto"/>
            <w:noWrap/>
            <w:vAlign w:val="center"/>
            <w:hideMark/>
          </w:tcPr>
          <w:p w14:paraId="0CAC3D32"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1.8</w:t>
            </w:r>
          </w:p>
        </w:tc>
      </w:tr>
      <w:tr w:rsidR="00752EF3" w:rsidRPr="009E30CC" w14:paraId="1CE6FF21"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114808C5"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251 a 500 gramos</w:t>
            </w:r>
          </w:p>
        </w:tc>
        <w:tc>
          <w:tcPr>
            <w:tcW w:w="1121" w:type="dxa"/>
            <w:tcBorders>
              <w:top w:val="nil"/>
              <w:left w:val="nil"/>
              <w:bottom w:val="nil"/>
              <w:right w:val="nil"/>
            </w:tcBorders>
            <w:shd w:val="clear" w:color="auto" w:fill="auto"/>
            <w:noWrap/>
            <w:vAlign w:val="center"/>
            <w:hideMark/>
          </w:tcPr>
          <w:p w14:paraId="13851F66" w14:textId="7AA3C175"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931</w:t>
            </w:r>
          </w:p>
        </w:tc>
        <w:tc>
          <w:tcPr>
            <w:tcW w:w="1024" w:type="dxa"/>
            <w:tcBorders>
              <w:top w:val="nil"/>
              <w:left w:val="nil"/>
              <w:bottom w:val="nil"/>
              <w:right w:val="nil"/>
            </w:tcBorders>
            <w:shd w:val="clear" w:color="auto" w:fill="auto"/>
            <w:noWrap/>
            <w:vAlign w:val="center"/>
            <w:hideMark/>
          </w:tcPr>
          <w:p w14:paraId="75123783"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5.4</w:t>
            </w:r>
          </w:p>
        </w:tc>
        <w:tc>
          <w:tcPr>
            <w:tcW w:w="1121" w:type="dxa"/>
            <w:tcBorders>
              <w:top w:val="nil"/>
              <w:left w:val="nil"/>
              <w:bottom w:val="nil"/>
              <w:right w:val="nil"/>
            </w:tcBorders>
            <w:shd w:val="clear" w:color="auto" w:fill="auto"/>
            <w:noWrap/>
            <w:vAlign w:val="center"/>
            <w:hideMark/>
          </w:tcPr>
          <w:p w14:paraId="56E883EA" w14:textId="1FD0F480"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905</w:t>
            </w:r>
          </w:p>
        </w:tc>
        <w:tc>
          <w:tcPr>
            <w:tcW w:w="1024" w:type="dxa"/>
            <w:tcBorders>
              <w:top w:val="nil"/>
              <w:left w:val="nil"/>
              <w:bottom w:val="nil"/>
              <w:right w:val="nil"/>
            </w:tcBorders>
            <w:shd w:val="clear" w:color="auto" w:fill="auto"/>
            <w:noWrap/>
            <w:vAlign w:val="center"/>
            <w:hideMark/>
          </w:tcPr>
          <w:p w14:paraId="3119946E"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6.1</w:t>
            </w:r>
          </w:p>
        </w:tc>
        <w:tc>
          <w:tcPr>
            <w:tcW w:w="1122" w:type="dxa"/>
            <w:tcBorders>
              <w:top w:val="nil"/>
              <w:left w:val="nil"/>
              <w:bottom w:val="nil"/>
              <w:right w:val="nil"/>
            </w:tcBorders>
            <w:shd w:val="clear" w:color="auto" w:fill="auto"/>
            <w:noWrap/>
            <w:vAlign w:val="center"/>
            <w:hideMark/>
          </w:tcPr>
          <w:p w14:paraId="3D60136E" w14:textId="0EB50FF5"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26</w:t>
            </w:r>
          </w:p>
        </w:tc>
        <w:tc>
          <w:tcPr>
            <w:tcW w:w="1200" w:type="dxa"/>
            <w:tcBorders>
              <w:top w:val="nil"/>
              <w:left w:val="nil"/>
              <w:bottom w:val="nil"/>
              <w:right w:val="single" w:sz="4" w:space="0" w:color="auto"/>
            </w:tcBorders>
            <w:shd w:val="clear" w:color="auto" w:fill="auto"/>
            <w:noWrap/>
            <w:vAlign w:val="center"/>
            <w:hideMark/>
          </w:tcPr>
          <w:p w14:paraId="29D64A24"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1.1</w:t>
            </w:r>
          </w:p>
        </w:tc>
      </w:tr>
      <w:tr w:rsidR="00752EF3" w:rsidRPr="009E30CC" w14:paraId="1A36E966"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64D6435E"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501 a 750 gramos</w:t>
            </w:r>
          </w:p>
        </w:tc>
        <w:tc>
          <w:tcPr>
            <w:tcW w:w="1121" w:type="dxa"/>
            <w:tcBorders>
              <w:top w:val="nil"/>
              <w:left w:val="nil"/>
              <w:bottom w:val="nil"/>
              <w:right w:val="nil"/>
            </w:tcBorders>
            <w:shd w:val="clear" w:color="auto" w:fill="auto"/>
            <w:noWrap/>
            <w:vAlign w:val="center"/>
            <w:hideMark/>
          </w:tcPr>
          <w:p w14:paraId="0AE357B3" w14:textId="2AFAD3E3"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614</w:t>
            </w:r>
          </w:p>
        </w:tc>
        <w:tc>
          <w:tcPr>
            <w:tcW w:w="1024" w:type="dxa"/>
            <w:tcBorders>
              <w:top w:val="nil"/>
              <w:left w:val="nil"/>
              <w:bottom w:val="nil"/>
              <w:right w:val="nil"/>
            </w:tcBorders>
            <w:shd w:val="clear" w:color="auto" w:fill="auto"/>
            <w:noWrap/>
            <w:vAlign w:val="center"/>
            <w:hideMark/>
          </w:tcPr>
          <w:p w14:paraId="4EA82CBE"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3.6</w:t>
            </w:r>
          </w:p>
        </w:tc>
        <w:tc>
          <w:tcPr>
            <w:tcW w:w="1121" w:type="dxa"/>
            <w:tcBorders>
              <w:top w:val="nil"/>
              <w:left w:val="nil"/>
              <w:bottom w:val="nil"/>
              <w:right w:val="nil"/>
            </w:tcBorders>
            <w:shd w:val="clear" w:color="auto" w:fill="auto"/>
            <w:noWrap/>
            <w:vAlign w:val="center"/>
            <w:hideMark/>
          </w:tcPr>
          <w:p w14:paraId="24C95023" w14:textId="01993D5C"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611</w:t>
            </w:r>
          </w:p>
        </w:tc>
        <w:tc>
          <w:tcPr>
            <w:tcW w:w="1024" w:type="dxa"/>
            <w:tcBorders>
              <w:top w:val="nil"/>
              <w:left w:val="nil"/>
              <w:bottom w:val="nil"/>
              <w:right w:val="nil"/>
            </w:tcBorders>
            <w:shd w:val="clear" w:color="auto" w:fill="auto"/>
            <w:noWrap/>
            <w:vAlign w:val="center"/>
            <w:hideMark/>
          </w:tcPr>
          <w:p w14:paraId="5A1423C2"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4.1</w:t>
            </w:r>
          </w:p>
        </w:tc>
        <w:tc>
          <w:tcPr>
            <w:tcW w:w="1122" w:type="dxa"/>
            <w:tcBorders>
              <w:top w:val="nil"/>
              <w:left w:val="nil"/>
              <w:bottom w:val="nil"/>
              <w:right w:val="nil"/>
            </w:tcBorders>
            <w:shd w:val="clear" w:color="auto" w:fill="auto"/>
            <w:noWrap/>
            <w:vAlign w:val="center"/>
            <w:hideMark/>
          </w:tcPr>
          <w:p w14:paraId="51ACA989" w14:textId="3B32C78C"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w:t>
            </w:r>
          </w:p>
        </w:tc>
        <w:tc>
          <w:tcPr>
            <w:tcW w:w="1200" w:type="dxa"/>
            <w:tcBorders>
              <w:top w:val="nil"/>
              <w:left w:val="nil"/>
              <w:bottom w:val="nil"/>
              <w:right w:val="single" w:sz="4" w:space="0" w:color="auto"/>
            </w:tcBorders>
            <w:shd w:val="clear" w:color="auto" w:fill="auto"/>
            <w:noWrap/>
            <w:vAlign w:val="center"/>
            <w:hideMark/>
          </w:tcPr>
          <w:p w14:paraId="67F0C15D"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0.1</w:t>
            </w:r>
          </w:p>
        </w:tc>
      </w:tr>
      <w:tr w:rsidR="00752EF3" w:rsidRPr="009E30CC" w14:paraId="503605A5"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47A4B503"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751 a 1 000 gramos</w:t>
            </w:r>
          </w:p>
        </w:tc>
        <w:tc>
          <w:tcPr>
            <w:tcW w:w="1121" w:type="dxa"/>
            <w:tcBorders>
              <w:top w:val="nil"/>
              <w:left w:val="nil"/>
              <w:bottom w:val="nil"/>
              <w:right w:val="nil"/>
            </w:tcBorders>
            <w:shd w:val="clear" w:color="auto" w:fill="auto"/>
            <w:noWrap/>
            <w:vAlign w:val="center"/>
            <w:hideMark/>
          </w:tcPr>
          <w:p w14:paraId="14C10E75" w14:textId="46DE74A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469</w:t>
            </w:r>
          </w:p>
        </w:tc>
        <w:tc>
          <w:tcPr>
            <w:tcW w:w="1024" w:type="dxa"/>
            <w:tcBorders>
              <w:top w:val="nil"/>
              <w:left w:val="nil"/>
              <w:bottom w:val="nil"/>
              <w:right w:val="nil"/>
            </w:tcBorders>
            <w:shd w:val="clear" w:color="auto" w:fill="auto"/>
            <w:noWrap/>
            <w:vAlign w:val="center"/>
            <w:hideMark/>
          </w:tcPr>
          <w:p w14:paraId="4D54543A"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2.7</w:t>
            </w:r>
          </w:p>
        </w:tc>
        <w:tc>
          <w:tcPr>
            <w:tcW w:w="1121" w:type="dxa"/>
            <w:tcBorders>
              <w:top w:val="nil"/>
              <w:left w:val="nil"/>
              <w:bottom w:val="nil"/>
              <w:right w:val="nil"/>
            </w:tcBorders>
            <w:shd w:val="clear" w:color="auto" w:fill="auto"/>
            <w:noWrap/>
            <w:vAlign w:val="center"/>
            <w:hideMark/>
          </w:tcPr>
          <w:p w14:paraId="373017FA" w14:textId="48C6D7C5"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466</w:t>
            </w:r>
          </w:p>
        </w:tc>
        <w:tc>
          <w:tcPr>
            <w:tcW w:w="1024" w:type="dxa"/>
            <w:tcBorders>
              <w:top w:val="nil"/>
              <w:left w:val="nil"/>
              <w:bottom w:val="nil"/>
              <w:right w:val="nil"/>
            </w:tcBorders>
            <w:shd w:val="clear" w:color="auto" w:fill="auto"/>
            <w:noWrap/>
            <w:vAlign w:val="center"/>
            <w:hideMark/>
          </w:tcPr>
          <w:p w14:paraId="4B14A2AB"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3.2</w:t>
            </w:r>
          </w:p>
        </w:tc>
        <w:tc>
          <w:tcPr>
            <w:tcW w:w="1122" w:type="dxa"/>
            <w:tcBorders>
              <w:top w:val="nil"/>
              <w:left w:val="nil"/>
              <w:bottom w:val="nil"/>
              <w:right w:val="nil"/>
            </w:tcBorders>
            <w:shd w:val="clear" w:color="auto" w:fill="auto"/>
            <w:noWrap/>
            <w:vAlign w:val="center"/>
            <w:hideMark/>
          </w:tcPr>
          <w:p w14:paraId="71B15395" w14:textId="69BC09D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w:t>
            </w:r>
          </w:p>
        </w:tc>
        <w:tc>
          <w:tcPr>
            <w:tcW w:w="1200" w:type="dxa"/>
            <w:tcBorders>
              <w:top w:val="nil"/>
              <w:left w:val="nil"/>
              <w:bottom w:val="nil"/>
              <w:right w:val="single" w:sz="4" w:space="0" w:color="auto"/>
            </w:tcBorders>
            <w:shd w:val="clear" w:color="auto" w:fill="auto"/>
            <w:noWrap/>
            <w:vAlign w:val="center"/>
            <w:hideMark/>
          </w:tcPr>
          <w:p w14:paraId="3AE076B0"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0.1</w:t>
            </w:r>
          </w:p>
        </w:tc>
      </w:tr>
      <w:tr w:rsidR="00752EF3" w:rsidRPr="009E30CC" w14:paraId="5CC9B5B4"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43835E43"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1 001 a 2 000 gramos</w:t>
            </w:r>
          </w:p>
        </w:tc>
        <w:tc>
          <w:tcPr>
            <w:tcW w:w="1121" w:type="dxa"/>
            <w:tcBorders>
              <w:top w:val="nil"/>
              <w:left w:val="nil"/>
              <w:bottom w:val="nil"/>
              <w:right w:val="nil"/>
            </w:tcBorders>
            <w:shd w:val="clear" w:color="auto" w:fill="auto"/>
            <w:noWrap/>
            <w:vAlign w:val="center"/>
            <w:hideMark/>
          </w:tcPr>
          <w:p w14:paraId="21C40995" w14:textId="663E1125"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400</w:t>
            </w:r>
          </w:p>
        </w:tc>
        <w:tc>
          <w:tcPr>
            <w:tcW w:w="1024" w:type="dxa"/>
            <w:tcBorders>
              <w:top w:val="nil"/>
              <w:left w:val="nil"/>
              <w:bottom w:val="nil"/>
              <w:right w:val="nil"/>
            </w:tcBorders>
            <w:shd w:val="clear" w:color="auto" w:fill="auto"/>
            <w:noWrap/>
            <w:vAlign w:val="center"/>
            <w:hideMark/>
          </w:tcPr>
          <w:p w14:paraId="78B0596A"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2.3</w:t>
            </w:r>
          </w:p>
        </w:tc>
        <w:tc>
          <w:tcPr>
            <w:tcW w:w="1121" w:type="dxa"/>
            <w:tcBorders>
              <w:top w:val="nil"/>
              <w:left w:val="nil"/>
              <w:bottom w:val="nil"/>
              <w:right w:val="nil"/>
            </w:tcBorders>
            <w:shd w:val="clear" w:color="auto" w:fill="auto"/>
            <w:noWrap/>
            <w:vAlign w:val="center"/>
            <w:hideMark/>
          </w:tcPr>
          <w:p w14:paraId="206331DE" w14:textId="1EE4A8E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392</w:t>
            </w:r>
          </w:p>
        </w:tc>
        <w:tc>
          <w:tcPr>
            <w:tcW w:w="1024" w:type="dxa"/>
            <w:tcBorders>
              <w:top w:val="nil"/>
              <w:left w:val="nil"/>
              <w:bottom w:val="nil"/>
              <w:right w:val="nil"/>
            </w:tcBorders>
            <w:shd w:val="clear" w:color="auto" w:fill="auto"/>
            <w:noWrap/>
            <w:vAlign w:val="center"/>
            <w:hideMark/>
          </w:tcPr>
          <w:p w14:paraId="187CDCF4"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2.7</w:t>
            </w:r>
          </w:p>
        </w:tc>
        <w:tc>
          <w:tcPr>
            <w:tcW w:w="1122" w:type="dxa"/>
            <w:tcBorders>
              <w:top w:val="nil"/>
              <w:left w:val="nil"/>
              <w:bottom w:val="nil"/>
              <w:right w:val="nil"/>
            </w:tcBorders>
            <w:shd w:val="clear" w:color="auto" w:fill="auto"/>
            <w:noWrap/>
            <w:vAlign w:val="center"/>
            <w:hideMark/>
          </w:tcPr>
          <w:p w14:paraId="0935452D" w14:textId="3B5DFC91"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8</w:t>
            </w:r>
          </w:p>
        </w:tc>
        <w:tc>
          <w:tcPr>
            <w:tcW w:w="1200" w:type="dxa"/>
            <w:tcBorders>
              <w:top w:val="nil"/>
              <w:left w:val="nil"/>
              <w:bottom w:val="nil"/>
              <w:right w:val="single" w:sz="4" w:space="0" w:color="auto"/>
            </w:tcBorders>
            <w:shd w:val="clear" w:color="auto" w:fill="auto"/>
            <w:noWrap/>
            <w:vAlign w:val="center"/>
            <w:hideMark/>
          </w:tcPr>
          <w:p w14:paraId="5BAB7C3A"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0.3</w:t>
            </w:r>
          </w:p>
        </w:tc>
      </w:tr>
      <w:tr w:rsidR="00752EF3" w:rsidRPr="009E30CC" w14:paraId="2B4D33DE" w14:textId="77777777" w:rsidTr="0082531A">
        <w:trPr>
          <w:trHeight w:val="227"/>
        </w:trPr>
        <w:tc>
          <w:tcPr>
            <w:tcW w:w="2912" w:type="dxa"/>
            <w:tcBorders>
              <w:top w:val="nil"/>
              <w:left w:val="single" w:sz="4" w:space="0" w:color="auto"/>
              <w:bottom w:val="nil"/>
              <w:right w:val="nil"/>
            </w:tcBorders>
            <w:shd w:val="clear" w:color="auto" w:fill="auto"/>
            <w:noWrap/>
            <w:vAlign w:val="center"/>
            <w:hideMark/>
          </w:tcPr>
          <w:p w14:paraId="414CA52A"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De 2 001 a 5 000 gramos</w:t>
            </w:r>
          </w:p>
        </w:tc>
        <w:tc>
          <w:tcPr>
            <w:tcW w:w="1121" w:type="dxa"/>
            <w:tcBorders>
              <w:top w:val="nil"/>
              <w:left w:val="nil"/>
              <w:bottom w:val="nil"/>
              <w:right w:val="nil"/>
            </w:tcBorders>
            <w:shd w:val="clear" w:color="auto" w:fill="auto"/>
            <w:noWrap/>
            <w:vAlign w:val="center"/>
            <w:hideMark/>
          </w:tcPr>
          <w:p w14:paraId="34690FE1" w14:textId="75B052F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262</w:t>
            </w:r>
          </w:p>
        </w:tc>
        <w:tc>
          <w:tcPr>
            <w:tcW w:w="1024" w:type="dxa"/>
            <w:tcBorders>
              <w:top w:val="nil"/>
              <w:left w:val="nil"/>
              <w:bottom w:val="nil"/>
              <w:right w:val="nil"/>
            </w:tcBorders>
            <w:shd w:val="clear" w:color="auto" w:fill="auto"/>
            <w:noWrap/>
            <w:vAlign w:val="center"/>
            <w:hideMark/>
          </w:tcPr>
          <w:p w14:paraId="3D92F97D"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1.5</w:t>
            </w:r>
          </w:p>
        </w:tc>
        <w:tc>
          <w:tcPr>
            <w:tcW w:w="1121" w:type="dxa"/>
            <w:tcBorders>
              <w:top w:val="nil"/>
              <w:left w:val="nil"/>
              <w:bottom w:val="nil"/>
              <w:right w:val="nil"/>
            </w:tcBorders>
            <w:shd w:val="clear" w:color="auto" w:fill="auto"/>
            <w:noWrap/>
            <w:vAlign w:val="center"/>
            <w:hideMark/>
          </w:tcPr>
          <w:p w14:paraId="4A7A0694" w14:textId="6C40F995"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261</w:t>
            </w:r>
          </w:p>
        </w:tc>
        <w:tc>
          <w:tcPr>
            <w:tcW w:w="1024" w:type="dxa"/>
            <w:tcBorders>
              <w:top w:val="nil"/>
              <w:left w:val="nil"/>
              <w:bottom w:val="nil"/>
              <w:right w:val="nil"/>
            </w:tcBorders>
            <w:shd w:val="clear" w:color="auto" w:fill="auto"/>
            <w:noWrap/>
            <w:vAlign w:val="center"/>
            <w:hideMark/>
          </w:tcPr>
          <w:p w14:paraId="465B3142"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1.8</w:t>
            </w:r>
          </w:p>
        </w:tc>
        <w:tc>
          <w:tcPr>
            <w:tcW w:w="1122" w:type="dxa"/>
            <w:tcBorders>
              <w:top w:val="nil"/>
              <w:left w:val="nil"/>
              <w:bottom w:val="nil"/>
              <w:right w:val="nil"/>
            </w:tcBorders>
            <w:shd w:val="clear" w:color="auto" w:fill="auto"/>
            <w:noWrap/>
            <w:vAlign w:val="center"/>
            <w:hideMark/>
          </w:tcPr>
          <w:p w14:paraId="337D947C" w14:textId="1BBBC26C"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w:t>
            </w:r>
          </w:p>
        </w:tc>
        <w:tc>
          <w:tcPr>
            <w:tcW w:w="1200" w:type="dxa"/>
            <w:tcBorders>
              <w:top w:val="nil"/>
              <w:left w:val="nil"/>
              <w:bottom w:val="nil"/>
              <w:right w:val="single" w:sz="4" w:space="0" w:color="auto"/>
            </w:tcBorders>
            <w:shd w:val="clear" w:color="auto" w:fill="auto"/>
            <w:noWrap/>
            <w:vAlign w:val="center"/>
            <w:hideMark/>
          </w:tcPr>
          <w:p w14:paraId="73B614E9"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0.0</w:t>
            </w:r>
          </w:p>
        </w:tc>
      </w:tr>
      <w:tr w:rsidR="00752EF3" w:rsidRPr="009E30CC" w14:paraId="4FFCD132" w14:textId="77777777" w:rsidTr="0082531A">
        <w:trPr>
          <w:trHeight w:val="227"/>
        </w:trPr>
        <w:tc>
          <w:tcPr>
            <w:tcW w:w="2912" w:type="dxa"/>
            <w:tcBorders>
              <w:top w:val="nil"/>
              <w:left w:val="single" w:sz="4" w:space="0" w:color="auto"/>
              <w:bottom w:val="single" w:sz="4" w:space="0" w:color="auto"/>
              <w:right w:val="nil"/>
            </w:tcBorders>
            <w:shd w:val="clear" w:color="auto" w:fill="auto"/>
            <w:noWrap/>
            <w:vAlign w:val="center"/>
            <w:hideMark/>
          </w:tcPr>
          <w:p w14:paraId="4BCBA3FD" w14:textId="77777777" w:rsidR="00752EF3" w:rsidRPr="00AF0563" w:rsidRDefault="00752EF3" w:rsidP="009310B5">
            <w:pPr>
              <w:spacing w:after="0" w:line="240" w:lineRule="auto"/>
              <w:ind w:firstLineChars="100" w:firstLine="170"/>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No especificado</w:t>
            </w:r>
          </w:p>
        </w:tc>
        <w:tc>
          <w:tcPr>
            <w:tcW w:w="1121" w:type="dxa"/>
            <w:tcBorders>
              <w:top w:val="nil"/>
              <w:left w:val="nil"/>
              <w:bottom w:val="single" w:sz="4" w:space="0" w:color="auto"/>
              <w:right w:val="nil"/>
            </w:tcBorders>
            <w:shd w:val="clear" w:color="auto" w:fill="auto"/>
            <w:noWrap/>
            <w:vAlign w:val="center"/>
            <w:hideMark/>
          </w:tcPr>
          <w:p w14:paraId="5E5F00AB" w14:textId="086AF372"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2 269</w:t>
            </w:r>
          </w:p>
        </w:tc>
        <w:tc>
          <w:tcPr>
            <w:tcW w:w="1024" w:type="dxa"/>
            <w:tcBorders>
              <w:top w:val="nil"/>
              <w:left w:val="nil"/>
              <w:bottom w:val="single" w:sz="4" w:space="0" w:color="auto"/>
              <w:right w:val="nil"/>
            </w:tcBorders>
            <w:shd w:val="clear" w:color="auto" w:fill="auto"/>
            <w:noWrap/>
            <w:vAlign w:val="center"/>
            <w:hideMark/>
          </w:tcPr>
          <w:p w14:paraId="7DA97F34"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13.2</w:t>
            </w:r>
          </w:p>
        </w:tc>
        <w:tc>
          <w:tcPr>
            <w:tcW w:w="1121" w:type="dxa"/>
            <w:tcBorders>
              <w:top w:val="nil"/>
              <w:left w:val="nil"/>
              <w:bottom w:val="single" w:sz="4" w:space="0" w:color="auto"/>
              <w:right w:val="nil"/>
            </w:tcBorders>
            <w:shd w:val="clear" w:color="auto" w:fill="auto"/>
            <w:noWrap/>
            <w:vAlign w:val="center"/>
            <w:hideMark/>
          </w:tcPr>
          <w:p w14:paraId="6A81DAFC" w14:textId="0A0A14B0"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2 202</w:t>
            </w:r>
          </w:p>
        </w:tc>
        <w:tc>
          <w:tcPr>
            <w:tcW w:w="1024" w:type="dxa"/>
            <w:tcBorders>
              <w:top w:val="nil"/>
              <w:left w:val="nil"/>
              <w:bottom w:val="single" w:sz="4" w:space="0" w:color="auto"/>
              <w:right w:val="nil"/>
            </w:tcBorders>
            <w:shd w:val="clear" w:color="auto" w:fill="auto"/>
            <w:noWrap/>
            <w:vAlign w:val="center"/>
            <w:hideMark/>
          </w:tcPr>
          <w:p w14:paraId="12BAE15F"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14.9</w:t>
            </w:r>
          </w:p>
        </w:tc>
        <w:tc>
          <w:tcPr>
            <w:tcW w:w="1122" w:type="dxa"/>
            <w:tcBorders>
              <w:top w:val="nil"/>
              <w:left w:val="nil"/>
              <w:bottom w:val="single" w:sz="4" w:space="0" w:color="auto"/>
              <w:right w:val="nil"/>
            </w:tcBorders>
            <w:shd w:val="clear" w:color="auto" w:fill="auto"/>
            <w:noWrap/>
            <w:vAlign w:val="center"/>
            <w:hideMark/>
          </w:tcPr>
          <w:p w14:paraId="2664BB9A" w14:textId="6286B063"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67</w:t>
            </w:r>
          </w:p>
        </w:tc>
        <w:tc>
          <w:tcPr>
            <w:tcW w:w="1200" w:type="dxa"/>
            <w:tcBorders>
              <w:top w:val="nil"/>
              <w:left w:val="nil"/>
              <w:bottom w:val="single" w:sz="4" w:space="0" w:color="auto"/>
              <w:right w:val="single" w:sz="4" w:space="0" w:color="auto"/>
            </w:tcBorders>
            <w:shd w:val="clear" w:color="auto" w:fill="auto"/>
            <w:noWrap/>
            <w:vAlign w:val="center"/>
            <w:hideMark/>
          </w:tcPr>
          <w:p w14:paraId="017DBE5E" w14:textId="77777777" w:rsidR="00752EF3" w:rsidRPr="00AF0563" w:rsidRDefault="00752EF3" w:rsidP="009310B5">
            <w:pPr>
              <w:spacing w:after="0" w:line="240" w:lineRule="auto"/>
              <w:jc w:val="right"/>
              <w:rPr>
                <w:rFonts w:ascii="Arial" w:eastAsia="Times New Roman" w:hAnsi="Arial" w:cs="Arial"/>
                <w:color w:val="000000"/>
                <w:sz w:val="17"/>
                <w:szCs w:val="17"/>
                <w:lang w:eastAsia="es-MX"/>
              </w:rPr>
            </w:pPr>
            <w:r w:rsidRPr="00AF0563">
              <w:rPr>
                <w:rFonts w:ascii="Arial" w:eastAsia="Times New Roman" w:hAnsi="Arial" w:cs="Arial"/>
                <w:color w:val="000000"/>
                <w:sz w:val="17"/>
                <w:szCs w:val="17"/>
                <w:lang w:eastAsia="es-MX"/>
              </w:rPr>
              <w:t>2.7</w:t>
            </w:r>
          </w:p>
        </w:tc>
      </w:tr>
      <w:tr w:rsidR="00752EF3" w:rsidRPr="009E30CC" w14:paraId="5CC36CAA" w14:textId="77777777" w:rsidTr="0082531A">
        <w:trPr>
          <w:trHeight w:val="227"/>
        </w:trPr>
        <w:tc>
          <w:tcPr>
            <w:tcW w:w="9524" w:type="dxa"/>
            <w:gridSpan w:val="7"/>
            <w:tcBorders>
              <w:top w:val="single" w:sz="4" w:space="0" w:color="auto"/>
              <w:bottom w:val="nil"/>
            </w:tcBorders>
            <w:shd w:val="clear" w:color="auto" w:fill="auto"/>
            <w:noWrap/>
            <w:vAlign w:val="center"/>
          </w:tcPr>
          <w:p w14:paraId="30F25C15" w14:textId="77777777" w:rsidR="00752EF3" w:rsidRPr="00A56864" w:rsidRDefault="00752EF3" w:rsidP="009310B5">
            <w:pPr>
              <w:spacing w:after="0" w:line="240" w:lineRule="auto"/>
              <w:rPr>
                <w:rFonts w:ascii="Arial" w:eastAsia="Times New Roman" w:hAnsi="Arial" w:cs="Arial"/>
                <w:color w:val="000000"/>
                <w:sz w:val="16"/>
                <w:szCs w:val="16"/>
                <w:lang w:eastAsia="es-MX"/>
              </w:rPr>
            </w:pPr>
            <w:r w:rsidRPr="00A56864">
              <w:rPr>
                <w:rFonts w:ascii="Arial" w:hAnsi="Arial" w:cs="Arial"/>
                <w:color w:val="000000"/>
                <w:sz w:val="16"/>
                <w:szCs w:val="16"/>
              </w:rPr>
              <w:t>Fuente: INEGI. Censo Nacional de Procuración de Justicia Estatal 2019.</w:t>
            </w:r>
          </w:p>
        </w:tc>
      </w:tr>
    </w:tbl>
    <w:p w14:paraId="75C1981C" w14:textId="77777777" w:rsidR="002013DF" w:rsidRDefault="002013DF" w:rsidP="009310B5">
      <w:pPr>
        <w:spacing w:line="240" w:lineRule="auto"/>
        <w:jc w:val="both"/>
        <w:rPr>
          <w:rFonts w:ascii="Arial" w:hAnsi="Arial" w:cs="Arial"/>
          <w:b/>
          <w:bCs/>
        </w:rPr>
      </w:pPr>
    </w:p>
    <w:p w14:paraId="36B53CA2" w14:textId="6A2F98C0" w:rsidR="0096386C" w:rsidRPr="009E30CC" w:rsidRDefault="00A86D38" w:rsidP="009310B5">
      <w:pPr>
        <w:spacing w:line="240" w:lineRule="auto"/>
        <w:jc w:val="both"/>
        <w:rPr>
          <w:rFonts w:ascii="Arial" w:hAnsi="Arial" w:cs="Arial"/>
          <w:b/>
          <w:bCs/>
        </w:rPr>
      </w:pPr>
      <w:r w:rsidRPr="009E30CC">
        <w:rPr>
          <w:rFonts w:ascii="Arial" w:hAnsi="Arial" w:cs="Arial"/>
          <w:b/>
          <w:bCs/>
        </w:rPr>
        <w:t xml:space="preserve">IMPARTICIÓN DE JUSTICIA: DELITOS COMETIDOS POR LOS PROCESADOS </w:t>
      </w:r>
    </w:p>
    <w:p w14:paraId="3F6F58BE" w14:textId="05CDE101" w:rsidR="00C84504" w:rsidRDefault="003D2F0D" w:rsidP="009310B5">
      <w:pPr>
        <w:spacing w:line="240" w:lineRule="auto"/>
        <w:jc w:val="both"/>
        <w:rPr>
          <w:rFonts w:ascii="Arial" w:hAnsi="Arial" w:cs="Arial"/>
        </w:rPr>
      </w:pPr>
      <w:r>
        <w:rPr>
          <w:rFonts w:ascii="Arial" w:hAnsi="Arial" w:cs="Arial"/>
        </w:rPr>
        <w:t xml:space="preserve">Con relación a las causas penales que iniciaron proceso en los tribunales de justicia del país, se encontró que en </w:t>
      </w:r>
      <w:r w:rsidRPr="009E30CC">
        <w:rPr>
          <w:rFonts w:ascii="Arial" w:hAnsi="Arial" w:cs="Arial"/>
        </w:rPr>
        <w:t>2018</w:t>
      </w:r>
      <w:r>
        <w:rPr>
          <w:rFonts w:ascii="Arial" w:hAnsi="Arial" w:cs="Arial"/>
        </w:rPr>
        <w:t xml:space="preserve"> se registraron </w:t>
      </w:r>
      <w:r w:rsidRPr="009E30CC">
        <w:rPr>
          <w:rFonts w:ascii="Arial" w:hAnsi="Arial" w:cs="Arial"/>
        </w:rPr>
        <w:t xml:space="preserve">31 338 </w:t>
      </w:r>
      <w:r>
        <w:rPr>
          <w:rFonts w:ascii="Arial" w:hAnsi="Arial" w:cs="Arial"/>
        </w:rPr>
        <w:t xml:space="preserve">delitos relacionados con drogas </w:t>
      </w:r>
      <w:r w:rsidRPr="009E30CC">
        <w:rPr>
          <w:rFonts w:ascii="Arial" w:hAnsi="Arial" w:cs="Arial"/>
        </w:rPr>
        <w:t>a nivel nacional</w:t>
      </w:r>
      <w:r>
        <w:rPr>
          <w:rFonts w:ascii="Arial" w:hAnsi="Arial" w:cs="Arial"/>
        </w:rPr>
        <w:t>,</w:t>
      </w:r>
      <w:r w:rsidRPr="009E30CC">
        <w:rPr>
          <w:rFonts w:ascii="Arial" w:hAnsi="Arial" w:cs="Arial"/>
        </w:rPr>
        <w:t xml:space="preserve"> </w:t>
      </w:r>
      <w:r>
        <w:rPr>
          <w:rFonts w:ascii="Arial" w:hAnsi="Arial" w:cs="Arial"/>
        </w:rPr>
        <w:t xml:space="preserve">de los cuales </w:t>
      </w:r>
      <w:r w:rsidRPr="009E30CC">
        <w:rPr>
          <w:rFonts w:ascii="Arial" w:hAnsi="Arial" w:cs="Arial"/>
        </w:rPr>
        <w:t>8</w:t>
      </w:r>
      <w:r w:rsidR="00010BC9">
        <w:rPr>
          <w:rFonts w:ascii="Arial" w:hAnsi="Arial" w:cs="Arial"/>
        </w:rPr>
        <w:t>4</w:t>
      </w:r>
      <w:r>
        <w:rPr>
          <w:rFonts w:ascii="Arial" w:hAnsi="Arial" w:cs="Arial"/>
        </w:rPr>
        <w:t>.7</w:t>
      </w:r>
      <w:r w:rsidRPr="009E30CC">
        <w:rPr>
          <w:rFonts w:ascii="Arial" w:hAnsi="Arial" w:cs="Arial"/>
        </w:rPr>
        <w:t xml:space="preserve">% correspondieron a delitos de narcomenudeo </w:t>
      </w:r>
      <w:r>
        <w:rPr>
          <w:rFonts w:ascii="Arial" w:hAnsi="Arial" w:cs="Arial"/>
        </w:rPr>
        <w:t>y</w:t>
      </w:r>
      <w:r w:rsidRPr="009E30CC">
        <w:rPr>
          <w:rFonts w:ascii="Arial" w:hAnsi="Arial" w:cs="Arial"/>
        </w:rPr>
        <w:t xml:space="preserve"> 1</w:t>
      </w:r>
      <w:r w:rsidR="00010BC9">
        <w:rPr>
          <w:rFonts w:ascii="Arial" w:hAnsi="Arial" w:cs="Arial"/>
        </w:rPr>
        <w:t>5</w:t>
      </w:r>
      <w:r>
        <w:rPr>
          <w:rFonts w:ascii="Arial" w:hAnsi="Arial" w:cs="Arial"/>
        </w:rPr>
        <w:t>.3</w:t>
      </w:r>
      <w:r w:rsidRPr="009E30CC">
        <w:rPr>
          <w:rFonts w:ascii="Arial" w:hAnsi="Arial" w:cs="Arial"/>
        </w:rPr>
        <w:t>% a delitos contra la salud</w:t>
      </w:r>
      <w:r>
        <w:rPr>
          <w:rFonts w:ascii="Arial" w:hAnsi="Arial" w:cs="Arial"/>
        </w:rPr>
        <w:t xml:space="preserve"> (Gráfica </w:t>
      </w:r>
      <w:r w:rsidR="009F7D59">
        <w:rPr>
          <w:rFonts w:ascii="Arial" w:hAnsi="Arial" w:cs="Arial"/>
        </w:rPr>
        <w:t>8</w:t>
      </w:r>
      <w:r>
        <w:rPr>
          <w:rFonts w:ascii="Arial" w:hAnsi="Arial" w:cs="Arial"/>
        </w:rPr>
        <w:t>).</w:t>
      </w:r>
      <w:r w:rsidR="00C84504">
        <w:rPr>
          <w:rFonts w:ascii="Arial" w:hAnsi="Arial" w:cs="Arial"/>
        </w:rPr>
        <w:t xml:space="preserve"> En comparación con 2016, la cantidad de delitos de narcomenudeo aumentó de manera significativa debido al incremento de 115% de este tipo de delitos registrados en las causas penales iniciadas en 2018 en l</w:t>
      </w:r>
      <w:r w:rsidR="00C84504" w:rsidRPr="009E30CC">
        <w:rPr>
          <w:rFonts w:ascii="Arial" w:hAnsi="Arial" w:cs="Arial"/>
        </w:rPr>
        <w:t xml:space="preserve">os órganos jurisdiccionales </w:t>
      </w:r>
      <w:r w:rsidR="002013DF">
        <w:rPr>
          <w:rFonts w:ascii="Arial" w:hAnsi="Arial" w:cs="Arial"/>
        </w:rPr>
        <w:t xml:space="preserve">estatales </w:t>
      </w:r>
      <w:r w:rsidR="00C84504" w:rsidRPr="009E30CC">
        <w:rPr>
          <w:rFonts w:ascii="Arial" w:hAnsi="Arial" w:cs="Arial"/>
        </w:rPr>
        <w:t>de primera instancia</w:t>
      </w:r>
      <w:r w:rsidR="00C84504">
        <w:rPr>
          <w:rFonts w:ascii="Arial" w:hAnsi="Arial" w:cs="Arial"/>
        </w:rPr>
        <w:t>.</w:t>
      </w:r>
    </w:p>
    <w:p w14:paraId="16AF01A0" w14:textId="062CD3E5" w:rsidR="00AB6C3E" w:rsidRDefault="00CE0C02" w:rsidP="009310B5">
      <w:pPr>
        <w:spacing w:line="240" w:lineRule="auto"/>
        <w:jc w:val="both"/>
        <w:rPr>
          <w:rFonts w:ascii="Arial" w:hAnsi="Arial" w:cs="Arial"/>
        </w:rPr>
      </w:pPr>
      <w:r>
        <w:rPr>
          <w:rFonts w:ascii="Arial" w:hAnsi="Arial" w:cs="Arial"/>
        </w:rPr>
        <w:t>Pese a que</w:t>
      </w:r>
      <w:r w:rsidR="00E228C2">
        <w:rPr>
          <w:rFonts w:ascii="Arial" w:hAnsi="Arial" w:cs="Arial"/>
        </w:rPr>
        <w:t xml:space="preserve"> el volumen de </w:t>
      </w:r>
      <w:r w:rsidR="009D5516">
        <w:rPr>
          <w:rFonts w:ascii="Arial" w:hAnsi="Arial" w:cs="Arial"/>
        </w:rPr>
        <w:t xml:space="preserve">delitos de narcomenudeo </w:t>
      </w:r>
      <w:r w:rsidR="009D5516" w:rsidRPr="009E30CC">
        <w:rPr>
          <w:rFonts w:ascii="Arial" w:hAnsi="Arial" w:cs="Arial"/>
        </w:rPr>
        <w:t xml:space="preserve">cometidos por </w:t>
      </w:r>
      <w:r w:rsidR="009D5516">
        <w:rPr>
          <w:rFonts w:ascii="Arial" w:hAnsi="Arial" w:cs="Arial"/>
        </w:rPr>
        <w:t xml:space="preserve">adolescentes </w:t>
      </w:r>
      <w:r w:rsidR="00E228C2">
        <w:rPr>
          <w:rFonts w:ascii="Arial" w:hAnsi="Arial" w:cs="Arial"/>
        </w:rPr>
        <w:t xml:space="preserve">no varió de manera importante en el periodo de análisis, </w:t>
      </w:r>
      <w:r>
        <w:rPr>
          <w:rFonts w:ascii="Arial" w:hAnsi="Arial" w:cs="Arial"/>
        </w:rPr>
        <w:t xml:space="preserve">los tribunales </w:t>
      </w:r>
      <w:r w:rsidR="002013DF">
        <w:rPr>
          <w:rFonts w:ascii="Arial" w:hAnsi="Arial" w:cs="Arial"/>
        </w:rPr>
        <w:t xml:space="preserve">de </w:t>
      </w:r>
      <w:r w:rsidR="00AB6C3E">
        <w:rPr>
          <w:rFonts w:ascii="Arial" w:hAnsi="Arial" w:cs="Arial"/>
        </w:rPr>
        <w:t xml:space="preserve">Coahuila y Morelos </w:t>
      </w:r>
      <w:r w:rsidR="00084350">
        <w:rPr>
          <w:rFonts w:ascii="Arial" w:hAnsi="Arial" w:cs="Arial"/>
        </w:rPr>
        <w:t>reportaron</w:t>
      </w:r>
      <w:r w:rsidR="00AB6C3E">
        <w:rPr>
          <w:rFonts w:ascii="Arial" w:hAnsi="Arial" w:cs="Arial"/>
        </w:rPr>
        <w:t xml:space="preserve"> </w:t>
      </w:r>
      <w:r w:rsidR="002013DF">
        <w:rPr>
          <w:rFonts w:ascii="Arial" w:hAnsi="Arial" w:cs="Arial"/>
        </w:rPr>
        <w:t xml:space="preserve">aumentos </w:t>
      </w:r>
      <w:r w:rsidR="00AB6C3E">
        <w:rPr>
          <w:rFonts w:ascii="Arial" w:hAnsi="Arial" w:cs="Arial"/>
        </w:rPr>
        <w:t>de 38.3% y 17.9%</w:t>
      </w:r>
      <w:r w:rsidR="00084350">
        <w:rPr>
          <w:rFonts w:ascii="Arial" w:hAnsi="Arial" w:cs="Arial"/>
        </w:rPr>
        <w:t>,</w:t>
      </w:r>
      <w:r w:rsidR="00AB6C3E">
        <w:rPr>
          <w:rFonts w:ascii="Arial" w:hAnsi="Arial" w:cs="Arial"/>
        </w:rPr>
        <w:t xml:space="preserve"> respectivamente</w:t>
      </w:r>
      <w:r w:rsidR="00084350">
        <w:rPr>
          <w:rFonts w:ascii="Arial" w:hAnsi="Arial" w:cs="Arial"/>
        </w:rPr>
        <w:t xml:space="preserve">, </w:t>
      </w:r>
      <w:r w:rsidR="002013DF">
        <w:rPr>
          <w:rFonts w:ascii="Arial" w:hAnsi="Arial" w:cs="Arial"/>
        </w:rPr>
        <w:t>en</w:t>
      </w:r>
      <w:r w:rsidR="00084350">
        <w:rPr>
          <w:rFonts w:ascii="Arial" w:hAnsi="Arial" w:cs="Arial"/>
        </w:rPr>
        <w:t xml:space="preserve"> los delitos de narcomenudeo registrados en las causas penales iniciadas en el año;</w:t>
      </w:r>
      <w:r w:rsidR="00AB6C3E">
        <w:rPr>
          <w:rFonts w:ascii="Arial" w:hAnsi="Arial" w:cs="Arial"/>
        </w:rPr>
        <w:t xml:space="preserve"> mientras que en los tribunales de Aguascalientes y Ciudad de México se observó una disminución de 51.4% y 36.8%</w:t>
      </w:r>
      <w:r w:rsidR="00084350">
        <w:rPr>
          <w:rFonts w:ascii="Arial" w:hAnsi="Arial" w:cs="Arial"/>
        </w:rPr>
        <w:t xml:space="preserve"> en el registro de </w:t>
      </w:r>
      <w:r w:rsidR="00AB6C3E">
        <w:rPr>
          <w:rFonts w:ascii="Arial" w:hAnsi="Arial" w:cs="Arial"/>
        </w:rPr>
        <w:t xml:space="preserve">delitos cometidos por </w:t>
      </w:r>
      <w:r w:rsidR="00084350">
        <w:rPr>
          <w:rFonts w:ascii="Arial" w:hAnsi="Arial" w:cs="Arial"/>
        </w:rPr>
        <w:t>adolescentes procesados.</w:t>
      </w:r>
    </w:p>
    <w:p w14:paraId="7E0CC944" w14:textId="5440B335" w:rsidR="00563683" w:rsidRDefault="00F03AF2" w:rsidP="009310B5">
      <w:pPr>
        <w:spacing w:line="240" w:lineRule="auto"/>
        <w:jc w:val="both"/>
        <w:rPr>
          <w:rFonts w:ascii="Arial" w:hAnsi="Arial" w:cs="Arial"/>
        </w:rPr>
      </w:pPr>
      <w:r w:rsidRPr="007A4080">
        <w:rPr>
          <w:rFonts w:ascii="Arial" w:hAnsi="Arial" w:cs="Arial"/>
        </w:rPr>
        <w:t>A diferencia de los delitos de narcomenudeo</w:t>
      </w:r>
      <w:r w:rsidR="005052C3" w:rsidRPr="007A4080">
        <w:rPr>
          <w:rFonts w:ascii="Arial" w:hAnsi="Arial" w:cs="Arial"/>
        </w:rPr>
        <w:t xml:space="preserve">, entre 2016 </w:t>
      </w:r>
      <w:r w:rsidR="00CE0C02" w:rsidRPr="007A4080">
        <w:rPr>
          <w:rFonts w:ascii="Arial" w:hAnsi="Arial" w:cs="Arial"/>
        </w:rPr>
        <w:t xml:space="preserve">y </w:t>
      </w:r>
      <w:r w:rsidR="005052C3" w:rsidRPr="007A4080">
        <w:rPr>
          <w:rFonts w:ascii="Arial" w:hAnsi="Arial" w:cs="Arial"/>
        </w:rPr>
        <w:t>2018 se observó un decrement</w:t>
      </w:r>
      <w:r w:rsidR="00E31572">
        <w:rPr>
          <w:rFonts w:ascii="Arial" w:hAnsi="Arial" w:cs="Arial"/>
        </w:rPr>
        <w:t>o</w:t>
      </w:r>
      <w:r w:rsidR="005052C3" w:rsidRPr="007A4080">
        <w:rPr>
          <w:rFonts w:ascii="Arial" w:hAnsi="Arial" w:cs="Arial"/>
        </w:rPr>
        <w:t xml:space="preserve"> de</w:t>
      </w:r>
      <w:r w:rsidRPr="007A4080">
        <w:rPr>
          <w:rFonts w:ascii="Arial" w:hAnsi="Arial" w:cs="Arial"/>
        </w:rPr>
        <w:t xml:space="preserve"> </w:t>
      </w:r>
      <w:r w:rsidR="00FF4A46" w:rsidRPr="007A4080">
        <w:rPr>
          <w:rFonts w:ascii="Arial" w:hAnsi="Arial" w:cs="Arial"/>
        </w:rPr>
        <w:t>1</w:t>
      </w:r>
      <w:r w:rsidR="00A504D7">
        <w:rPr>
          <w:rFonts w:ascii="Arial" w:hAnsi="Arial" w:cs="Arial"/>
        </w:rPr>
        <w:t>3.9</w:t>
      </w:r>
      <w:r w:rsidR="00C13892" w:rsidRPr="007A4080">
        <w:rPr>
          <w:rFonts w:ascii="Arial" w:hAnsi="Arial" w:cs="Arial"/>
        </w:rPr>
        <w:t>%</w:t>
      </w:r>
      <w:r w:rsidR="0052341D" w:rsidRPr="007A4080">
        <w:rPr>
          <w:rFonts w:ascii="Arial" w:hAnsi="Arial" w:cs="Arial"/>
        </w:rPr>
        <w:t xml:space="preserve"> </w:t>
      </w:r>
      <w:r w:rsidR="00C13892" w:rsidRPr="007A4080">
        <w:rPr>
          <w:rFonts w:ascii="Arial" w:hAnsi="Arial" w:cs="Arial"/>
        </w:rPr>
        <w:t xml:space="preserve">en </w:t>
      </w:r>
      <w:r w:rsidR="00F76513" w:rsidRPr="007A4080">
        <w:rPr>
          <w:rFonts w:ascii="Arial" w:hAnsi="Arial" w:cs="Arial"/>
        </w:rPr>
        <w:t xml:space="preserve">el registro de </w:t>
      </w:r>
      <w:r w:rsidR="008737B0" w:rsidRPr="007A4080">
        <w:rPr>
          <w:rFonts w:ascii="Arial" w:hAnsi="Arial" w:cs="Arial"/>
        </w:rPr>
        <w:t>delitos federales asociados</w:t>
      </w:r>
      <w:r w:rsidR="00FF4A46" w:rsidRPr="007A4080">
        <w:rPr>
          <w:rFonts w:ascii="Arial" w:hAnsi="Arial" w:cs="Arial"/>
        </w:rPr>
        <w:t xml:space="preserve"> </w:t>
      </w:r>
      <w:r w:rsidR="0096386C" w:rsidRPr="007A4080">
        <w:rPr>
          <w:rFonts w:ascii="Arial" w:hAnsi="Arial" w:cs="Arial"/>
        </w:rPr>
        <w:t xml:space="preserve">con </w:t>
      </w:r>
      <w:r w:rsidR="00C13892" w:rsidRPr="007A4080">
        <w:rPr>
          <w:rFonts w:ascii="Arial" w:hAnsi="Arial" w:cs="Arial"/>
        </w:rPr>
        <w:t>droga</w:t>
      </w:r>
      <w:r w:rsidR="0096386C" w:rsidRPr="007A4080">
        <w:rPr>
          <w:rFonts w:ascii="Arial" w:hAnsi="Arial" w:cs="Arial"/>
        </w:rPr>
        <w:t>s</w:t>
      </w:r>
      <w:r w:rsidR="00F44206">
        <w:rPr>
          <w:rFonts w:ascii="Arial" w:hAnsi="Arial" w:cs="Arial"/>
        </w:rPr>
        <w:t xml:space="preserve"> (Gráfica 8)</w:t>
      </w:r>
      <w:r w:rsidR="00072671" w:rsidRPr="007A4080">
        <w:rPr>
          <w:rFonts w:ascii="Arial" w:hAnsi="Arial" w:cs="Arial"/>
        </w:rPr>
        <w:t xml:space="preserve">. </w:t>
      </w:r>
      <w:r w:rsidR="00F76513" w:rsidRPr="007A4080">
        <w:rPr>
          <w:rFonts w:ascii="Arial" w:hAnsi="Arial" w:cs="Arial"/>
        </w:rPr>
        <w:t>En el caso particular</w:t>
      </w:r>
      <w:r w:rsidR="00174457" w:rsidRPr="007A4080">
        <w:rPr>
          <w:rFonts w:ascii="Arial" w:hAnsi="Arial" w:cs="Arial"/>
        </w:rPr>
        <w:t xml:space="preserve"> de l</w:t>
      </w:r>
      <w:r w:rsidR="00725EB1" w:rsidRPr="007A4080">
        <w:rPr>
          <w:rFonts w:ascii="Arial" w:hAnsi="Arial" w:cs="Arial"/>
        </w:rPr>
        <w:t xml:space="preserve">as conductas que </w:t>
      </w:r>
      <w:r w:rsidR="008B4BF3" w:rsidRPr="007A4080">
        <w:rPr>
          <w:rFonts w:ascii="Arial" w:hAnsi="Arial" w:cs="Arial"/>
        </w:rPr>
        <w:t>integran</w:t>
      </w:r>
      <w:r w:rsidR="00725EB1" w:rsidRPr="007A4080">
        <w:rPr>
          <w:rFonts w:ascii="Arial" w:hAnsi="Arial" w:cs="Arial"/>
        </w:rPr>
        <w:t xml:space="preserve"> </w:t>
      </w:r>
      <w:r w:rsidR="00084350">
        <w:rPr>
          <w:rFonts w:ascii="Arial" w:hAnsi="Arial" w:cs="Arial"/>
        </w:rPr>
        <w:t>e</w:t>
      </w:r>
      <w:r w:rsidR="00725EB1" w:rsidRPr="007A4080">
        <w:rPr>
          <w:rFonts w:ascii="Arial" w:hAnsi="Arial" w:cs="Arial"/>
        </w:rPr>
        <w:t xml:space="preserve">l </w:t>
      </w:r>
      <w:r w:rsidR="00174457" w:rsidRPr="007A4080">
        <w:rPr>
          <w:rFonts w:ascii="Arial" w:hAnsi="Arial" w:cs="Arial"/>
        </w:rPr>
        <w:t>delito</w:t>
      </w:r>
      <w:r w:rsidR="00725EB1" w:rsidRPr="007A4080">
        <w:rPr>
          <w:rFonts w:ascii="Arial" w:hAnsi="Arial" w:cs="Arial"/>
        </w:rPr>
        <w:t xml:space="preserve"> </w:t>
      </w:r>
      <w:r w:rsidR="00174457" w:rsidRPr="007A4080">
        <w:rPr>
          <w:rFonts w:ascii="Arial" w:hAnsi="Arial" w:cs="Arial"/>
        </w:rPr>
        <w:t>contra la salud, hubo una disminución de 3</w:t>
      </w:r>
      <w:r w:rsidR="00F44206">
        <w:rPr>
          <w:rFonts w:ascii="Arial" w:hAnsi="Arial" w:cs="Arial"/>
        </w:rPr>
        <w:t>3.8</w:t>
      </w:r>
      <w:r w:rsidR="00174457" w:rsidRPr="007A4080">
        <w:rPr>
          <w:rFonts w:ascii="Arial" w:hAnsi="Arial" w:cs="Arial"/>
        </w:rPr>
        <w:t>%</w:t>
      </w:r>
      <w:r w:rsidR="00F76513" w:rsidRPr="007A4080">
        <w:rPr>
          <w:rFonts w:ascii="Arial" w:hAnsi="Arial" w:cs="Arial"/>
        </w:rPr>
        <w:t xml:space="preserve"> </w:t>
      </w:r>
      <w:r w:rsidR="00F44206" w:rsidRPr="007A4080">
        <w:rPr>
          <w:rFonts w:ascii="Arial" w:hAnsi="Arial" w:cs="Arial"/>
        </w:rPr>
        <w:t xml:space="preserve">en </w:t>
      </w:r>
      <w:r w:rsidR="00084350">
        <w:rPr>
          <w:rFonts w:ascii="Arial" w:hAnsi="Arial" w:cs="Arial"/>
        </w:rPr>
        <w:t xml:space="preserve">los </w:t>
      </w:r>
      <w:r w:rsidR="00F44206" w:rsidRPr="007A4080">
        <w:rPr>
          <w:rFonts w:ascii="Arial" w:hAnsi="Arial" w:cs="Arial"/>
        </w:rPr>
        <w:t>delito</w:t>
      </w:r>
      <w:r w:rsidR="00084350">
        <w:rPr>
          <w:rFonts w:ascii="Arial" w:hAnsi="Arial" w:cs="Arial"/>
        </w:rPr>
        <w:t>s registrados por</w:t>
      </w:r>
      <w:r w:rsidR="00F44206" w:rsidRPr="007A4080">
        <w:rPr>
          <w:rFonts w:ascii="Arial" w:hAnsi="Arial" w:cs="Arial"/>
        </w:rPr>
        <w:t xml:space="preserve"> posesión</w:t>
      </w:r>
      <w:r w:rsidR="00084350">
        <w:rPr>
          <w:rFonts w:ascii="Arial" w:hAnsi="Arial" w:cs="Arial"/>
        </w:rPr>
        <w:t>,</w:t>
      </w:r>
      <w:r w:rsidR="00F44206" w:rsidRPr="007A4080">
        <w:rPr>
          <w:rFonts w:ascii="Arial" w:hAnsi="Arial" w:cs="Arial"/>
        </w:rPr>
        <w:t xml:space="preserve"> </w:t>
      </w:r>
      <w:r w:rsidR="00F44206">
        <w:rPr>
          <w:rFonts w:ascii="Arial" w:hAnsi="Arial" w:cs="Arial"/>
        </w:rPr>
        <w:t xml:space="preserve">y de 26.5% en </w:t>
      </w:r>
      <w:r w:rsidR="00084350">
        <w:rPr>
          <w:rFonts w:ascii="Arial" w:hAnsi="Arial" w:cs="Arial"/>
        </w:rPr>
        <w:t xml:space="preserve">los delitos relacionados con el </w:t>
      </w:r>
      <w:r w:rsidR="00F44206">
        <w:rPr>
          <w:rFonts w:ascii="Arial" w:hAnsi="Arial" w:cs="Arial"/>
        </w:rPr>
        <w:t>transporte de narcóticos</w:t>
      </w:r>
      <w:r w:rsidR="00F44206" w:rsidRPr="007A4080">
        <w:rPr>
          <w:rFonts w:ascii="Arial" w:hAnsi="Arial" w:cs="Arial"/>
        </w:rPr>
        <w:t xml:space="preserve"> registrados en 2018 en las causas penales ingresadas en </w:t>
      </w:r>
      <w:r w:rsidR="00084350">
        <w:rPr>
          <w:rFonts w:ascii="Arial" w:hAnsi="Arial" w:cs="Arial"/>
        </w:rPr>
        <w:t xml:space="preserve">los </w:t>
      </w:r>
      <w:r w:rsidR="00F44206" w:rsidRPr="007A4080">
        <w:rPr>
          <w:rFonts w:ascii="Arial" w:hAnsi="Arial" w:cs="Arial"/>
        </w:rPr>
        <w:t>juzgados federales.</w:t>
      </w:r>
    </w:p>
    <w:p w14:paraId="5127D28B" w14:textId="7FC4F39C" w:rsidR="001969E3" w:rsidRDefault="001969E3" w:rsidP="009310B5">
      <w:pPr>
        <w:spacing w:line="240" w:lineRule="auto"/>
        <w:jc w:val="both"/>
        <w:rPr>
          <w:rFonts w:ascii="Arial" w:hAnsi="Arial" w:cs="Arial"/>
        </w:rPr>
      </w:pPr>
    </w:p>
    <w:p w14:paraId="41C2B510" w14:textId="65A8F75C" w:rsidR="001969E3" w:rsidRDefault="001969E3" w:rsidP="009310B5">
      <w:pPr>
        <w:spacing w:line="240" w:lineRule="auto"/>
        <w:jc w:val="both"/>
        <w:rPr>
          <w:rFonts w:ascii="Arial" w:hAnsi="Arial" w:cs="Arial"/>
        </w:rPr>
      </w:pPr>
    </w:p>
    <w:p w14:paraId="1E266861" w14:textId="427F108E" w:rsidR="001969E3" w:rsidRDefault="001969E3" w:rsidP="009310B5">
      <w:pPr>
        <w:spacing w:line="240" w:lineRule="auto"/>
        <w:jc w:val="both"/>
        <w:rPr>
          <w:rFonts w:ascii="Arial" w:hAnsi="Arial" w:cs="Arial"/>
        </w:rPr>
      </w:pPr>
    </w:p>
    <w:p w14:paraId="1FAADDB9" w14:textId="7908B647" w:rsidR="001969E3" w:rsidRDefault="001969E3" w:rsidP="009310B5">
      <w:pPr>
        <w:spacing w:line="240" w:lineRule="auto"/>
        <w:jc w:val="both"/>
        <w:rPr>
          <w:rFonts w:ascii="Arial" w:hAnsi="Arial" w:cs="Arial"/>
        </w:rPr>
      </w:pPr>
    </w:p>
    <w:p w14:paraId="5E45CB36" w14:textId="3691B58D" w:rsidR="001969E3" w:rsidRDefault="001969E3" w:rsidP="009310B5">
      <w:pPr>
        <w:spacing w:line="240" w:lineRule="auto"/>
        <w:jc w:val="both"/>
        <w:rPr>
          <w:rFonts w:ascii="Arial" w:hAnsi="Arial" w:cs="Arial"/>
        </w:rPr>
      </w:pPr>
    </w:p>
    <w:p w14:paraId="0EEEC163" w14:textId="787D9A4D" w:rsidR="001969E3" w:rsidRDefault="001969E3" w:rsidP="009310B5">
      <w:pPr>
        <w:spacing w:line="240" w:lineRule="auto"/>
        <w:jc w:val="both"/>
        <w:rPr>
          <w:rFonts w:ascii="Arial" w:hAnsi="Arial" w:cs="Arial"/>
        </w:rPr>
      </w:pPr>
    </w:p>
    <w:p w14:paraId="059563AD" w14:textId="4F1DA64F" w:rsidR="001969E3" w:rsidRDefault="001969E3" w:rsidP="009310B5">
      <w:pPr>
        <w:spacing w:line="240" w:lineRule="auto"/>
        <w:jc w:val="both"/>
        <w:rPr>
          <w:rFonts w:ascii="Arial" w:hAnsi="Arial" w:cs="Arial"/>
        </w:rPr>
      </w:pPr>
    </w:p>
    <w:p w14:paraId="3F8202F6" w14:textId="79B85E2C" w:rsidR="001969E3" w:rsidRDefault="001969E3" w:rsidP="009310B5">
      <w:pPr>
        <w:spacing w:line="240" w:lineRule="auto"/>
        <w:jc w:val="both"/>
        <w:rPr>
          <w:rFonts w:ascii="Arial" w:hAnsi="Arial" w:cs="Arial"/>
        </w:rPr>
      </w:pPr>
    </w:p>
    <w:p w14:paraId="3101B0C7" w14:textId="77777777" w:rsidR="001969E3" w:rsidRPr="007A4080" w:rsidRDefault="001969E3" w:rsidP="009310B5">
      <w:pPr>
        <w:spacing w:line="240" w:lineRule="auto"/>
        <w:jc w:val="both"/>
        <w:rPr>
          <w:rFonts w:ascii="Arial" w:hAnsi="Arial" w:cs="Arial"/>
        </w:rPr>
      </w:pPr>
    </w:p>
    <w:p w14:paraId="11CF4CD7" w14:textId="58C37F30" w:rsidR="001969E3" w:rsidRDefault="009F7D59" w:rsidP="001969E3">
      <w:pPr>
        <w:spacing w:after="0" w:line="240" w:lineRule="auto"/>
        <w:jc w:val="center"/>
        <w:rPr>
          <w:rFonts w:ascii="Arial" w:hAnsi="Arial" w:cs="Arial"/>
        </w:rPr>
      </w:pPr>
      <w:r>
        <w:rPr>
          <w:rFonts w:ascii="Arial" w:hAnsi="Arial" w:cs="Arial"/>
          <w:noProof/>
          <w:lang w:val="en-US"/>
        </w:rPr>
        <w:drawing>
          <wp:inline distT="0" distB="0" distL="0" distR="0" wp14:anchorId="170C5D6F" wp14:editId="0BE165F2">
            <wp:extent cx="5773420" cy="2889885"/>
            <wp:effectExtent l="0" t="0" r="0" b="5715"/>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420" cy="2889885"/>
                    </a:xfrm>
                    <a:prstGeom prst="rect">
                      <a:avLst/>
                    </a:prstGeom>
                    <a:noFill/>
                  </pic:spPr>
                </pic:pic>
              </a:graphicData>
            </a:graphic>
          </wp:inline>
        </w:drawing>
      </w:r>
    </w:p>
    <w:p w14:paraId="7E0CE566" w14:textId="28E78043" w:rsidR="0079240C" w:rsidRDefault="00835917" w:rsidP="005435FE">
      <w:pPr>
        <w:spacing w:before="240" w:line="240" w:lineRule="auto"/>
        <w:jc w:val="both"/>
        <w:rPr>
          <w:rFonts w:ascii="Arial" w:hAnsi="Arial" w:cs="Arial"/>
        </w:rPr>
      </w:pPr>
      <w:r>
        <w:rPr>
          <w:rFonts w:ascii="Arial" w:hAnsi="Arial" w:cs="Arial"/>
        </w:rPr>
        <w:t>Cabe resaltar que</w:t>
      </w:r>
      <w:r w:rsidR="00BA0468">
        <w:rPr>
          <w:rFonts w:ascii="Arial" w:hAnsi="Arial" w:cs="Arial"/>
        </w:rPr>
        <w:t>,</w:t>
      </w:r>
      <w:r w:rsidR="0079240C">
        <w:rPr>
          <w:rFonts w:ascii="Arial" w:hAnsi="Arial" w:cs="Arial"/>
        </w:rPr>
        <w:t xml:space="preserve"> </w:t>
      </w:r>
      <w:r w:rsidR="00EF7E38">
        <w:rPr>
          <w:rFonts w:ascii="Arial" w:hAnsi="Arial" w:cs="Arial"/>
        </w:rPr>
        <w:t xml:space="preserve">en 2018, </w:t>
      </w:r>
      <w:r w:rsidR="00456C89">
        <w:rPr>
          <w:rFonts w:ascii="Arial" w:hAnsi="Arial" w:cs="Arial"/>
        </w:rPr>
        <w:t>los tribunales</w:t>
      </w:r>
      <w:r w:rsidR="0079240C">
        <w:rPr>
          <w:rFonts w:ascii="Arial" w:hAnsi="Arial" w:cs="Arial"/>
        </w:rPr>
        <w:t xml:space="preserve"> superiores</w:t>
      </w:r>
      <w:r w:rsidR="00456C89">
        <w:rPr>
          <w:rFonts w:ascii="Arial" w:hAnsi="Arial" w:cs="Arial"/>
        </w:rPr>
        <w:t xml:space="preserve"> de justicia de </w:t>
      </w:r>
      <w:r w:rsidR="0079240C" w:rsidRPr="009E30CC">
        <w:rPr>
          <w:rFonts w:ascii="Arial" w:hAnsi="Arial" w:cs="Arial"/>
        </w:rPr>
        <w:t xml:space="preserve">Chihuahua </w:t>
      </w:r>
      <w:r w:rsidR="0079240C">
        <w:rPr>
          <w:rFonts w:ascii="Arial" w:hAnsi="Arial" w:cs="Arial"/>
        </w:rPr>
        <w:t xml:space="preserve">y Ciudad de México </w:t>
      </w:r>
      <w:r w:rsidR="0095054F">
        <w:rPr>
          <w:rFonts w:ascii="Arial" w:hAnsi="Arial" w:cs="Arial"/>
        </w:rPr>
        <w:t>concentraron</w:t>
      </w:r>
      <w:r w:rsidR="0079240C">
        <w:rPr>
          <w:rFonts w:ascii="Arial" w:hAnsi="Arial" w:cs="Arial"/>
        </w:rPr>
        <w:t xml:space="preserve"> </w:t>
      </w:r>
      <w:r w:rsidR="00BA0468">
        <w:rPr>
          <w:rFonts w:ascii="Arial" w:hAnsi="Arial" w:cs="Arial"/>
        </w:rPr>
        <w:t>55</w:t>
      </w:r>
      <w:r w:rsidR="008E5930">
        <w:rPr>
          <w:rFonts w:ascii="Arial" w:hAnsi="Arial" w:cs="Arial"/>
        </w:rPr>
        <w:t>.4</w:t>
      </w:r>
      <w:r w:rsidR="0079240C">
        <w:rPr>
          <w:rFonts w:ascii="Arial" w:hAnsi="Arial" w:cs="Arial"/>
        </w:rPr>
        <w:t xml:space="preserve">% </w:t>
      </w:r>
      <w:r w:rsidR="0079240C" w:rsidRPr="009E30CC">
        <w:rPr>
          <w:rFonts w:ascii="Arial" w:hAnsi="Arial" w:cs="Arial"/>
        </w:rPr>
        <w:t>de</w:t>
      </w:r>
      <w:r w:rsidR="0079240C">
        <w:rPr>
          <w:rFonts w:ascii="Arial" w:hAnsi="Arial" w:cs="Arial"/>
        </w:rPr>
        <w:t>l total de</w:t>
      </w:r>
      <w:r w:rsidR="0079240C" w:rsidRPr="009E30CC">
        <w:rPr>
          <w:rFonts w:ascii="Arial" w:hAnsi="Arial" w:cs="Arial"/>
        </w:rPr>
        <w:t xml:space="preserve"> delitos de narcomenudeo cometidos por los adolescentes vinculados a proceso</w:t>
      </w:r>
      <w:r w:rsidR="0079240C">
        <w:rPr>
          <w:rFonts w:ascii="Arial" w:hAnsi="Arial" w:cs="Arial"/>
        </w:rPr>
        <w:t xml:space="preserve"> en el país.</w:t>
      </w:r>
      <w:r w:rsidR="00E84FD4">
        <w:rPr>
          <w:rFonts w:ascii="Arial" w:hAnsi="Arial" w:cs="Arial"/>
        </w:rPr>
        <w:t xml:space="preserve"> En el caso </w:t>
      </w:r>
      <w:r w:rsidR="00E92AF6">
        <w:rPr>
          <w:rFonts w:ascii="Arial" w:hAnsi="Arial" w:cs="Arial"/>
        </w:rPr>
        <w:t>de los adultos</w:t>
      </w:r>
      <w:r>
        <w:rPr>
          <w:rFonts w:ascii="Arial" w:hAnsi="Arial" w:cs="Arial"/>
        </w:rPr>
        <w:t xml:space="preserve"> procesados</w:t>
      </w:r>
      <w:r w:rsidR="00E92AF6">
        <w:rPr>
          <w:rFonts w:ascii="Arial" w:hAnsi="Arial" w:cs="Arial"/>
        </w:rPr>
        <w:t xml:space="preserve">, los tribunales de justicia de </w:t>
      </w:r>
      <w:r w:rsidR="00E92AF6" w:rsidRPr="009E30CC">
        <w:rPr>
          <w:rFonts w:ascii="Arial" w:hAnsi="Arial" w:cs="Arial"/>
        </w:rPr>
        <w:t>Chihuahua, Ciudad de México y Coahuila concentraron 5</w:t>
      </w:r>
      <w:r w:rsidR="008E5930">
        <w:rPr>
          <w:rFonts w:ascii="Arial" w:hAnsi="Arial" w:cs="Arial"/>
        </w:rPr>
        <w:t>4.8</w:t>
      </w:r>
      <w:r w:rsidR="00E92AF6" w:rsidRPr="009E30CC">
        <w:rPr>
          <w:rFonts w:ascii="Arial" w:hAnsi="Arial" w:cs="Arial"/>
        </w:rPr>
        <w:t xml:space="preserve">% de los delitos </w:t>
      </w:r>
      <w:r>
        <w:rPr>
          <w:rFonts w:ascii="Arial" w:hAnsi="Arial" w:cs="Arial"/>
        </w:rPr>
        <w:t xml:space="preserve">registrados </w:t>
      </w:r>
      <w:r w:rsidR="00E92AF6" w:rsidRPr="009E30CC">
        <w:rPr>
          <w:rFonts w:ascii="Arial" w:hAnsi="Arial" w:cs="Arial"/>
        </w:rPr>
        <w:t>de narcomenudeo en las causas penales ingresadas</w:t>
      </w:r>
      <w:r>
        <w:rPr>
          <w:rFonts w:ascii="Arial" w:hAnsi="Arial" w:cs="Arial"/>
        </w:rPr>
        <w:t xml:space="preserve"> en ese año</w:t>
      </w:r>
      <w:r w:rsidR="008E5930">
        <w:rPr>
          <w:rFonts w:ascii="Arial" w:hAnsi="Arial" w:cs="Arial"/>
        </w:rPr>
        <w:t xml:space="preserve"> (Mapa 2)</w:t>
      </w:r>
      <w:r w:rsidR="00C13892">
        <w:rPr>
          <w:rFonts w:ascii="Arial" w:hAnsi="Arial" w:cs="Arial"/>
        </w:rPr>
        <w:t>.</w:t>
      </w:r>
    </w:p>
    <w:p w14:paraId="54304622" w14:textId="77777777" w:rsidR="001969E3" w:rsidRDefault="001969E3" w:rsidP="005435FE">
      <w:pPr>
        <w:spacing w:before="240" w:line="240" w:lineRule="auto"/>
        <w:jc w:val="both"/>
        <w:rPr>
          <w:rFonts w:ascii="Arial" w:hAnsi="Arial" w:cs="Arial"/>
        </w:rPr>
      </w:pPr>
    </w:p>
    <w:p w14:paraId="2A6B5D51" w14:textId="5D6830EB" w:rsidR="00225338" w:rsidRDefault="009C62EF" w:rsidP="00E31572">
      <w:pPr>
        <w:spacing w:after="0" w:line="240" w:lineRule="auto"/>
        <w:jc w:val="center"/>
        <w:rPr>
          <w:rFonts w:ascii="Arial" w:hAnsi="Arial" w:cs="Arial"/>
          <w:b/>
          <w:bCs/>
        </w:rPr>
      </w:pPr>
      <w:r>
        <w:rPr>
          <w:rFonts w:ascii="Arial" w:hAnsi="Arial" w:cs="Arial"/>
          <w:b/>
          <w:bCs/>
          <w:noProof/>
          <w:lang w:val="en-US"/>
        </w:rPr>
        <w:drawing>
          <wp:inline distT="0" distB="0" distL="0" distR="0" wp14:anchorId="196AED7C" wp14:editId="126C3CE1">
            <wp:extent cx="5949950" cy="3554095"/>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9950" cy="3554095"/>
                    </a:xfrm>
                    <a:prstGeom prst="rect">
                      <a:avLst/>
                    </a:prstGeom>
                    <a:noFill/>
                  </pic:spPr>
                </pic:pic>
              </a:graphicData>
            </a:graphic>
          </wp:inline>
        </w:drawing>
      </w:r>
    </w:p>
    <w:p w14:paraId="7DED0AFE" w14:textId="63C5D692" w:rsidR="00F128CD" w:rsidRDefault="00F128CD" w:rsidP="00F128CD">
      <w:pPr>
        <w:spacing w:after="0" w:line="240" w:lineRule="auto"/>
        <w:jc w:val="center"/>
        <w:rPr>
          <w:rFonts w:ascii="Arial" w:hAnsi="Arial" w:cs="Arial"/>
          <w:b/>
          <w:bCs/>
        </w:rPr>
      </w:pPr>
    </w:p>
    <w:p w14:paraId="37C58EFC" w14:textId="310B1B43" w:rsidR="00E31572" w:rsidRDefault="00E31572" w:rsidP="00F128CD">
      <w:pPr>
        <w:spacing w:after="0" w:line="240" w:lineRule="auto"/>
        <w:jc w:val="center"/>
        <w:rPr>
          <w:rFonts w:ascii="Arial" w:hAnsi="Arial" w:cs="Arial"/>
          <w:b/>
          <w:bCs/>
        </w:rPr>
      </w:pPr>
    </w:p>
    <w:p w14:paraId="38DEA13D" w14:textId="2C0E393F" w:rsidR="00B607EA" w:rsidRDefault="00A86D38" w:rsidP="00B607EA">
      <w:pPr>
        <w:spacing w:line="240" w:lineRule="auto"/>
        <w:jc w:val="both"/>
        <w:rPr>
          <w:rFonts w:ascii="Arial" w:hAnsi="Arial" w:cs="Arial"/>
          <w:b/>
          <w:bCs/>
        </w:rPr>
      </w:pPr>
      <w:r>
        <w:rPr>
          <w:rFonts w:ascii="Arial" w:hAnsi="Arial" w:cs="Arial"/>
          <w:b/>
          <w:bCs/>
        </w:rPr>
        <w:t>DELITOS ASOCIADOS CON DROGAS REGISTRADOS EN SENTENCIAS CONDENATORIAS</w:t>
      </w:r>
    </w:p>
    <w:p w14:paraId="42261EBF" w14:textId="717FC444" w:rsidR="005A0C38" w:rsidRDefault="00466F58" w:rsidP="004F3288">
      <w:pPr>
        <w:spacing w:after="120" w:line="240" w:lineRule="auto"/>
        <w:jc w:val="both"/>
        <w:rPr>
          <w:rFonts w:ascii="Arial" w:hAnsi="Arial" w:cs="Arial"/>
        </w:rPr>
      </w:pPr>
      <w:r w:rsidRPr="00F25428">
        <w:rPr>
          <w:rFonts w:ascii="Arial" w:hAnsi="Arial" w:cs="Arial"/>
        </w:rPr>
        <w:t>En</w:t>
      </w:r>
      <w:r w:rsidR="00925CC1" w:rsidRPr="00F25428">
        <w:rPr>
          <w:rFonts w:ascii="Arial" w:hAnsi="Arial" w:cs="Arial"/>
        </w:rPr>
        <w:t xml:space="preserve"> el periodo de 2016 a 2018,</w:t>
      </w:r>
      <w:r w:rsidRPr="00F25428">
        <w:rPr>
          <w:rFonts w:ascii="Arial" w:hAnsi="Arial" w:cs="Arial"/>
        </w:rPr>
        <w:t xml:space="preserve"> se </w:t>
      </w:r>
      <w:r w:rsidR="00F25428" w:rsidRPr="00F25428">
        <w:rPr>
          <w:rFonts w:ascii="Arial" w:hAnsi="Arial" w:cs="Arial"/>
        </w:rPr>
        <w:t xml:space="preserve">observó </w:t>
      </w:r>
      <w:r w:rsidR="008B4BF3" w:rsidRPr="00F25428">
        <w:rPr>
          <w:rFonts w:ascii="Arial" w:hAnsi="Arial" w:cs="Arial"/>
        </w:rPr>
        <w:t xml:space="preserve">un decremento </w:t>
      </w:r>
      <w:r w:rsidR="009D752D" w:rsidRPr="00F25428">
        <w:rPr>
          <w:rFonts w:ascii="Arial" w:hAnsi="Arial" w:cs="Arial"/>
        </w:rPr>
        <w:t xml:space="preserve">en </w:t>
      </w:r>
      <w:r w:rsidR="00F25428" w:rsidRPr="00F25428">
        <w:rPr>
          <w:rFonts w:ascii="Arial" w:hAnsi="Arial" w:cs="Arial"/>
        </w:rPr>
        <w:t>el número de</w:t>
      </w:r>
      <w:r w:rsidR="009D752D" w:rsidRPr="00F25428">
        <w:rPr>
          <w:rFonts w:ascii="Arial" w:hAnsi="Arial" w:cs="Arial"/>
        </w:rPr>
        <w:t xml:space="preserve"> delitos relacionados con drogas </w:t>
      </w:r>
      <w:r w:rsidR="00F25428" w:rsidRPr="00F25428">
        <w:rPr>
          <w:rFonts w:ascii="Arial" w:hAnsi="Arial" w:cs="Arial"/>
        </w:rPr>
        <w:t xml:space="preserve">que recibieron algún tipo de sentencia sea </w:t>
      </w:r>
      <w:r w:rsidR="009D752D" w:rsidRPr="00F25428">
        <w:rPr>
          <w:rFonts w:ascii="Arial" w:hAnsi="Arial" w:cs="Arial"/>
        </w:rPr>
        <w:t>condenatoria</w:t>
      </w:r>
      <w:r w:rsidR="00F25428" w:rsidRPr="00F25428">
        <w:rPr>
          <w:rFonts w:ascii="Arial" w:hAnsi="Arial" w:cs="Arial"/>
        </w:rPr>
        <w:t xml:space="preserve"> o absolutoria. No obstante, </w:t>
      </w:r>
      <w:r w:rsidR="00F25428">
        <w:rPr>
          <w:rFonts w:ascii="Arial" w:hAnsi="Arial" w:cs="Arial"/>
        </w:rPr>
        <w:t>e</w:t>
      </w:r>
      <w:r w:rsidR="00F25428" w:rsidRPr="00F25428">
        <w:rPr>
          <w:rFonts w:ascii="Arial" w:hAnsi="Arial" w:cs="Arial"/>
        </w:rPr>
        <w:t>n 2018, nueve de cada 10 de delitos de narcomenudeo y contra la salud cometidos por adultos fueron sentenciados en sentido condenatorio, mientras que 8 de cada 10 de delitos de narcomenudeo cometidos por adolescentes recibieron una sentencia condenatoria</w:t>
      </w:r>
      <w:r w:rsidR="00E7318A">
        <w:rPr>
          <w:rFonts w:ascii="Arial" w:hAnsi="Arial" w:cs="Arial"/>
        </w:rPr>
        <w:t xml:space="preserve"> </w:t>
      </w:r>
      <w:r w:rsidR="00E7318A" w:rsidRPr="00F25428">
        <w:rPr>
          <w:rFonts w:ascii="Arial" w:hAnsi="Arial" w:cs="Arial"/>
        </w:rPr>
        <w:t>(Gráfica 9)</w:t>
      </w:r>
      <w:r w:rsidR="00F25428" w:rsidRPr="00F25428">
        <w:rPr>
          <w:rFonts w:ascii="Arial" w:hAnsi="Arial" w:cs="Arial"/>
        </w:rPr>
        <w:t>. Cabe señalar que no se encontraron diferencias significativas respecto a</w:t>
      </w:r>
      <w:r w:rsidR="003D7571">
        <w:rPr>
          <w:rFonts w:ascii="Arial" w:hAnsi="Arial" w:cs="Arial"/>
        </w:rPr>
        <w:t xml:space="preserve"> la proporción de</w:t>
      </w:r>
      <w:r w:rsidR="00F25428" w:rsidRPr="00F25428">
        <w:rPr>
          <w:rFonts w:ascii="Arial" w:hAnsi="Arial" w:cs="Arial"/>
        </w:rPr>
        <w:t xml:space="preserve"> sentencias que recibieron hombres y mujeres</w:t>
      </w:r>
      <w:r w:rsidR="005A0C38" w:rsidRPr="00F25428">
        <w:rPr>
          <w:rFonts w:ascii="Arial" w:hAnsi="Arial" w:cs="Arial"/>
        </w:rPr>
        <w:t>.</w:t>
      </w:r>
      <w:r w:rsidR="005A0C38">
        <w:rPr>
          <w:rFonts w:ascii="Arial" w:hAnsi="Arial" w:cs="Arial"/>
        </w:rPr>
        <w:t xml:space="preserve"> </w:t>
      </w:r>
    </w:p>
    <w:p w14:paraId="4D994788" w14:textId="0C5A1CBA" w:rsidR="001969E3" w:rsidRDefault="001969E3" w:rsidP="004F3288">
      <w:pPr>
        <w:spacing w:after="120" w:line="240" w:lineRule="auto"/>
        <w:jc w:val="both"/>
        <w:rPr>
          <w:rFonts w:ascii="Arial" w:hAnsi="Arial" w:cs="Arial"/>
        </w:rPr>
      </w:pPr>
    </w:p>
    <w:p w14:paraId="780CC9C2" w14:textId="77777777" w:rsidR="001969E3" w:rsidRDefault="001969E3" w:rsidP="004F3288">
      <w:pPr>
        <w:spacing w:after="120" w:line="240" w:lineRule="auto"/>
        <w:jc w:val="both"/>
        <w:rPr>
          <w:rFonts w:ascii="Arial" w:hAnsi="Arial" w:cs="Arial"/>
        </w:rPr>
      </w:pPr>
    </w:p>
    <w:p w14:paraId="768DAF1F" w14:textId="7F6D5F80" w:rsidR="00D63E1E" w:rsidRDefault="005A0C38" w:rsidP="00D63E1E">
      <w:pPr>
        <w:spacing w:after="0" w:line="240" w:lineRule="auto"/>
        <w:jc w:val="center"/>
        <w:rPr>
          <w:rFonts w:ascii="Arial" w:hAnsi="Arial" w:cs="Arial"/>
        </w:rPr>
      </w:pPr>
      <w:r>
        <w:rPr>
          <w:rFonts w:ascii="Arial" w:hAnsi="Arial" w:cs="Arial"/>
          <w:noProof/>
          <w:lang w:val="en-US"/>
        </w:rPr>
        <w:drawing>
          <wp:inline distT="0" distB="0" distL="0" distR="0" wp14:anchorId="22BE681E" wp14:editId="60E995D9">
            <wp:extent cx="5781675" cy="3631077"/>
            <wp:effectExtent l="0" t="0" r="0" b="7620"/>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05219" cy="3645864"/>
                    </a:xfrm>
                    <a:prstGeom prst="rect">
                      <a:avLst/>
                    </a:prstGeom>
                    <a:noFill/>
                  </pic:spPr>
                </pic:pic>
              </a:graphicData>
            </a:graphic>
          </wp:inline>
        </w:drawing>
      </w:r>
    </w:p>
    <w:p w14:paraId="6DCB8655" w14:textId="77777777" w:rsidR="001969E3" w:rsidRDefault="001969E3" w:rsidP="00783203">
      <w:pPr>
        <w:spacing w:before="240" w:after="240" w:line="240" w:lineRule="auto"/>
        <w:jc w:val="both"/>
        <w:rPr>
          <w:rFonts w:ascii="Arial" w:hAnsi="Arial" w:cs="Arial"/>
        </w:rPr>
      </w:pPr>
    </w:p>
    <w:p w14:paraId="1C364796" w14:textId="33ED5F65" w:rsidR="00843B7A" w:rsidRDefault="004333B7" w:rsidP="00783203">
      <w:pPr>
        <w:spacing w:before="240" w:after="240" w:line="240" w:lineRule="auto"/>
        <w:jc w:val="both"/>
        <w:rPr>
          <w:rFonts w:ascii="Arial" w:hAnsi="Arial" w:cs="Arial"/>
        </w:rPr>
      </w:pPr>
      <w:r w:rsidRPr="004C704A">
        <w:rPr>
          <w:rFonts w:ascii="Arial" w:hAnsi="Arial" w:cs="Arial"/>
        </w:rPr>
        <w:t>En 2018,</w:t>
      </w:r>
      <w:r w:rsidR="00DC5BB7" w:rsidRPr="004C704A">
        <w:rPr>
          <w:rFonts w:ascii="Arial" w:hAnsi="Arial" w:cs="Arial"/>
        </w:rPr>
        <w:t xml:space="preserve"> alrededor de 60% de</w:t>
      </w:r>
      <w:r w:rsidR="002164A6" w:rsidRPr="004C704A">
        <w:rPr>
          <w:rFonts w:ascii="Arial" w:hAnsi="Arial" w:cs="Arial"/>
        </w:rPr>
        <w:t xml:space="preserve"> las sentencias condenatorias</w:t>
      </w:r>
      <w:r w:rsidR="00134CB0" w:rsidRPr="004C704A">
        <w:rPr>
          <w:rFonts w:ascii="Arial" w:hAnsi="Arial" w:cs="Arial"/>
        </w:rPr>
        <w:t xml:space="preserve"> emitidas por los tribunales estatales </w:t>
      </w:r>
      <w:r w:rsidR="00DC5BB7" w:rsidRPr="004C704A">
        <w:rPr>
          <w:rFonts w:ascii="Arial" w:hAnsi="Arial" w:cs="Arial"/>
        </w:rPr>
        <w:t xml:space="preserve">y federales </w:t>
      </w:r>
      <w:r w:rsidR="00134CB0" w:rsidRPr="004C704A">
        <w:rPr>
          <w:rFonts w:ascii="Arial" w:hAnsi="Arial" w:cs="Arial"/>
        </w:rPr>
        <w:t>de justicia</w:t>
      </w:r>
      <w:r w:rsidR="00DC5BB7" w:rsidRPr="004C704A">
        <w:rPr>
          <w:rFonts w:ascii="Arial" w:hAnsi="Arial" w:cs="Arial"/>
        </w:rPr>
        <w:t xml:space="preserve"> fueron sobre </w:t>
      </w:r>
      <w:r w:rsidR="002164A6" w:rsidRPr="004C704A">
        <w:rPr>
          <w:rFonts w:ascii="Arial" w:hAnsi="Arial" w:cs="Arial"/>
        </w:rPr>
        <w:t xml:space="preserve">delitos </w:t>
      </w:r>
      <w:r w:rsidR="00DC5BB7" w:rsidRPr="004C704A">
        <w:rPr>
          <w:rFonts w:ascii="Arial" w:hAnsi="Arial" w:cs="Arial"/>
        </w:rPr>
        <w:t>por</w:t>
      </w:r>
      <w:r w:rsidR="002164A6" w:rsidRPr="004C704A">
        <w:rPr>
          <w:rFonts w:ascii="Arial" w:hAnsi="Arial" w:cs="Arial"/>
        </w:rPr>
        <w:t xml:space="preserve"> posesión con fines de comercio o suministro de narcóticos</w:t>
      </w:r>
      <w:r w:rsidR="004F4B2F" w:rsidRPr="004C704A">
        <w:rPr>
          <w:rFonts w:ascii="Arial" w:hAnsi="Arial" w:cs="Arial"/>
        </w:rPr>
        <w:t xml:space="preserve"> (Gráfica 10)</w:t>
      </w:r>
      <w:r w:rsidR="00504C7E" w:rsidRPr="004C704A">
        <w:rPr>
          <w:rFonts w:ascii="Arial" w:hAnsi="Arial" w:cs="Arial"/>
        </w:rPr>
        <w:t xml:space="preserve">. </w:t>
      </w:r>
    </w:p>
    <w:p w14:paraId="34716A8D" w14:textId="7E117A49" w:rsidR="001969E3" w:rsidRDefault="001969E3" w:rsidP="00783203">
      <w:pPr>
        <w:spacing w:before="240" w:after="240" w:line="240" w:lineRule="auto"/>
        <w:jc w:val="both"/>
        <w:rPr>
          <w:rFonts w:ascii="Arial" w:hAnsi="Arial" w:cs="Arial"/>
        </w:rPr>
      </w:pPr>
    </w:p>
    <w:p w14:paraId="7F8D4544" w14:textId="69A7408E" w:rsidR="001969E3" w:rsidRDefault="001969E3" w:rsidP="00783203">
      <w:pPr>
        <w:spacing w:before="240" w:after="240" w:line="240" w:lineRule="auto"/>
        <w:jc w:val="both"/>
        <w:rPr>
          <w:rFonts w:ascii="Arial" w:hAnsi="Arial" w:cs="Arial"/>
        </w:rPr>
      </w:pPr>
    </w:p>
    <w:p w14:paraId="5064755B" w14:textId="38F701DF" w:rsidR="001969E3" w:rsidRDefault="001969E3" w:rsidP="00783203">
      <w:pPr>
        <w:spacing w:before="240" w:after="240" w:line="240" w:lineRule="auto"/>
        <w:jc w:val="both"/>
        <w:rPr>
          <w:rFonts w:ascii="Arial" w:hAnsi="Arial" w:cs="Arial"/>
        </w:rPr>
      </w:pPr>
    </w:p>
    <w:p w14:paraId="770F8B5F" w14:textId="2A62A0AB" w:rsidR="001969E3" w:rsidRDefault="001969E3" w:rsidP="00783203">
      <w:pPr>
        <w:spacing w:before="240" w:after="240" w:line="240" w:lineRule="auto"/>
        <w:jc w:val="both"/>
        <w:rPr>
          <w:rFonts w:ascii="Arial" w:hAnsi="Arial" w:cs="Arial"/>
        </w:rPr>
      </w:pPr>
    </w:p>
    <w:p w14:paraId="24BA7BFE" w14:textId="77777777" w:rsidR="001969E3" w:rsidRDefault="001969E3" w:rsidP="00783203">
      <w:pPr>
        <w:spacing w:before="240" w:after="240" w:line="240" w:lineRule="auto"/>
        <w:jc w:val="both"/>
        <w:rPr>
          <w:rFonts w:ascii="Arial" w:hAnsi="Arial" w:cs="Arial"/>
        </w:rPr>
      </w:pPr>
    </w:p>
    <w:p w14:paraId="7465FDCD" w14:textId="59D17B92" w:rsidR="00FF077E" w:rsidRDefault="00190DCA" w:rsidP="00FF077E">
      <w:pPr>
        <w:spacing w:after="0" w:line="240" w:lineRule="auto"/>
        <w:jc w:val="center"/>
        <w:rPr>
          <w:rFonts w:ascii="Arial" w:hAnsi="Arial" w:cs="Arial"/>
          <w:noProof/>
        </w:rPr>
      </w:pPr>
      <w:r>
        <w:rPr>
          <w:rFonts w:ascii="Arial" w:hAnsi="Arial" w:cs="Arial"/>
          <w:noProof/>
          <w:lang w:val="en-US"/>
        </w:rPr>
        <w:drawing>
          <wp:inline distT="0" distB="0" distL="0" distR="0" wp14:anchorId="42DDA9F6" wp14:editId="176C4CD5">
            <wp:extent cx="5191125" cy="3141652"/>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3089" cy="3154944"/>
                    </a:xfrm>
                    <a:prstGeom prst="rect">
                      <a:avLst/>
                    </a:prstGeom>
                    <a:noFill/>
                  </pic:spPr>
                </pic:pic>
              </a:graphicData>
            </a:graphic>
          </wp:inline>
        </w:drawing>
      </w:r>
    </w:p>
    <w:p w14:paraId="28817822" w14:textId="77777777" w:rsidR="001969E3" w:rsidRDefault="001969E3" w:rsidP="00363020">
      <w:pPr>
        <w:spacing w:line="240" w:lineRule="auto"/>
        <w:rPr>
          <w:rFonts w:ascii="Arial" w:hAnsi="Arial" w:cs="Arial"/>
          <w:b/>
          <w:bCs/>
        </w:rPr>
      </w:pPr>
    </w:p>
    <w:p w14:paraId="3AD09CAA" w14:textId="5E0A84EC" w:rsidR="00363020" w:rsidRDefault="00A86D38" w:rsidP="00363020">
      <w:pPr>
        <w:spacing w:line="240" w:lineRule="auto"/>
        <w:rPr>
          <w:rFonts w:ascii="Arial" w:hAnsi="Arial" w:cs="Arial"/>
          <w:b/>
          <w:bCs/>
        </w:rPr>
      </w:pPr>
      <w:r w:rsidRPr="009E30CC">
        <w:rPr>
          <w:rFonts w:ascii="Arial" w:hAnsi="Arial" w:cs="Arial"/>
          <w:b/>
          <w:bCs/>
        </w:rPr>
        <w:t>SISTEMA PENITENCIARIO</w:t>
      </w:r>
    </w:p>
    <w:p w14:paraId="72C94BE5" w14:textId="40FDD564" w:rsidR="00EA7A35" w:rsidRDefault="00EA7A35" w:rsidP="00324E90">
      <w:pPr>
        <w:spacing w:line="240" w:lineRule="auto"/>
        <w:jc w:val="both"/>
        <w:rPr>
          <w:rFonts w:ascii="Arial" w:hAnsi="Arial" w:cs="Arial"/>
        </w:rPr>
      </w:pPr>
      <w:r>
        <w:rPr>
          <w:rFonts w:ascii="Arial" w:hAnsi="Arial" w:cs="Arial"/>
        </w:rPr>
        <w:t>D</w:t>
      </w:r>
      <w:r w:rsidR="00271796">
        <w:rPr>
          <w:rFonts w:ascii="Arial" w:hAnsi="Arial" w:cs="Arial"/>
        </w:rPr>
        <w:t>urante 2018</w:t>
      </w:r>
      <w:r w:rsidR="00850683">
        <w:rPr>
          <w:rFonts w:ascii="Arial" w:hAnsi="Arial" w:cs="Arial"/>
        </w:rPr>
        <w:t xml:space="preserve"> se registr</w:t>
      </w:r>
      <w:r w:rsidR="00A2696D">
        <w:rPr>
          <w:rFonts w:ascii="Arial" w:hAnsi="Arial" w:cs="Arial"/>
        </w:rPr>
        <w:t>ó</w:t>
      </w:r>
      <w:r w:rsidR="00850683">
        <w:rPr>
          <w:rFonts w:ascii="Arial" w:hAnsi="Arial" w:cs="Arial"/>
        </w:rPr>
        <w:t xml:space="preserve"> un total de </w:t>
      </w:r>
      <w:r w:rsidR="0022377F">
        <w:rPr>
          <w:rFonts w:ascii="Arial" w:hAnsi="Arial" w:cs="Arial"/>
        </w:rPr>
        <w:t>132 294</w:t>
      </w:r>
      <w:r w:rsidR="00850683">
        <w:rPr>
          <w:rFonts w:ascii="Arial" w:hAnsi="Arial" w:cs="Arial"/>
        </w:rPr>
        <w:t xml:space="preserve"> delitos del fuero común y del fuero federal</w:t>
      </w:r>
      <w:r w:rsidR="00A2696D">
        <w:rPr>
          <w:rFonts w:ascii="Arial" w:hAnsi="Arial" w:cs="Arial"/>
        </w:rPr>
        <w:t xml:space="preserve"> cometidos por las </w:t>
      </w:r>
      <w:r w:rsidR="00850683">
        <w:rPr>
          <w:rFonts w:ascii="Arial" w:hAnsi="Arial" w:cs="Arial"/>
        </w:rPr>
        <w:t xml:space="preserve">personas </w:t>
      </w:r>
      <w:r w:rsidR="00BE1A90">
        <w:rPr>
          <w:rFonts w:ascii="Arial" w:hAnsi="Arial" w:cs="Arial"/>
        </w:rPr>
        <w:t>privadas de la libertad</w:t>
      </w:r>
      <w:r w:rsidR="00850683">
        <w:rPr>
          <w:rFonts w:ascii="Arial" w:hAnsi="Arial" w:cs="Arial"/>
        </w:rPr>
        <w:t xml:space="preserve"> </w:t>
      </w:r>
      <w:r w:rsidR="00F57FB6">
        <w:rPr>
          <w:rFonts w:ascii="Arial" w:hAnsi="Arial" w:cs="Arial"/>
        </w:rPr>
        <w:t xml:space="preserve">que ingresaron </w:t>
      </w:r>
      <w:r w:rsidR="00BE1A90">
        <w:rPr>
          <w:rFonts w:ascii="Arial" w:hAnsi="Arial" w:cs="Arial"/>
        </w:rPr>
        <w:t xml:space="preserve">ese año </w:t>
      </w:r>
      <w:r w:rsidR="0022377F">
        <w:rPr>
          <w:rFonts w:ascii="Arial" w:hAnsi="Arial" w:cs="Arial"/>
        </w:rPr>
        <w:t xml:space="preserve">a </w:t>
      </w:r>
      <w:r w:rsidR="00850683">
        <w:rPr>
          <w:rFonts w:ascii="Arial" w:hAnsi="Arial" w:cs="Arial"/>
        </w:rPr>
        <w:t xml:space="preserve">los centros penitenciarios estatales </w:t>
      </w:r>
      <w:r w:rsidR="0022377F">
        <w:rPr>
          <w:rFonts w:ascii="Arial" w:hAnsi="Arial" w:cs="Arial"/>
        </w:rPr>
        <w:t xml:space="preserve">y federales, así como a </w:t>
      </w:r>
      <w:r w:rsidR="00BE1A90">
        <w:rPr>
          <w:rFonts w:ascii="Arial" w:hAnsi="Arial" w:cs="Arial"/>
        </w:rPr>
        <w:t xml:space="preserve">los </w:t>
      </w:r>
      <w:r w:rsidR="00850683" w:rsidRPr="00352199">
        <w:rPr>
          <w:rFonts w:ascii="Arial" w:hAnsi="Arial" w:cs="Arial"/>
        </w:rPr>
        <w:t>centros especializados de tratamiento o internamiento para adolescentes</w:t>
      </w:r>
      <w:r w:rsidR="00BE1A90">
        <w:rPr>
          <w:rFonts w:ascii="Arial" w:hAnsi="Arial" w:cs="Arial"/>
        </w:rPr>
        <w:t>. De ese total de delitos, 1</w:t>
      </w:r>
      <w:r w:rsidR="00717F74">
        <w:rPr>
          <w:rFonts w:ascii="Arial" w:hAnsi="Arial" w:cs="Arial"/>
        </w:rPr>
        <w:t>6.</w:t>
      </w:r>
      <w:r w:rsidR="0022377F">
        <w:rPr>
          <w:rFonts w:ascii="Arial" w:hAnsi="Arial" w:cs="Arial"/>
        </w:rPr>
        <w:t>7</w:t>
      </w:r>
      <w:r>
        <w:rPr>
          <w:rFonts w:ascii="Arial" w:hAnsi="Arial" w:cs="Arial"/>
        </w:rPr>
        <w:t>% (</w:t>
      </w:r>
      <w:r w:rsidR="0022377F">
        <w:rPr>
          <w:rFonts w:ascii="Arial" w:hAnsi="Arial" w:cs="Arial"/>
        </w:rPr>
        <w:t>22 093</w:t>
      </w:r>
      <w:r>
        <w:rPr>
          <w:rFonts w:ascii="Arial" w:hAnsi="Arial" w:cs="Arial"/>
        </w:rPr>
        <w:t>)</w:t>
      </w:r>
      <w:r w:rsidR="00B06EC8">
        <w:rPr>
          <w:rFonts w:ascii="Arial" w:hAnsi="Arial" w:cs="Arial"/>
        </w:rPr>
        <w:t xml:space="preserve"> fueron</w:t>
      </w:r>
      <w:r w:rsidR="00A2696D">
        <w:rPr>
          <w:rFonts w:ascii="Arial" w:hAnsi="Arial" w:cs="Arial"/>
        </w:rPr>
        <w:t xml:space="preserve"> </w:t>
      </w:r>
      <w:r w:rsidR="0029470D">
        <w:rPr>
          <w:rFonts w:ascii="Arial" w:hAnsi="Arial" w:cs="Arial"/>
        </w:rPr>
        <w:t xml:space="preserve">delitos </w:t>
      </w:r>
      <w:r w:rsidR="00BE1A90">
        <w:rPr>
          <w:rFonts w:ascii="Arial" w:hAnsi="Arial" w:cs="Arial"/>
        </w:rPr>
        <w:t>relacionados</w:t>
      </w:r>
      <w:r w:rsidR="0029470D">
        <w:rPr>
          <w:rFonts w:ascii="Arial" w:hAnsi="Arial" w:cs="Arial"/>
        </w:rPr>
        <w:t xml:space="preserve"> con narcóticos</w:t>
      </w:r>
      <w:r>
        <w:rPr>
          <w:rFonts w:ascii="Arial" w:hAnsi="Arial" w:cs="Arial"/>
        </w:rPr>
        <w:t xml:space="preserve">, </w:t>
      </w:r>
      <w:r w:rsidR="00717F74">
        <w:rPr>
          <w:rFonts w:ascii="Arial" w:hAnsi="Arial" w:cs="Arial"/>
        </w:rPr>
        <w:t xml:space="preserve">de </w:t>
      </w:r>
      <w:r w:rsidR="00BE1A90">
        <w:rPr>
          <w:rFonts w:ascii="Arial" w:hAnsi="Arial" w:cs="Arial"/>
        </w:rPr>
        <w:t xml:space="preserve">los cuales </w:t>
      </w:r>
      <w:r w:rsidR="0022377F">
        <w:rPr>
          <w:rFonts w:ascii="Arial" w:hAnsi="Arial" w:cs="Arial"/>
        </w:rPr>
        <w:t>75.8</w:t>
      </w:r>
      <w:r w:rsidR="00D53806">
        <w:rPr>
          <w:rFonts w:ascii="Arial" w:hAnsi="Arial" w:cs="Arial"/>
        </w:rPr>
        <w:t>%</w:t>
      </w:r>
      <w:r w:rsidR="006F2EFA">
        <w:rPr>
          <w:rFonts w:ascii="Arial" w:hAnsi="Arial" w:cs="Arial"/>
        </w:rPr>
        <w:t xml:space="preserve"> c</w:t>
      </w:r>
      <w:r w:rsidR="00A22935" w:rsidRPr="00A22935">
        <w:rPr>
          <w:rFonts w:ascii="Arial" w:hAnsi="Arial" w:cs="Arial"/>
        </w:rPr>
        <w:t>orrespondieron a</w:t>
      </w:r>
      <w:r w:rsidR="006F2EFA">
        <w:rPr>
          <w:rFonts w:ascii="Arial" w:hAnsi="Arial" w:cs="Arial"/>
        </w:rPr>
        <w:t xml:space="preserve"> </w:t>
      </w:r>
      <w:r w:rsidR="00A22935" w:rsidRPr="00A22935">
        <w:rPr>
          <w:rFonts w:ascii="Arial" w:hAnsi="Arial" w:cs="Arial"/>
        </w:rPr>
        <w:t>narcomenude</w:t>
      </w:r>
      <w:r w:rsidR="006F2EFA">
        <w:rPr>
          <w:rFonts w:ascii="Arial" w:hAnsi="Arial" w:cs="Arial"/>
        </w:rPr>
        <w:t>o</w:t>
      </w:r>
      <w:r w:rsidR="008E2D5A">
        <w:rPr>
          <w:rFonts w:ascii="Arial" w:hAnsi="Arial" w:cs="Arial"/>
        </w:rPr>
        <w:t xml:space="preserve"> </w:t>
      </w:r>
      <w:r w:rsidR="001C2617">
        <w:rPr>
          <w:rFonts w:ascii="Arial" w:hAnsi="Arial" w:cs="Arial"/>
        </w:rPr>
        <w:t xml:space="preserve">y </w:t>
      </w:r>
      <w:r w:rsidR="0022377F">
        <w:rPr>
          <w:rFonts w:ascii="Arial" w:hAnsi="Arial" w:cs="Arial"/>
        </w:rPr>
        <w:t>24.3</w:t>
      </w:r>
      <w:r w:rsidR="00B84A95">
        <w:rPr>
          <w:rFonts w:ascii="Arial" w:hAnsi="Arial" w:cs="Arial"/>
        </w:rPr>
        <w:t xml:space="preserve">% </w:t>
      </w:r>
      <w:r w:rsidR="00A22935" w:rsidRPr="00A22935">
        <w:rPr>
          <w:rFonts w:ascii="Arial" w:hAnsi="Arial" w:cs="Arial"/>
        </w:rPr>
        <w:t>a delitos</w:t>
      </w:r>
      <w:r w:rsidR="008E2D5A">
        <w:rPr>
          <w:rFonts w:ascii="Arial" w:hAnsi="Arial" w:cs="Arial"/>
        </w:rPr>
        <w:t xml:space="preserve"> federales asociados con narcóticos</w:t>
      </w:r>
      <w:r w:rsidR="00B84A95">
        <w:rPr>
          <w:rFonts w:ascii="Arial" w:hAnsi="Arial" w:cs="Arial"/>
        </w:rPr>
        <w:t>.</w:t>
      </w:r>
      <w:r w:rsidR="008E2D5A">
        <w:rPr>
          <w:rFonts w:ascii="Arial" w:hAnsi="Arial" w:cs="Arial"/>
        </w:rPr>
        <w:t xml:space="preserve"> </w:t>
      </w:r>
      <w:r w:rsidR="00021383">
        <w:rPr>
          <w:rFonts w:ascii="Arial" w:hAnsi="Arial" w:cs="Arial"/>
        </w:rPr>
        <w:t xml:space="preserve">En </w:t>
      </w:r>
      <w:r w:rsidR="00BE1A90">
        <w:rPr>
          <w:rFonts w:ascii="Arial" w:hAnsi="Arial" w:cs="Arial"/>
        </w:rPr>
        <w:t>el caso particular de los adolescentes</w:t>
      </w:r>
      <w:r w:rsidR="009F51B5">
        <w:rPr>
          <w:rFonts w:ascii="Arial" w:hAnsi="Arial" w:cs="Arial"/>
        </w:rPr>
        <w:t xml:space="preserve"> privados de la libertad</w:t>
      </w:r>
      <w:r w:rsidR="00BE1A90">
        <w:rPr>
          <w:rFonts w:ascii="Arial" w:hAnsi="Arial" w:cs="Arial"/>
        </w:rPr>
        <w:t xml:space="preserve">, </w:t>
      </w:r>
      <w:r w:rsidR="00851A7B">
        <w:rPr>
          <w:rFonts w:ascii="Arial" w:hAnsi="Arial" w:cs="Arial"/>
        </w:rPr>
        <w:t xml:space="preserve">en 2018 </w:t>
      </w:r>
      <w:r>
        <w:rPr>
          <w:rFonts w:ascii="Arial" w:hAnsi="Arial" w:cs="Arial"/>
        </w:rPr>
        <w:t>se observ</w:t>
      </w:r>
      <w:r w:rsidR="00C42B0A">
        <w:rPr>
          <w:rFonts w:ascii="Arial" w:hAnsi="Arial" w:cs="Arial"/>
        </w:rPr>
        <w:t>ó</w:t>
      </w:r>
      <w:r>
        <w:rPr>
          <w:rFonts w:ascii="Arial" w:hAnsi="Arial" w:cs="Arial"/>
        </w:rPr>
        <w:t xml:space="preserve"> un</w:t>
      </w:r>
      <w:r w:rsidR="00050052">
        <w:rPr>
          <w:rFonts w:ascii="Arial" w:hAnsi="Arial" w:cs="Arial"/>
        </w:rPr>
        <w:t xml:space="preserve">a disminución de </w:t>
      </w:r>
      <w:r w:rsidR="009F51B5">
        <w:rPr>
          <w:rFonts w:ascii="Arial" w:hAnsi="Arial" w:cs="Arial"/>
        </w:rPr>
        <w:t>60</w:t>
      </w:r>
      <w:r w:rsidR="00050052">
        <w:rPr>
          <w:rFonts w:ascii="Arial" w:hAnsi="Arial" w:cs="Arial"/>
        </w:rPr>
        <w:t xml:space="preserve">% </w:t>
      </w:r>
      <w:r w:rsidR="009F51B5">
        <w:rPr>
          <w:rFonts w:ascii="Arial" w:hAnsi="Arial" w:cs="Arial"/>
        </w:rPr>
        <w:t>de los</w:t>
      </w:r>
      <w:r w:rsidR="00BE1A90">
        <w:rPr>
          <w:rFonts w:ascii="Arial" w:hAnsi="Arial" w:cs="Arial"/>
        </w:rPr>
        <w:t xml:space="preserve"> </w:t>
      </w:r>
      <w:r w:rsidR="00050052">
        <w:rPr>
          <w:rFonts w:ascii="Arial" w:hAnsi="Arial" w:cs="Arial"/>
        </w:rPr>
        <w:t xml:space="preserve">delitos de narcomenudeo </w:t>
      </w:r>
      <w:r w:rsidR="009F51B5">
        <w:rPr>
          <w:rFonts w:ascii="Arial" w:hAnsi="Arial" w:cs="Arial"/>
        </w:rPr>
        <w:t xml:space="preserve">registrados en los </w:t>
      </w:r>
      <w:r w:rsidR="009F51B5" w:rsidRPr="00352199">
        <w:rPr>
          <w:rFonts w:ascii="Arial" w:hAnsi="Arial" w:cs="Arial"/>
        </w:rPr>
        <w:t>centros especializados de tratamiento o internamiento para adolescentes</w:t>
      </w:r>
      <w:r w:rsidR="009F51B5">
        <w:rPr>
          <w:rFonts w:ascii="Arial" w:hAnsi="Arial" w:cs="Arial"/>
        </w:rPr>
        <w:t xml:space="preserve"> respecto a lo registrado en 2016 </w:t>
      </w:r>
      <w:r>
        <w:rPr>
          <w:rFonts w:ascii="Arial" w:hAnsi="Arial" w:cs="Arial"/>
        </w:rPr>
        <w:t xml:space="preserve">(Gráfica </w:t>
      </w:r>
      <w:r w:rsidR="00FF077E">
        <w:rPr>
          <w:rFonts w:ascii="Arial" w:hAnsi="Arial" w:cs="Arial"/>
        </w:rPr>
        <w:t>11</w:t>
      </w:r>
      <w:r w:rsidR="00C42B0A">
        <w:rPr>
          <w:rFonts w:ascii="Arial" w:hAnsi="Arial" w:cs="Arial"/>
        </w:rPr>
        <w:t>)</w:t>
      </w:r>
      <w:r w:rsidR="00717F74">
        <w:rPr>
          <w:rFonts w:ascii="Arial" w:hAnsi="Arial" w:cs="Arial"/>
        </w:rPr>
        <w:t>.</w:t>
      </w:r>
    </w:p>
    <w:p w14:paraId="64F02196" w14:textId="6B456389" w:rsidR="00A86D38" w:rsidRDefault="00A86D38" w:rsidP="00324E90">
      <w:pPr>
        <w:spacing w:line="240" w:lineRule="auto"/>
        <w:jc w:val="both"/>
        <w:rPr>
          <w:rFonts w:ascii="Arial" w:hAnsi="Arial" w:cs="Arial"/>
        </w:rPr>
      </w:pPr>
    </w:p>
    <w:p w14:paraId="60087C1F" w14:textId="408EAD1E" w:rsidR="00A86D38" w:rsidRDefault="00A86D38" w:rsidP="00324E90">
      <w:pPr>
        <w:spacing w:line="240" w:lineRule="auto"/>
        <w:jc w:val="both"/>
        <w:rPr>
          <w:rFonts w:ascii="Arial" w:hAnsi="Arial" w:cs="Arial"/>
        </w:rPr>
      </w:pPr>
    </w:p>
    <w:p w14:paraId="3C943B67" w14:textId="1DB7C0A7" w:rsidR="00A86D38" w:rsidRDefault="00A86D38" w:rsidP="00324E90">
      <w:pPr>
        <w:spacing w:line="240" w:lineRule="auto"/>
        <w:jc w:val="both"/>
        <w:rPr>
          <w:rFonts w:ascii="Arial" w:hAnsi="Arial" w:cs="Arial"/>
        </w:rPr>
      </w:pPr>
    </w:p>
    <w:p w14:paraId="2D667F2A" w14:textId="50294673" w:rsidR="00A86D38" w:rsidRDefault="00A86D38" w:rsidP="00324E90">
      <w:pPr>
        <w:spacing w:line="240" w:lineRule="auto"/>
        <w:jc w:val="both"/>
        <w:rPr>
          <w:rFonts w:ascii="Arial" w:hAnsi="Arial" w:cs="Arial"/>
        </w:rPr>
      </w:pPr>
    </w:p>
    <w:p w14:paraId="5A807B99" w14:textId="0E1283E9" w:rsidR="00A86D38" w:rsidRDefault="00A86D38" w:rsidP="00324E90">
      <w:pPr>
        <w:spacing w:line="240" w:lineRule="auto"/>
        <w:jc w:val="both"/>
        <w:rPr>
          <w:rFonts w:ascii="Arial" w:hAnsi="Arial" w:cs="Arial"/>
        </w:rPr>
      </w:pPr>
    </w:p>
    <w:p w14:paraId="775B47A0" w14:textId="03D7B7FE" w:rsidR="00A86D38" w:rsidRDefault="00A86D38" w:rsidP="00324E90">
      <w:pPr>
        <w:spacing w:line="240" w:lineRule="auto"/>
        <w:jc w:val="both"/>
        <w:rPr>
          <w:rFonts w:ascii="Arial" w:hAnsi="Arial" w:cs="Arial"/>
        </w:rPr>
      </w:pPr>
    </w:p>
    <w:p w14:paraId="05BA5049" w14:textId="57A6BF29" w:rsidR="00A86D38" w:rsidRDefault="00A86D38" w:rsidP="00324E90">
      <w:pPr>
        <w:spacing w:line="240" w:lineRule="auto"/>
        <w:jc w:val="both"/>
        <w:rPr>
          <w:rFonts w:ascii="Arial" w:hAnsi="Arial" w:cs="Arial"/>
        </w:rPr>
      </w:pPr>
    </w:p>
    <w:p w14:paraId="33005C0A" w14:textId="2FD7C4CC" w:rsidR="00A86D38" w:rsidRDefault="00A86D38" w:rsidP="00324E90">
      <w:pPr>
        <w:spacing w:line="240" w:lineRule="auto"/>
        <w:jc w:val="both"/>
        <w:rPr>
          <w:rFonts w:ascii="Arial" w:hAnsi="Arial" w:cs="Arial"/>
        </w:rPr>
      </w:pPr>
    </w:p>
    <w:p w14:paraId="03A5A5CC" w14:textId="04D634DE" w:rsidR="00A86D38" w:rsidRDefault="00A86D38" w:rsidP="00324E90">
      <w:pPr>
        <w:spacing w:line="240" w:lineRule="auto"/>
        <w:jc w:val="both"/>
        <w:rPr>
          <w:rFonts w:ascii="Arial" w:hAnsi="Arial" w:cs="Arial"/>
        </w:rPr>
      </w:pPr>
    </w:p>
    <w:p w14:paraId="28B6CD24" w14:textId="07E8A32A" w:rsidR="00A86D38" w:rsidRDefault="00A86D38" w:rsidP="00324E90">
      <w:pPr>
        <w:spacing w:line="240" w:lineRule="auto"/>
        <w:jc w:val="both"/>
        <w:rPr>
          <w:rFonts w:ascii="Arial" w:hAnsi="Arial" w:cs="Arial"/>
        </w:rPr>
      </w:pPr>
    </w:p>
    <w:p w14:paraId="02C847DF" w14:textId="5879DFAC" w:rsidR="00A86D38" w:rsidRDefault="00A86D38" w:rsidP="00324E90">
      <w:pPr>
        <w:spacing w:line="240" w:lineRule="auto"/>
        <w:jc w:val="both"/>
        <w:rPr>
          <w:rFonts w:ascii="Arial" w:hAnsi="Arial" w:cs="Arial"/>
        </w:rPr>
      </w:pPr>
    </w:p>
    <w:p w14:paraId="4ADCD2E7" w14:textId="29B03E51" w:rsidR="00740D1C" w:rsidRDefault="00356EA0" w:rsidP="00B21BB7">
      <w:pPr>
        <w:spacing w:after="0" w:line="240" w:lineRule="auto"/>
        <w:jc w:val="center"/>
        <w:rPr>
          <w:rFonts w:ascii="Arial" w:hAnsi="Arial" w:cs="Arial"/>
        </w:rPr>
      </w:pPr>
      <w:r>
        <w:rPr>
          <w:rFonts w:ascii="Arial" w:hAnsi="Arial" w:cs="Arial"/>
          <w:noProof/>
          <w:lang w:val="en-US"/>
        </w:rPr>
        <w:drawing>
          <wp:inline distT="0" distB="0" distL="0" distR="0" wp14:anchorId="5816E24A" wp14:editId="6248BA57">
            <wp:extent cx="5952297" cy="3676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0955" cy="3681998"/>
                    </a:xfrm>
                    <a:prstGeom prst="rect">
                      <a:avLst/>
                    </a:prstGeom>
                    <a:noFill/>
                  </pic:spPr>
                </pic:pic>
              </a:graphicData>
            </a:graphic>
          </wp:inline>
        </w:drawing>
      </w:r>
    </w:p>
    <w:p w14:paraId="46905513" w14:textId="77777777" w:rsidR="00B21BB7" w:rsidRDefault="00B21BB7" w:rsidP="00B21BB7">
      <w:pPr>
        <w:spacing w:after="0" w:line="240" w:lineRule="auto"/>
        <w:jc w:val="center"/>
        <w:rPr>
          <w:rFonts w:ascii="Arial" w:hAnsi="Arial" w:cs="Arial"/>
        </w:rPr>
      </w:pPr>
    </w:p>
    <w:p w14:paraId="57CE91B6" w14:textId="2DFC40A1" w:rsidR="00363020" w:rsidRDefault="00A504D7" w:rsidP="00324E90">
      <w:pPr>
        <w:spacing w:line="240" w:lineRule="auto"/>
        <w:jc w:val="both"/>
        <w:rPr>
          <w:rFonts w:ascii="Arial" w:hAnsi="Arial" w:cs="Arial"/>
        </w:rPr>
      </w:pPr>
      <w:r>
        <w:rPr>
          <w:rFonts w:ascii="Arial" w:hAnsi="Arial" w:cs="Arial"/>
        </w:rPr>
        <w:t xml:space="preserve">Cabe señalar que </w:t>
      </w:r>
      <w:r w:rsidR="00324E90">
        <w:rPr>
          <w:rFonts w:ascii="Arial" w:hAnsi="Arial" w:cs="Arial"/>
        </w:rPr>
        <w:t xml:space="preserve">el </w:t>
      </w:r>
      <w:r w:rsidR="00363020" w:rsidRPr="009E30CC">
        <w:rPr>
          <w:rFonts w:ascii="Arial" w:hAnsi="Arial" w:cs="Arial"/>
        </w:rPr>
        <w:t>delito de narcomenudeo representó 1</w:t>
      </w:r>
      <w:r w:rsidR="004F2F7B">
        <w:rPr>
          <w:rFonts w:ascii="Arial" w:hAnsi="Arial" w:cs="Arial"/>
        </w:rPr>
        <w:t>5</w:t>
      </w:r>
      <w:r w:rsidR="00363020" w:rsidRPr="009E30CC">
        <w:rPr>
          <w:rFonts w:ascii="Arial" w:hAnsi="Arial" w:cs="Arial"/>
        </w:rPr>
        <w:t>% del total de delitos del fuero común cometidos por los adultos que ingresaron a prisi</w:t>
      </w:r>
      <w:r w:rsidR="003A0E06">
        <w:rPr>
          <w:rFonts w:ascii="Arial" w:hAnsi="Arial" w:cs="Arial"/>
        </w:rPr>
        <w:t>ones estatales</w:t>
      </w:r>
      <w:r w:rsidR="009C06A7">
        <w:rPr>
          <w:rFonts w:ascii="Arial" w:hAnsi="Arial" w:cs="Arial"/>
        </w:rPr>
        <w:t xml:space="preserve"> </w:t>
      </w:r>
      <w:r w:rsidR="00C42B0A">
        <w:rPr>
          <w:rFonts w:ascii="Arial" w:hAnsi="Arial" w:cs="Arial"/>
        </w:rPr>
        <w:t>en 201</w:t>
      </w:r>
      <w:r w:rsidR="00324E90">
        <w:rPr>
          <w:rFonts w:ascii="Arial" w:hAnsi="Arial" w:cs="Arial"/>
        </w:rPr>
        <w:t>8</w:t>
      </w:r>
      <w:r w:rsidR="00C42B0A">
        <w:rPr>
          <w:rFonts w:ascii="Arial" w:hAnsi="Arial" w:cs="Arial"/>
        </w:rPr>
        <w:t>, siendo el segundo delito más impor</w:t>
      </w:r>
      <w:r w:rsidR="00BA0468">
        <w:rPr>
          <w:rFonts w:ascii="Arial" w:hAnsi="Arial" w:cs="Arial"/>
        </w:rPr>
        <w:t>t</w:t>
      </w:r>
      <w:r w:rsidR="00C42B0A">
        <w:rPr>
          <w:rFonts w:ascii="Arial" w:hAnsi="Arial" w:cs="Arial"/>
        </w:rPr>
        <w:t xml:space="preserve">ante por el que </w:t>
      </w:r>
      <w:r w:rsidR="006D7539">
        <w:rPr>
          <w:rFonts w:ascii="Arial" w:hAnsi="Arial" w:cs="Arial"/>
        </w:rPr>
        <w:t>fueron</w:t>
      </w:r>
      <w:r w:rsidR="00C42B0A">
        <w:rPr>
          <w:rFonts w:ascii="Arial" w:hAnsi="Arial" w:cs="Arial"/>
        </w:rPr>
        <w:t xml:space="preserve"> privados de la libertad</w:t>
      </w:r>
      <w:r>
        <w:rPr>
          <w:rFonts w:ascii="Arial" w:hAnsi="Arial" w:cs="Arial"/>
        </w:rPr>
        <w:t>,</w:t>
      </w:r>
      <w:r w:rsidR="00C42B0A">
        <w:rPr>
          <w:rFonts w:ascii="Arial" w:hAnsi="Arial" w:cs="Arial"/>
        </w:rPr>
        <w:t xml:space="preserve"> </w:t>
      </w:r>
      <w:r>
        <w:rPr>
          <w:rFonts w:ascii="Arial" w:hAnsi="Arial" w:cs="Arial"/>
        </w:rPr>
        <w:t>solo por</w:t>
      </w:r>
      <w:r w:rsidR="00C42B0A">
        <w:rPr>
          <w:rFonts w:ascii="Arial" w:hAnsi="Arial" w:cs="Arial"/>
        </w:rPr>
        <w:t xml:space="preserve"> detrás del delito de robo</w:t>
      </w:r>
      <w:r w:rsidR="008A5B1F">
        <w:rPr>
          <w:rFonts w:ascii="Arial" w:hAnsi="Arial" w:cs="Arial"/>
        </w:rPr>
        <w:t xml:space="preserve"> (Gráfica 12).</w:t>
      </w:r>
    </w:p>
    <w:p w14:paraId="2AB8C77D" w14:textId="72521227" w:rsidR="00363020" w:rsidRDefault="005B1468" w:rsidP="000073EB">
      <w:pPr>
        <w:spacing w:line="240" w:lineRule="auto"/>
        <w:jc w:val="both"/>
        <w:rPr>
          <w:rFonts w:ascii="Arial" w:hAnsi="Arial" w:cs="Arial"/>
        </w:rPr>
      </w:pPr>
      <w:r>
        <w:rPr>
          <w:rFonts w:ascii="Arial" w:hAnsi="Arial" w:cs="Arial"/>
        </w:rPr>
        <w:t>En el caso de los</w:t>
      </w:r>
      <w:r w:rsidR="00363020" w:rsidRPr="009E30CC">
        <w:rPr>
          <w:rFonts w:ascii="Arial" w:hAnsi="Arial" w:cs="Arial"/>
        </w:rPr>
        <w:t xml:space="preserve"> delitos del fuero federal cometidos </w:t>
      </w:r>
      <w:r w:rsidR="00363020">
        <w:rPr>
          <w:rFonts w:ascii="Arial" w:hAnsi="Arial" w:cs="Arial"/>
        </w:rPr>
        <w:t>por</w:t>
      </w:r>
      <w:r w:rsidR="00332E5D">
        <w:rPr>
          <w:rFonts w:ascii="Arial" w:hAnsi="Arial" w:cs="Arial"/>
        </w:rPr>
        <w:t xml:space="preserve"> la población adulta, los delitos asociados con narcóticos (delitos contra la salud y narcomenudeo) constituyeron la principal causa </w:t>
      </w:r>
      <w:r w:rsidR="000073EB">
        <w:rPr>
          <w:rFonts w:ascii="Arial" w:hAnsi="Arial" w:cs="Arial"/>
        </w:rPr>
        <w:t xml:space="preserve">por la </w:t>
      </w:r>
      <w:r w:rsidR="006D7539">
        <w:rPr>
          <w:rFonts w:ascii="Arial" w:hAnsi="Arial" w:cs="Arial"/>
        </w:rPr>
        <w:t>que</w:t>
      </w:r>
      <w:r w:rsidR="00C943B1">
        <w:rPr>
          <w:rFonts w:ascii="Arial" w:hAnsi="Arial" w:cs="Arial"/>
        </w:rPr>
        <w:t xml:space="preserve"> </w:t>
      </w:r>
      <w:r w:rsidR="000073EB">
        <w:rPr>
          <w:rFonts w:ascii="Arial" w:hAnsi="Arial" w:cs="Arial"/>
        </w:rPr>
        <w:t xml:space="preserve">personas mayores de 18 años ingresaron a centros penitenciaros </w:t>
      </w:r>
      <w:r w:rsidR="007879FA">
        <w:rPr>
          <w:rFonts w:ascii="Arial" w:hAnsi="Arial" w:cs="Arial"/>
        </w:rPr>
        <w:t>estatales</w:t>
      </w:r>
      <w:r w:rsidR="003A0E06">
        <w:rPr>
          <w:rFonts w:ascii="Arial" w:hAnsi="Arial" w:cs="Arial"/>
        </w:rPr>
        <w:t xml:space="preserve"> y federales</w:t>
      </w:r>
      <w:r w:rsidR="007879FA">
        <w:rPr>
          <w:rFonts w:ascii="Arial" w:hAnsi="Arial" w:cs="Arial"/>
        </w:rPr>
        <w:t xml:space="preserve"> </w:t>
      </w:r>
      <w:r w:rsidR="000073EB">
        <w:rPr>
          <w:rFonts w:ascii="Arial" w:hAnsi="Arial" w:cs="Arial"/>
        </w:rPr>
        <w:t>en 2018</w:t>
      </w:r>
      <w:r w:rsidR="00C943B1">
        <w:rPr>
          <w:rFonts w:ascii="Arial" w:hAnsi="Arial" w:cs="Arial"/>
        </w:rPr>
        <w:t xml:space="preserve">. </w:t>
      </w:r>
      <w:r w:rsidR="007879FA">
        <w:rPr>
          <w:rFonts w:ascii="Arial" w:hAnsi="Arial" w:cs="Arial"/>
        </w:rPr>
        <w:t xml:space="preserve">Los centros penitenciarios </w:t>
      </w:r>
      <w:r w:rsidR="003A0E06">
        <w:rPr>
          <w:rFonts w:ascii="Arial" w:hAnsi="Arial" w:cs="Arial"/>
        </w:rPr>
        <w:t>estatales de</w:t>
      </w:r>
      <w:r w:rsidRPr="009E30CC">
        <w:rPr>
          <w:rFonts w:ascii="Arial" w:hAnsi="Arial" w:cs="Arial"/>
        </w:rPr>
        <w:t xml:space="preserve"> Baja California, </w:t>
      </w:r>
      <w:r w:rsidR="00A86D38">
        <w:rPr>
          <w:rFonts w:ascii="Arial" w:hAnsi="Arial" w:cs="Arial"/>
        </w:rPr>
        <w:t>e</w:t>
      </w:r>
      <w:r w:rsidR="003A0E06">
        <w:rPr>
          <w:rFonts w:ascii="Arial" w:hAnsi="Arial" w:cs="Arial"/>
        </w:rPr>
        <w:t>stado de México</w:t>
      </w:r>
      <w:r w:rsidR="00101FFB">
        <w:rPr>
          <w:rFonts w:ascii="Arial" w:hAnsi="Arial" w:cs="Arial"/>
        </w:rPr>
        <w:t>,</w:t>
      </w:r>
      <w:r w:rsidR="003A0E06">
        <w:rPr>
          <w:rFonts w:ascii="Arial" w:hAnsi="Arial" w:cs="Arial"/>
        </w:rPr>
        <w:t xml:space="preserve"> </w:t>
      </w:r>
      <w:r w:rsidRPr="009E30CC">
        <w:rPr>
          <w:rFonts w:ascii="Arial" w:hAnsi="Arial" w:cs="Arial"/>
        </w:rPr>
        <w:t>Sonora y Jalisco</w:t>
      </w:r>
      <w:r>
        <w:rPr>
          <w:rFonts w:ascii="Arial" w:hAnsi="Arial" w:cs="Arial"/>
        </w:rPr>
        <w:t xml:space="preserve"> concentraron más de 50% de las pers</w:t>
      </w:r>
      <w:r w:rsidR="000073EB">
        <w:rPr>
          <w:rFonts w:ascii="Arial" w:hAnsi="Arial" w:cs="Arial"/>
        </w:rPr>
        <w:t xml:space="preserve">onas que ingresaron por estos delitos </w:t>
      </w:r>
      <w:r>
        <w:rPr>
          <w:rFonts w:ascii="Arial" w:hAnsi="Arial" w:cs="Arial"/>
        </w:rPr>
        <w:t>en el país</w:t>
      </w:r>
      <w:r w:rsidR="00363020" w:rsidRPr="009E30CC">
        <w:rPr>
          <w:rFonts w:ascii="Arial" w:hAnsi="Arial" w:cs="Arial"/>
        </w:rPr>
        <w:t xml:space="preserve">. </w:t>
      </w:r>
    </w:p>
    <w:p w14:paraId="49523315" w14:textId="717E918E" w:rsidR="008A5B1F" w:rsidRDefault="008A5B1F" w:rsidP="000073EB">
      <w:pPr>
        <w:spacing w:line="240" w:lineRule="auto"/>
        <w:jc w:val="both"/>
        <w:rPr>
          <w:rFonts w:ascii="Arial" w:hAnsi="Arial" w:cs="Arial"/>
        </w:rPr>
      </w:pPr>
    </w:p>
    <w:p w14:paraId="1FA2E821" w14:textId="47AFF10F" w:rsidR="008A5B1F" w:rsidRDefault="008A5B1F" w:rsidP="000073EB">
      <w:pPr>
        <w:spacing w:line="240" w:lineRule="auto"/>
        <w:jc w:val="both"/>
        <w:rPr>
          <w:rFonts w:ascii="Arial" w:hAnsi="Arial" w:cs="Arial"/>
        </w:rPr>
      </w:pPr>
    </w:p>
    <w:p w14:paraId="43BFB9B2" w14:textId="549A4C04" w:rsidR="008A5B1F" w:rsidRDefault="008A5B1F" w:rsidP="000073EB">
      <w:pPr>
        <w:spacing w:line="240" w:lineRule="auto"/>
        <w:jc w:val="both"/>
        <w:rPr>
          <w:rFonts w:ascii="Arial" w:hAnsi="Arial" w:cs="Arial"/>
        </w:rPr>
      </w:pPr>
    </w:p>
    <w:p w14:paraId="3E632014" w14:textId="7BD264F2" w:rsidR="00A86D38" w:rsidRDefault="00A86D38" w:rsidP="000073EB">
      <w:pPr>
        <w:spacing w:line="240" w:lineRule="auto"/>
        <w:jc w:val="both"/>
        <w:rPr>
          <w:rFonts w:ascii="Arial" w:hAnsi="Arial" w:cs="Arial"/>
        </w:rPr>
      </w:pPr>
    </w:p>
    <w:p w14:paraId="51779545" w14:textId="73A64D8F" w:rsidR="00A86D38" w:rsidRDefault="00A86D38" w:rsidP="000073EB">
      <w:pPr>
        <w:spacing w:line="240" w:lineRule="auto"/>
        <w:jc w:val="both"/>
        <w:rPr>
          <w:rFonts w:ascii="Arial" w:hAnsi="Arial" w:cs="Arial"/>
        </w:rPr>
      </w:pPr>
    </w:p>
    <w:p w14:paraId="4DFA4A74" w14:textId="16072660" w:rsidR="00A86D38" w:rsidRDefault="00A86D38" w:rsidP="000073EB">
      <w:pPr>
        <w:spacing w:line="240" w:lineRule="auto"/>
        <w:jc w:val="both"/>
        <w:rPr>
          <w:rFonts w:ascii="Arial" w:hAnsi="Arial" w:cs="Arial"/>
        </w:rPr>
      </w:pPr>
    </w:p>
    <w:p w14:paraId="2B57E95F" w14:textId="66A0B9B3" w:rsidR="00A86D38" w:rsidRDefault="00A86D38" w:rsidP="000073EB">
      <w:pPr>
        <w:spacing w:line="240" w:lineRule="auto"/>
        <w:jc w:val="both"/>
        <w:rPr>
          <w:rFonts w:ascii="Arial" w:hAnsi="Arial" w:cs="Arial"/>
        </w:rPr>
      </w:pPr>
    </w:p>
    <w:p w14:paraId="3F010036" w14:textId="2471FEF2" w:rsidR="00A86D38" w:rsidRDefault="00A86D38" w:rsidP="000073EB">
      <w:pPr>
        <w:spacing w:line="240" w:lineRule="auto"/>
        <w:jc w:val="both"/>
        <w:rPr>
          <w:rFonts w:ascii="Arial" w:hAnsi="Arial" w:cs="Arial"/>
        </w:rPr>
      </w:pPr>
    </w:p>
    <w:p w14:paraId="444E4FE6" w14:textId="0B5BF70F" w:rsidR="00A86D38" w:rsidRDefault="00A86D38" w:rsidP="000073EB">
      <w:pPr>
        <w:spacing w:line="240" w:lineRule="auto"/>
        <w:jc w:val="both"/>
        <w:rPr>
          <w:rFonts w:ascii="Arial" w:hAnsi="Arial" w:cs="Arial"/>
        </w:rPr>
      </w:pPr>
    </w:p>
    <w:p w14:paraId="6221BF62" w14:textId="77777777" w:rsidR="00A86D38" w:rsidRDefault="00A86D38" w:rsidP="000073EB">
      <w:pPr>
        <w:spacing w:line="240" w:lineRule="auto"/>
        <w:jc w:val="both"/>
        <w:rPr>
          <w:rFonts w:ascii="Arial" w:hAnsi="Arial" w:cs="Arial"/>
        </w:rPr>
      </w:pPr>
    </w:p>
    <w:p w14:paraId="6316CD7A" w14:textId="00650A25" w:rsidR="008A5B1F" w:rsidRDefault="004450B2" w:rsidP="00092C7D">
      <w:pPr>
        <w:spacing w:after="0" w:line="240" w:lineRule="auto"/>
        <w:jc w:val="center"/>
        <w:rPr>
          <w:rFonts w:ascii="Arial" w:hAnsi="Arial" w:cs="Arial"/>
        </w:rPr>
      </w:pPr>
      <w:r>
        <w:rPr>
          <w:rFonts w:ascii="Arial" w:hAnsi="Arial" w:cs="Arial"/>
          <w:noProof/>
          <w:lang w:val="en-US"/>
        </w:rPr>
        <w:drawing>
          <wp:inline distT="0" distB="0" distL="0" distR="0" wp14:anchorId="74034EF3" wp14:editId="05232D90">
            <wp:extent cx="5779770" cy="4596765"/>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9770" cy="4596765"/>
                    </a:xfrm>
                    <a:prstGeom prst="rect">
                      <a:avLst/>
                    </a:prstGeom>
                    <a:noFill/>
                  </pic:spPr>
                </pic:pic>
              </a:graphicData>
            </a:graphic>
          </wp:inline>
        </w:drawing>
      </w:r>
    </w:p>
    <w:p w14:paraId="1523CE0D" w14:textId="77777777" w:rsidR="00092C7D" w:rsidRDefault="00092C7D" w:rsidP="00092C7D">
      <w:pPr>
        <w:spacing w:after="0" w:line="240" w:lineRule="auto"/>
        <w:jc w:val="center"/>
        <w:rPr>
          <w:rFonts w:ascii="Arial" w:hAnsi="Arial" w:cs="Arial"/>
        </w:rPr>
      </w:pPr>
    </w:p>
    <w:p w14:paraId="2F5C4BE6" w14:textId="0A27A547" w:rsidR="008163A0" w:rsidRDefault="00F57FB6" w:rsidP="00FC77C1">
      <w:pPr>
        <w:spacing w:line="240" w:lineRule="auto"/>
        <w:jc w:val="both"/>
        <w:rPr>
          <w:rFonts w:ascii="Arial" w:hAnsi="Arial" w:cs="Arial"/>
        </w:rPr>
      </w:pPr>
      <w:r w:rsidRPr="00F57FB6">
        <w:rPr>
          <w:rFonts w:ascii="Arial" w:hAnsi="Arial" w:cs="Arial"/>
        </w:rPr>
        <w:t xml:space="preserve">Finalmente, </w:t>
      </w:r>
      <w:r w:rsidR="00F44206" w:rsidRPr="00F57FB6">
        <w:rPr>
          <w:rFonts w:ascii="Arial" w:hAnsi="Arial" w:cs="Arial"/>
        </w:rPr>
        <w:t xml:space="preserve">al cierre de 2018, </w:t>
      </w:r>
      <w:r w:rsidRPr="00F57FB6">
        <w:rPr>
          <w:rFonts w:ascii="Arial" w:hAnsi="Arial" w:cs="Arial"/>
        </w:rPr>
        <w:t xml:space="preserve">44% de los </w:t>
      </w:r>
      <w:r w:rsidR="00F44206" w:rsidRPr="00F57FB6">
        <w:rPr>
          <w:rFonts w:ascii="Arial" w:hAnsi="Arial" w:cs="Arial"/>
        </w:rPr>
        <w:t xml:space="preserve">delitos </w:t>
      </w:r>
      <w:r w:rsidRPr="00F57FB6">
        <w:rPr>
          <w:rFonts w:ascii="Arial" w:hAnsi="Arial" w:cs="Arial"/>
        </w:rPr>
        <w:t>asociados con narcóticos</w:t>
      </w:r>
      <w:r w:rsidR="00F44206" w:rsidRPr="00F57FB6">
        <w:rPr>
          <w:rFonts w:ascii="Arial" w:hAnsi="Arial" w:cs="Arial"/>
        </w:rPr>
        <w:t xml:space="preserve"> cometidos por la población adulta privada de la libertad</w:t>
      </w:r>
      <w:r w:rsidRPr="00F57FB6">
        <w:rPr>
          <w:rFonts w:ascii="Arial" w:hAnsi="Arial" w:cs="Arial"/>
        </w:rPr>
        <w:t xml:space="preserve"> en los centros penitenciarios estatales no habían recibido sentencia.</w:t>
      </w:r>
      <w:r w:rsidR="008163A0">
        <w:rPr>
          <w:rFonts w:ascii="Arial" w:hAnsi="Arial" w:cs="Arial"/>
        </w:rPr>
        <w:t xml:space="preserve"> </w:t>
      </w:r>
      <w:r w:rsidR="00036D3A">
        <w:rPr>
          <w:rFonts w:ascii="Arial" w:hAnsi="Arial" w:cs="Arial"/>
        </w:rPr>
        <w:t>En contraste</w:t>
      </w:r>
      <w:r w:rsidR="008163A0">
        <w:rPr>
          <w:rFonts w:ascii="Arial" w:hAnsi="Arial" w:cs="Arial"/>
        </w:rPr>
        <w:t>, la proporción de la población que se enc</w:t>
      </w:r>
      <w:r w:rsidR="00036D3A">
        <w:rPr>
          <w:rFonts w:ascii="Arial" w:hAnsi="Arial" w:cs="Arial"/>
        </w:rPr>
        <w:t xml:space="preserve">ontraba </w:t>
      </w:r>
      <w:r w:rsidR="008163A0">
        <w:rPr>
          <w:rFonts w:ascii="Arial" w:hAnsi="Arial" w:cs="Arial"/>
        </w:rPr>
        <w:t xml:space="preserve">recluida en centros penitenciarios </w:t>
      </w:r>
      <w:r w:rsidR="00FF2052">
        <w:rPr>
          <w:rFonts w:ascii="Arial" w:hAnsi="Arial" w:cs="Arial"/>
        </w:rPr>
        <w:t xml:space="preserve">federales </w:t>
      </w:r>
      <w:r w:rsidR="00036D3A">
        <w:rPr>
          <w:rFonts w:ascii="Arial" w:hAnsi="Arial" w:cs="Arial"/>
        </w:rPr>
        <w:t xml:space="preserve">sin sentencia fue de </w:t>
      </w:r>
      <w:r w:rsidR="00165ACC">
        <w:rPr>
          <w:rFonts w:ascii="Arial" w:hAnsi="Arial" w:cs="Arial"/>
        </w:rPr>
        <w:t>30</w:t>
      </w:r>
      <w:r w:rsidR="00FF2052">
        <w:rPr>
          <w:rFonts w:ascii="Arial" w:hAnsi="Arial" w:cs="Arial"/>
        </w:rPr>
        <w:t>%</w:t>
      </w:r>
      <w:r w:rsidR="002A6D81">
        <w:rPr>
          <w:rFonts w:ascii="Arial" w:hAnsi="Arial" w:cs="Arial"/>
        </w:rPr>
        <w:t>.</w:t>
      </w:r>
    </w:p>
    <w:p w14:paraId="12272FC3" w14:textId="31BB84C9" w:rsidR="000C6DD5" w:rsidRDefault="00D71EDE" w:rsidP="001A0888">
      <w:pPr>
        <w:spacing w:line="240" w:lineRule="auto"/>
        <w:jc w:val="both"/>
        <w:rPr>
          <w:rFonts w:ascii="Arial" w:hAnsi="Arial" w:cs="Arial"/>
        </w:rPr>
      </w:pPr>
      <w:r w:rsidRPr="00F57FB6">
        <w:rPr>
          <w:rFonts w:ascii="Arial" w:hAnsi="Arial" w:cs="Arial"/>
        </w:rPr>
        <w:t xml:space="preserve">La </w:t>
      </w:r>
      <w:r w:rsidR="001A0888" w:rsidRPr="00F57FB6">
        <w:rPr>
          <w:rFonts w:ascii="Arial" w:hAnsi="Arial" w:cs="Arial"/>
        </w:rPr>
        <w:t xml:space="preserve">información aquí presentada revela que </w:t>
      </w:r>
      <w:r w:rsidR="00F57FB6">
        <w:rPr>
          <w:rFonts w:ascii="Arial" w:hAnsi="Arial" w:cs="Arial"/>
        </w:rPr>
        <w:t>los</w:t>
      </w:r>
      <w:r w:rsidR="001A0888" w:rsidRPr="00F57FB6">
        <w:rPr>
          <w:rFonts w:ascii="Arial" w:hAnsi="Arial" w:cs="Arial"/>
        </w:rPr>
        <w:t xml:space="preserve"> delitos asociados con drogas</w:t>
      </w:r>
      <w:r w:rsidR="00F57FB6">
        <w:rPr>
          <w:rFonts w:ascii="Arial" w:hAnsi="Arial" w:cs="Arial"/>
        </w:rPr>
        <w:t xml:space="preserve"> que se hacen del conocimiento de las autoridades ministeriales </w:t>
      </w:r>
      <w:r w:rsidR="00F667B8">
        <w:rPr>
          <w:rFonts w:ascii="Arial" w:hAnsi="Arial" w:cs="Arial"/>
        </w:rPr>
        <w:t>han</w:t>
      </w:r>
      <w:r w:rsidR="00F57FB6">
        <w:rPr>
          <w:rFonts w:ascii="Arial" w:hAnsi="Arial" w:cs="Arial"/>
        </w:rPr>
        <w:t xml:space="preserve"> ido en aumento en los últimos años,</w:t>
      </w:r>
      <w:r w:rsidR="001A0888" w:rsidRPr="00F57FB6">
        <w:rPr>
          <w:rFonts w:ascii="Arial" w:hAnsi="Arial" w:cs="Arial"/>
        </w:rPr>
        <w:t xml:space="preserve"> principalmente </w:t>
      </w:r>
      <w:r w:rsidR="00F57FB6">
        <w:rPr>
          <w:rFonts w:ascii="Arial" w:hAnsi="Arial" w:cs="Arial"/>
        </w:rPr>
        <w:t>el delito de nar</w:t>
      </w:r>
      <w:r w:rsidR="001A0888" w:rsidRPr="00F57FB6">
        <w:rPr>
          <w:rFonts w:ascii="Arial" w:hAnsi="Arial" w:cs="Arial"/>
        </w:rPr>
        <w:t>comenudeo</w:t>
      </w:r>
      <w:r w:rsidR="00F667B8">
        <w:rPr>
          <w:rFonts w:ascii="Arial" w:hAnsi="Arial" w:cs="Arial"/>
        </w:rPr>
        <w:t xml:space="preserve">, constituyendo en el caso de los adolescentes el </w:t>
      </w:r>
      <w:r w:rsidR="001A0888" w:rsidRPr="00F57FB6">
        <w:rPr>
          <w:rFonts w:ascii="Arial" w:hAnsi="Arial" w:cs="Arial"/>
        </w:rPr>
        <w:t xml:space="preserve">segundo delito </w:t>
      </w:r>
      <w:r w:rsidR="00F667B8">
        <w:rPr>
          <w:rFonts w:ascii="Arial" w:hAnsi="Arial" w:cs="Arial"/>
        </w:rPr>
        <w:t xml:space="preserve">por el cual son imputados </w:t>
      </w:r>
      <w:r w:rsidR="001A0888" w:rsidRPr="00F57FB6">
        <w:rPr>
          <w:rFonts w:ascii="Arial" w:hAnsi="Arial" w:cs="Arial"/>
        </w:rPr>
        <w:t xml:space="preserve">en </w:t>
      </w:r>
      <w:r w:rsidR="00F667B8">
        <w:rPr>
          <w:rFonts w:ascii="Arial" w:hAnsi="Arial" w:cs="Arial"/>
        </w:rPr>
        <w:t xml:space="preserve">las </w:t>
      </w:r>
      <w:r w:rsidR="001A0888" w:rsidRPr="00F57FB6">
        <w:rPr>
          <w:rFonts w:ascii="Arial" w:hAnsi="Arial" w:cs="Arial"/>
        </w:rPr>
        <w:t>averiguaciones previas y carpetas de investigación iniciadas en 2018</w:t>
      </w:r>
      <w:r w:rsidR="00F667B8">
        <w:rPr>
          <w:rFonts w:ascii="Arial" w:hAnsi="Arial" w:cs="Arial"/>
        </w:rPr>
        <w:t>. S</w:t>
      </w:r>
      <w:r w:rsidR="00F667B8" w:rsidRPr="00F57FB6">
        <w:rPr>
          <w:rFonts w:ascii="Arial" w:hAnsi="Arial" w:cs="Arial"/>
        </w:rPr>
        <w:t xml:space="preserve">e trata </w:t>
      </w:r>
      <w:r w:rsidR="00F667B8">
        <w:rPr>
          <w:rFonts w:ascii="Arial" w:hAnsi="Arial" w:cs="Arial"/>
        </w:rPr>
        <w:t xml:space="preserve">además </w:t>
      </w:r>
      <w:r w:rsidR="00F667B8" w:rsidRPr="00F57FB6">
        <w:rPr>
          <w:rFonts w:ascii="Arial" w:hAnsi="Arial" w:cs="Arial"/>
        </w:rPr>
        <w:t xml:space="preserve">de un </w:t>
      </w:r>
      <w:r w:rsidR="00F667B8">
        <w:rPr>
          <w:rFonts w:ascii="Arial" w:hAnsi="Arial" w:cs="Arial"/>
        </w:rPr>
        <w:t>fenómeno</w:t>
      </w:r>
      <w:r w:rsidR="00F667B8" w:rsidRPr="00F57FB6">
        <w:rPr>
          <w:rFonts w:ascii="Arial" w:hAnsi="Arial" w:cs="Arial"/>
        </w:rPr>
        <w:t xml:space="preserve"> </w:t>
      </w:r>
      <w:r w:rsidR="00F667B8">
        <w:rPr>
          <w:rFonts w:ascii="Arial" w:hAnsi="Arial" w:cs="Arial"/>
        </w:rPr>
        <w:t xml:space="preserve">geográficamente </w:t>
      </w:r>
      <w:r w:rsidR="00F667B8" w:rsidRPr="00F57FB6">
        <w:rPr>
          <w:rFonts w:ascii="Arial" w:hAnsi="Arial" w:cs="Arial"/>
        </w:rPr>
        <w:t xml:space="preserve">focalizado </w:t>
      </w:r>
      <w:r w:rsidR="00F667B8">
        <w:rPr>
          <w:rFonts w:ascii="Arial" w:hAnsi="Arial" w:cs="Arial"/>
        </w:rPr>
        <w:t xml:space="preserve">con </w:t>
      </w:r>
      <w:r w:rsidR="000C6DD5">
        <w:rPr>
          <w:rFonts w:ascii="Arial" w:hAnsi="Arial" w:cs="Arial"/>
        </w:rPr>
        <w:t xml:space="preserve">patrones </w:t>
      </w:r>
      <w:r w:rsidR="00F667B8">
        <w:rPr>
          <w:rFonts w:ascii="Arial" w:hAnsi="Arial" w:cs="Arial"/>
        </w:rPr>
        <w:t xml:space="preserve">que distinguen </w:t>
      </w:r>
      <w:r w:rsidR="000C6DD5">
        <w:rPr>
          <w:rFonts w:ascii="Arial" w:hAnsi="Arial" w:cs="Arial"/>
        </w:rPr>
        <w:t xml:space="preserve">el registro de </w:t>
      </w:r>
      <w:r w:rsidR="00F667B8">
        <w:rPr>
          <w:rFonts w:ascii="Arial" w:hAnsi="Arial" w:cs="Arial"/>
        </w:rPr>
        <w:t>delitos de narcomenudeo de los delitos federales que atentan contra</w:t>
      </w:r>
      <w:r w:rsidR="000C6DD5">
        <w:rPr>
          <w:rFonts w:ascii="Arial" w:hAnsi="Arial" w:cs="Arial"/>
        </w:rPr>
        <w:t xml:space="preserve"> la salud.</w:t>
      </w:r>
    </w:p>
    <w:p w14:paraId="779FB4C9" w14:textId="51079844" w:rsidR="008877B8" w:rsidRDefault="000C6DD5" w:rsidP="001A0888">
      <w:pPr>
        <w:spacing w:line="240" w:lineRule="auto"/>
        <w:jc w:val="both"/>
        <w:rPr>
          <w:rFonts w:ascii="Arial" w:hAnsi="Arial" w:cs="Arial"/>
        </w:rPr>
      </w:pPr>
      <w:r>
        <w:rPr>
          <w:rFonts w:ascii="Arial" w:hAnsi="Arial" w:cs="Arial"/>
        </w:rPr>
        <w:t>La</w:t>
      </w:r>
      <w:r w:rsidR="00E8744F" w:rsidRPr="00F57FB6">
        <w:rPr>
          <w:rFonts w:ascii="Arial" w:hAnsi="Arial" w:cs="Arial"/>
        </w:rPr>
        <w:t xml:space="preserve"> mayoría de </w:t>
      </w:r>
      <w:r w:rsidR="00F44206" w:rsidRPr="00F57FB6">
        <w:rPr>
          <w:rFonts w:ascii="Arial" w:hAnsi="Arial" w:cs="Arial"/>
        </w:rPr>
        <w:t>los delitos</w:t>
      </w:r>
      <w:r w:rsidR="00D043A6" w:rsidRPr="00F57FB6">
        <w:rPr>
          <w:rFonts w:ascii="Arial" w:hAnsi="Arial" w:cs="Arial"/>
        </w:rPr>
        <w:t xml:space="preserve"> asociados a narcóticos deriv</w:t>
      </w:r>
      <w:r w:rsidR="00E8744F" w:rsidRPr="00F57FB6">
        <w:rPr>
          <w:rFonts w:ascii="Arial" w:hAnsi="Arial" w:cs="Arial"/>
        </w:rPr>
        <w:t xml:space="preserve">aron </w:t>
      </w:r>
      <w:r w:rsidR="00D043A6" w:rsidRPr="00F57FB6">
        <w:rPr>
          <w:rFonts w:ascii="Arial" w:hAnsi="Arial" w:cs="Arial"/>
        </w:rPr>
        <w:t>en sentencia</w:t>
      </w:r>
      <w:r w:rsidR="007F3EC8" w:rsidRPr="00F57FB6">
        <w:rPr>
          <w:rFonts w:ascii="Arial" w:hAnsi="Arial" w:cs="Arial"/>
        </w:rPr>
        <w:t>s</w:t>
      </w:r>
      <w:r w:rsidR="00D043A6" w:rsidRPr="00F57FB6">
        <w:rPr>
          <w:rFonts w:ascii="Arial" w:hAnsi="Arial" w:cs="Arial"/>
        </w:rPr>
        <w:t xml:space="preserve"> condenatoria</w:t>
      </w:r>
      <w:r>
        <w:rPr>
          <w:rFonts w:ascii="Arial" w:hAnsi="Arial" w:cs="Arial"/>
        </w:rPr>
        <w:t xml:space="preserve">; sin embargo, 4 de cada 10 personas </w:t>
      </w:r>
      <w:r w:rsidR="00D043A6" w:rsidRPr="00F57FB6">
        <w:rPr>
          <w:rFonts w:ascii="Arial" w:hAnsi="Arial" w:cs="Arial"/>
        </w:rPr>
        <w:t>adulta</w:t>
      </w:r>
      <w:r>
        <w:rPr>
          <w:rFonts w:ascii="Arial" w:hAnsi="Arial" w:cs="Arial"/>
        </w:rPr>
        <w:t>s</w:t>
      </w:r>
      <w:r w:rsidR="008877B8" w:rsidRPr="00F57FB6">
        <w:rPr>
          <w:rFonts w:ascii="Arial" w:hAnsi="Arial" w:cs="Arial"/>
        </w:rPr>
        <w:t xml:space="preserve"> privada</w:t>
      </w:r>
      <w:r>
        <w:rPr>
          <w:rFonts w:ascii="Arial" w:hAnsi="Arial" w:cs="Arial"/>
        </w:rPr>
        <w:t>s</w:t>
      </w:r>
      <w:r w:rsidR="008877B8" w:rsidRPr="00F57FB6">
        <w:rPr>
          <w:rFonts w:ascii="Arial" w:hAnsi="Arial" w:cs="Arial"/>
        </w:rPr>
        <w:t xml:space="preserve"> de la libertad </w:t>
      </w:r>
      <w:r>
        <w:rPr>
          <w:rFonts w:ascii="Arial" w:hAnsi="Arial" w:cs="Arial"/>
        </w:rPr>
        <w:t xml:space="preserve">por ese delito </w:t>
      </w:r>
      <w:r w:rsidR="008877B8" w:rsidRPr="00F57FB6">
        <w:rPr>
          <w:rFonts w:ascii="Arial" w:hAnsi="Arial" w:cs="Arial"/>
        </w:rPr>
        <w:t xml:space="preserve">en los centros penitenciarios </w:t>
      </w:r>
      <w:r>
        <w:rPr>
          <w:rFonts w:ascii="Arial" w:hAnsi="Arial" w:cs="Arial"/>
        </w:rPr>
        <w:t xml:space="preserve">estatales aún </w:t>
      </w:r>
      <w:r w:rsidR="008877B8" w:rsidRPr="00F57FB6">
        <w:rPr>
          <w:rFonts w:ascii="Arial" w:hAnsi="Arial" w:cs="Arial"/>
        </w:rPr>
        <w:t xml:space="preserve">no </w:t>
      </w:r>
      <w:r>
        <w:rPr>
          <w:rFonts w:ascii="Arial" w:hAnsi="Arial" w:cs="Arial"/>
        </w:rPr>
        <w:t>recib</w:t>
      </w:r>
      <w:r w:rsidR="00036D3A">
        <w:rPr>
          <w:rFonts w:ascii="Arial" w:hAnsi="Arial" w:cs="Arial"/>
        </w:rPr>
        <w:t>ía</w:t>
      </w:r>
      <w:r>
        <w:rPr>
          <w:rFonts w:ascii="Arial" w:hAnsi="Arial" w:cs="Arial"/>
        </w:rPr>
        <w:t xml:space="preserve"> </w:t>
      </w:r>
      <w:r w:rsidR="008877B8" w:rsidRPr="00F57FB6">
        <w:rPr>
          <w:rFonts w:ascii="Arial" w:hAnsi="Arial" w:cs="Arial"/>
        </w:rPr>
        <w:t>sentencia.</w:t>
      </w:r>
      <w:r w:rsidR="008877B8">
        <w:rPr>
          <w:rFonts w:ascii="Arial" w:hAnsi="Arial" w:cs="Arial"/>
        </w:rPr>
        <w:t xml:space="preserve"> </w:t>
      </w:r>
    </w:p>
    <w:p w14:paraId="05DA3B89" w14:textId="77777777" w:rsidR="00A86D38" w:rsidRDefault="00A86D38" w:rsidP="001A0888">
      <w:pPr>
        <w:spacing w:line="240" w:lineRule="auto"/>
        <w:jc w:val="both"/>
        <w:rPr>
          <w:rFonts w:ascii="Arial" w:hAnsi="Arial" w:cs="Arial"/>
        </w:rPr>
      </w:pPr>
    </w:p>
    <w:p w14:paraId="1E313750" w14:textId="77777777" w:rsidR="00A86D38" w:rsidRDefault="00A86D38" w:rsidP="001A0888">
      <w:pPr>
        <w:spacing w:line="240" w:lineRule="auto"/>
        <w:jc w:val="both"/>
        <w:rPr>
          <w:rFonts w:ascii="Arial" w:hAnsi="Arial" w:cs="Arial"/>
        </w:rPr>
      </w:pPr>
    </w:p>
    <w:p w14:paraId="33B7596E" w14:textId="77777777" w:rsidR="00A86D38" w:rsidRDefault="00A86D38" w:rsidP="001A0888">
      <w:pPr>
        <w:spacing w:line="240" w:lineRule="auto"/>
        <w:jc w:val="both"/>
        <w:rPr>
          <w:rFonts w:ascii="Arial" w:hAnsi="Arial" w:cs="Arial"/>
        </w:rPr>
      </w:pPr>
    </w:p>
    <w:p w14:paraId="2DC7EFE5" w14:textId="77777777" w:rsidR="00A86D38" w:rsidRDefault="00A86D38" w:rsidP="001A0888">
      <w:pPr>
        <w:spacing w:line="240" w:lineRule="auto"/>
        <w:jc w:val="both"/>
        <w:rPr>
          <w:rFonts w:ascii="Arial" w:hAnsi="Arial" w:cs="Arial"/>
        </w:rPr>
      </w:pPr>
    </w:p>
    <w:p w14:paraId="61E34ABE" w14:textId="6A4B0200" w:rsidR="001A0888" w:rsidRDefault="000C6DD5" w:rsidP="001A0888">
      <w:pPr>
        <w:spacing w:line="240" w:lineRule="auto"/>
        <w:jc w:val="both"/>
        <w:rPr>
          <w:rFonts w:ascii="Arial" w:hAnsi="Arial" w:cs="Arial"/>
        </w:rPr>
      </w:pPr>
      <w:r>
        <w:rPr>
          <w:rFonts w:ascii="Arial" w:hAnsi="Arial" w:cs="Arial"/>
        </w:rPr>
        <w:t>A</w:t>
      </w:r>
      <w:r w:rsidR="001A0888">
        <w:rPr>
          <w:rFonts w:ascii="Arial" w:hAnsi="Arial" w:cs="Arial"/>
        </w:rPr>
        <w:t xml:space="preserve"> la luz del dictamen de la Ley para la Regulación del Cannabis, y recientemente, en la Ley de Amnistía</w:t>
      </w:r>
      <w:r w:rsidR="001A0888">
        <w:rPr>
          <w:rStyle w:val="Refdenotaalpie"/>
          <w:rFonts w:ascii="Arial" w:hAnsi="Arial" w:cs="Arial"/>
        </w:rPr>
        <w:footnoteReference w:id="14"/>
      </w:r>
      <w:r w:rsidR="001A0888">
        <w:rPr>
          <w:rFonts w:ascii="Arial" w:hAnsi="Arial" w:cs="Arial"/>
        </w:rPr>
        <w:t xml:space="preserve">, </w:t>
      </w:r>
      <w:r>
        <w:rPr>
          <w:rFonts w:ascii="Arial" w:hAnsi="Arial" w:cs="Arial"/>
        </w:rPr>
        <w:t xml:space="preserve">resulta de interés saber que </w:t>
      </w:r>
      <w:r w:rsidRPr="00F57FB6">
        <w:rPr>
          <w:rFonts w:ascii="Arial" w:hAnsi="Arial" w:cs="Arial"/>
        </w:rPr>
        <w:t>la mayoría de los adolescentes y adultos fueron imputados por el delito de posesión simple</w:t>
      </w:r>
      <w:r w:rsidR="008E0C97">
        <w:rPr>
          <w:rFonts w:ascii="Arial" w:hAnsi="Arial" w:cs="Arial"/>
        </w:rPr>
        <w:t xml:space="preserve"> de cannabis </w:t>
      </w:r>
      <w:r>
        <w:rPr>
          <w:rFonts w:ascii="Arial" w:hAnsi="Arial" w:cs="Arial"/>
        </w:rPr>
        <w:t>en cantidades</w:t>
      </w:r>
      <w:r w:rsidRPr="00F57FB6">
        <w:rPr>
          <w:rFonts w:ascii="Arial" w:hAnsi="Arial" w:cs="Arial"/>
        </w:rPr>
        <w:t xml:space="preserve"> de 5 a </w:t>
      </w:r>
      <w:r w:rsidR="001F7568">
        <w:rPr>
          <w:rFonts w:ascii="Arial" w:hAnsi="Arial" w:cs="Arial"/>
        </w:rPr>
        <w:t>100</w:t>
      </w:r>
      <w:r w:rsidRPr="00F57FB6">
        <w:rPr>
          <w:rFonts w:ascii="Arial" w:hAnsi="Arial" w:cs="Arial"/>
        </w:rPr>
        <w:t xml:space="preserve"> gramos</w:t>
      </w:r>
      <w:r>
        <w:rPr>
          <w:rFonts w:ascii="Arial" w:hAnsi="Arial" w:cs="Arial"/>
        </w:rPr>
        <w:t xml:space="preserve">, lo cual </w:t>
      </w:r>
      <w:r w:rsidR="001A0888">
        <w:rPr>
          <w:rFonts w:ascii="Arial" w:hAnsi="Arial" w:cs="Arial"/>
        </w:rPr>
        <w:t xml:space="preserve">representa una ventana de oportunidad para promover la justicia transicional en México, </w:t>
      </w:r>
      <w:r>
        <w:rPr>
          <w:rFonts w:ascii="Arial" w:hAnsi="Arial" w:cs="Arial"/>
        </w:rPr>
        <w:t xml:space="preserve">y </w:t>
      </w:r>
      <w:r w:rsidR="001A0888">
        <w:rPr>
          <w:rFonts w:ascii="Arial" w:hAnsi="Arial" w:cs="Arial"/>
        </w:rPr>
        <w:t xml:space="preserve">con ello generar políticas públicas </w:t>
      </w:r>
      <w:r w:rsidR="001F7568">
        <w:rPr>
          <w:rFonts w:ascii="Arial" w:hAnsi="Arial" w:cs="Arial"/>
        </w:rPr>
        <w:t xml:space="preserve">que atiendan </w:t>
      </w:r>
      <w:r w:rsidR="001A0888">
        <w:rPr>
          <w:rFonts w:ascii="Arial" w:hAnsi="Arial" w:cs="Arial"/>
        </w:rPr>
        <w:t>los factores de riesgo desde un enfoque de salud pública y de derechos humanos para los usuarios de sustancias</w:t>
      </w:r>
      <w:r w:rsidR="00F57FB6">
        <w:rPr>
          <w:rFonts w:ascii="Arial" w:hAnsi="Arial" w:cs="Arial"/>
        </w:rPr>
        <w:t xml:space="preserve"> psicoactivas</w:t>
      </w:r>
      <w:r w:rsidR="001A0888">
        <w:rPr>
          <w:rFonts w:ascii="Arial" w:hAnsi="Arial" w:cs="Arial"/>
        </w:rPr>
        <w:t xml:space="preserve">, de ahí la relevancia de conocer las estadísticas sobre los delitos asociados con narcóticos. </w:t>
      </w:r>
    </w:p>
    <w:p w14:paraId="20EF3F04" w14:textId="1F459B6C" w:rsidR="00DE4D41" w:rsidRDefault="00DE4D41" w:rsidP="00DE4D41">
      <w:pPr>
        <w:spacing w:line="240" w:lineRule="auto"/>
        <w:jc w:val="both"/>
        <w:rPr>
          <w:rFonts w:ascii="Arial" w:hAnsi="Arial" w:cs="Arial"/>
        </w:rPr>
      </w:pPr>
      <w:r w:rsidRPr="00E323C3">
        <w:rPr>
          <w:rFonts w:ascii="Arial" w:hAnsi="Arial" w:cs="Arial"/>
        </w:rPr>
        <w:t>De esta manera</w:t>
      </w:r>
      <w:r w:rsidR="00E22530">
        <w:rPr>
          <w:rFonts w:ascii="Arial" w:hAnsi="Arial" w:cs="Arial"/>
        </w:rPr>
        <w:t>,</w:t>
      </w:r>
      <w:r w:rsidRPr="00E323C3">
        <w:rPr>
          <w:rFonts w:ascii="Arial" w:hAnsi="Arial" w:cs="Arial"/>
        </w:rPr>
        <w:t xml:space="preserve"> el INEGI contribuye</w:t>
      </w:r>
      <w:r w:rsidR="008877B8">
        <w:rPr>
          <w:rFonts w:ascii="Arial" w:hAnsi="Arial" w:cs="Arial"/>
        </w:rPr>
        <w:t xml:space="preserve"> a</w:t>
      </w:r>
      <w:r w:rsidR="00E22530">
        <w:rPr>
          <w:rFonts w:ascii="Arial" w:hAnsi="Arial" w:cs="Arial"/>
        </w:rPr>
        <w:t xml:space="preserve"> dimensionar el fenómeno de las drogas desde la</w:t>
      </w:r>
      <w:r w:rsidR="00D71EDE">
        <w:rPr>
          <w:rFonts w:ascii="Arial" w:hAnsi="Arial" w:cs="Arial"/>
        </w:rPr>
        <w:t xml:space="preserve"> arista del </w:t>
      </w:r>
      <w:r w:rsidR="00E22530">
        <w:rPr>
          <w:rFonts w:ascii="Arial" w:hAnsi="Arial" w:cs="Arial"/>
        </w:rPr>
        <w:t>sistema de justic</w:t>
      </w:r>
      <w:r w:rsidR="00D71EDE">
        <w:rPr>
          <w:rFonts w:ascii="Arial" w:hAnsi="Arial" w:cs="Arial"/>
        </w:rPr>
        <w:t>i</w:t>
      </w:r>
      <w:r w:rsidR="00E22530">
        <w:rPr>
          <w:rFonts w:ascii="Arial" w:hAnsi="Arial" w:cs="Arial"/>
        </w:rPr>
        <w:t>a</w:t>
      </w:r>
      <w:r w:rsidR="00D71EDE">
        <w:rPr>
          <w:rFonts w:ascii="Arial" w:hAnsi="Arial" w:cs="Arial"/>
        </w:rPr>
        <w:t xml:space="preserve"> que es uno de los elementos fundamentales en la estrategia de control de la oferta de sustancias psicoactivas en e</w:t>
      </w:r>
      <w:r w:rsidR="00E22530">
        <w:rPr>
          <w:rFonts w:ascii="Arial" w:hAnsi="Arial" w:cs="Arial"/>
        </w:rPr>
        <w:t>l país</w:t>
      </w:r>
      <w:r>
        <w:rPr>
          <w:rFonts w:ascii="Arial" w:hAnsi="Arial" w:cs="Arial"/>
        </w:rPr>
        <w:t>. Se invita a los usuarios a consultar los distintos proyectos en materia de justicia que genera el Instituto.</w:t>
      </w:r>
    </w:p>
    <w:p w14:paraId="7BC77CED" w14:textId="2806BC5C" w:rsidR="0044598E" w:rsidRDefault="0044598E" w:rsidP="000A4EEA">
      <w:pPr>
        <w:spacing w:after="0" w:line="240" w:lineRule="auto"/>
        <w:ind w:right="-516"/>
        <w:rPr>
          <w:rFonts w:ascii="Arial" w:hAnsi="Arial" w:cs="Arial"/>
          <w:noProof/>
          <w:sz w:val="20"/>
          <w:lang w:eastAsia="es-MX"/>
        </w:rPr>
      </w:pPr>
    </w:p>
    <w:p w14:paraId="2574D7A9" w14:textId="0E8237C1" w:rsidR="000A4EEA" w:rsidRDefault="000A4EEA" w:rsidP="000A4EEA">
      <w:pPr>
        <w:spacing w:after="0" w:line="240" w:lineRule="auto"/>
        <w:ind w:right="-516"/>
        <w:rPr>
          <w:rFonts w:ascii="Arial" w:hAnsi="Arial" w:cs="Arial"/>
          <w:noProof/>
          <w:sz w:val="20"/>
          <w:lang w:eastAsia="es-MX"/>
        </w:rPr>
      </w:pPr>
    </w:p>
    <w:p w14:paraId="34A193EC" w14:textId="77777777" w:rsidR="000A4EEA" w:rsidRDefault="000A4EEA" w:rsidP="000A4EEA">
      <w:pPr>
        <w:spacing w:after="0" w:line="240" w:lineRule="auto"/>
        <w:ind w:right="-516"/>
        <w:rPr>
          <w:rFonts w:ascii="Arial" w:hAnsi="Arial" w:cs="Arial"/>
          <w:noProof/>
          <w:sz w:val="20"/>
          <w:lang w:eastAsia="es-MX"/>
        </w:rPr>
      </w:pPr>
    </w:p>
    <w:p w14:paraId="0CBD28DC" w14:textId="77777777" w:rsidR="00A86D38" w:rsidRPr="00A86D38" w:rsidRDefault="00A86D38" w:rsidP="000A4EEA">
      <w:pPr>
        <w:spacing w:after="0" w:line="240" w:lineRule="auto"/>
        <w:ind w:right="-516"/>
        <w:rPr>
          <w:rFonts w:ascii="Arial" w:hAnsi="Arial" w:cs="Arial"/>
          <w:b/>
          <w:bCs/>
          <w:noProof/>
          <w:sz w:val="20"/>
          <w:lang w:eastAsia="es-MX"/>
        </w:rPr>
      </w:pPr>
      <w:r w:rsidRPr="00A86D38">
        <w:rPr>
          <w:rFonts w:ascii="Arial" w:hAnsi="Arial" w:cs="Arial"/>
          <w:b/>
          <w:bCs/>
          <w:noProof/>
          <w:sz w:val="20"/>
          <w:lang w:eastAsia="es-MX"/>
        </w:rPr>
        <w:t>ANEXO 1</w:t>
      </w:r>
      <w:r w:rsidR="0044598E" w:rsidRPr="00A86D38">
        <w:rPr>
          <w:rFonts w:ascii="Arial" w:hAnsi="Arial" w:cs="Arial"/>
          <w:b/>
          <w:bCs/>
          <w:noProof/>
          <w:sz w:val="20"/>
          <w:lang w:eastAsia="es-MX"/>
        </w:rPr>
        <w:t xml:space="preserve">. </w:t>
      </w:r>
    </w:p>
    <w:p w14:paraId="43B6C3FB" w14:textId="77777777" w:rsidR="00A86D38" w:rsidRDefault="00A86D38" w:rsidP="000A4EEA">
      <w:pPr>
        <w:spacing w:after="0" w:line="240" w:lineRule="auto"/>
        <w:ind w:right="-516"/>
        <w:rPr>
          <w:rFonts w:ascii="Arial" w:hAnsi="Arial" w:cs="Arial"/>
          <w:noProof/>
          <w:sz w:val="20"/>
          <w:lang w:eastAsia="es-MX"/>
        </w:rPr>
      </w:pPr>
    </w:p>
    <w:p w14:paraId="1120FB3B" w14:textId="77777777" w:rsidR="00A86D38" w:rsidRDefault="00A86D38" w:rsidP="000A4EEA">
      <w:pPr>
        <w:spacing w:after="0" w:line="240" w:lineRule="auto"/>
        <w:ind w:right="-516"/>
        <w:rPr>
          <w:rFonts w:ascii="Arial" w:hAnsi="Arial" w:cs="Arial"/>
          <w:noProof/>
          <w:sz w:val="20"/>
          <w:lang w:eastAsia="es-MX"/>
        </w:rPr>
      </w:pPr>
    </w:p>
    <w:p w14:paraId="2B73C366" w14:textId="558958D0" w:rsidR="0044598E" w:rsidRDefault="0044598E" w:rsidP="000A4EEA">
      <w:pPr>
        <w:spacing w:after="0" w:line="240" w:lineRule="auto"/>
        <w:ind w:right="-516"/>
        <w:rPr>
          <w:rFonts w:ascii="Arial" w:hAnsi="Arial" w:cs="Arial"/>
          <w:noProof/>
          <w:sz w:val="20"/>
          <w:lang w:eastAsia="es-MX"/>
        </w:rPr>
      </w:pPr>
      <w:r>
        <w:rPr>
          <w:rFonts w:ascii="Arial" w:hAnsi="Arial" w:cs="Arial"/>
          <w:noProof/>
          <w:sz w:val="20"/>
          <w:lang w:eastAsia="es-MX"/>
        </w:rPr>
        <w:t xml:space="preserve">Tabla </w:t>
      </w:r>
      <w:r w:rsidR="00152EFC">
        <w:rPr>
          <w:rFonts w:ascii="Arial" w:hAnsi="Arial" w:cs="Arial"/>
          <w:noProof/>
          <w:sz w:val="20"/>
          <w:lang w:eastAsia="es-MX"/>
        </w:rPr>
        <w:t>de orientación de dosis máximas de consumo personal e inmediato</w:t>
      </w:r>
    </w:p>
    <w:p w14:paraId="75936CBD" w14:textId="33BF8293" w:rsidR="00BF4BDF" w:rsidRDefault="00BF4BDF" w:rsidP="000A4EEA">
      <w:pPr>
        <w:spacing w:after="0" w:line="240" w:lineRule="auto"/>
        <w:ind w:right="-516"/>
        <w:rPr>
          <w:rFonts w:ascii="Arial" w:hAnsi="Arial" w:cs="Arial"/>
          <w:noProof/>
          <w:sz w:val="20"/>
          <w:lang w:eastAsia="es-MX"/>
        </w:rPr>
      </w:pPr>
    </w:p>
    <w:tbl>
      <w:tblPr>
        <w:tblStyle w:val="Tablaconcuadrcula"/>
        <w:tblW w:w="0" w:type="auto"/>
        <w:tblLook w:val="04A0" w:firstRow="1" w:lastRow="0" w:firstColumn="1" w:lastColumn="0" w:noHBand="0" w:noVBand="1"/>
      </w:tblPr>
      <w:tblGrid>
        <w:gridCol w:w="3114"/>
        <w:gridCol w:w="2410"/>
        <w:gridCol w:w="3543"/>
      </w:tblGrid>
      <w:tr w:rsidR="00BF4BDF" w:rsidRPr="0027536A" w14:paraId="6E11B68D" w14:textId="77777777" w:rsidTr="00D3623C">
        <w:trPr>
          <w:trHeight w:val="227"/>
        </w:trPr>
        <w:tc>
          <w:tcPr>
            <w:tcW w:w="9067" w:type="dxa"/>
            <w:gridSpan w:val="3"/>
            <w:shd w:val="clear" w:color="auto" w:fill="A6A6A6" w:themeFill="background1" w:themeFillShade="A6"/>
          </w:tcPr>
          <w:p w14:paraId="267EEB32" w14:textId="77777777" w:rsidR="00BF4BDF" w:rsidRPr="00BF4BDF" w:rsidRDefault="00BF4BDF" w:rsidP="00851DC5">
            <w:pPr>
              <w:jc w:val="center"/>
              <w:rPr>
                <w:rFonts w:ascii="Arial" w:hAnsi="Arial" w:cs="Arial"/>
                <w:b/>
                <w:bCs/>
                <w:i/>
                <w:iCs/>
                <w:sz w:val="18"/>
                <w:szCs w:val="18"/>
              </w:rPr>
            </w:pPr>
            <w:r w:rsidRPr="00BF4BDF">
              <w:rPr>
                <w:rFonts w:ascii="Arial" w:hAnsi="Arial" w:cs="Arial"/>
                <w:b/>
                <w:bCs/>
                <w:sz w:val="18"/>
                <w:szCs w:val="18"/>
              </w:rPr>
              <w:t>Tabla de orientación de dosis máximas de consumo personal e inmediato</w:t>
            </w:r>
          </w:p>
        </w:tc>
      </w:tr>
      <w:tr w:rsidR="00BF4BDF" w:rsidRPr="0027536A" w14:paraId="2187B568" w14:textId="77777777" w:rsidTr="00D3623C">
        <w:trPr>
          <w:trHeight w:val="227"/>
        </w:trPr>
        <w:tc>
          <w:tcPr>
            <w:tcW w:w="3114" w:type="dxa"/>
            <w:tcBorders>
              <w:bottom w:val="single" w:sz="4" w:space="0" w:color="auto"/>
            </w:tcBorders>
            <w:shd w:val="clear" w:color="auto" w:fill="A6A6A6" w:themeFill="background1" w:themeFillShade="A6"/>
            <w:vAlign w:val="center"/>
          </w:tcPr>
          <w:p w14:paraId="389533D0" w14:textId="77777777" w:rsidR="00BF4BDF" w:rsidRPr="00BF4BDF" w:rsidRDefault="00BF4BDF" w:rsidP="00851DC5">
            <w:pPr>
              <w:jc w:val="both"/>
              <w:rPr>
                <w:rFonts w:ascii="Arial" w:hAnsi="Arial" w:cs="Arial"/>
                <w:b/>
                <w:bCs/>
                <w:i/>
                <w:iCs/>
                <w:sz w:val="18"/>
                <w:szCs w:val="18"/>
              </w:rPr>
            </w:pPr>
            <w:r w:rsidRPr="00BF4BDF">
              <w:rPr>
                <w:rFonts w:ascii="Arial" w:hAnsi="Arial" w:cs="Arial"/>
                <w:b/>
                <w:bCs/>
                <w:sz w:val="18"/>
                <w:szCs w:val="18"/>
              </w:rPr>
              <w:t>Narcótico</w:t>
            </w:r>
          </w:p>
        </w:tc>
        <w:tc>
          <w:tcPr>
            <w:tcW w:w="5953" w:type="dxa"/>
            <w:gridSpan w:val="2"/>
            <w:tcBorders>
              <w:bottom w:val="single" w:sz="4" w:space="0" w:color="auto"/>
            </w:tcBorders>
            <w:shd w:val="clear" w:color="auto" w:fill="A6A6A6" w:themeFill="background1" w:themeFillShade="A6"/>
            <w:vAlign w:val="center"/>
          </w:tcPr>
          <w:p w14:paraId="4EF17E50" w14:textId="77777777" w:rsidR="00BF4BDF" w:rsidRPr="00BF4BDF" w:rsidRDefault="00BF4BDF" w:rsidP="00851DC5">
            <w:pPr>
              <w:jc w:val="both"/>
              <w:rPr>
                <w:rFonts w:ascii="Arial" w:hAnsi="Arial" w:cs="Arial"/>
                <w:b/>
                <w:bCs/>
                <w:i/>
                <w:iCs/>
                <w:sz w:val="18"/>
                <w:szCs w:val="18"/>
              </w:rPr>
            </w:pPr>
            <w:r w:rsidRPr="00BF4BDF">
              <w:rPr>
                <w:rFonts w:ascii="Arial" w:hAnsi="Arial" w:cs="Arial"/>
                <w:b/>
                <w:bCs/>
                <w:sz w:val="18"/>
                <w:szCs w:val="18"/>
              </w:rPr>
              <w:t>Dosis máxima de consumo personal e inmediato</w:t>
            </w:r>
          </w:p>
        </w:tc>
      </w:tr>
      <w:tr w:rsidR="00BF4BDF" w:rsidRPr="0027536A" w14:paraId="3FFF71F3" w14:textId="77777777" w:rsidTr="00D3623C">
        <w:trPr>
          <w:trHeight w:val="227"/>
        </w:trPr>
        <w:tc>
          <w:tcPr>
            <w:tcW w:w="3114" w:type="dxa"/>
            <w:tcBorders>
              <w:top w:val="single" w:sz="4" w:space="0" w:color="auto"/>
              <w:left w:val="single" w:sz="4" w:space="0" w:color="auto"/>
              <w:bottom w:val="nil"/>
              <w:right w:val="single" w:sz="4" w:space="0" w:color="auto"/>
            </w:tcBorders>
            <w:vAlign w:val="center"/>
          </w:tcPr>
          <w:p w14:paraId="6E47114C"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Opio</w:t>
            </w:r>
          </w:p>
        </w:tc>
        <w:tc>
          <w:tcPr>
            <w:tcW w:w="2410" w:type="dxa"/>
            <w:tcBorders>
              <w:top w:val="single" w:sz="4" w:space="0" w:color="auto"/>
              <w:left w:val="single" w:sz="4" w:space="0" w:color="auto"/>
              <w:bottom w:val="nil"/>
              <w:right w:val="nil"/>
            </w:tcBorders>
            <w:vAlign w:val="center"/>
          </w:tcPr>
          <w:p w14:paraId="376F8B7E"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 xml:space="preserve">2 gr. </w:t>
            </w:r>
          </w:p>
        </w:tc>
        <w:tc>
          <w:tcPr>
            <w:tcW w:w="3543" w:type="dxa"/>
            <w:tcBorders>
              <w:top w:val="single" w:sz="4" w:space="0" w:color="auto"/>
              <w:left w:val="nil"/>
              <w:bottom w:val="nil"/>
              <w:right w:val="single" w:sz="4" w:space="0" w:color="auto"/>
            </w:tcBorders>
          </w:tcPr>
          <w:p w14:paraId="4D47366A" w14:textId="77777777" w:rsidR="00BF4BDF" w:rsidRPr="00BF4BDF" w:rsidRDefault="00BF4BDF" w:rsidP="00851DC5">
            <w:pPr>
              <w:jc w:val="both"/>
              <w:rPr>
                <w:rFonts w:ascii="Arial" w:hAnsi="Arial" w:cs="Arial"/>
                <w:i/>
                <w:iCs/>
                <w:sz w:val="18"/>
                <w:szCs w:val="18"/>
              </w:rPr>
            </w:pPr>
          </w:p>
        </w:tc>
      </w:tr>
      <w:tr w:rsidR="00BF4BDF" w:rsidRPr="0027536A" w14:paraId="14AFE1AB" w14:textId="77777777" w:rsidTr="00D3623C">
        <w:trPr>
          <w:trHeight w:val="227"/>
        </w:trPr>
        <w:tc>
          <w:tcPr>
            <w:tcW w:w="3114" w:type="dxa"/>
            <w:tcBorders>
              <w:top w:val="nil"/>
              <w:left w:val="single" w:sz="4" w:space="0" w:color="auto"/>
              <w:bottom w:val="nil"/>
              <w:right w:val="single" w:sz="4" w:space="0" w:color="auto"/>
            </w:tcBorders>
            <w:vAlign w:val="center"/>
          </w:tcPr>
          <w:p w14:paraId="45C35144"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Diacetilmorfina o Heroína</w:t>
            </w:r>
          </w:p>
        </w:tc>
        <w:tc>
          <w:tcPr>
            <w:tcW w:w="2410" w:type="dxa"/>
            <w:tcBorders>
              <w:top w:val="nil"/>
              <w:left w:val="single" w:sz="4" w:space="0" w:color="auto"/>
              <w:bottom w:val="nil"/>
              <w:right w:val="nil"/>
            </w:tcBorders>
            <w:vAlign w:val="center"/>
          </w:tcPr>
          <w:p w14:paraId="71117D4F"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 xml:space="preserve">50 mg. </w:t>
            </w:r>
          </w:p>
        </w:tc>
        <w:tc>
          <w:tcPr>
            <w:tcW w:w="3543" w:type="dxa"/>
            <w:tcBorders>
              <w:top w:val="nil"/>
              <w:left w:val="nil"/>
              <w:bottom w:val="nil"/>
              <w:right w:val="single" w:sz="4" w:space="0" w:color="auto"/>
            </w:tcBorders>
          </w:tcPr>
          <w:p w14:paraId="47013736" w14:textId="77777777" w:rsidR="00BF4BDF" w:rsidRPr="00BF4BDF" w:rsidRDefault="00BF4BDF" w:rsidP="00851DC5">
            <w:pPr>
              <w:jc w:val="both"/>
              <w:rPr>
                <w:rFonts w:ascii="Arial" w:hAnsi="Arial" w:cs="Arial"/>
                <w:i/>
                <w:iCs/>
                <w:sz w:val="18"/>
                <w:szCs w:val="18"/>
              </w:rPr>
            </w:pPr>
          </w:p>
        </w:tc>
      </w:tr>
      <w:tr w:rsidR="00BF4BDF" w:rsidRPr="0027536A" w14:paraId="52BE4815" w14:textId="77777777" w:rsidTr="00D3623C">
        <w:trPr>
          <w:trHeight w:val="227"/>
        </w:trPr>
        <w:tc>
          <w:tcPr>
            <w:tcW w:w="3114" w:type="dxa"/>
            <w:tcBorders>
              <w:top w:val="nil"/>
              <w:left w:val="single" w:sz="4" w:space="0" w:color="auto"/>
              <w:bottom w:val="nil"/>
              <w:right w:val="single" w:sz="4" w:space="0" w:color="auto"/>
            </w:tcBorders>
            <w:vAlign w:val="center"/>
          </w:tcPr>
          <w:p w14:paraId="3A7128CD"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Cannabis sativa, indica o marihuana</w:t>
            </w:r>
          </w:p>
        </w:tc>
        <w:tc>
          <w:tcPr>
            <w:tcW w:w="2410" w:type="dxa"/>
            <w:tcBorders>
              <w:top w:val="nil"/>
              <w:left w:val="single" w:sz="4" w:space="0" w:color="auto"/>
              <w:bottom w:val="nil"/>
              <w:right w:val="nil"/>
            </w:tcBorders>
            <w:vAlign w:val="center"/>
          </w:tcPr>
          <w:p w14:paraId="2237057C"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 xml:space="preserve">5 gr. </w:t>
            </w:r>
          </w:p>
        </w:tc>
        <w:tc>
          <w:tcPr>
            <w:tcW w:w="3543" w:type="dxa"/>
            <w:tcBorders>
              <w:top w:val="nil"/>
              <w:left w:val="nil"/>
              <w:bottom w:val="nil"/>
              <w:right w:val="single" w:sz="4" w:space="0" w:color="auto"/>
            </w:tcBorders>
          </w:tcPr>
          <w:p w14:paraId="33DA24B0" w14:textId="77777777" w:rsidR="00BF4BDF" w:rsidRPr="00BF4BDF" w:rsidRDefault="00BF4BDF" w:rsidP="00851DC5">
            <w:pPr>
              <w:jc w:val="both"/>
              <w:rPr>
                <w:rFonts w:ascii="Arial" w:hAnsi="Arial" w:cs="Arial"/>
                <w:i/>
                <w:iCs/>
                <w:sz w:val="18"/>
                <w:szCs w:val="18"/>
              </w:rPr>
            </w:pPr>
          </w:p>
        </w:tc>
      </w:tr>
      <w:tr w:rsidR="00BF4BDF" w:rsidRPr="0027536A" w14:paraId="0B9CEF1F" w14:textId="77777777" w:rsidTr="00D3623C">
        <w:trPr>
          <w:trHeight w:val="227"/>
        </w:trPr>
        <w:tc>
          <w:tcPr>
            <w:tcW w:w="3114" w:type="dxa"/>
            <w:tcBorders>
              <w:top w:val="nil"/>
              <w:left w:val="single" w:sz="4" w:space="0" w:color="auto"/>
              <w:bottom w:val="nil"/>
              <w:right w:val="single" w:sz="4" w:space="0" w:color="auto"/>
            </w:tcBorders>
            <w:vAlign w:val="center"/>
          </w:tcPr>
          <w:p w14:paraId="68E026CB"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Cocaína</w:t>
            </w:r>
          </w:p>
        </w:tc>
        <w:tc>
          <w:tcPr>
            <w:tcW w:w="2410" w:type="dxa"/>
            <w:tcBorders>
              <w:top w:val="nil"/>
              <w:left w:val="single" w:sz="4" w:space="0" w:color="auto"/>
              <w:bottom w:val="nil"/>
              <w:right w:val="nil"/>
            </w:tcBorders>
            <w:vAlign w:val="center"/>
          </w:tcPr>
          <w:p w14:paraId="7A3D196D"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 xml:space="preserve">500 mg. </w:t>
            </w:r>
          </w:p>
        </w:tc>
        <w:tc>
          <w:tcPr>
            <w:tcW w:w="3543" w:type="dxa"/>
            <w:tcBorders>
              <w:top w:val="nil"/>
              <w:left w:val="nil"/>
              <w:bottom w:val="nil"/>
              <w:right w:val="single" w:sz="4" w:space="0" w:color="auto"/>
            </w:tcBorders>
          </w:tcPr>
          <w:p w14:paraId="15056914" w14:textId="77777777" w:rsidR="00BF4BDF" w:rsidRPr="00BF4BDF" w:rsidRDefault="00BF4BDF" w:rsidP="00851DC5">
            <w:pPr>
              <w:jc w:val="both"/>
              <w:rPr>
                <w:rFonts w:ascii="Arial" w:hAnsi="Arial" w:cs="Arial"/>
                <w:i/>
                <w:iCs/>
                <w:sz w:val="18"/>
                <w:szCs w:val="18"/>
              </w:rPr>
            </w:pPr>
          </w:p>
        </w:tc>
      </w:tr>
      <w:tr w:rsidR="00BF4BDF" w:rsidRPr="0027536A" w14:paraId="70F45DF0" w14:textId="77777777" w:rsidTr="00D3623C">
        <w:trPr>
          <w:trHeight w:val="227"/>
        </w:trPr>
        <w:tc>
          <w:tcPr>
            <w:tcW w:w="3114" w:type="dxa"/>
            <w:tcBorders>
              <w:top w:val="nil"/>
              <w:left w:val="single" w:sz="4" w:space="0" w:color="auto"/>
              <w:bottom w:val="single" w:sz="4" w:space="0" w:color="auto"/>
              <w:right w:val="single" w:sz="4" w:space="0" w:color="auto"/>
            </w:tcBorders>
            <w:vAlign w:val="center"/>
          </w:tcPr>
          <w:p w14:paraId="1E8E3D59"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Lisérgica (LSD)</w:t>
            </w:r>
          </w:p>
        </w:tc>
        <w:tc>
          <w:tcPr>
            <w:tcW w:w="2410" w:type="dxa"/>
            <w:tcBorders>
              <w:top w:val="nil"/>
              <w:left w:val="single" w:sz="4" w:space="0" w:color="auto"/>
              <w:bottom w:val="single" w:sz="4" w:space="0" w:color="auto"/>
              <w:right w:val="nil"/>
            </w:tcBorders>
            <w:vAlign w:val="center"/>
          </w:tcPr>
          <w:p w14:paraId="51D444F1"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0.015 mg.</w:t>
            </w:r>
          </w:p>
        </w:tc>
        <w:tc>
          <w:tcPr>
            <w:tcW w:w="3543" w:type="dxa"/>
            <w:tcBorders>
              <w:top w:val="nil"/>
              <w:left w:val="nil"/>
              <w:bottom w:val="single" w:sz="4" w:space="0" w:color="auto"/>
              <w:right w:val="single" w:sz="4" w:space="0" w:color="auto"/>
            </w:tcBorders>
          </w:tcPr>
          <w:p w14:paraId="5765A193" w14:textId="77777777" w:rsidR="00BF4BDF" w:rsidRPr="00BF4BDF" w:rsidRDefault="00BF4BDF" w:rsidP="00851DC5">
            <w:pPr>
              <w:jc w:val="both"/>
              <w:rPr>
                <w:rFonts w:ascii="Arial" w:hAnsi="Arial" w:cs="Arial"/>
                <w:i/>
                <w:iCs/>
                <w:sz w:val="18"/>
                <w:szCs w:val="18"/>
              </w:rPr>
            </w:pPr>
          </w:p>
        </w:tc>
      </w:tr>
      <w:tr w:rsidR="00BF4BDF" w:rsidRPr="0027536A" w14:paraId="2289A79F" w14:textId="77777777" w:rsidTr="00D3623C">
        <w:trPr>
          <w:trHeight w:val="227"/>
        </w:trPr>
        <w:tc>
          <w:tcPr>
            <w:tcW w:w="3114" w:type="dxa"/>
            <w:tcBorders>
              <w:top w:val="single" w:sz="4" w:space="0" w:color="auto"/>
              <w:bottom w:val="single" w:sz="4" w:space="0" w:color="auto"/>
            </w:tcBorders>
          </w:tcPr>
          <w:p w14:paraId="69C4C2B6" w14:textId="77777777" w:rsidR="00BF4BDF" w:rsidRPr="00BF4BDF" w:rsidRDefault="00BF4BDF" w:rsidP="00851DC5">
            <w:pPr>
              <w:jc w:val="both"/>
              <w:rPr>
                <w:rFonts w:ascii="Arial" w:hAnsi="Arial" w:cs="Arial"/>
                <w:i/>
                <w:iCs/>
                <w:sz w:val="18"/>
                <w:szCs w:val="18"/>
              </w:rPr>
            </w:pPr>
          </w:p>
        </w:tc>
        <w:tc>
          <w:tcPr>
            <w:tcW w:w="2410" w:type="dxa"/>
            <w:tcBorders>
              <w:top w:val="single" w:sz="4" w:space="0" w:color="auto"/>
              <w:bottom w:val="single" w:sz="4" w:space="0" w:color="auto"/>
            </w:tcBorders>
          </w:tcPr>
          <w:p w14:paraId="3C6EAA24" w14:textId="77777777" w:rsidR="00BF4BDF" w:rsidRPr="00BF4BDF" w:rsidRDefault="00BF4BDF" w:rsidP="00851DC5">
            <w:pPr>
              <w:jc w:val="both"/>
              <w:rPr>
                <w:rFonts w:ascii="Arial" w:hAnsi="Arial" w:cs="Arial"/>
                <w:b/>
                <w:bCs/>
                <w:sz w:val="18"/>
                <w:szCs w:val="18"/>
              </w:rPr>
            </w:pPr>
            <w:r w:rsidRPr="00BF4BDF">
              <w:rPr>
                <w:rFonts w:ascii="Arial" w:hAnsi="Arial" w:cs="Arial"/>
                <w:b/>
                <w:bCs/>
                <w:sz w:val="18"/>
                <w:szCs w:val="18"/>
              </w:rPr>
              <w:t>Polvo, cristal o granulado</w:t>
            </w:r>
          </w:p>
        </w:tc>
        <w:tc>
          <w:tcPr>
            <w:tcW w:w="3543" w:type="dxa"/>
            <w:tcBorders>
              <w:top w:val="single" w:sz="4" w:space="0" w:color="auto"/>
              <w:bottom w:val="single" w:sz="4" w:space="0" w:color="auto"/>
            </w:tcBorders>
          </w:tcPr>
          <w:p w14:paraId="7C8201BD" w14:textId="77777777" w:rsidR="00BF4BDF" w:rsidRPr="00BF4BDF" w:rsidRDefault="00BF4BDF" w:rsidP="00851DC5">
            <w:pPr>
              <w:jc w:val="both"/>
              <w:rPr>
                <w:rFonts w:ascii="Arial" w:hAnsi="Arial" w:cs="Arial"/>
                <w:b/>
                <w:bCs/>
                <w:sz w:val="18"/>
                <w:szCs w:val="18"/>
              </w:rPr>
            </w:pPr>
            <w:r w:rsidRPr="00BF4BDF">
              <w:rPr>
                <w:rFonts w:ascii="Arial" w:hAnsi="Arial" w:cs="Arial"/>
                <w:b/>
                <w:bCs/>
                <w:sz w:val="18"/>
                <w:szCs w:val="18"/>
              </w:rPr>
              <w:t>Tabletas o cápsulas</w:t>
            </w:r>
          </w:p>
        </w:tc>
      </w:tr>
      <w:tr w:rsidR="00BF4BDF" w:rsidRPr="0027536A" w14:paraId="04CE92BE" w14:textId="77777777" w:rsidTr="00D3623C">
        <w:trPr>
          <w:trHeight w:val="227"/>
        </w:trPr>
        <w:tc>
          <w:tcPr>
            <w:tcW w:w="3114" w:type="dxa"/>
            <w:tcBorders>
              <w:top w:val="single" w:sz="4" w:space="0" w:color="auto"/>
              <w:left w:val="single" w:sz="4" w:space="0" w:color="auto"/>
              <w:bottom w:val="nil"/>
              <w:right w:val="single" w:sz="4" w:space="0" w:color="auto"/>
            </w:tcBorders>
            <w:vAlign w:val="center"/>
          </w:tcPr>
          <w:p w14:paraId="15F05143"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Metilendioxianfetamina (MDA)</w:t>
            </w:r>
          </w:p>
        </w:tc>
        <w:tc>
          <w:tcPr>
            <w:tcW w:w="2410" w:type="dxa"/>
            <w:tcBorders>
              <w:top w:val="single" w:sz="4" w:space="0" w:color="auto"/>
              <w:left w:val="single" w:sz="4" w:space="0" w:color="auto"/>
              <w:bottom w:val="nil"/>
              <w:right w:val="single" w:sz="4" w:space="0" w:color="auto"/>
            </w:tcBorders>
            <w:vAlign w:val="center"/>
          </w:tcPr>
          <w:p w14:paraId="3F6A2A4B"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40 mg.</w:t>
            </w:r>
          </w:p>
        </w:tc>
        <w:tc>
          <w:tcPr>
            <w:tcW w:w="3543" w:type="dxa"/>
            <w:tcBorders>
              <w:top w:val="single" w:sz="4" w:space="0" w:color="auto"/>
              <w:left w:val="single" w:sz="4" w:space="0" w:color="auto"/>
              <w:bottom w:val="nil"/>
              <w:right w:val="single" w:sz="4" w:space="0" w:color="auto"/>
            </w:tcBorders>
            <w:vAlign w:val="center"/>
          </w:tcPr>
          <w:p w14:paraId="66E54680" w14:textId="77777777" w:rsidR="00BF4BDF" w:rsidRPr="00BF4BDF" w:rsidRDefault="00BF4BDF" w:rsidP="00851DC5">
            <w:pPr>
              <w:jc w:val="both"/>
              <w:rPr>
                <w:rFonts w:ascii="Arial" w:hAnsi="Arial" w:cs="Arial"/>
                <w:sz w:val="18"/>
                <w:szCs w:val="18"/>
              </w:rPr>
            </w:pPr>
            <w:r w:rsidRPr="00BF4BDF">
              <w:rPr>
                <w:rFonts w:ascii="Arial" w:hAnsi="Arial" w:cs="Arial"/>
                <w:sz w:val="18"/>
                <w:szCs w:val="18"/>
              </w:rPr>
              <w:t xml:space="preserve">Una unidad con peso no mayor a 200 mg. </w:t>
            </w:r>
          </w:p>
        </w:tc>
      </w:tr>
      <w:tr w:rsidR="00BF4BDF" w:rsidRPr="0027536A" w14:paraId="0CFEC594" w14:textId="77777777" w:rsidTr="00D3623C">
        <w:trPr>
          <w:trHeight w:val="227"/>
        </w:trPr>
        <w:tc>
          <w:tcPr>
            <w:tcW w:w="3114" w:type="dxa"/>
            <w:tcBorders>
              <w:top w:val="nil"/>
              <w:left w:val="single" w:sz="4" w:space="0" w:color="auto"/>
              <w:bottom w:val="nil"/>
              <w:right w:val="single" w:sz="4" w:space="0" w:color="auto"/>
            </w:tcBorders>
            <w:vAlign w:val="center"/>
          </w:tcPr>
          <w:p w14:paraId="03E02844"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MDMA</w:t>
            </w:r>
          </w:p>
        </w:tc>
        <w:tc>
          <w:tcPr>
            <w:tcW w:w="2410" w:type="dxa"/>
            <w:tcBorders>
              <w:top w:val="nil"/>
              <w:left w:val="single" w:sz="4" w:space="0" w:color="auto"/>
              <w:bottom w:val="nil"/>
              <w:right w:val="single" w:sz="4" w:space="0" w:color="auto"/>
            </w:tcBorders>
            <w:vAlign w:val="center"/>
          </w:tcPr>
          <w:p w14:paraId="497576BE"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40 mg.</w:t>
            </w:r>
          </w:p>
        </w:tc>
        <w:tc>
          <w:tcPr>
            <w:tcW w:w="3543" w:type="dxa"/>
            <w:tcBorders>
              <w:top w:val="nil"/>
              <w:left w:val="single" w:sz="4" w:space="0" w:color="auto"/>
              <w:bottom w:val="nil"/>
              <w:right w:val="single" w:sz="4" w:space="0" w:color="auto"/>
            </w:tcBorders>
            <w:vAlign w:val="center"/>
          </w:tcPr>
          <w:p w14:paraId="3A594026" w14:textId="77777777" w:rsidR="00BF4BDF" w:rsidRPr="00BF4BDF" w:rsidRDefault="00BF4BDF" w:rsidP="00851DC5">
            <w:pPr>
              <w:jc w:val="both"/>
              <w:rPr>
                <w:rFonts w:ascii="Arial" w:hAnsi="Arial" w:cs="Arial"/>
                <w:sz w:val="18"/>
                <w:szCs w:val="18"/>
              </w:rPr>
            </w:pPr>
            <w:r w:rsidRPr="00BF4BDF">
              <w:rPr>
                <w:rFonts w:ascii="Arial" w:hAnsi="Arial" w:cs="Arial"/>
                <w:sz w:val="18"/>
                <w:szCs w:val="18"/>
              </w:rPr>
              <w:t xml:space="preserve">Una unidad con peso no mayor a 200 mg. </w:t>
            </w:r>
          </w:p>
        </w:tc>
      </w:tr>
      <w:tr w:rsidR="00BF4BDF" w:rsidRPr="0027536A" w14:paraId="6683CE97" w14:textId="77777777" w:rsidTr="00D3623C">
        <w:trPr>
          <w:trHeight w:val="227"/>
        </w:trPr>
        <w:tc>
          <w:tcPr>
            <w:tcW w:w="3114" w:type="dxa"/>
            <w:tcBorders>
              <w:top w:val="nil"/>
              <w:left w:val="single" w:sz="4" w:space="0" w:color="auto"/>
              <w:bottom w:val="single" w:sz="4" w:space="0" w:color="auto"/>
              <w:right w:val="single" w:sz="4" w:space="0" w:color="auto"/>
            </w:tcBorders>
            <w:vAlign w:val="center"/>
          </w:tcPr>
          <w:p w14:paraId="24EE7517"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Metanfetamina</w:t>
            </w:r>
          </w:p>
        </w:tc>
        <w:tc>
          <w:tcPr>
            <w:tcW w:w="2410" w:type="dxa"/>
            <w:tcBorders>
              <w:top w:val="nil"/>
              <w:left w:val="single" w:sz="4" w:space="0" w:color="auto"/>
              <w:bottom w:val="single" w:sz="4" w:space="0" w:color="auto"/>
              <w:right w:val="single" w:sz="4" w:space="0" w:color="auto"/>
            </w:tcBorders>
            <w:vAlign w:val="center"/>
          </w:tcPr>
          <w:p w14:paraId="6B0EC147" w14:textId="77777777" w:rsidR="00BF4BDF" w:rsidRPr="00BF4BDF" w:rsidRDefault="00BF4BDF" w:rsidP="00851DC5">
            <w:pPr>
              <w:jc w:val="both"/>
              <w:rPr>
                <w:rFonts w:ascii="Arial" w:hAnsi="Arial" w:cs="Arial"/>
                <w:i/>
                <w:iCs/>
                <w:sz w:val="18"/>
                <w:szCs w:val="18"/>
              </w:rPr>
            </w:pPr>
            <w:r w:rsidRPr="00BF4BDF">
              <w:rPr>
                <w:rFonts w:ascii="Arial" w:hAnsi="Arial" w:cs="Arial"/>
                <w:sz w:val="18"/>
                <w:szCs w:val="18"/>
              </w:rPr>
              <w:t>40 mg.</w:t>
            </w:r>
          </w:p>
        </w:tc>
        <w:tc>
          <w:tcPr>
            <w:tcW w:w="3543" w:type="dxa"/>
            <w:tcBorders>
              <w:top w:val="nil"/>
              <w:left w:val="single" w:sz="4" w:space="0" w:color="auto"/>
              <w:bottom w:val="single" w:sz="4" w:space="0" w:color="auto"/>
              <w:right w:val="single" w:sz="4" w:space="0" w:color="auto"/>
            </w:tcBorders>
            <w:vAlign w:val="center"/>
          </w:tcPr>
          <w:p w14:paraId="3019BD66" w14:textId="77777777" w:rsidR="00BF4BDF" w:rsidRPr="00BF4BDF" w:rsidRDefault="00BF4BDF" w:rsidP="00851DC5">
            <w:pPr>
              <w:jc w:val="both"/>
              <w:rPr>
                <w:rFonts w:ascii="Arial" w:hAnsi="Arial" w:cs="Arial"/>
                <w:sz w:val="18"/>
                <w:szCs w:val="18"/>
              </w:rPr>
            </w:pPr>
            <w:r w:rsidRPr="00BF4BDF">
              <w:rPr>
                <w:rFonts w:ascii="Arial" w:hAnsi="Arial" w:cs="Arial"/>
                <w:sz w:val="18"/>
                <w:szCs w:val="18"/>
              </w:rPr>
              <w:t xml:space="preserve">Una unidad con peso no mayor a 200 mg. </w:t>
            </w:r>
          </w:p>
        </w:tc>
      </w:tr>
      <w:tr w:rsidR="00BF4BDF" w:rsidRPr="00F92846" w14:paraId="3B9998BD" w14:textId="77777777" w:rsidTr="00D3623C">
        <w:trPr>
          <w:trHeight w:val="227"/>
        </w:trPr>
        <w:tc>
          <w:tcPr>
            <w:tcW w:w="9067" w:type="dxa"/>
            <w:gridSpan w:val="3"/>
            <w:tcBorders>
              <w:top w:val="single" w:sz="4" w:space="0" w:color="auto"/>
            </w:tcBorders>
            <w:vAlign w:val="center"/>
          </w:tcPr>
          <w:p w14:paraId="69995D35" w14:textId="37289FEB" w:rsidR="00BF4BDF" w:rsidRPr="00B52523" w:rsidRDefault="00BF4BDF" w:rsidP="00851DC5">
            <w:pPr>
              <w:rPr>
                <w:rFonts w:ascii="Arial" w:hAnsi="Arial" w:cs="Arial"/>
                <w:sz w:val="16"/>
                <w:szCs w:val="16"/>
              </w:rPr>
            </w:pPr>
            <w:r w:rsidRPr="00B52523">
              <w:rPr>
                <w:rFonts w:ascii="Arial" w:hAnsi="Arial" w:cs="Arial"/>
                <w:bCs/>
                <w:sz w:val="16"/>
                <w:szCs w:val="16"/>
              </w:rPr>
              <w:t>Fuente</w:t>
            </w:r>
            <w:r w:rsidR="00152EFC" w:rsidRPr="00B52523">
              <w:rPr>
                <w:rFonts w:ascii="Arial" w:hAnsi="Arial" w:cs="Arial"/>
                <w:bCs/>
                <w:sz w:val="16"/>
                <w:szCs w:val="16"/>
              </w:rPr>
              <w:t xml:space="preserve">: </w:t>
            </w:r>
            <w:r w:rsidRPr="00B52523">
              <w:rPr>
                <w:rFonts w:ascii="Arial" w:hAnsi="Arial" w:cs="Arial"/>
                <w:sz w:val="16"/>
                <w:szCs w:val="16"/>
              </w:rPr>
              <w:t>Artículo 479, Titulo Décimo Octavo, Capitulo VII</w:t>
            </w:r>
            <w:r w:rsidR="00152EFC" w:rsidRPr="00B52523">
              <w:rPr>
                <w:rFonts w:ascii="Arial" w:hAnsi="Arial" w:cs="Arial"/>
                <w:sz w:val="16"/>
                <w:szCs w:val="16"/>
              </w:rPr>
              <w:t xml:space="preserve">, Ley General de Salud. </w:t>
            </w:r>
            <w:hyperlink r:id="rId28" w:history="1">
              <w:r w:rsidR="00F92846" w:rsidRPr="00B52523">
                <w:rPr>
                  <w:rStyle w:val="Hipervnculo"/>
                  <w:rFonts w:ascii="Arial" w:hAnsi="Arial" w:cs="Arial"/>
                  <w:sz w:val="16"/>
                  <w:szCs w:val="16"/>
                </w:rPr>
                <w:t>http://www.diputados.gob.mx/LeyesBiblio/pdf_mov/Ley_General_de_Salud.pdf</w:t>
              </w:r>
            </w:hyperlink>
            <w:r w:rsidR="00F92846" w:rsidRPr="00F92846">
              <w:rPr>
                <w:rFonts w:ascii="Arial" w:hAnsi="Arial" w:cs="Arial"/>
                <w:sz w:val="16"/>
                <w:szCs w:val="16"/>
              </w:rPr>
              <w:t xml:space="preserve"> (</w:t>
            </w:r>
            <w:r w:rsidR="00F92846" w:rsidRPr="00B52523">
              <w:rPr>
                <w:rFonts w:ascii="Arial" w:hAnsi="Arial" w:cs="Arial"/>
                <w:sz w:val="16"/>
                <w:szCs w:val="16"/>
              </w:rPr>
              <w:t>Fecha</w:t>
            </w:r>
            <w:r w:rsidR="00F92846">
              <w:rPr>
                <w:rFonts w:ascii="Arial" w:hAnsi="Arial" w:cs="Arial"/>
                <w:sz w:val="16"/>
                <w:szCs w:val="16"/>
              </w:rPr>
              <w:t xml:space="preserve"> </w:t>
            </w:r>
            <w:r w:rsidR="00F92846" w:rsidRPr="00B52523">
              <w:rPr>
                <w:rFonts w:ascii="Arial" w:hAnsi="Arial" w:cs="Arial"/>
                <w:sz w:val="16"/>
                <w:szCs w:val="16"/>
              </w:rPr>
              <w:t>de consulta: 02 de junio de 2020)</w:t>
            </w:r>
          </w:p>
        </w:tc>
      </w:tr>
    </w:tbl>
    <w:p w14:paraId="55011B3E" w14:textId="77777777" w:rsidR="00BF4BDF" w:rsidRPr="000A4EEA" w:rsidRDefault="00BF4BDF" w:rsidP="000A4EEA">
      <w:pPr>
        <w:spacing w:after="0" w:line="240" w:lineRule="auto"/>
        <w:ind w:right="-516"/>
        <w:rPr>
          <w:rFonts w:ascii="Arial" w:eastAsia="Times New Roman" w:hAnsi="Arial" w:cs="Arial"/>
          <w:color w:val="000000"/>
          <w:sz w:val="20"/>
          <w:szCs w:val="20"/>
          <w:lang w:eastAsia="es-MX"/>
        </w:rPr>
      </w:pPr>
    </w:p>
    <w:sectPr w:rsidR="00BF4BDF" w:rsidRPr="000A4EEA" w:rsidSect="002721A0">
      <w:headerReference w:type="default" r:id="rId29"/>
      <w:type w:val="continuous"/>
      <w:pgSz w:w="12240" w:h="15840"/>
      <w:pgMar w:top="1667"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5C22B" w14:textId="77777777" w:rsidR="00173612" w:rsidRDefault="00173612" w:rsidP="0087788A">
      <w:pPr>
        <w:spacing w:after="0" w:line="240" w:lineRule="auto"/>
      </w:pPr>
      <w:r>
        <w:separator/>
      </w:r>
    </w:p>
  </w:endnote>
  <w:endnote w:type="continuationSeparator" w:id="0">
    <w:p w14:paraId="5139CD33" w14:textId="77777777" w:rsidR="00173612" w:rsidRDefault="00173612" w:rsidP="0087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F043" w14:textId="387234B9" w:rsidR="00D546E1" w:rsidRPr="00A86D38" w:rsidRDefault="00D546E1" w:rsidP="00D546E1">
    <w:pPr>
      <w:pStyle w:val="Piedepgina"/>
      <w:jc w:val="center"/>
      <w:rPr>
        <w:rFonts w:ascii="Arial" w:hAnsi="Arial" w:cs="Arial"/>
        <w:b/>
        <w:bCs/>
        <w:color w:val="002060"/>
        <w:sz w:val="20"/>
        <w:szCs w:val="20"/>
      </w:rPr>
    </w:pPr>
    <w:r w:rsidRPr="00A86D38">
      <w:rPr>
        <w:rFonts w:ascii="Arial" w:hAnsi="Arial" w:cs="Arial"/>
        <w:b/>
        <w:bCs/>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5F5FC" w14:textId="77777777" w:rsidR="00173612" w:rsidRDefault="00173612" w:rsidP="0087788A">
      <w:pPr>
        <w:spacing w:after="0" w:line="240" w:lineRule="auto"/>
      </w:pPr>
      <w:r>
        <w:separator/>
      </w:r>
    </w:p>
  </w:footnote>
  <w:footnote w:type="continuationSeparator" w:id="0">
    <w:p w14:paraId="6B7450E2" w14:textId="77777777" w:rsidR="00173612" w:rsidRDefault="00173612" w:rsidP="0087788A">
      <w:pPr>
        <w:spacing w:after="0" w:line="240" w:lineRule="auto"/>
      </w:pPr>
      <w:r>
        <w:continuationSeparator/>
      </w:r>
    </w:p>
  </w:footnote>
  <w:footnote w:id="1">
    <w:p w14:paraId="444F3494" w14:textId="77777777" w:rsidR="00C509CE" w:rsidRPr="00FC7C96" w:rsidRDefault="00C509CE" w:rsidP="00D546E1">
      <w:pPr>
        <w:pStyle w:val="Textonotapie"/>
        <w:ind w:left="-284" w:right="-235"/>
        <w:jc w:val="both"/>
        <w:rPr>
          <w:rFonts w:ascii="Arial" w:hAnsi="Arial" w:cs="Arial"/>
        </w:rPr>
      </w:pPr>
      <w:r w:rsidRPr="00FC7C96">
        <w:rPr>
          <w:rStyle w:val="Refdenotaalpie"/>
          <w:rFonts w:ascii="Arial" w:hAnsi="Arial" w:cs="Arial"/>
        </w:rPr>
        <w:footnoteRef/>
      </w:r>
      <w:r w:rsidRPr="00FC7C96">
        <w:rPr>
          <w:rFonts w:ascii="Arial" w:hAnsi="Arial" w:cs="Arial"/>
        </w:rPr>
        <w:t xml:space="preserve"> “Posesión de narcóticos” refiere a la tenencia de drogas cuya cantidad es igual o superior a la que resulte de multiplicar por mil la dosis máxima establecida en la Ley General de Salud o cuando se presumen que la posesión está destinada para producir, transportar, comerciar o suministrar o realizar propaganda para el uso de sustancias ilícitas (Artículo 195 del Código Penal Federal). </w:t>
      </w:r>
    </w:p>
  </w:footnote>
  <w:footnote w:id="2">
    <w:p w14:paraId="7D58F9B3" w14:textId="2B071177" w:rsidR="008E2D5A" w:rsidRPr="00FC7C96" w:rsidRDefault="008E2D5A" w:rsidP="00A00CB5">
      <w:pPr>
        <w:pStyle w:val="Textonotapie"/>
        <w:rPr>
          <w:rFonts w:ascii="Arial" w:hAnsi="Arial" w:cs="Arial"/>
        </w:rPr>
      </w:pPr>
      <w:r w:rsidRPr="00FC7C96">
        <w:rPr>
          <w:rStyle w:val="Refdenotaalpie"/>
          <w:rFonts w:ascii="Arial" w:hAnsi="Arial" w:cs="Arial"/>
        </w:rPr>
        <w:footnoteRef/>
      </w:r>
      <w:r w:rsidRPr="00FC7C96">
        <w:rPr>
          <w:rFonts w:ascii="Arial" w:hAnsi="Arial" w:cs="Arial"/>
        </w:rPr>
        <w:t xml:space="preserve"> Asamblea General de las Naciones Unidas, </w:t>
      </w:r>
      <w:r w:rsidRPr="00FC7C96">
        <w:rPr>
          <w:rFonts w:ascii="Arial" w:hAnsi="Arial" w:cs="Arial"/>
          <w:i/>
          <w:iCs/>
        </w:rPr>
        <w:t>Conferencia Internacional sobre el Uso Indebido y el Tráfico Ilícito de Drogas, Naciones Unidas</w:t>
      </w:r>
      <w:r w:rsidRPr="00FC7C96">
        <w:rPr>
          <w:rFonts w:ascii="Arial" w:hAnsi="Arial" w:cs="Arial"/>
        </w:rPr>
        <w:t xml:space="preserve">, </w:t>
      </w:r>
      <w:hyperlink r:id="rId1" w:history="1">
        <w:r w:rsidRPr="00FC7C96">
          <w:rPr>
            <w:rStyle w:val="Hipervnculo"/>
            <w:rFonts w:ascii="Arial" w:hAnsi="Arial" w:cs="Arial"/>
          </w:rPr>
          <w:t>https://undocs.org/es/A/RES/42/112</w:t>
        </w:r>
      </w:hyperlink>
      <w:r w:rsidRPr="00FC7C96">
        <w:rPr>
          <w:rFonts w:ascii="Arial" w:hAnsi="Arial" w:cs="Arial"/>
        </w:rPr>
        <w:t xml:space="preserve"> (Fecha de consulta: 02 de junio de 2020).</w:t>
      </w:r>
    </w:p>
  </w:footnote>
  <w:footnote w:id="3">
    <w:p w14:paraId="41B58698" w14:textId="5B3429F6" w:rsidR="008E2D5A" w:rsidRPr="00FC7C96" w:rsidRDefault="008E2D5A" w:rsidP="00A00CB5">
      <w:pPr>
        <w:pStyle w:val="Textonotapie"/>
        <w:rPr>
          <w:rFonts w:ascii="Arial" w:hAnsi="Arial" w:cs="Arial"/>
        </w:rPr>
      </w:pPr>
      <w:r w:rsidRPr="00FC7C96">
        <w:rPr>
          <w:rStyle w:val="Refdenotaalpie"/>
          <w:rFonts w:ascii="Arial" w:hAnsi="Arial" w:cs="Arial"/>
        </w:rPr>
        <w:footnoteRef/>
      </w:r>
      <w:r w:rsidRPr="00FC7C96">
        <w:rPr>
          <w:rFonts w:ascii="Arial" w:hAnsi="Arial" w:cs="Arial"/>
        </w:rPr>
        <w:t xml:space="preserve"> Para fines del Boletín se empleará como sinónimo de “narcóticos” el termino de sustancias ilícitas.  </w:t>
      </w:r>
    </w:p>
  </w:footnote>
  <w:footnote w:id="4">
    <w:p w14:paraId="3FE01486" w14:textId="77777777" w:rsidR="009B31A5" w:rsidRPr="000A1ABD" w:rsidRDefault="009B31A5" w:rsidP="00A00CB5">
      <w:pPr>
        <w:pStyle w:val="Textonotapie"/>
        <w:rPr>
          <w:rFonts w:ascii="Arial" w:hAnsi="Arial" w:cs="Arial"/>
        </w:rPr>
      </w:pPr>
      <w:r w:rsidRPr="000A1ABD">
        <w:rPr>
          <w:rStyle w:val="Refdenotaalpie"/>
          <w:rFonts w:ascii="Arial" w:hAnsi="Arial" w:cs="Arial"/>
        </w:rPr>
        <w:footnoteRef/>
      </w:r>
      <w:r w:rsidRPr="000A1ABD">
        <w:rPr>
          <w:rFonts w:ascii="Arial" w:hAnsi="Arial" w:cs="Arial"/>
        </w:rPr>
        <w:t xml:space="preserve">  Asamblea General de las Naciones Unidas, Nuestro compromiso conjunto de abordar y contrarrestar eficazmente el problema mundial de las drogas (Viena: Naciones Unidas, 2016), https://www.unodc.org/documents/postungass2016/outcome/V1603304-S.pdf (Fecha de consulta: 02 de junio de 2020)</w:t>
      </w:r>
    </w:p>
  </w:footnote>
  <w:footnote w:id="5">
    <w:p w14:paraId="615B4D91" w14:textId="77777777" w:rsidR="00B31283" w:rsidRPr="00FC7C96" w:rsidRDefault="00B31283" w:rsidP="00A00CB5">
      <w:pPr>
        <w:pStyle w:val="Textonotapie"/>
        <w:rPr>
          <w:rFonts w:ascii="Arial" w:hAnsi="Arial" w:cs="Arial"/>
        </w:rPr>
      </w:pPr>
      <w:r w:rsidRPr="00FC7C96">
        <w:rPr>
          <w:rStyle w:val="Refdenotaalpie"/>
          <w:rFonts w:ascii="Arial" w:hAnsi="Arial" w:cs="Arial"/>
        </w:rPr>
        <w:footnoteRef/>
      </w:r>
      <w:r w:rsidRPr="00FC7C96">
        <w:rPr>
          <w:rFonts w:ascii="Arial" w:hAnsi="Arial" w:cs="Arial"/>
        </w:rPr>
        <w:t xml:space="preserve"> Diario Oficial de la Federación, </w:t>
      </w:r>
      <w:r w:rsidRPr="00FC7C96">
        <w:rPr>
          <w:rFonts w:ascii="Arial" w:hAnsi="Arial" w:cs="Arial"/>
          <w:i/>
          <w:iCs/>
        </w:rPr>
        <w:t>Plan Nacional de Desarrollo 2019 – 2024</w:t>
      </w:r>
      <w:r w:rsidRPr="00FC7C96">
        <w:rPr>
          <w:rFonts w:ascii="Arial" w:hAnsi="Arial" w:cs="Arial"/>
        </w:rPr>
        <w:t xml:space="preserve">, Secretaria de Gobernación, </w:t>
      </w:r>
      <w:hyperlink r:id="rId2" w:history="1">
        <w:r w:rsidRPr="00FC7C96">
          <w:rPr>
            <w:rStyle w:val="Hipervnculo"/>
            <w:rFonts w:ascii="Arial" w:hAnsi="Arial" w:cs="Arial"/>
          </w:rPr>
          <w:t>https://www.dof.gob.mx/nota_detalle.php?codigo=5565599&amp;fecha=12/07/2019</w:t>
        </w:r>
      </w:hyperlink>
      <w:r w:rsidRPr="00FC7C96">
        <w:rPr>
          <w:rFonts w:ascii="Arial" w:hAnsi="Arial" w:cs="Arial"/>
        </w:rPr>
        <w:t xml:space="preserve"> (Fecha de consulta: 02 de junio de 2020).</w:t>
      </w:r>
    </w:p>
  </w:footnote>
  <w:footnote w:id="6">
    <w:p w14:paraId="3D902FC7" w14:textId="41055256" w:rsidR="008E2D5A" w:rsidRPr="00FC7C96" w:rsidRDefault="008E2D5A" w:rsidP="00A00CB5">
      <w:pPr>
        <w:pStyle w:val="Textonotapie"/>
        <w:rPr>
          <w:rFonts w:ascii="Arial" w:hAnsi="Arial" w:cs="Arial"/>
        </w:rPr>
      </w:pPr>
      <w:r w:rsidRPr="00FC7C96">
        <w:rPr>
          <w:rStyle w:val="Refdenotaalpie"/>
          <w:rFonts w:ascii="Arial" w:hAnsi="Arial" w:cs="Arial"/>
        </w:rPr>
        <w:footnoteRef/>
      </w:r>
      <w:r w:rsidRPr="00FC7C96">
        <w:rPr>
          <w:rFonts w:ascii="Arial" w:hAnsi="Arial" w:cs="Arial"/>
        </w:rPr>
        <w:t xml:space="preserve"> Anualmente la Asamblea General de las Naciones Unidas establece un tema para las campañas en el marco del Día internacional de la lucha contra el uso indebido y el tráfico ilícito de drogas. En 2019, el tema fue “Salud para la Justicia. Justicia para la Salud” con el propósito de mostrar la importancia de adoptar un enfoque integral que abarque la salud pública, los derechos humanos y la justicia penal para atender el problema mundial de las drogas. </w:t>
      </w:r>
      <w:hyperlink r:id="rId3" w:history="1">
        <w:r w:rsidRPr="00FC7C96">
          <w:rPr>
            <w:rStyle w:val="Hipervnculo"/>
            <w:rFonts w:ascii="Arial" w:hAnsi="Arial" w:cs="Arial"/>
          </w:rPr>
          <w:t>https://www.un.org/es/events/drugabuseday/index.shtml</w:t>
        </w:r>
      </w:hyperlink>
      <w:r w:rsidRPr="00FC7C96">
        <w:rPr>
          <w:rFonts w:ascii="Arial" w:hAnsi="Arial" w:cs="Arial"/>
        </w:rPr>
        <w:t xml:space="preserve"> (Fecha de consulta: 02 de junio de 2016)</w:t>
      </w:r>
    </w:p>
  </w:footnote>
  <w:footnote w:id="7">
    <w:p w14:paraId="52B13278" w14:textId="690B4B8B" w:rsidR="008E2D5A" w:rsidRPr="00FC7C96" w:rsidRDefault="008E2D5A" w:rsidP="00172D42">
      <w:pPr>
        <w:pStyle w:val="Textonotapie"/>
        <w:jc w:val="both"/>
        <w:rPr>
          <w:rFonts w:ascii="Arial" w:hAnsi="Arial" w:cs="Arial"/>
        </w:rPr>
      </w:pPr>
      <w:r w:rsidRPr="00FC7C96">
        <w:rPr>
          <w:rStyle w:val="Refdenotaalpie"/>
          <w:rFonts w:ascii="Arial" w:hAnsi="Arial" w:cs="Arial"/>
        </w:rPr>
        <w:footnoteRef/>
      </w:r>
      <w:r w:rsidRPr="00FC7C96">
        <w:rPr>
          <w:rFonts w:ascii="Arial" w:hAnsi="Arial" w:cs="Arial"/>
        </w:rPr>
        <w:t xml:space="preserve"> </w:t>
      </w:r>
      <w:r w:rsidR="007825BA">
        <w:rPr>
          <w:rFonts w:ascii="Arial" w:hAnsi="Arial" w:cs="Arial"/>
        </w:rPr>
        <w:t xml:space="preserve">Véase </w:t>
      </w:r>
      <w:r w:rsidRPr="00FC7C96">
        <w:rPr>
          <w:rFonts w:ascii="Arial" w:hAnsi="Arial" w:cs="Arial"/>
        </w:rPr>
        <w:t>Artículo</w:t>
      </w:r>
      <w:r w:rsidR="007825BA">
        <w:rPr>
          <w:rFonts w:ascii="Arial" w:hAnsi="Arial" w:cs="Arial"/>
        </w:rPr>
        <w:t xml:space="preserve"> </w:t>
      </w:r>
      <w:r w:rsidRPr="00FC7C96">
        <w:rPr>
          <w:rFonts w:ascii="Arial" w:hAnsi="Arial" w:cs="Arial"/>
        </w:rPr>
        <w:t>479 de la Ley General de Salud</w:t>
      </w:r>
      <w:r w:rsidR="00BF4BDF">
        <w:rPr>
          <w:rFonts w:ascii="Arial" w:hAnsi="Arial" w:cs="Arial"/>
        </w:rPr>
        <w:t>.</w:t>
      </w:r>
    </w:p>
  </w:footnote>
  <w:footnote w:id="8">
    <w:p w14:paraId="72EA1A55" w14:textId="10D17BCF" w:rsidR="008E2D5A" w:rsidRPr="00FC7C96" w:rsidRDefault="008E2D5A" w:rsidP="00172D42">
      <w:pPr>
        <w:pStyle w:val="Textonotapie"/>
        <w:jc w:val="both"/>
        <w:rPr>
          <w:rFonts w:ascii="Arial" w:hAnsi="Arial" w:cs="Arial"/>
        </w:rPr>
      </w:pPr>
      <w:r w:rsidRPr="00FC7C96">
        <w:rPr>
          <w:rStyle w:val="Refdenotaalpie"/>
          <w:rFonts w:ascii="Arial" w:hAnsi="Arial" w:cs="Arial"/>
        </w:rPr>
        <w:footnoteRef/>
      </w:r>
      <w:r w:rsidRPr="00FC7C96">
        <w:rPr>
          <w:rFonts w:ascii="Arial" w:hAnsi="Arial" w:cs="Arial"/>
        </w:rPr>
        <w:t xml:space="preserve"> </w:t>
      </w:r>
      <w:r w:rsidR="007825BA">
        <w:rPr>
          <w:rFonts w:ascii="Arial" w:hAnsi="Arial" w:cs="Arial"/>
        </w:rPr>
        <w:t xml:space="preserve">Véase </w:t>
      </w:r>
      <w:r w:rsidRPr="00FC7C96">
        <w:rPr>
          <w:rFonts w:ascii="Arial" w:hAnsi="Arial" w:cs="Arial"/>
        </w:rPr>
        <w:t>Artículos 474 al 478 de la Ley General de Salud.</w:t>
      </w:r>
    </w:p>
  </w:footnote>
  <w:footnote w:id="9">
    <w:p w14:paraId="1A011F93" w14:textId="35410C97" w:rsidR="008E2D5A" w:rsidRPr="00FC7C96" w:rsidRDefault="008E2D5A" w:rsidP="00172D42">
      <w:pPr>
        <w:pStyle w:val="Textonotapie"/>
        <w:jc w:val="both"/>
        <w:rPr>
          <w:rFonts w:ascii="Arial" w:hAnsi="Arial" w:cs="Arial"/>
        </w:rPr>
      </w:pPr>
      <w:r w:rsidRPr="00FC7C96">
        <w:rPr>
          <w:rStyle w:val="Refdenotaalpie"/>
          <w:rFonts w:ascii="Arial" w:hAnsi="Arial" w:cs="Arial"/>
        </w:rPr>
        <w:footnoteRef/>
      </w:r>
      <w:r w:rsidRPr="00FC7C96">
        <w:rPr>
          <w:rFonts w:ascii="Arial" w:hAnsi="Arial" w:cs="Arial"/>
        </w:rPr>
        <w:t xml:space="preserve"> A</w:t>
      </w:r>
      <w:r w:rsidRPr="00FC7C96">
        <w:rPr>
          <w:rStyle w:val="Refdecomentario"/>
          <w:rFonts w:ascii="Arial" w:hAnsi="Arial" w:cs="Arial"/>
          <w:sz w:val="20"/>
          <w:szCs w:val="20"/>
        </w:rPr>
        <w:t xml:space="preserve">rtículos 195 y 195 bis del </w:t>
      </w:r>
      <w:r w:rsidRPr="00FC7C96">
        <w:rPr>
          <w:rFonts w:ascii="Arial" w:hAnsi="Arial" w:cs="Arial"/>
        </w:rPr>
        <w:t>Código Penal Federal.</w:t>
      </w:r>
    </w:p>
  </w:footnote>
  <w:footnote w:id="10">
    <w:p w14:paraId="38250512" w14:textId="05AB3170" w:rsidR="008E2D5A" w:rsidRPr="00FC7C96" w:rsidRDefault="008E2D5A" w:rsidP="009B2C7E">
      <w:pPr>
        <w:pStyle w:val="Textonotapie"/>
        <w:jc w:val="both"/>
        <w:rPr>
          <w:rFonts w:ascii="Arial" w:hAnsi="Arial" w:cs="Arial"/>
        </w:rPr>
      </w:pPr>
      <w:r w:rsidRPr="00FC7C96">
        <w:rPr>
          <w:rStyle w:val="Refdenotaalpie"/>
          <w:rFonts w:ascii="Arial" w:hAnsi="Arial" w:cs="Arial"/>
        </w:rPr>
        <w:footnoteRef/>
      </w:r>
      <w:r w:rsidRPr="00FC7C96">
        <w:rPr>
          <w:rFonts w:ascii="Arial" w:hAnsi="Arial" w:cs="Arial"/>
        </w:rPr>
        <w:t xml:space="preserve"> Fracción I del artículo 194 del Código Penal Federal.</w:t>
      </w:r>
    </w:p>
  </w:footnote>
  <w:footnote w:id="11">
    <w:p w14:paraId="6052A845" w14:textId="009D2365" w:rsidR="008E2D5A" w:rsidRPr="00FC7C96" w:rsidRDefault="008E2D5A" w:rsidP="001A4B9E">
      <w:pPr>
        <w:pStyle w:val="Textonotapie"/>
        <w:jc w:val="both"/>
        <w:rPr>
          <w:rFonts w:ascii="Arial" w:hAnsi="Arial" w:cs="Arial"/>
        </w:rPr>
      </w:pPr>
      <w:r w:rsidRPr="00FC7C96">
        <w:rPr>
          <w:rStyle w:val="Refdenotaalpie"/>
          <w:rFonts w:ascii="Arial" w:hAnsi="Arial" w:cs="Arial"/>
        </w:rPr>
        <w:footnoteRef/>
      </w:r>
      <w:r w:rsidRPr="00FC7C96">
        <w:rPr>
          <w:rStyle w:val="Refdenotaalpie"/>
          <w:rFonts w:ascii="Arial" w:hAnsi="Arial" w:cs="Arial"/>
        </w:rPr>
        <w:t xml:space="preserve"> </w:t>
      </w:r>
      <w:r w:rsidRPr="00FC7C96">
        <w:rPr>
          <w:rFonts w:ascii="Arial" w:hAnsi="Arial" w:cs="Arial"/>
        </w:rPr>
        <w:t xml:space="preserve">Estas son: Aguascalientes (15), Baja California (36), Baja California Sur (23.6), Colima (11), Chihuahua (16), Durango (13), Guerrero (11), Jalisco (15), Michoacán (12), Nayarit (10), Querétaro (14), Quintana Roo (12), San Luis Potosí (16), Sinaloa (23) y Sonora (29). </w:t>
      </w:r>
      <w:r w:rsidR="00EE2DA2">
        <w:rPr>
          <w:rFonts w:ascii="Arial" w:hAnsi="Arial" w:cs="Arial"/>
        </w:rPr>
        <w:t xml:space="preserve">Entre paréntesis, la tasa por 100,000 personas de </w:t>
      </w:r>
      <w:r w:rsidR="00194614">
        <w:rPr>
          <w:rFonts w:ascii="Arial" w:hAnsi="Arial" w:cs="Arial"/>
        </w:rPr>
        <w:t>18</w:t>
      </w:r>
      <w:r w:rsidR="00EE2DA2">
        <w:rPr>
          <w:rFonts w:ascii="Arial" w:hAnsi="Arial" w:cs="Arial"/>
        </w:rPr>
        <w:t xml:space="preserve"> año</w:t>
      </w:r>
      <w:r w:rsidR="00194614">
        <w:rPr>
          <w:rFonts w:ascii="Arial" w:hAnsi="Arial" w:cs="Arial"/>
        </w:rPr>
        <w:t>s</w:t>
      </w:r>
      <w:r w:rsidR="00EE2DA2">
        <w:rPr>
          <w:rFonts w:ascii="Arial" w:hAnsi="Arial" w:cs="Arial"/>
        </w:rPr>
        <w:t xml:space="preserve"> y más.</w:t>
      </w:r>
    </w:p>
  </w:footnote>
  <w:footnote w:id="12">
    <w:p w14:paraId="33599579" w14:textId="13093EA2" w:rsidR="008E2D5A" w:rsidRPr="00FC7C96" w:rsidRDefault="008E2D5A" w:rsidP="00A81482">
      <w:pPr>
        <w:pStyle w:val="Textonotapie"/>
        <w:jc w:val="both"/>
        <w:rPr>
          <w:rFonts w:ascii="Arial" w:hAnsi="Arial" w:cs="Arial"/>
        </w:rPr>
      </w:pPr>
      <w:r w:rsidRPr="00FC7C96">
        <w:rPr>
          <w:rStyle w:val="Refdenotaalpie"/>
          <w:rFonts w:ascii="Arial" w:hAnsi="Arial" w:cs="Arial"/>
        </w:rPr>
        <w:footnoteRef/>
      </w:r>
      <w:r w:rsidRPr="00FC7C96">
        <w:rPr>
          <w:rFonts w:ascii="Arial" w:hAnsi="Arial" w:cs="Arial"/>
        </w:rPr>
        <w:t xml:space="preserve"> “Posesión de narcóticos” refiere a la tenencia de drogas cuya cantidad es igual o superior a la que resulte de multiplicar por mil la dosis máxima establecida en la Ley General de Salud o cuando se presumen que la posesión está destinada para producir, transportar, comerciar o suministrar o realizar propaganda para el uso de sustancias ilícitas (Artículo 195 del Código Penal Federal). </w:t>
      </w:r>
    </w:p>
  </w:footnote>
  <w:footnote w:id="13">
    <w:p w14:paraId="66135A71" w14:textId="78FEA5D7" w:rsidR="00137DE6" w:rsidRDefault="00137DE6" w:rsidP="00A00CB5">
      <w:pPr>
        <w:pStyle w:val="Textonotapie"/>
      </w:pPr>
      <w:r>
        <w:rPr>
          <w:rStyle w:val="Refdenotaalpie"/>
        </w:rPr>
        <w:footnoteRef/>
      </w:r>
      <w:r>
        <w:rPr>
          <w:rFonts w:ascii="Arial" w:hAnsi="Arial" w:cs="Arial"/>
        </w:rPr>
        <w:t xml:space="preserve"> E</w:t>
      </w:r>
      <w:r w:rsidRPr="00E86418">
        <w:rPr>
          <w:rFonts w:ascii="Arial" w:hAnsi="Arial" w:cs="Arial"/>
        </w:rPr>
        <w:t>n marzo de 2020 las Comisiones de Justicia, Salud y Estudios Legislativos del Senado de la República aprobaron el dictamen de la Ley para la Regulación del Cannabis que contempla la legalización del uso de marihuana con fines lúdicos o recreativos, farmacéuticos, médicos, entre otros</w:t>
      </w:r>
      <w:r>
        <w:rPr>
          <w:rFonts w:ascii="Arial" w:hAnsi="Arial" w:cs="Arial"/>
        </w:rPr>
        <w:t>.</w:t>
      </w:r>
      <w:r w:rsidRPr="00E86418">
        <w:rPr>
          <w:rFonts w:ascii="Arial" w:hAnsi="Arial" w:cs="Arial"/>
        </w:rPr>
        <w:t xml:space="preserve"> </w:t>
      </w:r>
      <w:r>
        <w:rPr>
          <w:rFonts w:ascii="Arial" w:hAnsi="Arial" w:cs="Arial"/>
        </w:rPr>
        <w:t xml:space="preserve">La propuesta también considera que </w:t>
      </w:r>
      <w:r w:rsidRPr="00E86418">
        <w:rPr>
          <w:rFonts w:ascii="Arial" w:hAnsi="Arial" w:cs="Arial"/>
        </w:rPr>
        <w:t xml:space="preserve">la dosis personal de consumo de cannabis </w:t>
      </w:r>
      <w:r>
        <w:rPr>
          <w:rFonts w:ascii="Arial" w:hAnsi="Arial" w:cs="Arial"/>
        </w:rPr>
        <w:t xml:space="preserve">sea </w:t>
      </w:r>
      <w:r w:rsidRPr="00E86418">
        <w:rPr>
          <w:rFonts w:ascii="Arial" w:hAnsi="Arial" w:cs="Arial"/>
        </w:rPr>
        <w:t>de 28 a 200 gramos.</w:t>
      </w:r>
      <w:r w:rsidRPr="00137DE6">
        <w:rPr>
          <w:rFonts w:ascii="Arial" w:hAnsi="Arial" w:cs="Arial"/>
        </w:rPr>
        <w:t xml:space="preserve"> </w:t>
      </w:r>
      <w:r w:rsidRPr="00FC7C96">
        <w:rPr>
          <w:rFonts w:ascii="Arial" w:hAnsi="Arial" w:cs="Arial"/>
        </w:rPr>
        <w:t xml:space="preserve">Senado de la República. </w:t>
      </w:r>
      <w:r w:rsidRPr="00FC7C96">
        <w:rPr>
          <w:rFonts w:ascii="Arial" w:hAnsi="Arial" w:cs="Arial"/>
          <w:i/>
          <w:iCs/>
        </w:rPr>
        <w:t>Dictamen de las Comisiones Unidas de Justicia, Salud y Estudios Legislativos por el que se expide la Ley para la Regulación del Cannabis y Reforma y adiciona diversas disposiciones de La Ley General De Salud y del Código Penal Federal</w:t>
      </w:r>
      <w:r w:rsidRPr="00FC7C96">
        <w:rPr>
          <w:rFonts w:ascii="Arial" w:hAnsi="Arial" w:cs="Arial"/>
        </w:rPr>
        <w:t xml:space="preserve">, Senado de la República, </w:t>
      </w:r>
      <w:hyperlink r:id="rId4" w:history="1">
        <w:r w:rsidRPr="00FC7C96">
          <w:rPr>
            <w:rStyle w:val="Hipervnculo"/>
            <w:rFonts w:ascii="Arial" w:hAnsi="Arial" w:cs="Arial"/>
          </w:rPr>
          <w:t>https://cannabis.senado.gob.mx/images/pdf/ADLRC.pdf</w:t>
        </w:r>
      </w:hyperlink>
      <w:r w:rsidRPr="00FC7C96">
        <w:rPr>
          <w:rFonts w:ascii="Arial" w:hAnsi="Arial" w:cs="Arial"/>
        </w:rPr>
        <w:t xml:space="preserve"> (Fecha de consulta: 02 de junio de 2016)</w:t>
      </w:r>
    </w:p>
  </w:footnote>
  <w:footnote w:id="14">
    <w:p w14:paraId="7AE3EEE9" w14:textId="77777777" w:rsidR="008E2D5A" w:rsidRPr="00FC7C96" w:rsidRDefault="008E2D5A" w:rsidP="00A00CB5">
      <w:pPr>
        <w:pStyle w:val="Textonotapie"/>
        <w:rPr>
          <w:rFonts w:ascii="Arial" w:hAnsi="Arial" w:cs="Arial"/>
        </w:rPr>
      </w:pPr>
      <w:r w:rsidRPr="00FC7C96">
        <w:rPr>
          <w:rStyle w:val="Refdenotaalpie"/>
          <w:rFonts w:ascii="Arial" w:hAnsi="Arial" w:cs="Arial"/>
        </w:rPr>
        <w:footnoteRef/>
      </w:r>
      <w:r w:rsidRPr="00FC7C96">
        <w:rPr>
          <w:rFonts w:ascii="Arial" w:hAnsi="Arial" w:cs="Arial"/>
        </w:rPr>
        <w:t xml:space="preserve"> Diario Oficial de la Federación, </w:t>
      </w:r>
      <w:r w:rsidRPr="00FC7C96">
        <w:rPr>
          <w:rFonts w:ascii="Arial" w:hAnsi="Arial" w:cs="Arial"/>
          <w:i/>
          <w:iCs/>
        </w:rPr>
        <w:t>Decreto por el que se expide la Ley de Amnistía</w:t>
      </w:r>
      <w:r w:rsidRPr="00FC7C96">
        <w:rPr>
          <w:rFonts w:ascii="Arial" w:hAnsi="Arial" w:cs="Arial"/>
        </w:rPr>
        <w:t xml:space="preserve">, Secretaria de Gobernación, </w:t>
      </w:r>
      <w:hyperlink r:id="rId5" w:history="1">
        <w:r w:rsidRPr="00FC7C96">
          <w:rPr>
            <w:rStyle w:val="Hipervnculo"/>
            <w:rFonts w:ascii="Arial" w:hAnsi="Arial" w:cs="Arial"/>
          </w:rPr>
          <w:t>https://www.dof.gob.mx/nota_detalle.php?codigo=5592105&amp;fecha=22/04/2020</w:t>
        </w:r>
      </w:hyperlink>
      <w:r w:rsidRPr="00FC7C96">
        <w:rPr>
          <w:rFonts w:ascii="Arial" w:hAnsi="Arial" w:cs="Arial"/>
        </w:rPr>
        <w:t xml:space="preserve"> (Fecha de consulta: 02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1F4C" w14:textId="06286157" w:rsidR="008E2D5A" w:rsidRPr="00FE1C98" w:rsidRDefault="008E2D5A" w:rsidP="00C509CE">
    <w:pPr>
      <w:pStyle w:val="Encabezado"/>
      <w:tabs>
        <w:tab w:val="clear" w:pos="4419"/>
        <w:tab w:val="clear" w:pos="8838"/>
      </w:tabs>
      <w:ind w:left="-567" w:right="-235"/>
      <w:jc w:val="right"/>
      <w:rPr>
        <w:rFonts w:ascii="Arial" w:hAnsi="Arial"/>
        <w:b/>
        <w:color w:val="002060"/>
        <w:sz w:val="26"/>
        <w:lang w:val="pt-BR"/>
      </w:rPr>
    </w:pPr>
    <w:r>
      <w:rPr>
        <w:noProof/>
        <w:lang w:val="en-US"/>
      </w:rPr>
      <w:drawing>
        <wp:anchor distT="0" distB="0" distL="114300" distR="114300" simplePos="0" relativeHeight="251659264" behindDoc="0" locked="0" layoutInCell="1" allowOverlap="1" wp14:anchorId="74783702" wp14:editId="39A4C648">
          <wp:simplePos x="0" y="0"/>
          <wp:positionH relativeFrom="margin">
            <wp:posOffset>-52070</wp:posOffset>
          </wp:positionH>
          <wp:positionV relativeFrom="margin">
            <wp:posOffset>-819150</wp:posOffset>
          </wp:positionV>
          <wp:extent cx="695325" cy="721995"/>
          <wp:effectExtent l="0" t="0" r="9525" b="190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rFonts w:ascii="Arial" w:hAnsi="Arial"/>
        <w:b/>
        <w:color w:val="002060"/>
        <w:sz w:val="24"/>
      </w:rPr>
      <w:t xml:space="preserve"> </w:t>
    </w:r>
    <w:r>
      <w:rPr>
        <w:rFonts w:ascii="Arial" w:hAnsi="Arial"/>
        <w:b/>
        <w:color w:val="002060"/>
        <w:sz w:val="24"/>
      </w:rPr>
      <w:t>C</w:t>
    </w:r>
    <w:r w:rsidRPr="00FE1C98">
      <w:rPr>
        <w:rFonts w:ascii="Arial" w:hAnsi="Arial"/>
        <w:b/>
        <w:color w:val="002060"/>
        <w:sz w:val="24"/>
      </w:rPr>
      <w:t xml:space="preserve">OMUNICADO DE PRENSA NÚM. </w:t>
    </w:r>
    <w:r w:rsidR="00F80ADF">
      <w:rPr>
        <w:rFonts w:ascii="Arial" w:hAnsi="Arial"/>
        <w:b/>
        <w:color w:val="002060"/>
        <w:sz w:val="24"/>
      </w:rPr>
      <w:t>282</w:t>
    </w:r>
    <w:r>
      <w:rPr>
        <w:rFonts w:ascii="Arial" w:hAnsi="Arial"/>
        <w:b/>
        <w:color w:val="002060"/>
        <w:sz w:val="24"/>
      </w:rPr>
      <w:t>/20</w:t>
    </w:r>
  </w:p>
  <w:p w14:paraId="6CC38AF0" w14:textId="5EBDCA7A" w:rsidR="008E2D5A" w:rsidRPr="00FE1C98" w:rsidRDefault="00C509CE" w:rsidP="00C509CE">
    <w:pPr>
      <w:pStyle w:val="Encabezado"/>
      <w:tabs>
        <w:tab w:val="clear" w:pos="4419"/>
        <w:tab w:val="clear" w:pos="8838"/>
      </w:tabs>
      <w:ind w:left="-567" w:right="-235"/>
      <w:jc w:val="right"/>
      <w:rPr>
        <w:rFonts w:ascii="Arial" w:hAnsi="Arial"/>
        <w:b/>
        <w:color w:val="002060"/>
        <w:sz w:val="26"/>
        <w:lang w:val="pt-BR"/>
      </w:rPr>
    </w:pPr>
    <w:r>
      <w:rPr>
        <w:rFonts w:ascii="Arial" w:hAnsi="Arial"/>
        <w:b/>
        <w:color w:val="002060"/>
        <w:sz w:val="24"/>
        <w:lang w:val="pt-BR"/>
      </w:rPr>
      <w:t>24</w:t>
    </w:r>
    <w:r w:rsidR="008E2D5A">
      <w:rPr>
        <w:rFonts w:ascii="Arial" w:hAnsi="Arial"/>
        <w:b/>
        <w:color w:val="002060"/>
        <w:sz w:val="24"/>
        <w:lang w:val="pt-BR"/>
      </w:rPr>
      <w:t xml:space="preserve"> DE JUNIO DE 2020</w:t>
    </w:r>
  </w:p>
  <w:p w14:paraId="24B5FB58" w14:textId="1D231FCD" w:rsidR="008E2D5A" w:rsidRPr="00FE1C98" w:rsidRDefault="008E2D5A" w:rsidP="00C509CE">
    <w:pPr>
      <w:pStyle w:val="Encabezado"/>
      <w:tabs>
        <w:tab w:val="clear" w:pos="4419"/>
        <w:tab w:val="clear" w:pos="8838"/>
      </w:tabs>
      <w:ind w:left="-567" w:right="-235"/>
      <w:jc w:val="right"/>
      <w:rPr>
        <w:rFonts w:ascii="Arial" w:hAnsi="Arial"/>
        <w:b/>
        <w:color w:val="002060"/>
        <w:sz w:val="24"/>
      </w:rPr>
    </w:pPr>
    <w:r w:rsidRPr="00FE1C98">
      <w:rPr>
        <w:rFonts w:ascii="Arial" w:hAnsi="Arial"/>
        <w:b/>
        <w:color w:val="002060"/>
        <w:sz w:val="24"/>
      </w:rPr>
      <w:t xml:space="preserve">PÁGINA </w:t>
    </w:r>
    <w:r w:rsidRPr="00FE1C98">
      <w:rPr>
        <w:rFonts w:ascii="Arial" w:hAnsi="Arial"/>
        <w:b/>
        <w:color w:val="002060"/>
        <w:sz w:val="24"/>
      </w:rPr>
      <w:fldChar w:fldCharType="begin"/>
    </w:r>
    <w:r w:rsidRPr="00FE1C98">
      <w:rPr>
        <w:rFonts w:ascii="Arial" w:hAnsi="Arial"/>
        <w:b/>
        <w:color w:val="002060"/>
        <w:sz w:val="24"/>
      </w:rPr>
      <w:instrText xml:space="preserve"> PAGE  \* Arabic </w:instrText>
    </w:r>
    <w:r w:rsidRPr="00FE1C98">
      <w:rPr>
        <w:rFonts w:ascii="Arial" w:hAnsi="Arial"/>
        <w:b/>
        <w:color w:val="002060"/>
        <w:sz w:val="24"/>
      </w:rPr>
      <w:fldChar w:fldCharType="separate"/>
    </w:r>
    <w:r w:rsidR="002A286C">
      <w:rPr>
        <w:rFonts w:ascii="Arial" w:hAnsi="Arial"/>
        <w:b/>
        <w:noProof/>
        <w:color w:val="002060"/>
        <w:sz w:val="24"/>
      </w:rPr>
      <w:t>1</w:t>
    </w:r>
    <w:r w:rsidRPr="00FE1C98">
      <w:rPr>
        <w:rFonts w:ascii="Arial" w:hAnsi="Arial"/>
        <w:b/>
        <w:color w:val="002060"/>
        <w:sz w:val="24"/>
      </w:rPr>
      <w:fldChar w:fldCharType="end"/>
    </w:r>
    <w:r w:rsidRPr="00FE1C98">
      <w:rPr>
        <w:rFonts w:ascii="Arial" w:hAnsi="Arial"/>
        <w:b/>
        <w:color w:val="002060"/>
        <w:sz w:val="24"/>
      </w:rPr>
      <w:t>/</w:t>
    </w:r>
    <w:r w:rsidR="00C509CE">
      <w:rPr>
        <w:rFonts w:ascii="Arial" w:hAnsi="Arial"/>
        <w:b/>
        <w:color w:val="002060"/>
        <w:sz w:val="24"/>
      </w:rPr>
      <w:t>2</w:t>
    </w:r>
  </w:p>
  <w:p w14:paraId="1DA04DA5" w14:textId="77777777" w:rsidR="008E2D5A" w:rsidRDefault="008E2D5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12E6" w14:textId="5A0954EB" w:rsidR="002721A0" w:rsidRPr="00FE1C98" w:rsidRDefault="002721A0" w:rsidP="002721A0">
    <w:pPr>
      <w:pStyle w:val="Encabezado"/>
      <w:tabs>
        <w:tab w:val="clear" w:pos="4419"/>
        <w:tab w:val="clear" w:pos="8838"/>
      </w:tabs>
      <w:ind w:left="-567" w:right="-235"/>
      <w:jc w:val="right"/>
      <w:rPr>
        <w:rFonts w:ascii="Arial" w:hAnsi="Arial"/>
        <w:b/>
        <w:color w:val="002060"/>
        <w:sz w:val="24"/>
      </w:rPr>
    </w:pPr>
    <w:r>
      <w:rPr>
        <w:noProof/>
        <w:lang w:val="en-US"/>
      </w:rPr>
      <w:drawing>
        <wp:anchor distT="0" distB="0" distL="114300" distR="114300" simplePos="0" relativeHeight="251661312" behindDoc="0" locked="0" layoutInCell="1" allowOverlap="1" wp14:anchorId="0225DB9C" wp14:editId="5E5A2EE3">
          <wp:simplePos x="0" y="0"/>
          <wp:positionH relativeFrom="margin">
            <wp:posOffset>2604770</wp:posOffset>
          </wp:positionH>
          <wp:positionV relativeFrom="topMargin">
            <wp:align>bottom</wp:align>
          </wp:positionV>
          <wp:extent cx="577850" cy="6000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39">
      <w:rPr>
        <w:rFonts w:ascii="Arial" w:hAnsi="Arial"/>
        <w:b/>
        <w:color w:val="002060"/>
        <w:sz w:val="24"/>
      </w:rPr>
      <w:t xml:space="preserve"> </w:t>
    </w:r>
  </w:p>
  <w:p w14:paraId="3B9FF279" w14:textId="77777777" w:rsidR="002721A0" w:rsidRDefault="002721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0A1E"/>
    <w:multiLevelType w:val="hybridMultilevel"/>
    <w:tmpl w:val="6BD895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28C41FEF"/>
    <w:multiLevelType w:val="hybridMultilevel"/>
    <w:tmpl w:val="80B65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E916AE"/>
    <w:multiLevelType w:val="hybridMultilevel"/>
    <w:tmpl w:val="7C007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13707E"/>
    <w:multiLevelType w:val="hybridMultilevel"/>
    <w:tmpl w:val="CA1A05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61554A34"/>
    <w:multiLevelType w:val="hybridMultilevel"/>
    <w:tmpl w:val="17DA71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F1798F"/>
    <w:multiLevelType w:val="hybridMultilevel"/>
    <w:tmpl w:val="1510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8A"/>
    <w:rsid w:val="00004059"/>
    <w:rsid w:val="000041F5"/>
    <w:rsid w:val="00004A8E"/>
    <w:rsid w:val="0000501D"/>
    <w:rsid w:val="00005DDA"/>
    <w:rsid w:val="00007021"/>
    <w:rsid w:val="000073EB"/>
    <w:rsid w:val="00010BC9"/>
    <w:rsid w:val="00015588"/>
    <w:rsid w:val="00016E86"/>
    <w:rsid w:val="00021383"/>
    <w:rsid w:val="00021A76"/>
    <w:rsid w:val="00026987"/>
    <w:rsid w:val="00031397"/>
    <w:rsid w:val="000321B8"/>
    <w:rsid w:val="000358C2"/>
    <w:rsid w:val="00035CBE"/>
    <w:rsid w:val="00036572"/>
    <w:rsid w:val="00036D3A"/>
    <w:rsid w:val="0004033B"/>
    <w:rsid w:val="000407EA"/>
    <w:rsid w:val="00044C5A"/>
    <w:rsid w:val="00047D1E"/>
    <w:rsid w:val="00050052"/>
    <w:rsid w:val="00051B3E"/>
    <w:rsid w:val="000546B5"/>
    <w:rsid w:val="00055D24"/>
    <w:rsid w:val="00060F53"/>
    <w:rsid w:val="00061C72"/>
    <w:rsid w:val="00062600"/>
    <w:rsid w:val="00062662"/>
    <w:rsid w:val="00062A54"/>
    <w:rsid w:val="0006345D"/>
    <w:rsid w:val="00064A39"/>
    <w:rsid w:val="000672AE"/>
    <w:rsid w:val="0006743F"/>
    <w:rsid w:val="00072671"/>
    <w:rsid w:val="00072C7C"/>
    <w:rsid w:val="000757DD"/>
    <w:rsid w:val="00077C3B"/>
    <w:rsid w:val="0008052B"/>
    <w:rsid w:val="00081994"/>
    <w:rsid w:val="00081E34"/>
    <w:rsid w:val="000835A8"/>
    <w:rsid w:val="000836C8"/>
    <w:rsid w:val="00084350"/>
    <w:rsid w:val="000874BF"/>
    <w:rsid w:val="00091030"/>
    <w:rsid w:val="00092C7D"/>
    <w:rsid w:val="00094E10"/>
    <w:rsid w:val="000953A7"/>
    <w:rsid w:val="000A087E"/>
    <w:rsid w:val="000A1A3D"/>
    <w:rsid w:val="000A4EEA"/>
    <w:rsid w:val="000B06B5"/>
    <w:rsid w:val="000B29E3"/>
    <w:rsid w:val="000B7C7A"/>
    <w:rsid w:val="000C0348"/>
    <w:rsid w:val="000C0577"/>
    <w:rsid w:val="000C0B5C"/>
    <w:rsid w:val="000C275D"/>
    <w:rsid w:val="000C459A"/>
    <w:rsid w:val="000C534C"/>
    <w:rsid w:val="000C6DD5"/>
    <w:rsid w:val="000D37A4"/>
    <w:rsid w:val="000D3EB7"/>
    <w:rsid w:val="000D418A"/>
    <w:rsid w:val="000D41B8"/>
    <w:rsid w:val="000E036A"/>
    <w:rsid w:val="000E2551"/>
    <w:rsid w:val="000E2823"/>
    <w:rsid w:val="000E3783"/>
    <w:rsid w:val="000E3F73"/>
    <w:rsid w:val="000E49BD"/>
    <w:rsid w:val="000E5D87"/>
    <w:rsid w:val="000E7FF7"/>
    <w:rsid w:val="000F0CF2"/>
    <w:rsid w:val="000F0D49"/>
    <w:rsid w:val="000F159A"/>
    <w:rsid w:val="000F3A12"/>
    <w:rsid w:val="000F41A3"/>
    <w:rsid w:val="000F7830"/>
    <w:rsid w:val="000F790E"/>
    <w:rsid w:val="000F7ADF"/>
    <w:rsid w:val="000F7AF0"/>
    <w:rsid w:val="0010047B"/>
    <w:rsid w:val="00101FFB"/>
    <w:rsid w:val="001039B0"/>
    <w:rsid w:val="0010468C"/>
    <w:rsid w:val="001048D8"/>
    <w:rsid w:val="00105951"/>
    <w:rsid w:val="0011089D"/>
    <w:rsid w:val="00111FD5"/>
    <w:rsid w:val="001122D5"/>
    <w:rsid w:val="001128EB"/>
    <w:rsid w:val="00114F74"/>
    <w:rsid w:val="00115DF3"/>
    <w:rsid w:val="00117E4E"/>
    <w:rsid w:val="00121212"/>
    <w:rsid w:val="001217E8"/>
    <w:rsid w:val="00121F94"/>
    <w:rsid w:val="00122CE9"/>
    <w:rsid w:val="00123828"/>
    <w:rsid w:val="00124765"/>
    <w:rsid w:val="001258C0"/>
    <w:rsid w:val="00127FF3"/>
    <w:rsid w:val="00133BFB"/>
    <w:rsid w:val="00133D2F"/>
    <w:rsid w:val="00134CB0"/>
    <w:rsid w:val="00137DE6"/>
    <w:rsid w:val="00140BEF"/>
    <w:rsid w:val="00144D41"/>
    <w:rsid w:val="00146DE8"/>
    <w:rsid w:val="00152EFC"/>
    <w:rsid w:val="00153639"/>
    <w:rsid w:val="00154278"/>
    <w:rsid w:val="00161D74"/>
    <w:rsid w:val="00165ACC"/>
    <w:rsid w:val="00166A98"/>
    <w:rsid w:val="00172D42"/>
    <w:rsid w:val="00172DBE"/>
    <w:rsid w:val="00173612"/>
    <w:rsid w:val="001740A6"/>
    <w:rsid w:val="00174457"/>
    <w:rsid w:val="001762AB"/>
    <w:rsid w:val="00177817"/>
    <w:rsid w:val="001820DD"/>
    <w:rsid w:val="00183689"/>
    <w:rsid w:val="001847BE"/>
    <w:rsid w:val="00185512"/>
    <w:rsid w:val="001855C5"/>
    <w:rsid w:val="001857AD"/>
    <w:rsid w:val="00187816"/>
    <w:rsid w:val="0019097D"/>
    <w:rsid w:val="00190DCA"/>
    <w:rsid w:val="00194614"/>
    <w:rsid w:val="00194C15"/>
    <w:rsid w:val="001969E3"/>
    <w:rsid w:val="001A0888"/>
    <w:rsid w:val="001A446D"/>
    <w:rsid w:val="001A4B9E"/>
    <w:rsid w:val="001A4BD7"/>
    <w:rsid w:val="001A5CC5"/>
    <w:rsid w:val="001A6C14"/>
    <w:rsid w:val="001A6F65"/>
    <w:rsid w:val="001A7DF7"/>
    <w:rsid w:val="001B1BF6"/>
    <w:rsid w:val="001B2688"/>
    <w:rsid w:val="001B29FB"/>
    <w:rsid w:val="001B2EBF"/>
    <w:rsid w:val="001C0E38"/>
    <w:rsid w:val="001C1D4B"/>
    <w:rsid w:val="001C2617"/>
    <w:rsid w:val="001C48C1"/>
    <w:rsid w:val="001C6008"/>
    <w:rsid w:val="001C7A21"/>
    <w:rsid w:val="001C7E33"/>
    <w:rsid w:val="001D4F78"/>
    <w:rsid w:val="001D5E7E"/>
    <w:rsid w:val="001E1519"/>
    <w:rsid w:val="001E24E2"/>
    <w:rsid w:val="001E4477"/>
    <w:rsid w:val="001E49A0"/>
    <w:rsid w:val="001E75AA"/>
    <w:rsid w:val="001F31CF"/>
    <w:rsid w:val="001F415B"/>
    <w:rsid w:val="001F6547"/>
    <w:rsid w:val="001F7568"/>
    <w:rsid w:val="00200AD5"/>
    <w:rsid w:val="00200EA5"/>
    <w:rsid w:val="002013DF"/>
    <w:rsid w:val="00202934"/>
    <w:rsid w:val="002037D2"/>
    <w:rsid w:val="002077C8"/>
    <w:rsid w:val="00207FEE"/>
    <w:rsid w:val="00212CD6"/>
    <w:rsid w:val="00213104"/>
    <w:rsid w:val="00213165"/>
    <w:rsid w:val="0021389B"/>
    <w:rsid w:val="0021415C"/>
    <w:rsid w:val="002164A6"/>
    <w:rsid w:val="00216570"/>
    <w:rsid w:val="002222CD"/>
    <w:rsid w:val="0022377F"/>
    <w:rsid w:val="00223F28"/>
    <w:rsid w:val="00225338"/>
    <w:rsid w:val="002254B5"/>
    <w:rsid w:val="002309BB"/>
    <w:rsid w:val="0023129D"/>
    <w:rsid w:val="002326EB"/>
    <w:rsid w:val="002328AE"/>
    <w:rsid w:val="00234C56"/>
    <w:rsid w:val="0023541F"/>
    <w:rsid w:val="0023690E"/>
    <w:rsid w:val="00237C02"/>
    <w:rsid w:val="00237E9A"/>
    <w:rsid w:val="00240968"/>
    <w:rsid w:val="00242249"/>
    <w:rsid w:val="0024285F"/>
    <w:rsid w:val="00245064"/>
    <w:rsid w:val="00246194"/>
    <w:rsid w:val="0024660A"/>
    <w:rsid w:val="00250061"/>
    <w:rsid w:val="0025119C"/>
    <w:rsid w:val="00252C1C"/>
    <w:rsid w:val="0025410B"/>
    <w:rsid w:val="00254B01"/>
    <w:rsid w:val="00254EFC"/>
    <w:rsid w:val="00262653"/>
    <w:rsid w:val="00266CEF"/>
    <w:rsid w:val="00266EA2"/>
    <w:rsid w:val="0027084B"/>
    <w:rsid w:val="00271324"/>
    <w:rsid w:val="00271796"/>
    <w:rsid w:val="002721A0"/>
    <w:rsid w:val="0027236B"/>
    <w:rsid w:val="00272599"/>
    <w:rsid w:val="00274F3F"/>
    <w:rsid w:val="002779F5"/>
    <w:rsid w:val="002802E6"/>
    <w:rsid w:val="002803B8"/>
    <w:rsid w:val="0029335D"/>
    <w:rsid w:val="00293413"/>
    <w:rsid w:val="0029470D"/>
    <w:rsid w:val="00295597"/>
    <w:rsid w:val="00297FD1"/>
    <w:rsid w:val="002A01E3"/>
    <w:rsid w:val="002A0895"/>
    <w:rsid w:val="002A286C"/>
    <w:rsid w:val="002A5151"/>
    <w:rsid w:val="002A627D"/>
    <w:rsid w:val="002A6ACA"/>
    <w:rsid w:val="002A6D81"/>
    <w:rsid w:val="002B193F"/>
    <w:rsid w:val="002B41A1"/>
    <w:rsid w:val="002B67FD"/>
    <w:rsid w:val="002C05CE"/>
    <w:rsid w:val="002C1D2A"/>
    <w:rsid w:val="002C1FB9"/>
    <w:rsid w:val="002C205A"/>
    <w:rsid w:val="002C2A0F"/>
    <w:rsid w:val="002C42F0"/>
    <w:rsid w:val="002C46B8"/>
    <w:rsid w:val="002C51E1"/>
    <w:rsid w:val="002C7A20"/>
    <w:rsid w:val="002D0820"/>
    <w:rsid w:val="002D0C96"/>
    <w:rsid w:val="002D1E3E"/>
    <w:rsid w:val="002D45C1"/>
    <w:rsid w:val="002D6A57"/>
    <w:rsid w:val="002D6B6D"/>
    <w:rsid w:val="002E0463"/>
    <w:rsid w:val="002E10E3"/>
    <w:rsid w:val="002E4105"/>
    <w:rsid w:val="002E4254"/>
    <w:rsid w:val="002E7269"/>
    <w:rsid w:val="002E74CC"/>
    <w:rsid w:val="002F25B5"/>
    <w:rsid w:val="002F2DA5"/>
    <w:rsid w:val="002F5646"/>
    <w:rsid w:val="002F7618"/>
    <w:rsid w:val="002F7B77"/>
    <w:rsid w:val="00301304"/>
    <w:rsid w:val="00302A8E"/>
    <w:rsid w:val="00302CD3"/>
    <w:rsid w:val="00303579"/>
    <w:rsid w:val="00304C17"/>
    <w:rsid w:val="00304F4B"/>
    <w:rsid w:val="00306A32"/>
    <w:rsid w:val="00306C5A"/>
    <w:rsid w:val="0031068C"/>
    <w:rsid w:val="003109D1"/>
    <w:rsid w:val="003150BA"/>
    <w:rsid w:val="00322790"/>
    <w:rsid w:val="003231EF"/>
    <w:rsid w:val="00324E90"/>
    <w:rsid w:val="003272C6"/>
    <w:rsid w:val="003277BD"/>
    <w:rsid w:val="00330A55"/>
    <w:rsid w:val="003329D5"/>
    <w:rsid w:val="00332A8E"/>
    <w:rsid w:val="00332E5D"/>
    <w:rsid w:val="003378EC"/>
    <w:rsid w:val="00344527"/>
    <w:rsid w:val="00345F27"/>
    <w:rsid w:val="00352199"/>
    <w:rsid w:val="003537DF"/>
    <w:rsid w:val="00355DD0"/>
    <w:rsid w:val="00356EA0"/>
    <w:rsid w:val="00363020"/>
    <w:rsid w:val="00366F52"/>
    <w:rsid w:val="00366F94"/>
    <w:rsid w:val="00367F6E"/>
    <w:rsid w:val="00370019"/>
    <w:rsid w:val="00371505"/>
    <w:rsid w:val="0037235B"/>
    <w:rsid w:val="0037257A"/>
    <w:rsid w:val="003739B1"/>
    <w:rsid w:val="003742D4"/>
    <w:rsid w:val="00375ED2"/>
    <w:rsid w:val="00376417"/>
    <w:rsid w:val="00376881"/>
    <w:rsid w:val="0038056A"/>
    <w:rsid w:val="00381A1D"/>
    <w:rsid w:val="003834B8"/>
    <w:rsid w:val="003857E1"/>
    <w:rsid w:val="00385B7E"/>
    <w:rsid w:val="00391718"/>
    <w:rsid w:val="0039273A"/>
    <w:rsid w:val="00393E8C"/>
    <w:rsid w:val="00393FF9"/>
    <w:rsid w:val="003978AE"/>
    <w:rsid w:val="003A0E06"/>
    <w:rsid w:val="003A2BD2"/>
    <w:rsid w:val="003A7DFB"/>
    <w:rsid w:val="003B30AA"/>
    <w:rsid w:val="003B4136"/>
    <w:rsid w:val="003B49AF"/>
    <w:rsid w:val="003B6C73"/>
    <w:rsid w:val="003C22DB"/>
    <w:rsid w:val="003C377C"/>
    <w:rsid w:val="003C56A1"/>
    <w:rsid w:val="003D0FFA"/>
    <w:rsid w:val="003D2F0D"/>
    <w:rsid w:val="003D5344"/>
    <w:rsid w:val="003D7571"/>
    <w:rsid w:val="003E31DE"/>
    <w:rsid w:val="003E38D1"/>
    <w:rsid w:val="003E6257"/>
    <w:rsid w:val="003E6835"/>
    <w:rsid w:val="003E79A4"/>
    <w:rsid w:val="003F215A"/>
    <w:rsid w:val="003F4ED9"/>
    <w:rsid w:val="004005EA"/>
    <w:rsid w:val="00400704"/>
    <w:rsid w:val="00402B32"/>
    <w:rsid w:val="00402BB1"/>
    <w:rsid w:val="00404979"/>
    <w:rsid w:val="0041053A"/>
    <w:rsid w:val="004126CA"/>
    <w:rsid w:val="00413897"/>
    <w:rsid w:val="004142B8"/>
    <w:rsid w:val="00415A63"/>
    <w:rsid w:val="00415F58"/>
    <w:rsid w:val="0042015E"/>
    <w:rsid w:val="00420872"/>
    <w:rsid w:val="00421A0F"/>
    <w:rsid w:val="004244D8"/>
    <w:rsid w:val="00425AD9"/>
    <w:rsid w:val="00426389"/>
    <w:rsid w:val="00430190"/>
    <w:rsid w:val="004312DD"/>
    <w:rsid w:val="0043248C"/>
    <w:rsid w:val="004333B7"/>
    <w:rsid w:val="00434358"/>
    <w:rsid w:val="004356FB"/>
    <w:rsid w:val="0043661B"/>
    <w:rsid w:val="004369C5"/>
    <w:rsid w:val="00437B12"/>
    <w:rsid w:val="004413B1"/>
    <w:rsid w:val="00444030"/>
    <w:rsid w:val="004450B2"/>
    <w:rsid w:val="0044598E"/>
    <w:rsid w:val="00445F18"/>
    <w:rsid w:val="004460B4"/>
    <w:rsid w:val="00450443"/>
    <w:rsid w:val="00450C14"/>
    <w:rsid w:val="00450E2D"/>
    <w:rsid w:val="00451CD4"/>
    <w:rsid w:val="00453ADB"/>
    <w:rsid w:val="00454833"/>
    <w:rsid w:val="00456A25"/>
    <w:rsid w:val="00456C89"/>
    <w:rsid w:val="00457EE6"/>
    <w:rsid w:val="00464C6C"/>
    <w:rsid w:val="004650DA"/>
    <w:rsid w:val="004664BC"/>
    <w:rsid w:val="00466F58"/>
    <w:rsid w:val="004670E3"/>
    <w:rsid w:val="00470096"/>
    <w:rsid w:val="0047167C"/>
    <w:rsid w:val="00471DC4"/>
    <w:rsid w:val="0047641A"/>
    <w:rsid w:val="00476A6D"/>
    <w:rsid w:val="004779E6"/>
    <w:rsid w:val="0048145B"/>
    <w:rsid w:val="004867D9"/>
    <w:rsid w:val="00490173"/>
    <w:rsid w:val="00490B48"/>
    <w:rsid w:val="00490BF9"/>
    <w:rsid w:val="004923C4"/>
    <w:rsid w:val="004943A7"/>
    <w:rsid w:val="004954D5"/>
    <w:rsid w:val="00497605"/>
    <w:rsid w:val="004A0327"/>
    <w:rsid w:val="004A7408"/>
    <w:rsid w:val="004B0208"/>
    <w:rsid w:val="004B1304"/>
    <w:rsid w:val="004B22F6"/>
    <w:rsid w:val="004B3AE9"/>
    <w:rsid w:val="004B4363"/>
    <w:rsid w:val="004C010B"/>
    <w:rsid w:val="004C0850"/>
    <w:rsid w:val="004C111E"/>
    <w:rsid w:val="004C1C4C"/>
    <w:rsid w:val="004C3B97"/>
    <w:rsid w:val="004C62D5"/>
    <w:rsid w:val="004C704A"/>
    <w:rsid w:val="004D0BE2"/>
    <w:rsid w:val="004D188A"/>
    <w:rsid w:val="004D2CE1"/>
    <w:rsid w:val="004D64D6"/>
    <w:rsid w:val="004D6CD9"/>
    <w:rsid w:val="004D78C2"/>
    <w:rsid w:val="004E0762"/>
    <w:rsid w:val="004E4D60"/>
    <w:rsid w:val="004E6528"/>
    <w:rsid w:val="004F2F7B"/>
    <w:rsid w:val="004F3288"/>
    <w:rsid w:val="004F4B2F"/>
    <w:rsid w:val="004F5254"/>
    <w:rsid w:val="00500B1C"/>
    <w:rsid w:val="00502DCD"/>
    <w:rsid w:val="00503660"/>
    <w:rsid w:val="00503699"/>
    <w:rsid w:val="00503CEE"/>
    <w:rsid w:val="00503E01"/>
    <w:rsid w:val="00504944"/>
    <w:rsid w:val="00504C7E"/>
    <w:rsid w:val="005052C3"/>
    <w:rsid w:val="00505309"/>
    <w:rsid w:val="00506D42"/>
    <w:rsid w:val="00507ACE"/>
    <w:rsid w:val="0051007E"/>
    <w:rsid w:val="00510AC6"/>
    <w:rsid w:val="00514D25"/>
    <w:rsid w:val="00515917"/>
    <w:rsid w:val="00517080"/>
    <w:rsid w:val="005174BD"/>
    <w:rsid w:val="0052097F"/>
    <w:rsid w:val="005219AA"/>
    <w:rsid w:val="00522E02"/>
    <w:rsid w:val="0052341D"/>
    <w:rsid w:val="0052486E"/>
    <w:rsid w:val="00533513"/>
    <w:rsid w:val="00533A9D"/>
    <w:rsid w:val="00542939"/>
    <w:rsid w:val="005435FE"/>
    <w:rsid w:val="00543AB3"/>
    <w:rsid w:val="005452F3"/>
    <w:rsid w:val="00546337"/>
    <w:rsid w:val="0054756D"/>
    <w:rsid w:val="005501AE"/>
    <w:rsid w:val="005560EC"/>
    <w:rsid w:val="00556192"/>
    <w:rsid w:val="0055680A"/>
    <w:rsid w:val="00563683"/>
    <w:rsid w:val="005637DF"/>
    <w:rsid w:val="00564081"/>
    <w:rsid w:val="0056594E"/>
    <w:rsid w:val="00570513"/>
    <w:rsid w:val="005723A4"/>
    <w:rsid w:val="005802FF"/>
    <w:rsid w:val="00583342"/>
    <w:rsid w:val="00590655"/>
    <w:rsid w:val="00591BA8"/>
    <w:rsid w:val="0059285E"/>
    <w:rsid w:val="0059568D"/>
    <w:rsid w:val="0059685A"/>
    <w:rsid w:val="005A0C38"/>
    <w:rsid w:val="005A1A6E"/>
    <w:rsid w:val="005A1F6B"/>
    <w:rsid w:val="005A2829"/>
    <w:rsid w:val="005A3469"/>
    <w:rsid w:val="005A4237"/>
    <w:rsid w:val="005B1468"/>
    <w:rsid w:val="005B4253"/>
    <w:rsid w:val="005B45BC"/>
    <w:rsid w:val="005B6FA9"/>
    <w:rsid w:val="005C1937"/>
    <w:rsid w:val="005C2710"/>
    <w:rsid w:val="005C2D48"/>
    <w:rsid w:val="005C3B18"/>
    <w:rsid w:val="005C4F5A"/>
    <w:rsid w:val="005C5ADE"/>
    <w:rsid w:val="005C656C"/>
    <w:rsid w:val="005D2EE9"/>
    <w:rsid w:val="005D33B2"/>
    <w:rsid w:val="005E3DC0"/>
    <w:rsid w:val="005E51FD"/>
    <w:rsid w:val="005E7A46"/>
    <w:rsid w:val="005F0727"/>
    <w:rsid w:val="005F230D"/>
    <w:rsid w:val="005F534F"/>
    <w:rsid w:val="005F553F"/>
    <w:rsid w:val="005F6BC5"/>
    <w:rsid w:val="00601C06"/>
    <w:rsid w:val="00602A34"/>
    <w:rsid w:val="0060334E"/>
    <w:rsid w:val="0060417D"/>
    <w:rsid w:val="00604212"/>
    <w:rsid w:val="00606EE9"/>
    <w:rsid w:val="006076D5"/>
    <w:rsid w:val="00610F86"/>
    <w:rsid w:val="0061257E"/>
    <w:rsid w:val="006143D3"/>
    <w:rsid w:val="00614A9C"/>
    <w:rsid w:val="00614ADD"/>
    <w:rsid w:val="0061660B"/>
    <w:rsid w:val="00617DA1"/>
    <w:rsid w:val="00617FBA"/>
    <w:rsid w:val="0062042B"/>
    <w:rsid w:val="006206AA"/>
    <w:rsid w:val="00623D59"/>
    <w:rsid w:val="00624FA5"/>
    <w:rsid w:val="00626338"/>
    <w:rsid w:val="00626BDE"/>
    <w:rsid w:val="00630C53"/>
    <w:rsid w:val="0063219E"/>
    <w:rsid w:val="00633D54"/>
    <w:rsid w:val="0063434A"/>
    <w:rsid w:val="00635EC1"/>
    <w:rsid w:val="00635EE5"/>
    <w:rsid w:val="00637F6F"/>
    <w:rsid w:val="006442E8"/>
    <w:rsid w:val="00647E1C"/>
    <w:rsid w:val="00647E5B"/>
    <w:rsid w:val="0065104D"/>
    <w:rsid w:val="00653FF3"/>
    <w:rsid w:val="00655CB3"/>
    <w:rsid w:val="00656420"/>
    <w:rsid w:val="0065796E"/>
    <w:rsid w:val="00660780"/>
    <w:rsid w:val="00660A3D"/>
    <w:rsid w:val="00665163"/>
    <w:rsid w:val="00673CE4"/>
    <w:rsid w:val="00674971"/>
    <w:rsid w:val="00675C33"/>
    <w:rsid w:val="00681F51"/>
    <w:rsid w:val="0068346A"/>
    <w:rsid w:val="0068553F"/>
    <w:rsid w:val="00685C2F"/>
    <w:rsid w:val="006863FE"/>
    <w:rsid w:val="00686812"/>
    <w:rsid w:val="00686FC5"/>
    <w:rsid w:val="00687306"/>
    <w:rsid w:val="00687BF0"/>
    <w:rsid w:val="00691802"/>
    <w:rsid w:val="00692B51"/>
    <w:rsid w:val="00694153"/>
    <w:rsid w:val="0069537C"/>
    <w:rsid w:val="00696DD7"/>
    <w:rsid w:val="006A1E95"/>
    <w:rsid w:val="006A236A"/>
    <w:rsid w:val="006A2FB5"/>
    <w:rsid w:val="006A599F"/>
    <w:rsid w:val="006B1053"/>
    <w:rsid w:val="006B13A7"/>
    <w:rsid w:val="006B3363"/>
    <w:rsid w:val="006B6889"/>
    <w:rsid w:val="006B6F56"/>
    <w:rsid w:val="006C1727"/>
    <w:rsid w:val="006C19AD"/>
    <w:rsid w:val="006C25D2"/>
    <w:rsid w:val="006C564B"/>
    <w:rsid w:val="006C6EDE"/>
    <w:rsid w:val="006C7FFC"/>
    <w:rsid w:val="006D0503"/>
    <w:rsid w:val="006D650D"/>
    <w:rsid w:val="006D6822"/>
    <w:rsid w:val="006D6E33"/>
    <w:rsid w:val="006D7539"/>
    <w:rsid w:val="006D7847"/>
    <w:rsid w:val="006D7ECD"/>
    <w:rsid w:val="006E0DAC"/>
    <w:rsid w:val="006E2622"/>
    <w:rsid w:val="006E38BE"/>
    <w:rsid w:val="006E693D"/>
    <w:rsid w:val="006F0757"/>
    <w:rsid w:val="006F24FF"/>
    <w:rsid w:val="006F2EFA"/>
    <w:rsid w:val="006F3C2F"/>
    <w:rsid w:val="006F63E6"/>
    <w:rsid w:val="006F6E2C"/>
    <w:rsid w:val="006F7DB3"/>
    <w:rsid w:val="00701586"/>
    <w:rsid w:val="00703BD6"/>
    <w:rsid w:val="00706DA9"/>
    <w:rsid w:val="007100B6"/>
    <w:rsid w:val="007103AD"/>
    <w:rsid w:val="00717F74"/>
    <w:rsid w:val="00722091"/>
    <w:rsid w:val="007238E8"/>
    <w:rsid w:val="007247BE"/>
    <w:rsid w:val="00724A7A"/>
    <w:rsid w:val="00725EB1"/>
    <w:rsid w:val="007330F7"/>
    <w:rsid w:val="00733DEF"/>
    <w:rsid w:val="0073482C"/>
    <w:rsid w:val="00734C6D"/>
    <w:rsid w:val="00736ECF"/>
    <w:rsid w:val="00740D1C"/>
    <w:rsid w:val="007414FD"/>
    <w:rsid w:val="00741D23"/>
    <w:rsid w:val="00743002"/>
    <w:rsid w:val="00743501"/>
    <w:rsid w:val="00743BA3"/>
    <w:rsid w:val="0074469E"/>
    <w:rsid w:val="007458FB"/>
    <w:rsid w:val="00745ADA"/>
    <w:rsid w:val="00747A92"/>
    <w:rsid w:val="00747E22"/>
    <w:rsid w:val="0075212F"/>
    <w:rsid w:val="007521B2"/>
    <w:rsid w:val="00752EF3"/>
    <w:rsid w:val="00753FC6"/>
    <w:rsid w:val="00754A8A"/>
    <w:rsid w:val="007551D7"/>
    <w:rsid w:val="00755DB8"/>
    <w:rsid w:val="0076093E"/>
    <w:rsid w:val="00763147"/>
    <w:rsid w:val="0076458F"/>
    <w:rsid w:val="00773A84"/>
    <w:rsid w:val="00777C1D"/>
    <w:rsid w:val="00780716"/>
    <w:rsid w:val="00780D4D"/>
    <w:rsid w:val="007825BA"/>
    <w:rsid w:val="00783203"/>
    <w:rsid w:val="00783E1E"/>
    <w:rsid w:val="0078579E"/>
    <w:rsid w:val="00785F29"/>
    <w:rsid w:val="0078600F"/>
    <w:rsid w:val="00786FF8"/>
    <w:rsid w:val="007879FA"/>
    <w:rsid w:val="0079240C"/>
    <w:rsid w:val="00792795"/>
    <w:rsid w:val="00793986"/>
    <w:rsid w:val="00794C18"/>
    <w:rsid w:val="00794C60"/>
    <w:rsid w:val="00795A88"/>
    <w:rsid w:val="00797B0F"/>
    <w:rsid w:val="00797F54"/>
    <w:rsid w:val="007A188A"/>
    <w:rsid w:val="007A2083"/>
    <w:rsid w:val="007A4080"/>
    <w:rsid w:val="007A7C16"/>
    <w:rsid w:val="007A7E90"/>
    <w:rsid w:val="007B1A4D"/>
    <w:rsid w:val="007B20C5"/>
    <w:rsid w:val="007B2E1A"/>
    <w:rsid w:val="007B46CE"/>
    <w:rsid w:val="007B5CD1"/>
    <w:rsid w:val="007B6482"/>
    <w:rsid w:val="007B6B8C"/>
    <w:rsid w:val="007B7B52"/>
    <w:rsid w:val="007C0C5C"/>
    <w:rsid w:val="007C1637"/>
    <w:rsid w:val="007C3848"/>
    <w:rsid w:val="007C582B"/>
    <w:rsid w:val="007C7837"/>
    <w:rsid w:val="007D18E0"/>
    <w:rsid w:val="007D254A"/>
    <w:rsid w:val="007D4472"/>
    <w:rsid w:val="007D68B2"/>
    <w:rsid w:val="007D6C7E"/>
    <w:rsid w:val="007E0A14"/>
    <w:rsid w:val="007E19B3"/>
    <w:rsid w:val="007E67FC"/>
    <w:rsid w:val="007F1481"/>
    <w:rsid w:val="007F1F3F"/>
    <w:rsid w:val="007F2000"/>
    <w:rsid w:val="007F347A"/>
    <w:rsid w:val="007F3EC8"/>
    <w:rsid w:val="007F548A"/>
    <w:rsid w:val="00801AC8"/>
    <w:rsid w:val="0080200A"/>
    <w:rsid w:val="008025F8"/>
    <w:rsid w:val="008036D4"/>
    <w:rsid w:val="00804139"/>
    <w:rsid w:val="008046E8"/>
    <w:rsid w:val="008069BE"/>
    <w:rsid w:val="00811555"/>
    <w:rsid w:val="008163A0"/>
    <w:rsid w:val="008171C7"/>
    <w:rsid w:val="00820BCD"/>
    <w:rsid w:val="00822574"/>
    <w:rsid w:val="00825031"/>
    <w:rsid w:val="008252F7"/>
    <w:rsid w:val="0082531A"/>
    <w:rsid w:val="00825921"/>
    <w:rsid w:val="0082672A"/>
    <w:rsid w:val="00834570"/>
    <w:rsid w:val="00834AF2"/>
    <w:rsid w:val="0083556E"/>
    <w:rsid w:val="00835917"/>
    <w:rsid w:val="0083612B"/>
    <w:rsid w:val="00836816"/>
    <w:rsid w:val="00837714"/>
    <w:rsid w:val="00837DF8"/>
    <w:rsid w:val="00837FA5"/>
    <w:rsid w:val="008402EF"/>
    <w:rsid w:val="00840FAF"/>
    <w:rsid w:val="00842A22"/>
    <w:rsid w:val="00842A79"/>
    <w:rsid w:val="00843B7A"/>
    <w:rsid w:val="00843B90"/>
    <w:rsid w:val="008464D3"/>
    <w:rsid w:val="00846988"/>
    <w:rsid w:val="00850683"/>
    <w:rsid w:val="00850F89"/>
    <w:rsid w:val="008510E0"/>
    <w:rsid w:val="00851A7B"/>
    <w:rsid w:val="00852235"/>
    <w:rsid w:val="008529F2"/>
    <w:rsid w:val="008540DB"/>
    <w:rsid w:val="00856120"/>
    <w:rsid w:val="00856BEB"/>
    <w:rsid w:val="00860078"/>
    <w:rsid w:val="00861797"/>
    <w:rsid w:val="00863CB6"/>
    <w:rsid w:val="00864E82"/>
    <w:rsid w:val="00865B91"/>
    <w:rsid w:val="00870AC9"/>
    <w:rsid w:val="00870C3D"/>
    <w:rsid w:val="00871029"/>
    <w:rsid w:val="00871BE5"/>
    <w:rsid w:val="00872F6F"/>
    <w:rsid w:val="008737B0"/>
    <w:rsid w:val="0087435E"/>
    <w:rsid w:val="00875BB7"/>
    <w:rsid w:val="00875BBA"/>
    <w:rsid w:val="00875CCE"/>
    <w:rsid w:val="00875E45"/>
    <w:rsid w:val="0087788A"/>
    <w:rsid w:val="008779BF"/>
    <w:rsid w:val="00880C90"/>
    <w:rsid w:val="008845FA"/>
    <w:rsid w:val="0088513C"/>
    <w:rsid w:val="0088638A"/>
    <w:rsid w:val="008877B8"/>
    <w:rsid w:val="00891492"/>
    <w:rsid w:val="00893558"/>
    <w:rsid w:val="00893A18"/>
    <w:rsid w:val="00897F59"/>
    <w:rsid w:val="008A3191"/>
    <w:rsid w:val="008A5B1F"/>
    <w:rsid w:val="008A5E49"/>
    <w:rsid w:val="008A5F65"/>
    <w:rsid w:val="008A6D3C"/>
    <w:rsid w:val="008A6F64"/>
    <w:rsid w:val="008A7377"/>
    <w:rsid w:val="008B29F2"/>
    <w:rsid w:val="008B4BF3"/>
    <w:rsid w:val="008B4EF4"/>
    <w:rsid w:val="008B6507"/>
    <w:rsid w:val="008B6A8C"/>
    <w:rsid w:val="008B7D07"/>
    <w:rsid w:val="008C381A"/>
    <w:rsid w:val="008C4FDF"/>
    <w:rsid w:val="008D24FA"/>
    <w:rsid w:val="008E0C97"/>
    <w:rsid w:val="008E2D5A"/>
    <w:rsid w:val="008E412C"/>
    <w:rsid w:val="008E5426"/>
    <w:rsid w:val="008E5930"/>
    <w:rsid w:val="008E7890"/>
    <w:rsid w:val="008F0435"/>
    <w:rsid w:val="008F0748"/>
    <w:rsid w:val="008F14A6"/>
    <w:rsid w:val="008F33F2"/>
    <w:rsid w:val="008F341C"/>
    <w:rsid w:val="008F4BF5"/>
    <w:rsid w:val="008F4D57"/>
    <w:rsid w:val="008F7F6F"/>
    <w:rsid w:val="00900C48"/>
    <w:rsid w:val="00901304"/>
    <w:rsid w:val="00901B8F"/>
    <w:rsid w:val="00903BD8"/>
    <w:rsid w:val="00904B22"/>
    <w:rsid w:val="0090530E"/>
    <w:rsid w:val="00905636"/>
    <w:rsid w:val="00912BE3"/>
    <w:rsid w:val="009164BC"/>
    <w:rsid w:val="00921109"/>
    <w:rsid w:val="0092155C"/>
    <w:rsid w:val="009227DC"/>
    <w:rsid w:val="00922BE1"/>
    <w:rsid w:val="00922D84"/>
    <w:rsid w:val="009244A3"/>
    <w:rsid w:val="00925CC1"/>
    <w:rsid w:val="009272A0"/>
    <w:rsid w:val="009300EA"/>
    <w:rsid w:val="00930597"/>
    <w:rsid w:val="00930DF7"/>
    <w:rsid w:val="009310B5"/>
    <w:rsid w:val="00932725"/>
    <w:rsid w:val="009358E1"/>
    <w:rsid w:val="00940A42"/>
    <w:rsid w:val="009440F4"/>
    <w:rsid w:val="00944B14"/>
    <w:rsid w:val="009459F0"/>
    <w:rsid w:val="0094687E"/>
    <w:rsid w:val="0094695B"/>
    <w:rsid w:val="00947EF5"/>
    <w:rsid w:val="00950460"/>
    <w:rsid w:val="0095054F"/>
    <w:rsid w:val="00960CEA"/>
    <w:rsid w:val="00960DEF"/>
    <w:rsid w:val="0096386C"/>
    <w:rsid w:val="00963EDE"/>
    <w:rsid w:val="009642E2"/>
    <w:rsid w:val="00965976"/>
    <w:rsid w:val="00970098"/>
    <w:rsid w:val="00974F0E"/>
    <w:rsid w:val="00975BE1"/>
    <w:rsid w:val="0098249A"/>
    <w:rsid w:val="00985F84"/>
    <w:rsid w:val="00986540"/>
    <w:rsid w:val="009866A6"/>
    <w:rsid w:val="0099104B"/>
    <w:rsid w:val="00993413"/>
    <w:rsid w:val="009949EA"/>
    <w:rsid w:val="00997894"/>
    <w:rsid w:val="009A31E9"/>
    <w:rsid w:val="009A44BC"/>
    <w:rsid w:val="009A5E53"/>
    <w:rsid w:val="009A740A"/>
    <w:rsid w:val="009B0708"/>
    <w:rsid w:val="009B07CE"/>
    <w:rsid w:val="009B0A4C"/>
    <w:rsid w:val="009B2C7E"/>
    <w:rsid w:val="009B3046"/>
    <w:rsid w:val="009B31A5"/>
    <w:rsid w:val="009B4350"/>
    <w:rsid w:val="009B6040"/>
    <w:rsid w:val="009B657F"/>
    <w:rsid w:val="009B764E"/>
    <w:rsid w:val="009C06A7"/>
    <w:rsid w:val="009C3093"/>
    <w:rsid w:val="009C5A52"/>
    <w:rsid w:val="009C62EF"/>
    <w:rsid w:val="009C6D40"/>
    <w:rsid w:val="009C7584"/>
    <w:rsid w:val="009D03DC"/>
    <w:rsid w:val="009D0BC7"/>
    <w:rsid w:val="009D21B1"/>
    <w:rsid w:val="009D45CE"/>
    <w:rsid w:val="009D5516"/>
    <w:rsid w:val="009D6795"/>
    <w:rsid w:val="009D7083"/>
    <w:rsid w:val="009D752D"/>
    <w:rsid w:val="009F076B"/>
    <w:rsid w:val="009F4CB9"/>
    <w:rsid w:val="009F51B5"/>
    <w:rsid w:val="009F5956"/>
    <w:rsid w:val="009F73A4"/>
    <w:rsid w:val="009F7D59"/>
    <w:rsid w:val="00A000D9"/>
    <w:rsid w:val="00A00B40"/>
    <w:rsid w:val="00A00CB5"/>
    <w:rsid w:val="00A03196"/>
    <w:rsid w:val="00A03B42"/>
    <w:rsid w:val="00A04706"/>
    <w:rsid w:val="00A0673B"/>
    <w:rsid w:val="00A12EED"/>
    <w:rsid w:val="00A13929"/>
    <w:rsid w:val="00A16990"/>
    <w:rsid w:val="00A1722C"/>
    <w:rsid w:val="00A20BEF"/>
    <w:rsid w:val="00A22935"/>
    <w:rsid w:val="00A248F8"/>
    <w:rsid w:val="00A25BCA"/>
    <w:rsid w:val="00A2696D"/>
    <w:rsid w:val="00A30023"/>
    <w:rsid w:val="00A30346"/>
    <w:rsid w:val="00A3126D"/>
    <w:rsid w:val="00A32919"/>
    <w:rsid w:val="00A37F95"/>
    <w:rsid w:val="00A426C2"/>
    <w:rsid w:val="00A43A33"/>
    <w:rsid w:val="00A4572E"/>
    <w:rsid w:val="00A468E7"/>
    <w:rsid w:val="00A4759F"/>
    <w:rsid w:val="00A504D7"/>
    <w:rsid w:val="00A51788"/>
    <w:rsid w:val="00A54D35"/>
    <w:rsid w:val="00A57EDC"/>
    <w:rsid w:val="00A6066C"/>
    <w:rsid w:val="00A60ECD"/>
    <w:rsid w:val="00A6215A"/>
    <w:rsid w:val="00A63FD5"/>
    <w:rsid w:val="00A65181"/>
    <w:rsid w:val="00A6740B"/>
    <w:rsid w:val="00A74EE4"/>
    <w:rsid w:val="00A75657"/>
    <w:rsid w:val="00A772F8"/>
    <w:rsid w:val="00A81482"/>
    <w:rsid w:val="00A851F9"/>
    <w:rsid w:val="00A86D38"/>
    <w:rsid w:val="00A873ED"/>
    <w:rsid w:val="00A87AA3"/>
    <w:rsid w:val="00A906B3"/>
    <w:rsid w:val="00A93EFB"/>
    <w:rsid w:val="00A96131"/>
    <w:rsid w:val="00A963E1"/>
    <w:rsid w:val="00AA0B1F"/>
    <w:rsid w:val="00AA45AB"/>
    <w:rsid w:val="00AA5317"/>
    <w:rsid w:val="00AA5325"/>
    <w:rsid w:val="00AA5C5B"/>
    <w:rsid w:val="00AA78A7"/>
    <w:rsid w:val="00AA7E8C"/>
    <w:rsid w:val="00AB44B5"/>
    <w:rsid w:val="00AB51DC"/>
    <w:rsid w:val="00AB5C29"/>
    <w:rsid w:val="00AB6C3E"/>
    <w:rsid w:val="00AB79AD"/>
    <w:rsid w:val="00AB7E39"/>
    <w:rsid w:val="00AC1BE4"/>
    <w:rsid w:val="00AC4744"/>
    <w:rsid w:val="00AC4BBA"/>
    <w:rsid w:val="00AD1815"/>
    <w:rsid w:val="00AD360C"/>
    <w:rsid w:val="00AD5C71"/>
    <w:rsid w:val="00AD5FDE"/>
    <w:rsid w:val="00AD7A63"/>
    <w:rsid w:val="00AD7EB8"/>
    <w:rsid w:val="00AE2CAE"/>
    <w:rsid w:val="00AE30E9"/>
    <w:rsid w:val="00AE30FA"/>
    <w:rsid w:val="00AE4CFD"/>
    <w:rsid w:val="00AE500A"/>
    <w:rsid w:val="00AE5742"/>
    <w:rsid w:val="00AE5AB8"/>
    <w:rsid w:val="00AE7AD2"/>
    <w:rsid w:val="00AE7B83"/>
    <w:rsid w:val="00AE7BA1"/>
    <w:rsid w:val="00AF02A1"/>
    <w:rsid w:val="00AF0563"/>
    <w:rsid w:val="00AF0D2F"/>
    <w:rsid w:val="00AF1B3B"/>
    <w:rsid w:val="00AF3384"/>
    <w:rsid w:val="00AF38D7"/>
    <w:rsid w:val="00AF4803"/>
    <w:rsid w:val="00AF596F"/>
    <w:rsid w:val="00AF68FE"/>
    <w:rsid w:val="00B01D4F"/>
    <w:rsid w:val="00B034A3"/>
    <w:rsid w:val="00B06EC8"/>
    <w:rsid w:val="00B1313F"/>
    <w:rsid w:val="00B16299"/>
    <w:rsid w:val="00B202D4"/>
    <w:rsid w:val="00B217C4"/>
    <w:rsid w:val="00B21BB7"/>
    <w:rsid w:val="00B21F3C"/>
    <w:rsid w:val="00B305BF"/>
    <w:rsid w:val="00B31283"/>
    <w:rsid w:val="00B31365"/>
    <w:rsid w:val="00B37249"/>
    <w:rsid w:val="00B3798E"/>
    <w:rsid w:val="00B4007C"/>
    <w:rsid w:val="00B41DEF"/>
    <w:rsid w:val="00B41F77"/>
    <w:rsid w:val="00B43F3F"/>
    <w:rsid w:val="00B441AA"/>
    <w:rsid w:val="00B45179"/>
    <w:rsid w:val="00B4532D"/>
    <w:rsid w:val="00B4600A"/>
    <w:rsid w:val="00B465EF"/>
    <w:rsid w:val="00B516CC"/>
    <w:rsid w:val="00B52523"/>
    <w:rsid w:val="00B54460"/>
    <w:rsid w:val="00B550E6"/>
    <w:rsid w:val="00B555E9"/>
    <w:rsid w:val="00B5765E"/>
    <w:rsid w:val="00B607EA"/>
    <w:rsid w:val="00B63CC4"/>
    <w:rsid w:val="00B65383"/>
    <w:rsid w:val="00B67CF3"/>
    <w:rsid w:val="00B73539"/>
    <w:rsid w:val="00B739CC"/>
    <w:rsid w:val="00B74D55"/>
    <w:rsid w:val="00B756C2"/>
    <w:rsid w:val="00B7716B"/>
    <w:rsid w:val="00B77DAD"/>
    <w:rsid w:val="00B80D10"/>
    <w:rsid w:val="00B8242F"/>
    <w:rsid w:val="00B82D76"/>
    <w:rsid w:val="00B83502"/>
    <w:rsid w:val="00B83B37"/>
    <w:rsid w:val="00B84A95"/>
    <w:rsid w:val="00B90191"/>
    <w:rsid w:val="00B90B7D"/>
    <w:rsid w:val="00B92E09"/>
    <w:rsid w:val="00B960A1"/>
    <w:rsid w:val="00B9661F"/>
    <w:rsid w:val="00BA0221"/>
    <w:rsid w:val="00BA033D"/>
    <w:rsid w:val="00BA0468"/>
    <w:rsid w:val="00BA094C"/>
    <w:rsid w:val="00BA1125"/>
    <w:rsid w:val="00BA11D6"/>
    <w:rsid w:val="00BA1FD2"/>
    <w:rsid w:val="00BA2DC1"/>
    <w:rsid w:val="00BB17B8"/>
    <w:rsid w:val="00BB2C54"/>
    <w:rsid w:val="00BB6683"/>
    <w:rsid w:val="00BC0754"/>
    <w:rsid w:val="00BC214B"/>
    <w:rsid w:val="00BC40CF"/>
    <w:rsid w:val="00BC5670"/>
    <w:rsid w:val="00BC6A5F"/>
    <w:rsid w:val="00BC6FF5"/>
    <w:rsid w:val="00BC75C0"/>
    <w:rsid w:val="00BD0CA2"/>
    <w:rsid w:val="00BD58C0"/>
    <w:rsid w:val="00BD70E8"/>
    <w:rsid w:val="00BE042B"/>
    <w:rsid w:val="00BE1A90"/>
    <w:rsid w:val="00BE28E9"/>
    <w:rsid w:val="00BE38C5"/>
    <w:rsid w:val="00BE460F"/>
    <w:rsid w:val="00BE47A7"/>
    <w:rsid w:val="00BE48BB"/>
    <w:rsid w:val="00BE619A"/>
    <w:rsid w:val="00BF0316"/>
    <w:rsid w:val="00BF043B"/>
    <w:rsid w:val="00BF277F"/>
    <w:rsid w:val="00BF3B24"/>
    <w:rsid w:val="00BF43E3"/>
    <w:rsid w:val="00BF4723"/>
    <w:rsid w:val="00BF4BDF"/>
    <w:rsid w:val="00BF625F"/>
    <w:rsid w:val="00BF7DDA"/>
    <w:rsid w:val="00C00032"/>
    <w:rsid w:val="00C043A7"/>
    <w:rsid w:val="00C06A36"/>
    <w:rsid w:val="00C11D05"/>
    <w:rsid w:val="00C11F85"/>
    <w:rsid w:val="00C121D5"/>
    <w:rsid w:val="00C13892"/>
    <w:rsid w:val="00C14303"/>
    <w:rsid w:val="00C14D7E"/>
    <w:rsid w:val="00C17C61"/>
    <w:rsid w:val="00C20D20"/>
    <w:rsid w:val="00C216C9"/>
    <w:rsid w:val="00C22113"/>
    <w:rsid w:val="00C2393C"/>
    <w:rsid w:val="00C2706F"/>
    <w:rsid w:val="00C27CA9"/>
    <w:rsid w:val="00C30C74"/>
    <w:rsid w:val="00C36303"/>
    <w:rsid w:val="00C41F07"/>
    <w:rsid w:val="00C42B0A"/>
    <w:rsid w:val="00C457B0"/>
    <w:rsid w:val="00C472CC"/>
    <w:rsid w:val="00C501D5"/>
    <w:rsid w:val="00C509CE"/>
    <w:rsid w:val="00C52A3E"/>
    <w:rsid w:val="00C531C7"/>
    <w:rsid w:val="00C5575F"/>
    <w:rsid w:val="00C55B2B"/>
    <w:rsid w:val="00C5622F"/>
    <w:rsid w:val="00C564FE"/>
    <w:rsid w:val="00C56EC5"/>
    <w:rsid w:val="00C60C83"/>
    <w:rsid w:val="00C60E55"/>
    <w:rsid w:val="00C66E28"/>
    <w:rsid w:val="00C70531"/>
    <w:rsid w:val="00C7482C"/>
    <w:rsid w:val="00C752FD"/>
    <w:rsid w:val="00C77E6B"/>
    <w:rsid w:val="00C807A9"/>
    <w:rsid w:val="00C80CF5"/>
    <w:rsid w:val="00C80F13"/>
    <w:rsid w:val="00C81D18"/>
    <w:rsid w:val="00C84504"/>
    <w:rsid w:val="00C85AE6"/>
    <w:rsid w:val="00C90DC2"/>
    <w:rsid w:val="00C943B1"/>
    <w:rsid w:val="00C945EE"/>
    <w:rsid w:val="00C95210"/>
    <w:rsid w:val="00C9597F"/>
    <w:rsid w:val="00C97049"/>
    <w:rsid w:val="00C97F48"/>
    <w:rsid w:val="00CA2788"/>
    <w:rsid w:val="00CA3861"/>
    <w:rsid w:val="00CA686F"/>
    <w:rsid w:val="00CA7C6C"/>
    <w:rsid w:val="00CB228F"/>
    <w:rsid w:val="00CB413B"/>
    <w:rsid w:val="00CB61B0"/>
    <w:rsid w:val="00CB69FD"/>
    <w:rsid w:val="00CB6A9F"/>
    <w:rsid w:val="00CC0C3F"/>
    <w:rsid w:val="00CC52E1"/>
    <w:rsid w:val="00CC6054"/>
    <w:rsid w:val="00CC6FF6"/>
    <w:rsid w:val="00CC7401"/>
    <w:rsid w:val="00CC77EB"/>
    <w:rsid w:val="00CC7FA1"/>
    <w:rsid w:val="00CD5431"/>
    <w:rsid w:val="00CD7372"/>
    <w:rsid w:val="00CE0C02"/>
    <w:rsid w:val="00CE0CB5"/>
    <w:rsid w:val="00CE0D87"/>
    <w:rsid w:val="00CE1CE8"/>
    <w:rsid w:val="00CE2985"/>
    <w:rsid w:val="00CE6D26"/>
    <w:rsid w:val="00CF21E7"/>
    <w:rsid w:val="00CF2B8B"/>
    <w:rsid w:val="00CF43FD"/>
    <w:rsid w:val="00CF6786"/>
    <w:rsid w:val="00CF6987"/>
    <w:rsid w:val="00CF6BAC"/>
    <w:rsid w:val="00D00EF7"/>
    <w:rsid w:val="00D03002"/>
    <w:rsid w:val="00D03C10"/>
    <w:rsid w:val="00D043A6"/>
    <w:rsid w:val="00D13CF0"/>
    <w:rsid w:val="00D14617"/>
    <w:rsid w:val="00D148AD"/>
    <w:rsid w:val="00D17233"/>
    <w:rsid w:val="00D175DD"/>
    <w:rsid w:val="00D208D6"/>
    <w:rsid w:val="00D21A59"/>
    <w:rsid w:val="00D23603"/>
    <w:rsid w:val="00D25451"/>
    <w:rsid w:val="00D25974"/>
    <w:rsid w:val="00D317F2"/>
    <w:rsid w:val="00D3284B"/>
    <w:rsid w:val="00D33C1F"/>
    <w:rsid w:val="00D33DFF"/>
    <w:rsid w:val="00D354A9"/>
    <w:rsid w:val="00D3623C"/>
    <w:rsid w:val="00D42C0C"/>
    <w:rsid w:val="00D44009"/>
    <w:rsid w:val="00D450FE"/>
    <w:rsid w:val="00D474D4"/>
    <w:rsid w:val="00D521EB"/>
    <w:rsid w:val="00D52278"/>
    <w:rsid w:val="00D529CC"/>
    <w:rsid w:val="00D52B61"/>
    <w:rsid w:val="00D53806"/>
    <w:rsid w:val="00D539C9"/>
    <w:rsid w:val="00D546E1"/>
    <w:rsid w:val="00D54A14"/>
    <w:rsid w:val="00D60E8E"/>
    <w:rsid w:val="00D611D9"/>
    <w:rsid w:val="00D62BBB"/>
    <w:rsid w:val="00D63E1E"/>
    <w:rsid w:val="00D6417D"/>
    <w:rsid w:val="00D64634"/>
    <w:rsid w:val="00D65030"/>
    <w:rsid w:val="00D661D7"/>
    <w:rsid w:val="00D666C5"/>
    <w:rsid w:val="00D71B73"/>
    <w:rsid w:val="00D71EDE"/>
    <w:rsid w:val="00D745D1"/>
    <w:rsid w:val="00D82188"/>
    <w:rsid w:val="00D85530"/>
    <w:rsid w:val="00D861B3"/>
    <w:rsid w:val="00D87DE9"/>
    <w:rsid w:val="00D87F00"/>
    <w:rsid w:val="00D9028A"/>
    <w:rsid w:val="00D91800"/>
    <w:rsid w:val="00D94279"/>
    <w:rsid w:val="00D94662"/>
    <w:rsid w:val="00D9713C"/>
    <w:rsid w:val="00D97932"/>
    <w:rsid w:val="00DA230E"/>
    <w:rsid w:val="00DA52F6"/>
    <w:rsid w:val="00DA7E49"/>
    <w:rsid w:val="00DB34FD"/>
    <w:rsid w:val="00DB3780"/>
    <w:rsid w:val="00DB5855"/>
    <w:rsid w:val="00DB5B50"/>
    <w:rsid w:val="00DC3884"/>
    <w:rsid w:val="00DC40C0"/>
    <w:rsid w:val="00DC5BB7"/>
    <w:rsid w:val="00DD0692"/>
    <w:rsid w:val="00DD1FEC"/>
    <w:rsid w:val="00DD2437"/>
    <w:rsid w:val="00DD44DA"/>
    <w:rsid w:val="00DD7800"/>
    <w:rsid w:val="00DE07CF"/>
    <w:rsid w:val="00DE24E4"/>
    <w:rsid w:val="00DE4D41"/>
    <w:rsid w:val="00DE7F84"/>
    <w:rsid w:val="00DF0A79"/>
    <w:rsid w:val="00DF17D5"/>
    <w:rsid w:val="00DF460E"/>
    <w:rsid w:val="00DF4A79"/>
    <w:rsid w:val="00DF79AB"/>
    <w:rsid w:val="00E00118"/>
    <w:rsid w:val="00E008C9"/>
    <w:rsid w:val="00E0095B"/>
    <w:rsid w:val="00E01996"/>
    <w:rsid w:val="00E130F0"/>
    <w:rsid w:val="00E1394E"/>
    <w:rsid w:val="00E15FF8"/>
    <w:rsid w:val="00E20037"/>
    <w:rsid w:val="00E22530"/>
    <w:rsid w:val="00E228C2"/>
    <w:rsid w:val="00E27D58"/>
    <w:rsid w:val="00E313BC"/>
    <w:rsid w:val="00E3149C"/>
    <w:rsid w:val="00E31572"/>
    <w:rsid w:val="00E3240A"/>
    <w:rsid w:val="00E35AD2"/>
    <w:rsid w:val="00E3774B"/>
    <w:rsid w:val="00E37D87"/>
    <w:rsid w:val="00E403B4"/>
    <w:rsid w:val="00E40F34"/>
    <w:rsid w:val="00E420E8"/>
    <w:rsid w:val="00E42AD6"/>
    <w:rsid w:val="00E45008"/>
    <w:rsid w:val="00E4609D"/>
    <w:rsid w:val="00E479B9"/>
    <w:rsid w:val="00E47FF1"/>
    <w:rsid w:val="00E542FF"/>
    <w:rsid w:val="00E54E52"/>
    <w:rsid w:val="00E56123"/>
    <w:rsid w:val="00E61769"/>
    <w:rsid w:val="00E63B47"/>
    <w:rsid w:val="00E65A12"/>
    <w:rsid w:val="00E67706"/>
    <w:rsid w:val="00E67CC2"/>
    <w:rsid w:val="00E67F4E"/>
    <w:rsid w:val="00E7318A"/>
    <w:rsid w:val="00E73677"/>
    <w:rsid w:val="00E743F4"/>
    <w:rsid w:val="00E744A6"/>
    <w:rsid w:val="00E74893"/>
    <w:rsid w:val="00E77099"/>
    <w:rsid w:val="00E779C0"/>
    <w:rsid w:val="00E836C3"/>
    <w:rsid w:val="00E83A86"/>
    <w:rsid w:val="00E84A2A"/>
    <w:rsid w:val="00E84FD4"/>
    <w:rsid w:val="00E86418"/>
    <w:rsid w:val="00E8744F"/>
    <w:rsid w:val="00E87743"/>
    <w:rsid w:val="00E90A2C"/>
    <w:rsid w:val="00E9281B"/>
    <w:rsid w:val="00E92AF6"/>
    <w:rsid w:val="00E93373"/>
    <w:rsid w:val="00E97205"/>
    <w:rsid w:val="00EA11C5"/>
    <w:rsid w:val="00EA1A02"/>
    <w:rsid w:val="00EA2AEA"/>
    <w:rsid w:val="00EA3647"/>
    <w:rsid w:val="00EA413E"/>
    <w:rsid w:val="00EA6EA8"/>
    <w:rsid w:val="00EA7A35"/>
    <w:rsid w:val="00EB0EDD"/>
    <w:rsid w:val="00EB2726"/>
    <w:rsid w:val="00EB42FF"/>
    <w:rsid w:val="00EB5D9C"/>
    <w:rsid w:val="00EB6D19"/>
    <w:rsid w:val="00EC321D"/>
    <w:rsid w:val="00EC7354"/>
    <w:rsid w:val="00EC7D5F"/>
    <w:rsid w:val="00EC7F42"/>
    <w:rsid w:val="00ED06B2"/>
    <w:rsid w:val="00ED145B"/>
    <w:rsid w:val="00ED15D2"/>
    <w:rsid w:val="00ED2FC1"/>
    <w:rsid w:val="00EE0A39"/>
    <w:rsid w:val="00EE2DA2"/>
    <w:rsid w:val="00EE2FF9"/>
    <w:rsid w:val="00EE3BBB"/>
    <w:rsid w:val="00EE4BDB"/>
    <w:rsid w:val="00EF33BF"/>
    <w:rsid w:val="00EF7E38"/>
    <w:rsid w:val="00F01626"/>
    <w:rsid w:val="00F0252A"/>
    <w:rsid w:val="00F03AF2"/>
    <w:rsid w:val="00F11E68"/>
    <w:rsid w:val="00F128CD"/>
    <w:rsid w:val="00F14681"/>
    <w:rsid w:val="00F2365E"/>
    <w:rsid w:val="00F23725"/>
    <w:rsid w:val="00F25428"/>
    <w:rsid w:val="00F26A2E"/>
    <w:rsid w:val="00F27189"/>
    <w:rsid w:val="00F309BC"/>
    <w:rsid w:val="00F32F6B"/>
    <w:rsid w:val="00F34AC6"/>
    <w:rsid w:val="00F437FA"/>
    <w:rsid w:val="00F44134"/>
    <w:rsid w:val="00F44206"/>
    <w:rsid w:val="00F4548D"/>
    <w:rsid w:val="00F46C6D"/>
    <w:rsid w:val="00F5057D"/>
    <w:rsid w:val="00F51AAA"/>
    <w:rsid w:val="00F51FE3"/>
    <w:rsid w:val="00F5367F"/>
    <w:rsid w:val="00F53E5B"/>
    <w:rsid w:val="00F56428"/>
    <w:rsid w:val="00F56A0A"/>
    <w:rsid w:val="00F57FB6"/>
    <w:rsid w:val="00F61726"/>
    <w:rsid w:val="00F6260D"/>
    <w:rsid w:val="00F62777"/>
    <w:rsid w:val="00F667B8"/>
    <w:rsid w:val="00F669B3"/>
    <w:rsid w:val="00F71137"/>
    <w:rsid w:val="00F72ADB"/>
    <w:rsid w:val="00F73F68"/>
    <w:rsid w:val="00F741FC"/>
    <w:rsid w:val="00F76513"/>
    <w:rsid w:val="00F77E28"/>
    <w:rsid w:val="00F80ADF"/>
    <w:rsid w:val="00F80E78"/>
    <w:rsid w:val="00F83721"/>
    <w:rsid w:val="00F84A6F"/>
    <w:rsid w:val="00F92846"/>
    <w:rsid w:val="00F933FE"/>
    <w:rsid w:val="00F9526B"/>
    <w:rsid w:val="00F96A84"/>
    <w:rsid w:val="00F96AAA"/>
    <w:rsid w:val="00F96D27"/>
    <w:rsid w:val="00FA25A6"/>
    <w:rsid w:val="00FA2D45"/>
    <w:rsid w:val="00FA30CC"/>
    <w:rsid w:val="00FA7BAB"/>
    <w:rsid w:val="00FB443C"/>
    <w:rsid w:val="00FB50FE"/>
    <w:rsid w:val="00FB638B"/>
    <w:rsid w:val="00FB6948"/>
    <w:rsid w:val="00FB6C3C"/>
    <w:rsid w:val="00FC0360"/>
    <w:rsid w:val="00FC54BF"/>
    <w:rsid w:val="00FC6CB9"/>
    <w:rsid w:val="00FC77C1"/>
    <w:rsid w:val="00FC7C96"/>
    <w:rsid w:val="00FD59DF"/>
    <w:rsid w:val="00FE03F8"/>
    <w:rsid w:val="00FE0E6B"/>
    <w:rsid w:val="00FE11A1"/>
    <w:rsid w:val="00FE3762"/>
    <w:rsid w:val="00FE5885"/>
    <w:rsid w:val="00FE5A00"/>
    <w:rsid w:val="00FE6158"/>
    <w:rsid w:val="00FE677A"/>
    <w:rsid w:val="00FE6F9A"/>
    <w:rsid w:val="00FE7E74"/>
    <w:rsid w:val="00FF077E"/>
    <w:rsid w:val="00FF123D"/>
    <w:rsid w:val="00FF2052"/>
    <w:rsid w:val="00FF4A46"/>
    <w:rsid w:val="00FF6434"/>
    <w:rsid w:val="00FF7340"/>
    <w:rsid w:val="00FF7D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4C73B"/>
  <w15:chartTrackingRefBased/>
  <w15:docId w15:val="{BA9FEE3B-D6D4-4551-964B-26C104F9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78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88A"/>
    <w:rPr>
      <w:rFonts w:ascii="Segoe UI" w:hAnsi="Segoe UI" w:cs="Segoe UI"/>
      <w:sz w:val="18"/>
      <w:szCs w:val="18"/>
    </w:rPr>
  </w:style>
  <w:style w:type="paragraph" w:styleId="Encabezado">
    <w:name w:val="header"/>
    <w:basedOn w:val="Normal"/>
    <w:link w:val="EncabezadoCar"/>
    <w:uiPriority w:val="99"/>
    <w:unhideWhenUsed/>
    <w:rsid w:val="008778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788A"/>
  </w:style>
  <w:style w:type="paragraph" w:styleId="Piedepgina">
    <w:name w:val="footer"/>
    <w:basedOn w:val="Normal"/>
    <w:link w:val="PiedepginaCar"/>
    <w:uiPriority w:val="99"/>
    <w:unhideWhenUsed/>
    <w:rsid w:val="008778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88A"/>
  </w:style>
  <w:style w:type="paragraph" w:styleId="Textonotapie">
    <w:name w:val="footnote text"/>
    <w:basedOn w:val="Normal"/>
    <w:link w:val="TextonotapieCar"/>
    <w:uiPriority w:val="99"/>
    <w:unhideWhenUsed/>
    <w:rsid w:val="003B49AF"/>
    <w:pPr>
      <w:spacing w:after="0" w:line="240" w:lineRule="auto"/>
    </w:pPr>
    <w:rPr>
      <w:sz w:val="20"/>
      <w:szCs w:val="20"/>
    </w:rPr>
  </w:style>
  <w:style w:type="character" w:customStyle="1" w:styleId="TextonotapieCar">
    <w:name w:val="Texto nota pie Car"/>
    <w:basedOn w:val="Fuentedeprrafopredeter"/>
    <w:link w:val="Textonotapie"/>
    <w:uiPriority w:val="99"/>
    <w:rsid w:val="003B49AF"/>
    <w:rPr>
      <w:sz w:val="20"/>
      <w:szCs w:val="20"/>
    </w:rPr>
  </w:style>
  <w:style w:type="character" w:styleId="Refdenotaalpie">
    <w:name w:val="footnote reference"/>
    <w:basedOn w:val="Fuentedeprrafopredeter"/>
    <w:uiPriority w:val="99"/>
    <w:semiHidden/>
    <w:unhideWhenUsed/>
    <w:rsid w:val="003B49AF"/>
    <w:rPr>
      <w:vertAlign w:val="superscript"/>
    </w:rPr>
  </w:style>
  <w:style w:type="character" w:styleId="Hipervnculo">
    <w:name w:val="Hyperlink"/>
    <w:basedOn w:val="Fuentedeprrafopredeter"/>
    <w:uiPriority w:val="99"/>
    <w:unhideWhenUsed/>
    <w:rsid w:val="003B49AF"/>
    <w:rPr>
      <w:color w:val="0000FF"/>
      <w:u w:val="single"/>
    </w:rPr>
  </w:style>
  <w:style w:type="character" w:styleId="Refdecomentario">
    <w:name w:val="annotation reference"/>
    <w:basedOn w:val="Fuentedeprrafopredeter"/>
    <w:uiPriority w:val="99"/>
    <w:semiHidden/>
    <w:unhideWhenUsed/>
    <w:rsid w:val="003B49AF"/>
    <w:rPr>
      <w:sz w:val="16"/>
      <w:szCs w:val="16"/>
    </w:rPr>
  </w:style>
  <w:style w:type="paragraph" w:styleId="Textocomentario">
    <w:name w:val="annotation text"/>
    <w:basedOn w:val="Normal"/>
    <w:link w:val="TextocomentarioCar"/>
    <w:uiPriority w:val="99"/>
    <w:unhideWhenUsed/>
    <w:rsid w:val="003B49AF"/>
    <w:pPr>
      <w:spacing w:line="240" w:lineRule="auto"/>
    </w:pPr>
    <w:rPr>
      <w:sz w:val="20"/>
      <w:szCs w:val="20"/>
    </w:rPr>
  </w:style>
  <w:style w:type="character" w:customStyle="1" w:styleId="TextocomentarioCar">
    <w:name w:val="Texto comentario Car"/>
    <w:basedOn w:val="Fuentedeprrafopredeter"/>
    <w:link w:val="Textocomentario"/>
    <w:uiPriority w:val="99"/>
    <w:rsid w:val="003B49AF"/>
    <w:rPr>
      <w:sz w:val="20"/>
      <w:szCs w:val="20"/>
    </w:rPr>
  </w:style>
  <w:style w:type="paragraph" w:styleId="Prrafodelista">
    <w:name w:val="List Paragraph"/>
    <w:basedOn w:val="Normal"/>
    <w:uiPriority w:val="34"/>
    <w:qFormat/>
    <w:rsid w:val="00C7482C"/>
    <w:pPr>
      <w:spacing w:line="256" w:lineRule="auto"/>
      <w:ind w:left="720"/>
      <w:contextualSpacing/>
    </w:pPr>
  </w:style>
  <w:style w:type="paragraph" w:styleId="Asuntodelcomentario">
    <w:name w:val="annotation subject"/>
    <w:basedOn w:val="Textocomentario"/>
    <w:next w:val="Textocomentario"/>
    <w:link w:val="AsuntodelcomentarioCar"/>
    <w:uiPriority w:val="99"/>
    <w:semiHidden/>
    <w:unhideWhenUsed/>
    <w:rsid w:val="00BA1FD2"/>
    <w:rPr>
      <w:b/>
      <w:bCs/>
    </w:rPr>
  </w:style>
  <w:style w:type="character" w:customStyle="1" w:styleId="AsuntodelcomentarioCar">
    <w:name w:val="Asunto del comentario Car"/>
    <w:basedOn w:val="TextocomentarioCar"/>
    <w:link w:val="Asuntodelcomentario"/>
    <w:uiPriority w:val="99"/>
    <w:semiHidden/>
    <w:rsid w:val="00BA1FD2"/>
    <w:rPr>
      <w:b/>
      <w:bCs/>
      <w:sz w:val="20"/>
      <w:szCs w:val="20"/>
    </w:rPr>
  </w:style>
  <w:style w:type="paragraph" w:styleId="Revisin">
    <w:name w:val="Revision"/>
    <w:hidden/>
    <w:uiPriority w:val="99"/>
    <w:semiHidden/>
    <w:rsid w:val="00E56123"/>
    <w:pPr>
      <w:spacing w:after="0" w:line="240" w:lineRule="auto"/>
    </w:pPr>
  </w:style>
  <w:style w:type="table" w:styleId="Tablaconcuadrcula">
    <w:name w:val="Table Grid"/>
    <w:basedOn w:val="Tablanormal"/>
    <w:uiPriority w:val="39"/>
    <w:rsid w:val="00B6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77C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visitado">
    <w:name w:val="FollowedHyperlink"/>
    <w:basedOn w:val="Fuentedeprrafopredeter"/>
    <w:uiPriority w:val="99"/>
    <w:semiHidden/>
    <w:unhideWhenUsed/>
    <w:rsid w:val="00C41F07"/>
    <w:rPr>
      <w:color w:val="954F72" w:themeColor="followedHyperlink"/>
      <w:u w:val="single"/>
    </w:rPr>
  </w:style>
  <w:style w:type="character" w:customStyle="1" w:styleId="UnresolvedMention">
    <w:name w:val="Unresolved Mention"/>
    <w:basedOn w:val="Fuentedeprrafopredeter"/>
    <w:uiPriority w:val="99"/>
    <w:semiHidden/>
    <w:unhideWhenUsed/>
    <w:rsid w:val="00F92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91">
      <w:bodyDiv w:val="1"/>
      <w:marLeft w:val="0"/>
      <w:marRight w:val="0"/>
      <w:marTop w:val="0"/>
      <w:marBottom w:val="0"/>
      <w:divBdr>
        <w:top w:val="none" w:sz="0" w:space="0" w:color="auto"/>
        <w:left w:val="none" w:sz="0" w:space="0" w:color="auto"/>
        <w:bottom w:val="none" w:sz="0" w:space="0" w:color="auto"/>
        <w:right w:val="none" w:sz="0" w:space="0" w:color="auto"/>
      </w:divBdr>
    </w:div>
    <w:div w:id="289437668">
      <w:bodyDiv w:val="1"/>
      <w:marLeft w:val="0"/>
      <w:marRight w:val="0"/>
      <w:marTop w:val="0"/>
      <w:marBottom w:val="0"/>
      <w:divBdr>
        <w:top w:val="none" w:sz="0" w:space="0" w:color="auto"/>
        <w:left w:val="none" w:sz="0" w:space="0" w:color="auto"/>
        <w:bottom w:val="none" w:sz="0" w:space="0" w:color="auto"/>
        <w:right w:val="none" w:sz="0" w:space="0" w:color="auto"/>
      </w:divBdr>
    </w:div>
    <w:div w:id="500706640">
      <w:bodyDiv w:val="1"/>
      <w:marLeft w:val="0"/>
      <w:marRight w:val="0"/>
      <w:marTop w:val="0"/>
      <w:marBottom w:val="0"/>
      <w:divBdr>
        <w:top w:val="none" w:sz="0" w:space="0" w:color="auto"/>
        <w:left w:val="none" w:sz="0" w:space="0" w:color="auto"/>
        <w:bottom w:val="none" w:sz="0" w:space="0" w:color="auto"/>
        <w:right w:val="none" w:sz="0" w:space="0" w:color="auto"/>
      </w:divBdr>
    </w:div>
    <w:div w:id="561216996">
      <w:bodyDiv w:val="1"/>
      <w:marLeft w:val="0"/>
      <w:marRight w:val="0"/>
      <w:marTop w:val="0"/>
      <w:marBottom w:val="0"/>
      <w:divBdr>
        <w:top w:val="none" w:sz="0" w:space="0" w:color="auto"/>
        <w:left w:val="none" w:sz="0" w:space="0" w:color="auto"/>
        <w:bottom w:val="none" w:sz="0" w:space="0" w:color="auto"/>
        <w:right w:val="none" w:sz="0" w:space="0" w:color="auto"/>
      </w:divBdr>
    </w:div>
    <w:div w:id="1090274395">
      <w:bodyDiv w:val="1"/>
      <w:marLeft w:val="0"/>
      <w:marRight w:val="0"/>
      <w:marTop w:val="0"/>
      <w:marBottom w:val="0"/>
      <w:divBdr>
        <w:top w:val="none" w:sz="0" w:space="0" w:color="auto"/>
        <w:left w:val="none" w:sz="0" w:space="0" w:color="auto"/>
        <w:bottom w:val="none" w:sz="0" w:space="0" w:color="auto"/>
        <w:right w:val="none" w:sz="0" w:space="0" w:color="auto"/>
      </w:divBdr>
    </w:div>
    <w:div w:id="1893689644">
      <w:bodyDiv w:val="1"/>
      <w:marLeft w:val="0"/>
      <w:marRight w:val="0"/>
      <w:marTop w:val="0"/>
      <w:marBottom w:val="0"/>
      <w:divBdr>
        <w:top w:val="none" w:sz="0" w:space="0" w:color="auto"/>
        <w:left w:val="none" w:sz="0" w:space="0" w:color="auto"/>
        <w:bottom w:val="none" w:sz="0" w:space="0" w:color="auto"/>
        <w:right w:val="none" w:sz="0" w:space="0" w:color="auto"/>
      </w:divBdr>
    </w:div>
    <w:div w:id="1926717678">
      <w:bodyDiv w:val="1"/>
      <w:marLeft w:val="0"/>
      <w:marRight w:val="0"/>
      <w:marTop w:val="0"/>
      <w:marBottom w:val="0"/>
      <w:divBdr>
        <w:top w:val="none" w:sz="0" w:space="0" w:color="auto"/>
        <w:left w:val="none" w:sz="0" w:space="0" w:color="auto"/>
        <w:bottom w:val="none" w:sz="0" w:space="0" w:color="auto"/>
        <w:right w:val="none" w:sz="0" w:space="0" w:color="auto"/>
      </w:divBdr>
    </w:div>
    <w:div w:id="20194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http://www.diputados.gob.mx/LeyesBiblio/pdf_mov/Ley_General_de_Salud.pdf"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es/events/drugabuseday/index.shtml" TargetMode="External"/><Relationship Id="rId2" Type="http://schemas.openxmlformats.org/officeDocument/2006/relationships/hyperlink" Target="https://www.dof.gob.mx/nota_detalle.php?codigo=5565599&amp;fecha=12/07/2019" TargetMode="External"/><Relationship Id="rId1" Type="http://schemas.openxmlformats.org/officeDocument/2006/relationships/hyperlink" Target="https://undocs.org/es/A/RES/42/112" TargetMode="External"/><Relationship Id="rId5" Type="http://schemas.openxmlformats.org/officeDocument/2006/relationships/hyperlink" Target="https://www.dof.gob.mx/nota_detalle.php?codigo=5592105&amp;fecha=22/04/2020" TargetMode="External"/><Relationship Id="rId4" Type="http://schemas.openxmlformats.org/officeDocument/2006/relationships/hyperlink" Target="https://cannabis.senado.gob.mx/images/pdf/ADLR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0BF258E8D17940A760D8E68462521D" ma:contentTypeVersion="13" ma:contentTypeDescription="Create a new document." ma:contentTypeScope="" ma:versionID="c798f728d0275d11ff59b3680ea271d0">
  <xsd:schema xmlns:xsd="http://www.w3.org/2001/XMLSchema" xmlns:xs="http://www.w3.org/2001/XMLSchema" xmlns:p="http://schemas.microsoft.com/office/2006/metadata/properties" xmlns:ns3="7dc55580-dde0-41ef-923c-b26ada10efee" xmlns:ns4="19fb8fc5-e27b-41a1-ae76-0397d965dfe7" targetNamespace="http://schemas.microsoft.com/office/2006/metadata/properties" ma:root="true" ma:fieldsID="687866a41d7d7e434e6303625dce266b" ns3:_="" ns4:_="">
    <xsd:import namespace="7dc55580-dde0-41ef-923c-b26ada10efee"/>
    <xsd:import namespace="19fb8fc5-e27b-41a1-ae76-0397d965df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55580-dde0-41ef-923c-b26ada10ef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b8fc5-e27b-41a1-ae76-0397d965d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14ACEB8-8E00-4815-9FD8-4B3AD0365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D6134D-8495-4D12-A6D4-9718E9C90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55580-dde0-41ef-923c-b26ada10efee"/>
    <ds:schemaRef ds:uri="19fb8fc5-e27b-41a1-ae76-0397d965d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A8F139-A48E-40AD-91A4-088C6FF84923}">
  <ds:schemaRefs>
    <ds:schemaRef ds:uri="http://schemas.microsoft.com/sharepoint/v3/contenttype/forms"/>
  </ds:schemaRefs>
</ds:datastoreItem>
</file>

<file path=customXml/itemProps4.xml><?xml version="1.0" encoding="utf-8"?>
<ds:datastoreItem xmlns:ds="http://schemas.openxmlformats.org/officeDocument/2006/customXml" ds:itemID="{9FF69CAA-7430-43E6-ACA5-79F90D976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3698</Words>
  <Characters>21085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Agustín Sánchez</dc:creator>
  <cp:keywords/>
  <dc:description/>
  <cp:lastModifiedBy>MORONES RUIZ FABIOLA CRISTINA</cp:lastModifiedBy>
  <cp:revision>2</cp:revision>
  <dcterms:created xsi:type="dcterms:W3CDTF">2020-06-24T14:01:00Z</dcterms:created>
  <dcterms:modified xsi:type="dcterms:W3CDTF">2020-06-24T14:01:00Z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0x010100350BF258E8D17940A760D8E68462521D</vt:lpwstr>
  </property>
</Properties>
</file>