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9DA4D" w14:textId="041AC0B7" w:rsidR="004347A1" w:rsidRPr="004347A1" w:rsidRDefault="00FF2169" w:rsidP="004347A1">
      <w:pPr>
        <w:ind w:left="-567"/>
        <w:jc w:val="center"/>
        <w:rPr>
          <w:rFonts w:cs="Arial"/>
          <w:b/>
          <w:bCs/>
          <w:color w:val="000000" w:themeColor="text1"/>
          <w:sz w:val="24"/>
          <w:lang w:val="es-MX"/>
        </w:rPr>
      </w:pPr>
      <w:r w:rsidRPr="00CE7FF1">
        <w:rPr>
          <w:rFonts w:cs="Arial"/>
          <w:b/>
          <w:bCs/>
          <w:color w:val="000000" w:themeColor="text1"/>
          <w:sz w:val="24"/>
          <w:lang w:val="es-MX"/>
        </w:rPr>
        <w:t xml:space="preserve">ESTADÍSTICAS A PROPÓSITO </w:t>
      </w:r>
      <w:r w:rsidRPr="001B19C9">
        <w:rPr>
          <w:rFonts w:cs="Arial"/>
          <w:b/>
          <w:bCs/>
          <w:color w:val="000000" w:themeColor="text1"/>
          <w:sz w:val="24"/>
          <w:lang w:val="es-MX"/>
        </w:rPr>
        <w:t xml:space="preserve">DEL DÍA </w:t>
      </w:r>
      <w:r>
        <w:rPr>
          <w:rFonts w:cs="Arial"/>
          <w:b/>
          <w:bCs/>
          <w:color w:val="000000" w:themeColor="text1"/>
          <w:sz w:val="24"/>
          <w:lang w:val="es-MX"/>
        </w:rPr>
        <w:t>MUNDIAL DE LA POBLACIÓN</w:t>
      </w:r>
      <w:r w:rsidR="004347A1">
        <w:rPr>
          <w:rFonts w:cs="Arial"/>
          <w:b/>
          <w:bCs/>
          <w:color w:val="000000" w:themeColor="text1"/>
          <w:sz w:val="24"/>
          <w:lang w:val="es-MX"/>
        </w:rPr>
        <w:t xml:space="preserve"> </w:t>
      </w:r>
      <w:r w:rsidR="004347A1">
        <w:rPr>
          <w:rFonts w:cs="Arial"/>
          <w:b/>
          <w:color w:val="000000" w:themeColor="text1"/>
          <w:sz w:val="24"/>
          <w:lang w:val="es-MX"/>
        </w:rPr>
        <w:t>(11 DE JULIO)</w:t>
      </w:r>
    </w:p>
    <w:p w14:paraId="0113C340" w14:textId="04F0C9A0" w:rsidR="00FF2169" w:rsidRDefault="00FF2169" w:rsidP="004347A1">
      <w:pPr>
        <w:ind w:left="-567"/>
        <w:jc w:val="center"/>
        <w:rPr>
          <w:rFonts w:cs="Arial"/>
          <w:b/>
          <w:color w:val="000000" w:themeColor="text1"/>
          <w:sz w:val="24"/>
          <w:lang w:val="es-MX"/>
        </w:rPr>
      </w:pPr>
      <w:r w:rsidRPr="0016205E">
        <w:rPr>
          <w:rFonts w:cs="Arial"/>
          <w:b/>
          <w:color w:val="000000" w:themeColor="text1"/>
          <w:sz w:val="24"/>
          <w:lang w:val="es-MX"/>
        </w:rPr>
        <w:t>DATOS NACIONALES</w:t>
      </w:r>
    </w:p>
    <w:p w14:paraId="6E362086" w14:textId="77777777" w:rsidR="00FF2169" w:rsidRPr="00BA563A" w:rsidRDefault="00FF2169" w:rsidP="00FF2169">
      <w:pPr>
        <w:rPr>
          <w:rFonts w:cs="Arial"/>
          <w:bCs/>
          <w:color w:val="000000" w:themeColor="text1"/>
          <w:szCs w:val="22"/>
          <w:lang w:val="es-MX"/>
        </w:rPr>
      </w:pPr>
    </w:p>
    <w:p w14:paraId="2D8AB050" w14:textId="0AA2744C" w:rsidR="00DE700F" w:rsidRPr="004347A1" w:rsidRDefault="00DE700F" w:rsidP="004347A1">
      <w:pPr>
        <w:pStyle w:val="Prrafodelista"/>
        <w:numPr>
          <w:ilvl w:val="0"/>
          <w:numId w:val="7"/>
        </w:numPr>
        <w:ind w:left="284" w:right="392" w:hanging="284"/>
        <w:jc w:val="both"/>
        <w:rPr>
          <w:rFonts w:ascii="Arial" w:hAnsi="Arial" w:cs="Arial"/>
          <w:sz w:val="22"/>
          <w:szCs w:val="22"/>
        </w:rPr>
      </w:pPr>
      <w:r w:rsidRPr="004347A1">
        <w:rPr>
          <w:rFonts w:ascii="Arial" w:hAnsi="Arial" w:cs="Arial"/>
          <w:sz w:val="22"/>
          <w:szCs w:val="22"/>
        </w:rPr>
        <w:t>De acuerdo con la Encuesta Nacional de la Dinámica Demográfica (ENADID) 2018</w:t>
      </w:r>
      <w:r w:rsidR="004347A1" w:rsidRPr="004347A1">
        <w:rPr>
          <w:rFonts w:ascii="Arial" w:hAnsi="Arial" w:cs="Arial"/>
          <w:sz w:val="22"/>
          <w:szCs w:val="22"/>
        </w:rPr>
        <w:t>,</w:t>
      </w:r>
      <w:r w:rsidRPr="004347A1">
        <w:rPr>
          <w:rFonts w:ascii="Arial" w:hAnsi="Arial" w:cs="Arial"/>
          <w:sz w:val="22"/>
          <w:szCs w:val="22"/>
        </w:rPr>
        <w:t xml:space="preserve"> hay </w:t>
      </w:r>
      <w:bookmarkStart w:id="0" w:name="_GoBack"/>
      <w:bookmarkEnd w:id="0"/>
      <w:r w:rsidRPr="004347A1">
        <w:rPr>
          <w:rFonts w:ascii="Arial" w:hAnsi="Arial" w:cs="Arial"/>
          <w:sz w:val="22"/>
          <w:szCs w:val="22"/>
        </w:rPr>
        <w:t xml:space="preserve">125 millones de personas que residen en </w:t>
      </w:r>
      <w:r w:rsidR="004347A1" w:rsidRPr="004347A1">
        <w:rPr>
          <w:rFonts w:ascii="Arial" w:hAnsi="Arial" w:cs="Arial"/>
          <w:sz w:val="22"/>
          <w:szCs w:val="22"/>
        </w:rPr>
        <w:t xml:space="preserve">México: </w:t>
      </w:r>
      <w:r w:rsidRPr="004347A1">
        <w:rPr>
          <w:rFonts w:ascii="Arial" w:hAnsi="Arial" w:cs="Arial"/>
          <w:sz w:val="22"/>
          <w:szCs w:val="22"/>
        </w:rPr>
        <w:t>51.1% son mujeres y 48.9 son hombres</w:t>
      </w:r>
      <w:r w:rsidR="004347A1" w:rsidRPr="004347A1">
        <w:rPr>
          <w:rFonts w:ascii="Arial" w:hAnsi="Arial" w:cs="Arial"/>
          <w:sz w:val="22"/>
          <w:szCs w:val="22"/>
        </w:rPr>
        <w:t>.</w:t>
      </w:r>
      <w:r w:rsidRPr="004347A1">
        <w:rPr>
          <w:rFonts w:ascii="Arial" w:hAnsi="Arial" w:cs="Arial"/>
          <w:sz w:val="22"/>
          <w:szCs w:val="22"/>
        </w:rPr>
        <w:t xml:space="preserve"> </w:t>
      </w:r>
    </w:p>
    <w:p w14:paraId="3C9AC734" w14:textId="78F8A72C" w:rsidR="00875767" w:rsidRPr="004347A1" w:rsidRDefault="00FF2169" w:rsidP="004347A1">
      <w:pPr>
        <w:pStyle w:val="Prrafodelista"/>
        <w:numPr>
          <w:ilvl w:val="0"/>
          <w:numId w:val="7"/>
        </w:numPr>
        <w:ind w:left="284" w:right="392" w:hanging="284"/>
        <w:jc w:val="both"/>
        <w:rPr>
          <w:rFonts w:ascii="Arial" w:hAnsi="Arial" w:cs="Arial"/>
          <w:sz w:val="22"/>
          <w:szCs w:val="22"/>
        </w:rPr>
      </w:pPr>
      <w:r w:rsidRPr="004347A1">
        <w:rPr>
          <w:rFonts w:ascii="Arial" w:hAnsi="Arial" w:cs="Arial"/>
          <w:sz w:val="22"/>
          <w:szCs w:val="22"/>
        </w:rPr>
        <w:t>En</w:t>
      </w:r>
      <w:r w:rsidR="004347A1" w:rsidRPr="004347A1">
        <w:rPr>
          <w:rFonts w:ascii="Arial" w:hAnsi="Arial" w:cs="Arial"/>
          <w:sz w:val="22"/>
          <w:szCs w:val="22"/>
        </w:rPr>
        <w:t>tre</w:t>
      </w:r>
      <w:r w:rsidRPr="004347A1">
        <w:rPr>
          <w:rFonts w:ascii="Arial" w:hAnsi="Arial" w:cs="Arial"/>
          <w:sz w:val="22"/>
          <w:szCs w:val="22"/>
        </w:rPr>
        <w:t xml:space="preserve"> los dos últimos levantamientos de la ENADID </w:t>
      </w:r>
      <w:r w:rsidR="004347A1" w:rsidRPr="004347A1">
        <w:rPr>
          <w:rFonts w:ascii="Arial" w:hAnsi="Arial" w:cs="Arial"/>
          <w:sz w:val="22"/>
          <w:szCs w:val="22"/>
        </w:rPr>
        <w:t>(</w:t>
      </w:r>
      <w:r w:rsidRPr="004347A1">
        <w:rPr>
          <w:rFonts w:ascii="Arial" w:hAnsi="Arial" w:cs="Arial"/>
          <w:sz w:val="22"/>
          <w:szCs w:val="22"/>
        </w:rPr>
        <w:t>2014 y 2018</w:t>
      </w:r>
      <w:r w:rsidR="004347A1" w:rsidRPr="004347A1">
        <w:rPr>
          <w:rFonts w:ascii="Arial" w:hAnsi="Arial" w:cs="Arial"/>
          <w:sz w:val="22"/>
          <w:szCs w:val="22"/>
        </w:rPr>
        <w:t>)</w:t>
      </w:r>
      <w:r w:rsidRPr="004347A1">
        <w:rPr>
          <w:rFonts w:ascii="Arial" w:hAnsi="Arial" w:cs="Arial"/>
          <w:sz w:val="22"/>
          <w:szCs w:val="22"/>
        </w:rPr>
        <w:t xml:space="preserve">, la tasa de fecundidad de las adolescentes (15 a 19 años) disminuyó de 77 a 70.6 hijos por cada mil adolescentes. </w:t>
      </w:r>
    </w:p>
    <w:p w14:paraId="18D8DD13" w14:textId="3BCE56F8" w:rsidR="00FF2169" w:rsidRPr="004347A1" w:rsidRDefault="004347A1" w:rsidP="004347A1">
      <w:pPr>
        <w:pStyle w:val="Prrafodelista"/>
        <w:numPr>
          <w:ilvl w:val="0"/>
          <w:numId w:val="7"/>
        </w:numPr>
        <w:ind w:left="284" w:right="392" w:hanging="284"/>
        <w:jc w:val="both"/>
        <w:rPr>
          <w:rFonts w:ascii="Arial" w:hAnsi="Arial" w:cs="Arial"/>
          <w:sz w:val="22"/>
          <w:szCs w:val="22"/>
        </w:rPr>
      </w:pPr>
      <w:r w:rsidRPr="004347A1">
        <w:rPr>
          <w:rFonts w:ascii="Arial" w:hAnsi="Arial" w:cs="Arial"/>
          <w:sz w:val="22"/>
          <w:szCs w:val="22"/>
        </w:rPr>
        <w:t>En</w:t>
      </w:r>
      <w:r w:rsidR="00875767" w:rsidRPr="004347A1">
        <w:rPr>
          <w:rFonts w:ascii="Arial" w:hAnsi="Arial" w:cs="Arial"/>
          <w:sz w:val="22"/>
          <w:szCs w:val="22"/>
        </w:rPr>
        <w:t xml:space="preserve"> el periodo de enero de 2013 a octubre de 2018, 760 mil personas salieron de México para trabajar, vivir o estudiar en el extranjero.</w:t>
      </w:r>
    </w:p>
    <w:p w14:paraId="52A5EACF" w14:textId="77777777" w:rsidR="00875767" w:rsidRPr="00875767" w:rsidRDefault="00875767" w:rsidP="00875767"/>
    <w:p w14:paraId="422DD6EC" w14:textId="4FC549A1" w:rsidR="00FF2169" w:rsidRDefault="00DE700F" w:rsidP="00E570F3">
      <w:pPr>
        <w:pStyle w:val="Ttulo3"/>
        <w:ind w:left="-567"/>
        <w:jc w:val="both"/>
        <w:rPr>
          <w:rFonts w:ascii="Arial" w:eastAsia="Times New Roman" w:hAnsi="Arial" w:cs="Arial"/>
          <w:color w:val="auto"/>
          <w:sz w:val="22"/>
          <w:szCs w:val="22"/>
        </w:rPr>
      </w:pPr>
      <w:r w:rsidRPr="00EF0EA3">
        <w:rPr>
          <w:rFonts w:ascii="Arial" w:eastAsia="Times New Roman" w:hAnsi="Arial" w:cs="Arial"/>
          <w:color w:val="auto"/>
          <w:sz w:val="22"/>
          <w:szCs w:val="22"/>
        </w:rPr>
        <w:t xml:space="preserve">De acuerdo con la </w:t>
      </w:r>
      <w:r w:rsidR="004347A1" w:rsidRPr="00EF0EA3">
        <w:rPr>
          <w:rFonts w:ascii="Arial" w:eastAsia="Times New Roman" w:hAnsi="Arial" w:cs="Arial"/>
          <w:color w:val="auto"/>
          <w:sz w:val="22"/>
          <w:szCs w:val="22"/>
        </w:rPr>
        <w:t xml:space="preserve">Encuesta Nacional de la Dinámica Demográfica </w:t>
      </w:r>
      <w:r w:rsidR="004347A1">
        <w:rPr>
          <w:rFonts w:ascii="Arial" w:eastAsia="Times New Roman" w:hAnsi="Arial" w:cs="Arial"/>
          <w:color w:val="auto"/>
          <w:sz w:val="22"/>
          <w:szCs w:val="22"/>
        </w:rPr>
        <w:t>(</w:t>
      </w:r>
      <w:r w:rsidRPr="00EF0EA3">
        <w:rPr>
          <w:rFonts w:ascii="Arial" w:eastAsia="Times New Roman" w:hAnsi="Arial" w:cs="Arial"/>
          <w:color w:val="auto"/>
          <w:sz w:val="22"/>
          <w:szCs w:val="22"/>
        </w:rPr>
        <w:t>ENADID</w:t>
      </w:r>
      <w:r w:rsidR="004347A1">
        <w:rPr>
          <w:rFonts w:ascii="Arial" w:eastAsia="Times New Roman" w:hAnsi="Arial" w:cs="Arial"/>
          <w:color w:val="auto"/>
          <w:sz w:val="22"/>
          <w:szCs w:val="22"/>
        </w:rPr>
        <w:t>)</w:t>
      </w:r>
      <w:r w:rsidRPr="00EF0EA3">
        <w:rPr>
          <w:rFonts w:ascii="Arial" w:eastAsia="Times New Roman" w:hAnsi="Arial" w:cs="Arial"/>
          <w:color w:val="auto"/>
          <w:sz w:val="22"/>
          <w:szCs w:val="22"/>
        </w:rPr>
        <w:t xml:space="preserve"> 2018</w:t>
      </w:r>
      <w:r w:rsidR="004347A1">
        <w:rPr>
          <w:rFonts w:ascii="Arial" w:eastAsia="Times New Roman" w:hAnsi="Arial" w:cs="Arial"/>
          <w:color w:val="auto"/>
          <w:sz w:val="22"/>
          <w:szCs w:val="22"/>
        </w:rPr>
        <w:t xml:space="preserve">, en México </w:t>
      </w:r>
      <w:r w:rsidRPr="00EF0EA3">
        <w:rPr>
          <w:rFonts w:ascii="Arial" w:eastAsia="Times New Roman" w:hAnsi="Arial" w:cs="Arial"/>
          <w:color w:val="auto"/>
          <w:sz w:val="22"/>
          <w:szCs w:val="22"/>
        </w:rPr>
        <w:t>residen 125 millones de personas</w:t>
      </w:r>
      <w:r w:rsidR="004347A1">
        <w:rPr>
          <w:rFonts w:ascii="Arial" w:eastAsia="Times New Roman" w:hAnsi="Arial" w:cs="Arial"/>
          <w:color w:val="auto"/>
          <w:sz w:val="22"/>
          <w:szCs w:val="22"/>
        </w:rPr>
        <w:t>. D</w:t>
      </w:r>
      <w:r w:rsidRPr="00EF0EA3">
        <w:rPr>
          <w:rFonts w:ascii="Arial" w:eastAsia="Times New Roman" w:hAnsi="Arial" w:cs="Arial"/>
          <w:color w:val="auto"/>
          <w:sz w:val="22"/>
          <w:szCs w:val="22"/>
        </w:rPr>
        <w:t>e éstas</w:t>
      </w:r>
      <w:r w:rsidR="004347A1">
        <w:rPr>
          <w:rFonts w:ascii="Arial" w:eastAsia="Times New Roman" w:hAnsi="Arial" w:cs="Arial"/>
          <w:color w:val="auto"/>
          <w:sz w:val="22"/>
          <w:szCs w:val="22"/>
        </w:rPr>
        <w:t>,</w:t>
      </w:r>
      <w:r w:rsidRPr="00EF0EA3">
        <w:rPr>
          <w:rFonts w:ascii="Arial" w:eastAsia="Times New Roman" w:hAnsi="Arial" w:cs="Arial"/>
          <w:color w:val="auto"/>
          <w:sz w:val="22"/>
          <w:szCs w:val="22"/>
        </w:rPr>
        <w:t xml:space="preserve"> 51.1% son mujeres (63.9 millones) y 48.9% hombres (61.1 millones)</w:t>
      </w:r>
      <w:r w:rsidR="004347A1">
        <w:rPr>
          <w:rFonts w:ascii="Arial" w:eastAsia="Times New Roman" w:hAnsi="Arial" w:cs="Arial"/>
          <w:color w:val="auto"/>
          <w:sz w:val="22"/>
          <w:szCs w:val="22"/>
        </w:rPr>
        <w:t>.</w:t>
      </w:r>
    </w:p>
    <w:p w14:paraId="739AFFC3" w14:textId="77777777" w:rsidR="00E570F3" w:rsidRPr="00E570F3" w:rsidRDefault="00E570F3" w:rsidP="00E570F3"/>
    <w:p w14:paraId="1C52C87D" w14:textId="4DFF3990" w:rsidR="00FF2169" w:rsidRPr="00904DE3" w:rsidRDefault="00FF2169" w:rsidP="00FF2169">
      <w:pPr>
        <w:pStyle w:val="Ttulo3"/>
        <w:ind w:left="-567"/>
        <w:jc w:val="both"/>
        <w:rPr>
          <w:rFonts w:ascii="Arial" w:hAnsi="Arial" w:cs="Arial"/>
          <w:color w:val="auto"/>
          <w:sz w:val="22"/>
          <w:szCs w:val="22"/>
        </w:rPr>
      </w:pPr>
      <w:r w:rsidRPr="00E9661F">
        <w:rPr>
          <w:rFonts w:ascii="Arial" w:eastAsia="Times New Roman" w:hAnsi="Arial" w:cs="Arial"/>
          <w:color w:val="auto"/>
          <w:sz w:val="22"/>
          <w:szCs w:val="22"/>
        </w:rPr>
        <w:t xml:space="preserve">La tasa global de fecundidad (TGF) </w:t>
      </w:r>
      <w:r w:rsidRPr="00904DE3">
        <w:rPr>
          <w:rFonts w:ascii="Arial" w:eastAsia="Times New Roman" w:hAnsi="Arial" w:cs="Arial"/>
          <w:color w:val="auto"/>
          <w:sz w:val="22"/>
          <w:szCs w:val="22"/>
        </w:rPr>
        <w:t>representa el número de hijos que en promedio tendrá una mujer al final de su vida reproductiva.</w:t>
      </w:r>
      <w:r w:rsidRPr="00904DE3">
        <w:rPr>
          <w:rFonts w:ascii="Arial" w:hAnsi="Arial" w:cs="Arial"/>
          <w:color w:val="auto"/>
          <w:sz w:val="22"/>
          <w:szCs w:val="22"/>
        </w:rPr>
        <w:t xml:space="preserve"> Su tendencia ha mantenido un descenso desde mediados de la década de los sesenta</w:t>
      </w:r>
      <w:r w:rsidR="004347A1">
        <w:rPr>
          <w:rFonts w:ascii="Arial" w:hAnsi="Arial" w:cs="Arial"/>
          <w:color w:val="auto"/>
          <w:sz w:val="22"/>
          <w:szCs w:val="22"/>
        </w:rPr>
        <w:t>,</w:t>
      </w:r>
      <w:r w:rsidRPr="00904DE3">
        <w:rPr>
          <w:rFonts w:ascii="Arial" w:hAnsi="Arial" w:cs="Arial"/>
          <w:color w:val="auto"/>
          <w:sz w:val="22"/>
          <w:szCs w:val="22"/>
        </w:rPr>
        <w:t xml:space="preserve"> cuando la fecundidad era de 6 hijos por mujer en edad fértil (15 a 49 años)</w:t>
      </w:r>
      <w:r w:rsidR="004347A1">
        <w:rPr>
          <w:rFonts w:ascii="Arial" w:hAnsi="Arial" w:cs="Arial"/>
          <w:color w:val="auto"/>
          <w:sz w:val="22"/>
          <w:szCs w:val="22"/>
        </w:rPr>
        <w:t>. A</w:t>
      </w:r>
      <w:r w:rsidRPr="00904DE3">
        <w:rPr>
          <w:rFonts w:ascii="Arial" w:hAnsi="Arial" w:cs="Arial"/>
          <w:color w:val="auto"/>
          <w:sz w:val="22"/>
          <w:szCs w:val="22"/>
        </w:rPr>
        <w:t xml:space="preserve">ctualmente es de 2.07 hijos por mujer </w:t>
      </w:r>
      <w:r w:rsidRPr="00904DE3">
        <w:rPr>
          <w:rFonts w:ascii="Arial" w:eastAsia="Times New Roman" w:hAnsi="Arial" w:cs="Arial"/>
          <w:color w:val="auto"/>
          <w:sz w:val="22"/>
          <w:szCs w:val="22"/>
        </w:rPr>
        <w:t>en edad fértil (15 a 49 años)</w:t>
      </w:r>
      <w:r w:rsidRPr="00904DE3">
        <w:rPr>
          <w:rFonts w:ascii="Arial" w:hAnsi="Arial" w:cs="Arial"/>
          <w:color w:val="auto"/>
          <w:sz w:val="22"/>
          <w:szCs w:val="22"/>
        </w:rPr>
        <w:t xml:space="preserve"> para el trienio 2015-2017. </w:t>
      </w:r>
    </w:p>
    <w:p w14:paraId="2EE22593" w14:textId="77777777" w:rsidR="00FF2169" w:rsidRPr="00904DE3" w:rsidRDefault="00FF2169" w:rsidP="00FF2169">
      <w:pPr>
        <w:pStyle w:val="Ttulo3"/>
        <w:ind w:left="-567"/>
        <w:jc w:val="both"/>
        <w:rPr>
          <w:rFonts w:ascii="Arial" w:hAnsi="Arial" w:cs="Arial"/>
          <w:color w:val="auto"/>
          <w:sz w:val="22"/>
          <w:szCs w:val="22"/>
        </w:rPr>
      </w:pPr>
    </w:p>
    <w:p w14:paraId="34C83ACA" w14:textId="02C91EA3" w:rsidR="00FF2169" w:rsidRPr="00BD39F4" w:rsidRDefault="004347A1" w:rsidP="00FF2169">
      <w:pPr>
        <w:ind w:left="-567"/>
        <w:rPr>
          <w:rFonts w:cs="Arial"/>
        </w:rPr>
      </w:pPr>
      <w:r>
        <w:t>L</w:t>
      </w:r>
      <w:r w:rsidR="00FF2169" w:rsidRPr="00904DE3">
        <w:t xml:space="preserve">os dos últimos levantamientos de la ENADID llevados a cabo en 2014 y 2018 indican que </w:t>
      </w:r>
      <w:r w:rsidR="00FF2169" w:rsidRPr="00904DE3">
        <w:rPr>
          <w:rFonts w:cs="Arial"/>
        </w:rPr>
        <w:t>la fecundid</w:t>
      </w:r>
      <w:r w:rsidR="00FF2169">
        <w:rPr>
          <w:rFonts w:cs="Arial"/>
        </w:rPr>
        <w:t>ad de las adolescentes</w:t>
      </w:r>
      <w:r w:rsidR="00CB0220">
        <w:rPr>
          <w:rFonts w:cs="Arial"/>
        </w:rPr>
        <w:t xml:space="preserve"> de 15 a 19 años</w:t>
      </w:r>
      <w:r w:rsidR="00FF2169">
        <w:rPr>
          <w:rFonts w:cs="Arial"/>
        </w:rPr>
        <w:t xml:space="preserve"> disminuyó</w:t>
      </w:r>
      <w:r w:rsidR="00FF2169" w:rsidRPr="00904DE3">
        <w:rPr>
          <w:rFonts w:cs="Arial"/>
        </w:rPr>
        <w:t xml:space="preserve"> de 77 hijos por cada </w:t>
      </w:r>
      <w:r w:rsidR="00FF2169" w:rsidRPr="00BD39F4">
        <w:rPr>
          <w:rFonts w:cs="Arial"/>
        </w:rPr>
        <w:t xml:space="preserve">mil mujeres en el trienio 2011 a 2013 a 70.6 para el trienio 2015 a 2017. </w:t>
      </w:r>
    </w:p>
    <w:p w14:paraId="00842EAE" w14:textId="77777777" w:rsidR="008022E7" w:rsidRDefault="008022E7" w:rsidP="00E30A64">
      <w:pPr>
        <w:ind w:left="-567"/>
        <w:rPr>
          <w:rFonts w:cs="Arial"/>
        </w:rPr>
      </w:pPr>
    </w:p>
    <w:p w14:paraId="69FF6DC6" w14:textId="77777777" w:rsidR="00FF2169" w:rsidRPr="00BD39F4" w:rsidRDefault="00FF2169" w:rsidP="007D01D7">
      <w:pPr>
        <w:ind w:left="1276"/>
        <w:rPr>
          <w:rFonts w:cs="Arial"/>
          <w:b/>
          <w:sz w:val="20"/>
          <w:szCs w:val="20"/>
        </w:rPr>
      </w:pPr>
      <w:r w:rsidRPr="00BD39F4">
        <w:rPr>
          <w:rFonts w:cs="Arial"/>
          <w:b/>
          <w:sz w:val="20"/>
          <w:szCs w:val="20"/>
        </w:rPr>
        <w:t>Tasas específicas de fecundidad, 2014</w:t>
      </w:r>
      <w:r>
        <w:rPr>
          <w:rFonts w:cs="Arial"/>
          <w:b/>
          <w:sz w:val="20"/>
          <w:szCs w:val="20"/>
        </w:rPr>
        <w:t>,</w:t>
      </w:r>
      <w:r w:rsidRPr="00BD39F4">
        <w:rPr>
          <w:rFonts w:cs="Arial"/>
          <w:b/>
          <w:sz w:val="20"/>
          <w:szCs w:val="20"/>
        </w:rPr>
        <w:t xml:space="preserve"> 2018</w:t>
      </w:r>
    </w:p>
    <w:p w14:paraId="0723375A" w14:textId="77777777" w:rsidR="00FF2169" w:rsidRPr="00BD39F4" w:rsidRDefault="00FF2169" w:rsidP="007D01D7">
      <w:pPr>
        <w:ind w:left="1276"/>
        <w:rPr>
          <w:rFonts w:cs="Arial"/>
          <w:sz w:val="18"/>
          <w:szCs w:val="18"/>
        </w:rPr>
      </w:pPr>
      <w:r w:rsidRPr="00BD39F4">
        <w:rPr>
          <w:rFonts w:cs="Arial"/>
          <w:sz w:val="18"/>
          <w:szCs w:val="18"/>
        </w:rPr>
        <w:t>Trienios</w:t>
      </w:r>
    </w:p>
    <w:p w14:paraId="6D0F1E48" w14:textId="77777777" w:rsidR="00FF2169" w:rsidRDefault="00FF2169" w:rsidP="007D01D7">
      <w:pPr>
        <w:ind w:left="1276"/>
        <w:rPr>
          <w:rFonts w:cs="Arial"/>
          <w:sz w:val="18"/>
          <w:szCs w:val="18"/>
        </w:rPr>
      </w:pPr>
      <w:r w:rsidRPr="00BD39F4">
        <w:rPr>
          <w:rFonts w:cs="Arial"/>
          <w:sz w:val="18"/>
          <w:szCs w:val="18"/>
        </w:rPr>
        <w:t xml:space="preserve">Hijos por cada 1 000 </w:t>
      </w:r>
      <w:r w:rsidRPr="00904DE3">
        <w:rPr>
          <w:rFonts w:cs="Arial"/>
          <w:sz w:val="18"/>
          <w:szCs w:val="18"/>
        </w:rPr>
        <w:t>mujeres en cada grupo de edad</w:t>
      </w:r>
    </w:p>
    <w:p w14:paraId="78099EE6" w14:textId="3E08A788" w:rsidR="00FF2169" w:rsidRPr="00BD39F4" w:rsidRDefault="00FF2169" w:rsidP="00FF2169">
      <w:pPr>
        <w:ind w:left="1701"/>
        <w:rPr>
          <w:rFonts w:cs="Arial"/>
          <w:sz w:val="18"/>
          <w:szCs w:val="18"/>
        </w:rPr>
      </w:pPr>
    </w:p>
    <w:p w14:paraId="2421C961" w14:textId="6D0FDA54" w:rsidR="00FF2169" w:rsidRPr="00BD39F4" w:rsidRDefault="007D01D7" w:rsidP="00FF2169">
      <w:pPr>
        <w:jc w:val="center"/>
        <w:rPr>
          <w:rFonts w:cs="Arial"/>
        </w:rPr>
      </w:pPr>
      <w:r>
        <w:rPr>
          <w:rFonts w:cs="Arial"/>
          <w:noProof/>
          <w:lang w:val="en-US" w:eastAsia="en-US"/>
        </w:rPr>
        <w:drawing>
          <wp:anchor distT="0" distB="0" distL="114300" distR="114300" simplePos="0" relativeHeight="251672576" behindDoc="0" locked="0" layoutInCell="1" allowOverlap="1" wp14:anchorId="473C28DB" wp14:editId="18FAA8D0">
            <wp:simplePos x="0" y="0"/>
            <wp:positionH relativeFrom="page">
              <wp:posOffset>1857375</wp:posOffset>
            </wp:positionH>
            <wp:positionV relativeFrom="paragraph">
              <wp:posOffset>9525</wp:posOffset>
            </wp:positionV>
            <wp:extent cx="3952875" cy="2364105"/>
            <wp:effectExtent l="0" t="0" r="952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875" cy="2364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75066" w14:textId="77777777" w:rsidR="00FF2169" w:rsidRPr="00BD39F4" w:rsidRDefault="00FF2169" w:rsidP="00FF2169">
      <w:pPr>
        <w:rPr>
          <w:rFonts w:cs="Arial"/>
        </w:rPr>
      </w:pPr>
    </w:p>
    <w:p w14:paraId="481441CE" w14:textId="77777777" w:rsidR="00FF2169" w:rsidRPr="00BD39F4" w:rsidRDefault="00FF2169" w:rsidP="00FF2169">
      <w:pPr>
        <w:rPr>
          <w:rFonts w:cs="Arial"/>
        </w:rPr>
      </w:pPr>
    </w:p>
    <w:p w14:paraId="4C2D5321" w14:textId="77777777" w:rsidR="00FF2169" w:rsidRPr="00BD39F4" w:rsidRDefault="00FF2169" w:rsidP="00FF2169">
      <w:pPr>
        <w:ind w:left="1134" w:right="1667"/>
        <w:jc w:val="left"/>
        <w:rPr>
          <w:rFonts w:cs="Arial"/>
          <w:szCs w:val="22"/>
          <w:vertAlign w:val="superscript"/>
        </w:rPr>
      </w:pPr>
    </w:p>
    <w:p w14:paraId="01DAE3EC" w14:textId="77777777" w:rsidR="00FF2169" w:rsidRPr="00BD39F4" w:rsidRDefault="00FF2169" w:rsidP="00FF2169">
      <w:pPr>
        <w:ind w:left="1134" w:right="1667"/>
        <w:jc w:val="left"/>
        <w:rPr>
          <w:rFonts w:cs="Arial"/>
          <w:szCs w:val="22"/>
          <w:vertAlign w:val="superscript"/>
        </w:rPr>
      </w:pPr>
    </w:p>
    <w:p w14:paraId="45667A6C" w14:textId="77777777" w:rsidR="00FF2169" w:rsidRPr="00BD39F4" w:rsidRDefault="00FF2169" w:rsidP="00FF2169">
      <w:pPr>
        <w:ind w:left="1134" w:right="1667"/>
        <w:jc w:val="left"/>
        <w:rPr>
          <w:rFonts w:cs="Arial"/>
          <w:szCs w:val="22"/>
          <w:vertAlign w:val="superscript"/>
        </w:rPr>
      </w:pPr>
    </w:p>
    <w:p w14:paraId="07736917" w14:textId="77777777" w:rsidR="00FF2169" w:rsidRPr="00BD39F4" w:rsidRDefault="00FF2169" w:rsidP="00FF2169">
      <w:pPr>
        <w:ind w:left="1134" w:right="1667"/>
        <w:jc w:val="center"/>
        <w:rPr>
          <w:rFonts w:cs="Arial"/>
          <w:szCs w:val="22"/>
          <w:vertAlign w:val="superscript"/>
        </w:rPr>
      </w:pPr>
    </w:p>
    <w:p w14:paraId="71935864" w14:textId="77777777" w:rsidR="00FF2169" w:rsidRPr="00BD39F4" w:rsidRDefault="00FF2169" w:rsidP="00FF2169">
      <w:pPr>
        <w:ind w:left="1134" w:right="1667"/>
        <w:jc w:val="left"/>
        <w:rPr>
          <w:rFonts w:cs="Arial"/>
          <w:szCs w:val="22"/>
          <w:vertAlign w:val="superscript"/>
        </w:rPr>
      </w:pPr>
    </w:p>
    <w:p w14:paraId="3CB2E7A5" w14:textId="77777777" w:rsidR="00FF2169" w:rsidRPr="00BD39F4" w:rsidRDefault="00FF2169" w:rsidP="00FF2169">
      <w:pPr>
        <w:ind w:left="1134" w:right="1667"/>
        <w:jc w:val="left"/>
        <w:rPr>
          <w:rFonts w:cs="Arial"/>
          <w:szCs w:val="22"/>
          <w:vertAlign w:val="superscript"/>
        </w:rPr>
      </w:pPr>
    </w:p>
    <w:p w14:paraId="366D6D66" w14:textId="77777777" w:rsidR="00FF2169" w:rsidRPr="00BD39F4" w:rsidRDefault="00FF2169" w:rsidP="00FF2169">
      <w:pPr>
        <w:ind w:left="1134" w:right="1667"/>
        <w:jc w:val="left"/>
        <w:rPr>
          <w:rFonts w:cs="Arial"/>
          <w:szCs w:val="22"/>
          <w:vertAlign w:val="superscript"/>
        </w:rPr>
      </w:pPr>
    </w:p>
    <w:p w14:paraId="1F0AAE56" w14:textId="77777777" w:rsidR="00FF2169" w:rsidRPr="00BD39F4" w:rsidRDefault="00FF2169" w:rsidP="00FF2169">
      <w:pPr>
        <w:ind w:left="1134" w:right="1667"/>
        <w:jc w:val="left"/>
        <w:rPr>
          <w:rFonts w:cs="Arial"/>
          <w:szCs w:val="22"/>
          <w:vertAlign w:val="superscript"/>
        </w:rPr>
      </w:pPr>
    </w:p>
    <w:p w14:paraId="77CEC945" w14:textId="77777777" w:rsidR="00FF2169" w:rsidRPr="00BD39F4" w:rsidRDefault="00FF2169" w:rsidP="00FF2169">
      <w:pPr>
        <w:ind w:left="1134" w:right="1667"/>
        <w:jc w:val="left"/>
        <w:rPr>
          <w:rFonts w:cs="Arial"/>
          <w:szCs w:val="22"/>
          <w:vertAlign w:val="superscript"/>
        </w:rPr>
      </w:pPr>
    </w:p>
    <w:p w14:paraId="530C4677" w14:textId="77777777" w:rsidR="00FF2169" w:rsidRPr="00BD39F4" w:rsidRDefault="00FF2169" w:rsidP="00FF2169">
      <w:pPr>
        <w:ind w:left="1134" w:right="1667"/>
        <w:jc w:val="left"/>
        <w:rPr>
          <w:rFonts w:cs="Arial"/>
          <w:szCs w:val="22"/>
          <w:vertAlign w:val="superscript"/>
        </w:rPr>
      </w:pPr>
    </w:p>
    <w:p w14:paraId="18F81A60" w14:textId="77777777" w:rsidR="00FF2169" w:rsidRPr="00BD39F4" w:rsidRDefault="00FF2169" w:rsidP="00FF2169">
      <w:pPr>
        <w:ind w:left="1134" w:right="1667"/>
        <w:jc w:val="left"/>
        <w:rPr>
          <w:rFonts w:cs="Arial"/>
          <w:szCs w:val="22"/>
          <w:vertAlign w:val="superscript"/>
        </w:rPr>
      </w:pPr>
    </w:p>
    <w:p w14:paraId="011891DF" w14:textId="77777777" w:rsidR="00FF2169" w:rsidRPr="00BD39F4" w:rsidRDefault="00FF2169" w:rsidP="007D01D7">
      <w:pPr>
        <w:ind w:left="1701" w:right="1667" w:hanging="283"/>
        <w:jc w:val="left"/>
        <w:rPr>
          <w:rFonts w:cs="Arial"/>
          <w:sz w:val="16"/>
          <w:szCs w:val="16"/>
        </w:rPr>
      </w:pPr>
      <w:r w:rsidRPr="00BD39F4">
        <w:rPr>
          <w:rFonts w:cs="Arial"/>
          <w:szCs w:val="22"/>
          <w:vertAlign w:val="superscript"/>
        </w:rPr>
        <w:t>a</w:t>
      </w:r>
      <w:r w:rsidRPr="00BD39F4">
        <w:rPr>
          <w:rFonts w:cs="Arial"/>
          <w:sz w:val="16"/>
          <w:szCs w:val="16"/>
        </w:rPr>
        <w:t xml:space="preserve"> Corresponde al trienio 2011 a 2013.</w:t>
      </w:r>
    </w:p>
    <w:p w14:paraId="26A0C5F2" w14:textId="77777777" w:rsidR="00FF2169" w:rsidRPr="00BD39F4" w:rsidRDefault="00FF2169" w:rsidP="007D01D7">
      <w:pPr>
        <w:ind w:left="1701" w:right="1667" w:hanging="283"/>
        <w:jc w:val="left"/>
        <w:rPr>
          <w:rFonts w:cs="Arial"/>
          <w:sz w:val="16"/>
          <w:szCs w:val="16"/>
        </w:rPr>
      </w:pPr>
      <w:r w:rsidRPr="00BD39F4">
        <w:rPr>
          <w:rFonts w:cs="Arial"/>
          <w:szCs w:val="16"/>
          <w:vertAlign w:val="superscript"/>
        </w:rPr>
        <w:t>b</w:t>
      </w:r>
      <w:r w:rsidRPr="00BD39F4">
        <w:rPr>
          <w:rFonts w:cs="Arial"/>
          <w:sz w:val="16"/>
          <w:szCs w:val="16"/>
        </w:rPr>
        <w:t xml:space="preserve"> Corresponde al trienio 2015 a 2017.</w:t>
      </w:r>
    </w:p>
    <w:p w14:paraId="00D695A8" w14:textId="77777777" w:rsidR="00FF2169" w:rsidRDefault="00FF2169" w:rsidP="007D01D7">
      <w:pPr>
        <w:ind w:left="1701" w:hanging="283"/>
        <w:rPr>
          <w:rFonts w:cs="Arial"/>
          <w:sz w:val="16"/>
          <w:szCs w:val="16"/>
        </w:rPr>
      </w:pPr>
      <w:r w:rsidRPr="00BD39F4">
        <w:rPr>
          <w:rFonts w:cs="Arial"/>
          <w:sz w:val="16"/>
          <w:szCs w:val="16"/>
        </w:rPr>
        <w:t xml:space="preserve">Fuente: INEGI. Encuesta Nacional de la Dinámica Demográfica 2014 y 2018. </w:t>
      </w:r>
    </w:p>
    <w:p w14:paraId="43380A9C" w14:textId="77777777" w:rsidR="008022E7" w:rsidRDefault="00FF2169" w:rsidP="007D01D7">
      <w:pPr>
        <w:ind w:left="2268" w:hanging="283"/>
        <w:rPr>
          <w:rFonts w:cs="Arial"/>
        </w:rPr>
      </w:pPr>
      <w:r>
        <w:rPr>
          <w:rFonts w:cs="Arial"/>
          <w:sz w:val="16"/>
          <w:szCs w:val="16"/>
        </w:rPr>
        <w:t xml:space="preserve"> </w:t>
      </w:r>
      <w:r w:rsidRPr="00BD39F4">
        <w:rPr>
          <w:rFonts w:cs="Arial"/>
          <w:sz w:val="16"/>
          <w:szCs w:val="16"/>
        </w:rPr>
        <w:t>Base de datos. SNIEG. Información de Interés Nacional.</w:t>
      </w:r>
    </w:p>
    <w:p w14:paraId="57FBEA2F" w14:textId="77777777" w:rsidR="008022E7" w:rsidRDefault="008022E7" w:rsidP="00E30A64">
      <w:pPr>
        <w:ind w:left="-567"/>
        <w:rPr>
          <w:rFonts w:cs="Arial"/>
        </w:rPr>
      </w:pPr>
    </w:p>
    <w:p w14:paraId="76540329" w14:textId="6AED8A3E" w:rsidR="00FF2169" w:rsidRPr="00904DE3" w:rsidRDefault="00FF2169" w:rsidP="00FF2169">
      <w:pPr>
        <w:pStyle w:val="Textoindependiente"/>
        <w:autoSpaceDE w:val="0"/>
        <w:autoSpaceDN w:val="0"/>
        <w:adjustRightInd w:val="0"/>
        <w:ind w:left="-567" w:right="108"/>
      </w:pPr>
      <w:r w:rsidRPr="00BD39F4">
        <w:t xml:space="preserve">La transición epidemiológica experimentada en el país </w:t>
      </w:r>
      <w:r w:rsidRPr="00904DE3">
        <w:t xml:space="preserve">durante el siglo pasado ha </w:t>
      </w:r>
      <w:r>
        <w:t>incrementado la</w:t>
      </w:r>
      <w:r w:rsidRPr="00904DE3">
        <w:t xml:space="preserve"> esperanza de vida</w:t>
      </w:r>
      <w:r>
        <w:t xml:space="preserve"> de la población</w:t>
      </w:r>
      <w:r w:rsidRPr="00904DE3">
        <w:t xml:space="preserve">. </w:t>
      </w:r>
      <w:r w:rsidR="000A531D">
        <w:t>El Consejo Nacional de Población (</w:t>
      </w:r>
      <w:r w:rsidRPr="00904DE3">
        <w:t>CONAPO</w:t>
      </w:r>
      <w:r w:rsidR="000A531D">
        <w:t>)</w:t>
      </w:r>
      <w:r w:rsidRPr="00904DE3">
        <w:t xml:space="preserve"> indica que en 1970 el promedio de vida al nacer era de 59.9 años</w:t>
      </w:r>
      <w:r w:rsidR="000A531D">
        <w:t>. En 2020</w:t>
      </w:r>
      <w:r w:rsidRPr="00904DE3">
        <w:t xml:space="preserve"> aument</w:t>
      </w:r>
      <w:r w:rsidR="000A531D">
        <w:t>ó</w:t>
      </w:r>
      <w:r w:rsidRPr="00904DE3">
        <w:t xml:space="preserve"> a 75.2 años</w:t>
      </w:r>
      <w:r w:rsidR="000A531D">
        <w:t>.</w:t>
      </w:r>
    </w:p>
    <w:p w14:paraId="406E8C89" w14:textId="632AE563" w:rsidR="000A531D" w:rsidRDefault="00FF2169" w:rsidP="007D01D7">
      <w:pPr>
        <w:pStyle w:val="Ttulo3"/>
        <w:ind w:left="-567"/>
        <w:jc w:val="both"/>
        <w:rPr>
          <w:rFonts w:ascii="Arial" w:eastAsia="Times New Roman" w:hAnsi="Arial" w:cs="Arial"/>
          <w:color w:val="auto"/>
          <w:sz w:val="22"/>
        </w:rPr>
      </w:pPr>
      <w:r w:rsidRPr="00904DE3">
        <w:rPr>
          <w:rFonts w:ascii="Arial" w:hAnsi="Arial" w:cs="Arial"/>
          <w:color w:val="auto"/>
          <w:sz w:val="22"/>
          <w:szCs w:val="22"/>
        </w:rPr>
        <w:lastRenderedPageBreak/>
        <w:t xml:space="preserve">La disminución de la fecundidad y el aumento de la esperanza de vida han determinado </w:t>
      </w:r>
      <w:r w:rsidRPr="00904DE3">
        <w:rPr>
          <w:rFonts w:ascii="Arial" w:eastAsia="Times New Roman" w:hAnsi="Arial" w:cs="Arial"/>
          <w:color w:val="auto"/>
          <w:sz w:val="22"/>
        </w:rPr>
        <w:t xml:space="preserve">cambios importantes en la estructura por edad. Datos censales de 1990 y las proyecciones de población que estima el CONAPO para 2020, indican que la población infantil </w:t>
      </w:r>
      <w:r>
        <w:rPr>
          <w:rFonts w:ascii="Arial" w:eastAsia="Times New Roman" w:hAnsi="Arial" w:cs="Arial"/>
          <w:color w:val="auto"/>
          <w:sz w:val="22"/>
        </w:rPr>
        <w:t xml:space="preserve">(con </w:t>
      </w:r>
      <w:r w:rsidRPr="00904DE3">
        <w:rPr>
          <w:rFonts w:ascii="Arial" w:eastAsia="Times New Roman" w:hAnsi="Arial" w:cs="Arial"/>
          <w:color w:val="auto"/>
          <w:sz w:val="22"/>
        </w:rPr>
        <w:t>menos de 15 años</w:t>
      </w:r>
      <w:r>
        <w:rPr>
          <w:rFonts w:ascii="Arial" w:eastAsia="Times New Roman" w:hAnsi="Arial" w:cs="Arial"/>
          <w:color w:val="auto"/>
          <w:sz w:val="22"/>
        </w:rPr>
        <w:t>)</w:t>
      </w:r>
      <w:r w:rsidRPr="00904DE3">
        <w:rPr>
          <w:rFonts w:ascii="Arial" w:eastAsia="Times New Roman" w:hAnsi="Arial" w:cs="Arial"/>
          <w:color w:val="auto"/>
          <w:sz w:val="22"/>
        </w:rPr>
        <w:t xml:space="preserve"> </w:t>
      </w:r>
      <w:r>
        <w:rPr>
          <w:rFonts w:ascii="Arial" w:eastAsia="Times New Roman" w:hAnsi="Arial" w:cs="Arial"/>
          <w:color w:val="auto"/>
          <w:sz w:val="22"/>
        </w:rPr>
        <w:t xml:space="preserve">y de </w:t>
      </w:r>
      <w:r w:rsidR="002B22FE">
        <w:rPr>
          <w:rFonts w:ascii="Arial" w:eastAsia="Times New Roman" w:hAnsi="Arial" w:cs="Arial"/>
          <w:color w:val="auto"/>
          <w:sz w:val="22"/>
        </w:rPr>
        <w:t>jóvenes</w:t>
      </w:r>
      <w:r>
        <w:rPr>
          <w:rFonts w:ascii="Arial" w:eastAsia="Times New Roman" w:hAnsi="Arial" w:cs="Arial"/>
          <w:color w:val="auto"/>
          <w:sz w:val="22"/>
        </w:rPr>
        <w:t xml:space="preserve"> (15 a </w:t>
      </w:r>
      <w:r w:rsidR="002B22FE">
        <w:rPr>
          <w:rFonts w:ascii="Arial" w:eastAsia="Times New Roman" w:hAnsi="Arial" w:cs="Arial"/>
          <w:color w:val="auto"/>
          <w:sz w:val="22"/>
        </w:rPr>
        <w:t>2</w:t>
      </w:r>
      <w:r>
        <w:rPr>
          <w:rFonts w:ascii="Arial" w:eastAsia="Times New Roman" w:hAnsi="Arial" w:cs="Arial"/>
          <w:color w:val="auto"/>
          <w:sz w:val="22"/>
        </w:rPr>
        <w:t xml:space="preserve">9 años) </w:t>
      </w:r>
      <w:r w:rsidRPr="00904DE3">
        <w:rPr>
          <w:rFonts w:ascii="Arial" w:eastAsia="Times New Roman" w:hAnsi="Arial" w:cs="Arial"/>
          <w:color w:val="auto"/>
          <w:sz w:val="22"/>
        </w:rPr>
        <w:t>ha</w:t>
      </w:r>
      <w:r>
        <w:rPr>
          <w:rFonts w:ascii="Arial" w:eastAsia="Times New Roman" w:hAnsi="Arial" w:cs="Arial"/>
          <w:color w:val="auto"/>
          <w:sz w:val="22"/>
        </w:rPr>
        <w:t>n</w:t>
      </w:r>
      <w:r w:rsidRPr="00904DE3">
        <w:rPr>
          <w:rFonts w:ascii="Arial" w:eastAsia="Times New Roman" w:hAnsi="Arial" w:cs="Arial"/>
          <w:color w:val="auto"/>
          <w:sz w:val="22"/>
        </w:rPr>
        <w:t xml:space="preserve"> disminuido su participación porcentual, al pasar de 38.3% en 1990 a 25.8% en 2020 </w:t>
      </w:r>
      <w:r>
        <w:rPr>
          <w:rFonts w:ascii="Arial" w:eastAsia="Times New Roman" w:hAnsi="Arial" w:cs="Arial"/>
          <w:color w:val="auto"/>
          <w:sz w:val="22"/>
        </w:rPr>
        <w:t xml:space="preserve">y de </w:t>
      </w:r>
      <w:r w:rsidRPr="00904DE3">
        <w:rPr>
          <w:rFonts w:ascii="Arial" w:eastAsia="Times New Roman" w:hAnsi="Arial" w:cs="Arial"/>
          <w:color w:val="auto"/>
          <w:sz w:val="22"/>
        </w:rPr>
        <w:t>29.4% a 25.5 por ciento</w:t>
      </w:r>
      <w:r>
        <w:rPr>
          <w:rFonts w:ascii="Arial" w:eastAsia="Times New Roman" w:hAnsi="Arial" w:cs="Arial"/>
          <w:color w:val="auto"/>
          <w:sz w:val="22"/>
        </w:rPr>
        <w:t>, respectivamente</w:t>
      </w:r>
      <w:r w:rsidR="002B22FE">
        <w:rPr>
          <w:rFonts w:ascii="Arial" w:eastAsia="Times New Roman" w:hAnsi="Arial" w:cs="Arial"/>
          <w:color w:val="auto"/>
          <w:sz w:val="22"/>
        </w:rPr>
        <w:t>.</w:t>
      </w:r>
      <w:r w:rsidRPr="00904DE3">
        <w:rPr>
          <w:rFonts w:ascii="Arial" w:eastAsia="Times New Roman" w:hAnsi="Arial" w:cs="Arial"/>
          <w:color w:val="auto"/>
          <w:sz w:val="22"/>
        </w:rPr>
        <w:t xml:space="preserve"> </w:t>
      </w:r>
    </w:p>
    <w:p w14:paraId="15284072" w14:textId="77777777" w:rsidR="000A531D" w:rsidRDefault="000A531D" w:rsidP="00FF2169">
      <w:pPr>
        <w:pStyle w:val="Ttulo3"/>
        <w:ind w:left="-567"/>
        <w:jc w:val="both"/>
        <w:rPr>
          <w:rFonts w:ascii="Arial" w:eastAsia="Times New Roman" w:hAnsi="Arial" w:cs="Arial"/>
          <w:color w:val="auto"/>
          <w:sz w:val="22"/>
        </w:rPr>
      </w:pPr>
    </w:p>
    <w:p w14:paraId="6F778D74" w14:textId="6C124D31" w:rsidR="00FF2169" w:rsidRDefault="002B22FE" w:rsidP="00FF2169">
      <w:pPr>
        <w:pStyle w:val="Ttulo3"/>
        <w:ind w:left="-567"/>
        <w:jc w:val="both"/>
        <w:rPr>
          <w:rFonts w:ascii="Arial" w:eastAsia="Times New Roman" w:hAnsi="Arial" w:cs="Arial"/>
          <w:color w:val="auto"/>
          <w:sz w:val="22"/>
        </w:rPr>
      </w:pPr>
      <w:r>
        <w:rPr>
          <w:rFonts w:ascii="Arial" w:eastAsia="Times New Roman" w:hAnsi="Arial" w:cs="Arial"/>
          <w:color w:val="auto"/>
          <w:sz w:val="22"/>
        </w:rPr>
        <w:t xml:space="preserve">En </w:t>
      </w:r>
      <w:r w:rsidR="00A32D62">
        <w:rPr>
          <w:rFonts w:ascii="Arial" w:eastAsia="Times New Roman" w:hAnsi="Arial" w:cs="Arial"/>
          <w:color w:val="auto"/>
          <w:sz w:val="22"/>
        </w:rPr>
        <w:t>la población adulta</w:t>
      </w:r>
      <w:r w:rsidR="00FF2169" w:rsidRPr="00904DE3">
        <w:rPr>
          <w:rFonts w:ascii="Arial" w:eastAsia="Times New Roman" w:hAnsi="Arial" w:cs="Arial"/>
          <w:color w:val="auto"/>
          <w:sz w:val="22"/>
        </w:rPr>
        <w:t xml:space="preserve"> de 30 a 59 años</w:t>
      </w:r>
      <w:r w:rsidR="00A32D62">
        <w:rPr>
          <w:rFonts w:ascii="Arial" w:eastAsia="Times New Roman" w:hAnsi="Arial" w:cs="Arial"/>
          <w:color w:val="auto"/>
          <w:sz w:val="22"/>
        </w:rPr>
        <w:t xml:space="preserve"> la cifra aumentó</w:t>
      </w:r>
      <w:r w:rsidR="00FF2169" w:rsidRPr="00904DE3">
        <w:rPr>
          <w:rFonts w:ascii="Arial" w:eastAsia="Times New Roman" w:hAnsi="Arial" w:cs="Arial"/>
          <w:color w:val="auto"/>
          <w:sz w:val="22"/>
        </w:rPr>
        <w:t xml:space="preserve"> de 25.5% a 37.4% y para la de 60 años o más, pas</w:t>
      </w:r>
      <w:r w:rsidR="00A32D62">
        <w:rPr>
          <w:rFonts w:ascii="Arial" w:eastAsia="Times New Roman" w:hAnsi="Arial" w:cs="Arial"/>
          <w:color w:val="auto"/>
          <w:sz w:val="22"/>
        </w:rPr>
        <w:t>ó</w:t>
      </w:r>
      <w:r w:rsidR="00FF2169" w:rsidRPr="00904DE3">
        <w:rPr>
          <w:rFonts w:ascii="Arial" w:eastAsia="Times New Roman" w:hAnsi="Arial" w:cs="Arial"/>
          <w:color w:val="auto"/>
          <w:sz w:val="22"/>
        </w:rPr>
        <w:t xml:space="preserve"> de 6.2% a 11.3 por ciento. Este último incremento es un indicio de que el país está pasando por un proceso de envejecimiento demográfico. </w:t>
      </w:r>
    </w:p>
    <w:p w14:paraId="587A8A7C" w14:textId="77777777" w:rsidR="00170681" w:rsidRPr="00170681" w:rsidRDefault="00170681" w:rsidP="00170681"/>
    <w:p w14:paraId="6CC03061" w14:textId="77777777" w:rsidR="000A531D" w:rsidRDefault="00170681" w:rsidP="00FF2169">
      <w:pPr>
        <w:ind w:left="-567"/>
        <w:rPr>
          <w:rFonts w:cs="Arial"/>
        </w:rPr>
      </w:pPr>
      <w:r w:rsidRPr="00170681">
        <w:rPr>
          <w:rFonts w:cs="Arial"/>
        </w:rPr>
        <w:t>La migración es otro componente de la dinámica demográfica</w:t>
      </w:r>
      <w:r w:rsidR="000A531D">
        <w:rPr>
          <w:rFonts w:cs="Arial"/>
        </w:rPr>
        <w:t>. L</w:t>
      </w:r>
      <w:r w:rsidRPr="00170681">
        <w:rPr>
          <w:rFonts w:cs="Arial"/>
        </w:rPr>
        <w:t>os datos de la ENADID 2018 estiman que</w:t>
      </w:r>
      <w:r w:rsidR="000A531D">
        <w:rPr>
          <w:rFonts w:cs="Arial"/>
        </w:rPr>
        <w:t>,</w:t>
      </w:r>
      <w:r w:rsidRPr="00170681">
        <w:rPr>
          <w:rFonts w:cs="Arial"/>
        </w:rPr>
        <w:t xml:space="preserve"> de las personas que habitan en el país (125 mi</w:t>
      </w:r>
      <w:r>
        <w:rPr>
          <w:rFonts w:cs="Arial"/>
        </w:rPr>
        <w:t xml:space="preserve">llones), 17.2% (21.5 millones) </w:t>
      </w:r>
      <w:r w:rsidRPr="00170681">
        <w:rPr>
          <w:rFonts w:cs="Arial"/>
        </w:rPr>
        <w:t>residen en una entidad distinta a la de su nacimiento y 0.8% (1.07 mill</w:t>
      </w:r>
      <w:r w:rsidR="000A531D">
        <w:rPr>
          <w:rFonts w:cs="Arial"/>
        </w:rPr>
        <w:t>ones</w:t>
      </w:r>
      <w:r w:rsidRPr="00170681">
        <w:rPr>
          <w:rFonts w:cs="Arial"/>
        </w:rPr>
        <w:t xml:space="preserve">) nacieron en el extranjero. </w:t>
      </w:r>
    </w:p>
    <w:p w14:paraId="1E7450B3" w14:textId="77777777" w:rsidR="000A531D" w:rsidRDefault="000A531D" w:rsidP="00FF2169">
      <w:pPr>
        <w:ind w:left="-567"/>
        <w:rPr>
          <w:rFonts w:cs="Arial"/>
        </w:rPr>
      </w:pPr>
    </w:p>
    <w:p w14:paraId="701F8DE3" w14:textId="240CE9DC" w:rsidR="00FF2169" w:rsidRDefault="000A531D" w:rsidP="00FF2169">
      <w:pPr>
        <w:ind w:left="-567"/>
        <w:rPr>
          <w:rFonts w:cs="Arial"/>
        </w:rPr>
      </w:pPr>
      <w:r>
        <w:rPr>
          <w:rFonts w:cs="Arial"/>
        </w:rPr>
        <w:t>P</w:t>
      </w:r>
      <w:r w:rsidR="00170681" w:rsidRPr="00170681">
        <w:rPr>
          <w:rFonts w:cs="Arial"/>
        </w:rPr>
        <w:t xml:space="preserve">ara el periodo de enero de 2013 a octubre de 2018, 760 mil personas salieron de México con la intención de trabajar, vivir o estudiar en el extranjero. </w:t>
      </w:r>
      <w:r w:rsidR="00170681">
        <w:rPr>
          <w:rFonts w:cs="Arial"/>
        </w:rPr>
        <w:t xml:space="preserve">La mayoría de las personas que </w:t>
      </w:r>
      <w:r w:rsidR="00170681" w:rsidRPr="00170681">
        <w:rPr>
          <w:rFonts w:cs="Arial"/>
        </w:rPr>
        <w:t>salen del país lo hace en edad productiva; es decir, entre los 18 y 59 años.</w:t>
      </w:r>
    </w:p>
    <w:p w14:paraId="05932B50" w14:textId="77777777" w:rsidR="00170681" w:rsidRDefault="00170681" w:rsidP="00FF2169">
      <w:pPr>
        <w:ind w:left="-567"/>
        <w:rPr>
          <w:rFonts w:cs="Arial"/>
        </w:rPr>
      </w:pPr>
    </w:p>
    <w:p w14:paraId="79F15AA0" w14:textId="77777777" w:rsidR="00666846" w:rsidRPr="00931364" w:rsidRDefault="00666846" w:rsidP="00666846">
      <w:pPr>
        <w:autoSpaceDE w:val="0"/>
        <w:autoSpaceDN w:val="0"/>
        <w:adjustRightInd w:val="0"/>
        <w:ind w:left="1560"/>
        <w:rPr>
          <w:rFonts w:eastAsiaTheme="minorHAnsi" w:cs="Arial"/>
          <w:b/>
          <w:color w:val="000000"/>
          <w:sz w:val="18"/>
          <w:szCs w:val="18"/>
          <w:lang w:val="es-MX" w:eastAsia="en-US"/>
        </w:rPr>
      </w:pPr>
      <w:r w:rsidRPr="00931364">
        <w:rPr>
          <w:rFonts w:eastAsiaTheme="minorHAnsi" w:cs="Arial"/>
          <w:b/>
          <w:color w:val="000000"/>
          <w:sz w:val="18"/>
          <w:szCs w:val="18"/>
          <w:lang w:val="es-MX" w:eastAsia="en-US"/>
        </w:rPr>
        <w:t>Estructura de la población migrante internacional</w:t>
      </w:r>
      <w:r>
        <w:rPr>
          <w:rFonts w:eastAsiaTheme="minorHAnsi" w:cs="Arial"/>
          <w:b/>
          <w:color w:val="000000"/>
          <w:sz w:val="18"/>
          <w:szCs w:val="18"/>
          <w:lang w:val="es-MX" w:eastAsia="en-US"/>
        </w:rPr>
        <w:t xml:space="preserve"> </w:t>
      </w:r>
      <w:r w:rsidRPr="00931364">
        <w:rPr>
          <w:rFonts w:eastAsiaTheme="minorHAnsi" w:cs="Arial"/>
          <w:b/>
          <w:color w:val="000000"/>
          <w:sz w:val="18"/>
          <w:szCs w:val="18"/>
          <w:lang w:val="es-MX" w:eastAsia="en-US"/>
        </w:rPr>
        <w:t xml:space="preserve">por edad </w:t>
      </w:r>
      <w:r>
        <w:rPr>
          <w:rFonts w:eastAsiaTheme="minorHAnsi" w:cs="Arial"/>
          <w:b/>
          <w:color w:val="000000"/>
          <w:sz w:val="18"/>
          <w:szCs w:val="18"/>
          <w:lang w:val="es-MX" w:eastAsia="en-US"/>
        </w:rPr>
        <w:t xml:space="preserve">al emigrar </w:t>
      </w:r>
      <w:r w:rsidRPr="00931364">
        <w:rPr>
          <w:rFonts w:eastAsiaTheme="minorHAnsi" w:cs="Arial"/>
          <w:b/>
          <w:color w:val="000000"/>
          <w:sz w:val="18"/>
          <w:szCs w:val="18"/>
          <w:lang w:val="es-MX" w:eastAsia="en-US"/>
        </w:rPr>
        <w:t xml:space="preserve">y sexo </w:t>
      </w:r>
    </w:p>
    <w:p w14:paraId="3B2E9FAA" w14:textId="77777777" w:rsidR="00666846" w:rsidRPr="00931364" w:rsidRDefault="00666846" w:rsidP="00666846">
      <w:pPr>
        <w:autoSpaceDE w:val="0"/>
        <w:autoSpaceDN w:val="0"/>
        <w:adjustRightInd w:val="0"/>
        <w:ind w:left="1560"/>
        <w:rPr>
          <w:rFonts w:eastAsiaTheme="minorHAnsi" w:cs="Arial"/>
          <w:b/>
          <w:color w:val="000000"/>
          <w:sz w:val="18"/>
          <w:szCs w:val="18"/>
          <w:lang w:val="es-MX" w:eastAsia="en-US"/>
        </w:rPr>
      </w:pPr>
      <w:r w:rsidRPr="00931364">
        <w:rPr>
          <w:rFonts w:eastAsiaTheme="minorHAnsi" w:cs="Arial"/>
          <w:b/>
          <w:color w:val="000000"/>
          <w:sz w:val="18"/>
          <w:szCs w:val="18"/>
          <w:lang w:val="es-MX" w:eastAsia="en-US"/>
        </w:rPr>
        <w:t>2014, 2018</w:t>
      </w:r>
    </w:p>
    <w:p w14:paraId="06B01A32" w14:textId="6706D313" w:rsidR="00666846" w:rsidRPr="0093203C" w:rsidRDefault="00666846" w:rsidP="00666846">
      <w:pPr>
        <w:autoSpaceDE w:val="0"/>
        <w:autoSpaceDN w:val="0"/>
        <w:adjustRightInd w:val="0"/>
        <w:ind w:left="1560"/>
        <w:rPr>
          <w:rFonts w:eastAsiaTheme="minorHAnsi" w:cs="Arial"/>
          <w:color w:val="000000"/>
          <w:sz w:val="18"/>
          <w:szCs w:val="18"/>
          <w:lang w:val="es-MX" w:eastAsia="en-US"/>
        </w:rPr>
      </w:pPr>
      <w:r w:rsidRPr="0093203C">
        <w:rPr>
          <w:rFonts w:eastAsiaTheme="minorHAnsi" w:cs="Arial"/>
          <w:color w:val="000000"/>
          <w:sz w:val="18"/>
          <w:szCs w:val="18"/>
          <w:lang w:val="es-MX" w:eastAsia="en-US"/>
        </w:rPr>
        <w:t>(porcentaje)</w:t>
      </w:r>
    </w:p>
    <w:p w14:paraId="2CE9B70C" w14:textId="0BDC673B" w:rsidR="00666846" w:rsidRPr="009324F5" w:rsidRDefault="007D01D7" w:rsidP="007D01D7">
      <w:pPr>
        <w:pStyle w:val="Prrafodelista"/>
        <w:autoSpaceDE w:val="0"/>
        <w:autoSpaceDN w:val="0"/>
        <w:adjustRightInd w:val="0"/>
        <w:ind w:left="-567"/>
        <w:jc w:val="both"/>
        <w:rPr>
          <w:rFonts w:ascii="Arial" w:eastAsiaTheme="minorHAnsi" w:hAnsi="Arial" w:cs="Arial"/>
          <w:color w:val="000000"/>
          <w:sz w:val="22"/>
          <w:szCs w:val="22"/>
          <w:highlight w:val="yellow"/>
          <w:lang w:val="es-MX" w:eastAsia="en-US"/>
        </w:rPr>
      </w:pPr>
      <w:r w:rsidRPr="001B19B3">
        <w:rPr>
          <w:noProof/>
          <w:lang w:val="en-US" w:eastAsia="en-US"/>
        </w:rPr>
        <w:drawing>
          <wp:anchor distT="0" distB="0" distL="114300" distR="114300" simplePos="0" relativeHeight="251674624" behindDoc="0" locked="0" layoutInCell="1" allowOverlap="1" wp14:anchorId="71996492" wp14:editId="1D5490A7">
            <wp:simplePos x="0" y="0"/>
            <wp:positionH relativeFrom="page">
              <wp:posOffset>1885950</wp:posOffset>
            </wp:positionH>
            <wp:positionV relativeFrom="paragraph">
              <wp:posOffset>12700</wp:posOffset>
            </wp:positionV>
            <wp:extent cx="4229100" cy="236664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0110" t="2673" r="11232" b="5899"/>
                    <a:stretch/>
                  </pic:blipFill>
                  <pic:spPr bwMode="auto">
                    <a:xfrm>
                      <a:off x="0" y="0"/>
                      <a:ext cx="4229100" cy="2366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201AC2" w14:textId="77777777" w:rsidR="00666846" w:rsidRPr="009324F5" w:rsidRDefault="00666846" w:rsidP="00666846">
      <w:pPr>
        <w:pStyle w:val="Prrafodelista"/>
        <w:autoSpaceDE w:val="0"/>
        <w:autoSpaceDN w:val="0"/>
        <w:adjustRightInd w:val="0"/>
        <w:ind w:left="851"/>
        <w:jc w:val="both"/>
        <w:rPr>
          <w:rFonts w:ascii="Arial" w:eastAsiaTheme="minorHAnsi" w:hAnsi="Arial" w:cs="Arial"/>
          <w:color w:val="000000"/>
          <w:sz w:val="22"/>
          <w:szCs w:val="22"/>
          <w:highlight w:val="yellow"/>
          <w:lang w:val="es-MX" w:eastAsia="en-US"/>
        </w:rPr>
      </w:pPr>
    </w:p>
    <w:p w14:paraId="73AF3E52" w14:textId="77777777" w:rsidR="00666846" w:rsidRPr="009324F5" w:rsidRDefault="00666846" w:rsidP="00666846">
      <w:pPr>
        <w:pStyle w:val="Prrafodelista"/>
        <w:autoSpaceDE w:val="0"/>
        <w:autoSpaceDN w:val="0"/>
        <w:adjustRightInd w:val="0"/>
        <w:ind w:left="851"/>
        <w:jc w:val="both"/>
        <w:rPr>
          <w:rFonts w:ascii="Arial" w:eastAsiaTheme="minorHAnsi" w:hAnsi="Arial" w:cs="Arial"/>
          <w:color w:val="000000"/>
          <w:sz w:val="22"/>
          <w:szCs w:val="22"/>
          <w:highlight w:val="yellow"/>
          <w:lang w:val="es-MX" w:eastAsia="en-US"/>
        </w:rPr>
      </w:pPr>
    </w:p>
    <w:p w14:paraId="24F6B252" w14:textId="77777777" w:rsidR="00666846" w:rsidRPr="009324F5" w:rsidRDefault="00666846" w:rsidP="00666846">
      <w:pPr>
        <w:pStyle w:val="Prrafodelista"/>
        <w:autoSpaceDE w:val="0"/>
        <w:autoSpaceDN w:val="0"/>
        <w:adjustRightInd w:val="0"/>
        <w:ind w:left="851"/>
        <w:jc w:val="both"/>
        <w:rPr>
          <w:rFonts w:ascii="Arial" w:eastAsiaTheme="minorHAnsi" w:hAnsi="Arial" w:cs="Arial"/>
          <w:color w:val="000000"/>
          <w:sz w:val="22"/>
          <w:szCs w:val="22"/>
          <w:highlight w:val="yellow"/>
          <w:lang w:val="es-MX" w:eastAsia="en-US"/>
        </w:rPr>
      </w:pPr>
    </w:p>
    <w:p w14:paraId="2723C83C" w14:textId="77777777" w:rsidR="00666846" w:rsidRPr="009324F5" w:rsidRDefault="00666846" w:rsidP="00666846">
      <w:pPr>
        <w:pStyle w:val="Prrafodelista"/>
        <w:autoSpaceDE w:val="0"/>
        <w:autoSpaceDN w:val="0"/>
        <w:adjustRightInd w:val="0"/>
        <w:ind w:left="851"/>
        <w:jc w:val="both"/>
        <w:rPr>
          <w:rFonts w:ascii="Arial" w:eastAsiaTheme="minorHAnsi" w:hAnsi="Arial" w:cs="Arial"/>
          <w:color w:val="000000"/>
          <w:sz w:val="22"/>
          <w:szCs w:val="22"/>
          <w:highlight w:val="yellow"/>
          <w:lang w:val="es-MX" w:eastAsia="en-US"/>
        </w:rPr>
      </w:pPr>
    </w:p>
    <w:p w14:paraId="22C57479" w14:textId="77777777" w:rsidR="00666846" w:rsidRPr="009324F5" w:rsidRDefault="00666846" w:rsidP="00666846">
      <w:pPr>
        <w:pStyle w:val="Prrafodelista"/>
        <w:autoSpaceDE w:val="0"/>
        <w:autoSpaceDN w:val="0"/>
        <w:adjustRightInd w:val="0"/>
        <w:ind w:left="851"/>
        <w:jc w:val="both"/>
        <w:rPr>
          <w:rFonts w:ascii="Arial" w:eastAsiaTheme="minorHAnsi" w:hAnsi="Arial" w:cs="Arial"/>
          <w:color w:val="000000"/>
          <w:sz w:val="22"/>
          <w:szCs w:val="22"/>
          <w:highlight w:val="yellow"/>
          <w:lang w:val="es-MX" w:eastAsia="en-US"/>
        </w:rPr>
      </w:pPr>
    </w:p>
    <w:p w14:paraId="0C121529" w14:textId="77777777" w:rsidR="00666846" w:rsidRPr="009324F5" w:rsidRDefault="00666846" w:rsidP="00666846">
      <w:pPr>
        <w:pStyle w:val="Prrafodelista"/>
        <w:autoSpaceDE w:val="0"/>
        <w:autoSpaceDN w:val="0"/>
        <w:adjustRightInd w:val="0"/>
        <w:ind w:left="851"/>
        <w:jc w:val="both"/>
        <w:rPr>
          <w:rFonts w:ascii="Arial" w:eastAsiaTheme="minorHAnsi" w:hAnsi="Arial" w:cs="Arial"/>
          <w:color w:val="000000"/>
          <w:sz w:val="22"/>
          <w:szCs w:val="22"/>
          <w:highlight w:val="yellow"/>
          <w:lang w:val="es-MX" w:eastAsia="en-US"/>
        </w:rPr>
      </w:pPr>
    </w:p>
    <w:p w14:paraId="2CC27926" w14:textId="77777777" w:rsidR="00666846" w:rsidRPr="009324F5" w:rsidRDefault="00666846" w:rsidP="00666846">
      <w:pPr>
        <w:pStyle w:val="Prrafodelista"/>
        <w:autoSpaceDE w:val="0"/>
        <w:autoSpaceDN w:val="0"/>
        <w:adjustRightInd w:val="0"/>
        <w:ind w:left="851"/>
        <w:jc w:val="both"/>
        <w:rPr>
          <w:rFonts w:ascii="Arial" w:eastAsiaTheme="minorHAnsi" w:hAnsi="Arial" w:cs="Arial"/>
          <w:color w:val="000000"/>
          <w:sz w:val="22"/>
          <w:szCs w:val="22"/>
          <w:highlight w:val="yellow"/>
          <w:lang w:val="es-MX" w:eastAsia="en-US"/>
        </w:rPr>
      </w:pPr>
    </w:p>
    <w:p w14:paraId="3BAE6392" w14:textId="77777777" w:rsidR="00666846" w:rsidRPr="009324F5" w:rsidRDefault="00666846" w:rsidP="00666846">
      <w:pPr>
        <w:pStyle w:val="Prrafodelista"/>
        <w:autoSpaceDE w:val="0"/>
        <w:autoSpaceDN w:val="0"/>
        <w:adjustRightInd w:val="0"/>
        <w:ind w:left="851"/>
        <w:jc w:val="both"/>
        <w:rPr>
          <w:rFonts w:ascii="Arial" w:eastAsiaTheme="minorHAnsi" w:hAnsi="Arial" w:cs="Arial"/>
          <w:color w:val="000000"/>
          <w:sz w:val="22"/>
          <w:szCs w:val="22"/>
          <w:highlight w:val="yellow"/>
          <w:lang w:val="es-MX" w:eastAsia="en-US"/>
        </w:rPr>
      </w:pPr>
    </w:p>
    <w:p w14:paraId="2C2EBDCB" w14:textId="77777777" w:rsidR="00666846" w:rsidRPr="009324F5" w:rsidRDefault="00666846" w:rsidP="00666846">
      <w:pPr>
        <w:pStyle w:val="Prrafodelista"/>
        <w:autoSpaceDE w:val="0"/>
        <w:autoSpaceDN w:val="0"/>
        <w:adjustRightInd w:val="0"/>
        <w:ind w:left="851"/>
        <w:jc w:val="both"/>
        <w:rPr>
          <w:rFonts w:ascii="Arial" w:eastAsiaTheme="minorHAnsi" w:hAnsi="Arial" w:cs="Arial"/>
          <w:color w:val="000000"/>
          <w:sz w:val="22"/>
          <w:szCs w:val="22"/>
          <w:highlight w:val="yellow"/>
          <w:lang w:val="es-MX" w:eastAsia="en-US"/>
        </w:rPr>
      </w:pPr>
    </w:p>
    <w:p w14:paraId="1833E1DA" w14:textId="77777777" w:rsidR="00666846" w:rsidRDefault="00666846" w:rsidP="00666846">
      <w:pPr>
        <w:pStyle w:val="Prrafodelista"/>
        <w:autoSpaceDE w:val="0"/>
        <w:autoSpaceDN w:val="0"/>
        <w:adjustRightInd w:val="0"/>
        <w:ind w:left="851"/>
        <w:jc w:val="both"/>
        <w:rPr>
          <w:rFonts w:ascii="Arial" w:eastAsiaTheme="minorHAnsi" w:hAnsi="Arial" w:cs="Arial"/>
          <w:color w:val="000000"/>
          <w:sz w:val="22"/>
          <w:szCs w:val="22"/>
          <w:highlight w:val="yellow"/>
          <w:lang w:val="es-MX" w:eastAsia="en-US"/>
        </w:rPr>
      </w:pPr>
    </w:p>
    <w:p w14:paraId="196C1827" w14:textId="77777777" w:rsidR="00666846" w:rsidRPr="009324F5" w:rsidRDefault="00666846" w:rsidP="00666846">
      <w:pPr>
        <w:pStyle w:val="Prrafodelista"/>
        <w:autoSpaceDE w:val="0"/>
        <w:autoSpaceDN w:val="0"/>
        <w:adjustRightInd w:val="0"/>
        <w:ind w:left="851"/>
        <w:jc w:val="both"/>
        <w:rPr>
          <w:rFonts w:ascii="Arial" w:eastAsiaTheme="minorHAnsi" w:hAnsi="Arial" w:cs="Arial"/>
          <w:color w:val="000000"/>
          <w:sz w:val="22"/>
          <w:szCs w:val="22"/>
          <w:highlight w:val="yellow"/>
          <w:lang w:val="es-MX" w:eastAsia="en-US"/>
        </w:rPr>
      </w:pPr>
    </w:p>
    <w:p w14:paraId="3333B306" w14:textId="77777777" w:rsidR="000A531D" w:rsidRDefault="000A531D" w:rsidP="00666846">
      <w:pPr>
        <w:pStyle w:val="Prrafodelista"/>
        <w:autoSpaceDE w:val="0"/>
        <w:autoSpaceDN w:val="0"/>
        <w:adjustRightInd w:val="0"/>
        <w:ind w:left="1984" w:right="1298" w:hanging="425"/>
        <w:jc w:val="both"/>
        <w:rPr>
          <w:rFonts w:ascii="Arial" w:eastAsiaTheme="minorHAnsi" w:hAnsi="Arial" w:cs="Arial"/>
          <w:color w:val="000000"/>
          <w:sz w:val="16"/>
          <w:szCs w:val="16"/>
          <w:lang w:val="es-MX" w:eastAsia="en-US"/>
        </w:rPr>
      </w:pPr>
    </w:p>
    <w:p w14:paraId="61C44518" w14:textId="77777777" w:rsidR="000A531D" w:rsidRDefault="000A531D" w:rsidP="00666846">
      <w:pPr>
        <w:pStyle w:val="Prrafodelista"/>
        <w:autoSpaceDE w:val="0"/>
        <w:autoSpaceDN w:val="0"/>
        <w:adjustRightInd w:val="0"/>
        <w:ind w:left="1984" w:right="1298" w:hanging="425"/>
        <w:jc w:val="both"/>
        <w:rPr>
          <w:rFonts w:ascii="Arial" w:eastAsiaTheme="minorHAnsi" w:hAnsi="Arial" w:cs="Arial"/>
          <w:color w:val="000000"/>
          <w:sz w:val="16"/>
          <w:szCs w:val="16"/>
          <w:lang w:val="es-MX" w:eastAsia="en-US"/>
        </w:rPr>
      </w:pPr>
    </w:p>
    <w:p w14:paraId="2B66E6FE" w14:textId="77777777" w:rsidR="000A531D" w:rsidRDefault="000A531D" w:rsidP="00666846">
      <w:pPr>
        <w:pStyle w:val="Prrafodelista"/>
        <w:autoSpaceDE w:val="0"/>
        <w:autoSpaceDN w:val="0"/>
        <w:adjustRightInd w:val="0"/>
        <w:ind w:left="1984" w:right="1298" w:hanging="425"/>
        <w:jc w:val="both"/>
        <w:rPr>
          <w:rFonts w:ascii="Arial" w:eastAsiaTheme="minorHAnsi" w:hAnsi="Arial" w:cs="Arial"/>
          <w:color w:val="000000"/>
          <w:sz w:val="16"/>
          <w:szCs w:val="16"/>
          <w:lang w:val="es-MX" w:eastAsia="en-US"/>
        </w:rPr>
      </w:pPr>
    </w:p>
    <w:p w14:paraId="31785518" w14:textId="77777777" w:rsidR="007D01D7" w:rsidRDefault="007D01D7" w:rsidP="000A531D">
      <w:pPr>
        <w:pStyle w:val="Prrafodelista"/>
        <w:autoSpaceDE w:val="0"/>
        <w:autoSpaceDN w:val="0"/>
        <w:adjustRightInd w:val="0"/>
        <w:ind w:left="1418" w:right="817" w:hanging="425"/>
        <w:jc w:val="both"/>
        <w:rPr>
          <w:rFonts w:ascii="Arial" w:eastAsiaTheme="minorHAnsi" w:hAnsi="Arial" w:cs="Arial"/>
          <w:color w:val="000000"/>
          <w:sz w:val="16"/>
          <w:szCs w:val="16"/>
          <w:lang w:val="es-MX" w:eastAsia="en-US"/>
        </w:rPr>
      </w:pPr>
    </w:p>
    <w:p w14:paraId="62E74D3C" w14:textId="55C2E92D" w:rsidR="00666846" w:rsidRPr="00F255A1" w:rsidRDefault="00666846" w:rsidP="000A531D">
      <w:pPr>
        <w:pStyle w:val="Prrafodelista"/>
        <w:autoSpaceDE w:val="0"/>
        <w:autoSpaceDN w:val="0"/>
        <w:adjustRightInd w:val="0"/>
        <w:ind w:left="1418" w:right="817" w:hanging="425"/>
        <w:jc w:val="both"/>
        <w:rPr>
          <w:rFonts w:ascii="Arial" w:eastAsiaTheme="minorHAnsi" w:hAnsi="Arial" w:cs="Arial"/>
          <w:color w:val="000000"/>
          <w:sz w:val="16"/>
          <w:szCs w:val="16"/>
          <w:lang w:val="es-MX" w:eastAsia="en-US"/>
        </w:rPr>
      </w:pPr>
      <w:r w:rsidRPr="00F255A1">
        <w:rPr>
          <w:rFonts w:ascii="Arial" w:eastAsiaTheme="minorHAnsi" w:hAnsi="Arial" w:cs="Arial"/>
          <w:color w:val="000000"/>
          <w:sz w:val="16"/>
          <w:szCs w:val="16"/>
          <w:lang w:val="es-MX" w:eastAsia="en-US"/>
        </w:rPr>
        <w:t>Nota: La suma de los porcentajes</w:t>
      </w:r>
      <w:r>
        <w:rPr>
          <w:rFonts w:ascii="Arial" w:eastAsiaTheme="minorHAnsi" w:hAnsi="Arial" w:cs="Arial"/>
          <w:color w:val="000000"/>
          <w:sz w:val="16"/>
          <w:szCs w:val="16"/>
          <w:lang w:val="es-MX" w:eastAsia="en-US"/>
        </w:rPr>
        <w:t xml:space="preserve"> por año</w:t>
      </w:r>
      <w:r w:rsidRPr="00F255A1">
        <w:rPr>
          <w:rFonts w:ascii="Arial" w:eastAsiaTheme="minorHAnsi" w:hAnsi="Arial" w:cs="Arial"/>
          <w:color w:val="000000"/>
          <w:sz w:val="16"/>
          <w:szCs w:val="16"/>
          <w:lang w:val="es-MX" w:eastAsia="en-US"/>
        </w:rPr>
        <w:t xml:space="preserve"> es menor a 100 debido a que no se incluye a quienes no especificaron su edad</w:t>
      </w:r>
      <w:r>
        <w:rPr>
          <w:rFonts w:ascii="Arial" w:eastAsiaTheme="minorHAnsi" w:hAnsi="Arial" w:cs="Arial"/>
          <w:color w:val="000000"/>
          <w:sz w:val="16"/>
          <w:szCs w:val="16"/>
          <w:lang w:val="es-MX" w:eastAsia="en-US"/>
        </w:rPr>
        <w:t xml:space="preserve"> al migrar</w:t>
      </w:r>
      <w:r w:rsidRPr="00F255A1">
        <w:rPr>
          <w:rFonts w:ascii="Arial" w:eastAsiaTheme="minorHAnsi" w:hAnsi="Arial" w:cs="Arial"/>
          <w:color w:val="000000"/>
          <w:sz w:val="16"/>
          <w:szCs w:val="16"/>
          <w:lang w:val="es-MX" w:eastAsia="en-US"/>
        </w:rPr>
        <w:t>.</w:t>
      </w:r>
      <w:r>
        <w:rPr>
          <w:rFonts w:ascii="Arial" w:eastAsiaTheme="minorHAnsi" w:hAnsi="Arial" w:cs="Arial"/>
          <w:color w:val="000000"/>
          <w:sz w:val="16"/>
          <w:szCs w:val="16"/>
          <w:lang w:val="es-MX" w:eastAsia="en-US"/>
        </w:rPr>
        <w:t xml:space="preserve"> El porcentaje se calcula con respecto al total de emigrantes internacionales en cada una de las versiones de la ENADID.</w:t>
      </w:r>
    </w:p>
    <w:p w14:paraId="0EA96C6F" w14:textId="45D75650" w:rsidR="00666846" w:rsidRPr="000A531D" w:rsidRDefault="00666846" w:rsidP="000A531D">
      <w:pPr>
        <w:ind w:left="1418" w:right="817" w:hanging="425"/>
        <w:rPr>
          <w:rFonts w:eastAsiaTheme="minorHAnsi" w:cs="Arial"/>
          <w:sz w:val="16"/>
          <w:szCs w:val="16"/>
          <w:lang w:val="es-MX" w:eastAsia="en-US"/>
        </w:rPr>
      </w:pPr>
      <w:r w:rsidRPr="00F255A1">
        <w:rPr>
          <w:rFonts w:eastAsiaTheme="minorHAnsi" w:cs="Arial"/>
          <w:sz w:val="16"/>
          <w:szCs w:val="16"/>
          <w:lang w:val="es-MX" w:eastAsia="en-US"/>
        </w:rPr>
        <w:t>Fuente: INEGI. Encuesta Nacional de la Dinámica Demográfica, 2014 y 2018. Base de datos.</w:t>
      </w:r>
      <w:r w:rsidR="000A531D">
        <w:rPr>
          <w:rFonts w:eastAsiaTheme="minorHAnsi" w:cs="Arial"/>
          <w:sz w:val="16"/>
          <w:szCs w:val="16"/>
          <w:lang w:val="es-MX" w:eastAsia="en-US"/>
        </w:rPr>
        <w:t xml:space="preserve"> </w:t>
      </w:r>
      <w:r w:rsidRPr="00F255A1">
        <w:rPr>
          <w:rFonts w:eastAsiaTheme="minorHAnsi" w:cs="Arial"/>
          <w:sz w:val="16"/>
          <w:szCs w:val="16"/>
          <w:lang w:val="es-MX" w:eastAsia="en-US"/>
        </w:rPr>
        <w:t>SNIEG, Información de Interés Nacional.</w:t>
      </w:r>
    </w:p>
    <w:p w14:paraId="14B18FC8" w14:textId="77777777" w:rsidR="00E30A64" w:rsidRDefault="00E30A64" w:rsidP="00CC6405">
      <w:pPr>
        <w:ind w:left="-567" w:right="108"/>
        <w:rPr>
          <w:bCs/>
          <w:szCs w:val="22"/>
          <w:lang w:val="es-MX"/>
        </w:rPr>
      </w:pPr>
    </w:p>
    <w:p w14:paraId="7AE59AA2" w14:textId="77777777" w:rsidR="00CC6405" w:rsidRPr="000D5937" w:rsidRDefault="00CC6405" w:rsidP="00CC6405">
      <w:pPr>
        <w:ind w:left="-567"/>
        <w:jc w:val="center"/>
        <w:rPr>
          <w:rFonts w:cs="Arial"/>
          <w:bCs/>
          <w:color w:val="002060"/>
          <w:szCs w:val="22"/>
          <w:lang w:val="es-MX"/>
        </w:rPr>
      </w:pPr>
      <w:r w:rsidRPr="00DA371B">
        <w:rPr>
          <w:b/>
          <w:szCs w:val="22"/>
          <w:lang w:val="es-MX"/>
        </w:rPr>
        <w:t>Se anexa Nota técnica</w:t>
      </w:r>
    </w:p>
    <w:p w14:paraId="556A34C8" w14:textId="77777777" w:rsidR="00CC6405" w:rsidRPr="00666846" w:rsidRDefault="00CC6405" w:rsidP="00CC6405">
      <w:pPr>
        <w:ind w:left="-567"/>
        <w:jc w:val="left"/>
        <w:rPr>
          <w:rFonts w:cs="Arial"/>
          <w:bCs/>
          <w:sz w:val="18"/>
          <w:szCs w:val="22"/>
        </w:rPr>
      </w:pPr>
    </w:p>
    <w:p w14:paraId="1C24DAD8" w14:textId="38E62E4E" w:rsidR="00CC6405" w:rsidRPr="000A531D" w:rsidRDefault="00CC6405" w:rsidP="000A531D">
      <w:pPr>
        <w:pStyle w:val="NormalWeb"/>
        <w:spacing w:before="0" w:beforeAutospacing="0" w:after="0" w:afterAutospacing="0"/>
        <w:ind w:left="-567" w:right="108"/>
        <w:contextualSpacing/>
        <w:jc w:val="center"/>
        <w:rPr>
          <w:rFonts w:ascii="Arial" w:hAnsi="Arial" w:cs="Arial"/>
          <w:sz w:val="20"/>
          <w:szCs w:val="20"/>
        </w:rPr>
      </w:pPr>
      <w:r w:rsidRPr="000A531D">
        <w:rPr>
          <w:rFonts w:ascii="Arial" w:hAnsi="Arial" w:cs="Arial"/>
          <w:sz w:val="20"/>
          <w:szCs w:val="20"/>
        </w:rPr>
        <w:t xml:space="preserve">Para consultas de medios y periodistas, contactar a: </w:t>
      </w:r>
      <w:hyperlink r:id="rId10" w:history="1">
        <w:r w:rsidRPr="000A531D">
          <w:rPr>
            <w:rStyle w:val="Hipervnculo"/>
            <w:rFonts w:ascii="Arial" w:hAnsi="Arial" w:cs="Arial"/>
            <w:sz w:val="20"/>
            <w:szCs w:val="20"/>
          </w:rPr>
          <w:t>comunicacionsocial@inegi.org.mx</w:t>
        </w:r>
      </w:hyperlink>
      <w:r w:rsidRPr="000A531D">
        <w:rPr>
          <w:rFonts w:ascii="Arial" w:hAnsi="Arial" w:cs="Arial"/>
          <w:sz w:val="20"/>
          <w:szCs w:val="20"/>
        </w:rPr>
        <w:t xml:space="preserve"> </w:t>
      </w:r>
    </w:p>
    <w:p w14:paraId="1E8A3181" w14:textId="718B46EA" w:rsidR="00CC6405" w:rsidRPr="000A531D" w:rsidRDefault="00CC6405" w:rsidP="000A531D">
      <w:pPr>
        <w:pStyle w:val="NormalWeb"/>
        <w:spacing w:before="0" w:beforeAutospacing="0" w:after="0" w:afterAutospacing="0"/>
        <w:ind w:left="-567" w:right="108"/>
        <w:contextualSpacing/>
        <w:jc w:val="center"/>
        <w:rPr>
          <w:rFonts w:ascii="Arial" w:hAnsi="Arial" w:cs="Arial"/>
          <w:sz w:val="20"/>
          <w:szCs w:val="20"/>
        </w:rPr>
      </w:pPr>
      <w:r w:rsidRPr="000A531D">
        <w:rPr>
          <w:rFonts w:ascii="Arial" w:hAnsi="Arial" w:cs="Arial"/>
          <w:sz w:val="20"/>
          <w:szCs w:val="20"/>
        </w:rPr>
        <w:t>o llamar al teléfono (55) 52-78-10-00, exts. 1134, 1260 y 1241.</w:t>
      </w:r>
    </w:p>
    <w:p w14:paraId="3699D80A" w14:textId="77777777" w:rsidR="00CC6405" w:rsidRPr="000A531D" w:rsidRDefault="00CC6405" w:rsidP="000A531D">
      <w:pPr>
        <w:ind w:left="-567" w:right="108"/>
        <w:contextualSpacing/>
        <w:jc w:val="center"/>
        <w:rPr>
          <w:rFonts w:cs="Arial"/>
          <w:sz w:val="20"/>
          <w:szCs w:val="20"/>
        </w:rPr>
      </w:pPr>
      <w:r w:rsidRPr="000A531D">
        <w:rPr>
          <w:rFonts w:cs="Arial"/>
          <w:sz w:val="20"/>
          <w:szCs w:val="20"/>
        </w:rPr>
        <w:t>Dirección de Atención a Medios / Dirección General Adjunta de Comunicación</w:t>
      </w:r>
    </w:p>
    <w:p w14:paraId="4701B79F" w14:textId="77777777" w:rsidR="00CC6405" w:rsidRPr="009C506D" w:rsidRDefault="00CC6405" w:rsidP="00CC6405">
      <w:pPr>
        <w:ind w:left="-567" w:right="-516"/>
        <w:contextualSpacing/>
        <w:rPr>
          <w:rFonts w:cs="Arial"/>
          <w:szCs w:val="22"/>
        </w:rPr>
      </w:pPr>
    </w:p>
    <w:p w14:paraId="27EE2D40" w14:textId="77777777" w:rsidR="00CC6405" w:rsidRPr="00BA1ADF" w:rsidRDefault="00CC6405" w:rsidP="00CC6405">
      <w:pPr>
        <w:ind w:left="-567" w:right="-518"/>
        <w:contextualSpacing/>
        <w:rPr>
          <w:sz w:val="20"/>
          <w:szCs w:val="20"/>
        </w:rPr>
      </w:pPr>
    </w:p>
    <w:p w14:paraId="774AA599" w14:textId="77777777" w:rsidR="00CC6405" w:rsidRDefault="00CC6405" w:rsidP="00666846">
      <w:pPr>
        <w:tabs>
          <w:tab w:val="left" w:pos="7901"/>
        </w:tabs>
        <w:ind w:firstLine="1418"/>
        <w:rPr>
          <w:noProof/>
          <w:sz w:val="20"/>
        </w:rPr>
      </w:pPr>
      <w:r w:rsidRPr="008F0992">
        <w:rPr>
          <w:noProof/>
          <w:sz w:val="20"/>
          <w:lang w:val="en-US" w:eastAsia="en-US"/>
        </w:rPr>
        <w:drawing>
          <wp:inline distT="0" distB="0" distL="0" distR="0" wp14:anchorId="2CB10835" wp14:editId="1E94ACBA">
            <wp:extent cx="318472" cy="322419"/>
            <wp:effectExtent l="0" t="0" r="5715" b="1905"/>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rPr>
        <w:t xml:space="preserve"> </w:t>
      </w:r>
      <w:r w:rsidRPr="008F0992">
        <w:rPr>
          <w:noProof/>
          <w:sz w:val="20"/>
          <w:lang w:val="en-US" w:eastAsia="en-US"/>
        </w:rPr>
        <w:drawing>
          <wp:inline distT="0" distB="0" distL="0" distR="0" wp14:anchorId="48B31C62" wp14:editId="1A54BA04">
            <wp:extent cx="327704" cy="325467"/>
            <wp:effectExtent l="0" t="0" r="0" b="0"/>
            <wp:docPr id="31" name="Imagen 31" descr="C:\Users\saladeprensa\Desktop\NVOS LOGOS\I.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rPr>
        <w:t xml:space="preserve"> </w:t>
      </w:r>
      <w:r w:rsidRPr="008F0992">
        <w:rPr>
          <w:noProof/>
          <w:sz w:val="20"/>
          <w:lang w:val="en-US" w:eastAsia="en-US"/>
        </w:rPr>
        <w:drawing>
          <wp:inline distT="0" distB="0" distL="0" distR="0" wp14:anchorId="3F70D9D6" wp14:editId="6761AAED">
            <wp:extent cx="321276" cy="324093"/>
            <wp:effectExtent l="0" t="0" r="3175" b="0"/>
            <wp:docPr id="11" name="Imagen 11" descr="C:\Users\saladeprensa\Desktop\NVOS LOGOS\T.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rPr>
        <w:t xml:space="preserve"> </w:t>
      </w:r>
      <w:r w:rsidRPr="008F0992">
        <w:rPr>
          <w:noProof/>
          <w:sz w:val="20"/>
          <w:lang w:val="en-US" w:eastAsia="en-US"/>
        </w:rPr>
        <w:drawing>
          <wp:inline distT="0" distB="0" distL="0" distR="0" wp14:anchorId="28E72B2D" wp14:editId="47703876">
            <wp:extent cx="321276" cy="326574"/>
            <wp:effectExtent l="0" t="0" r="3175" b="0"/>
            <wp:docPr id="32" name="Imagen 32" descr="C:\Users\saladeprensa\Desktop\NVOS LOGOS\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rPr>
        <w:t xml:space="preserve">  </w:t>
      </w:r>
      <w:r w:rsidRPr="008F0992">
        <w:rPr>
          <w:noProof/>
          <w:sz w:val="14"/>
          <w:szCs w:val="18"/>
          <w:lang w:val="en-US" w:eastAsia="en-US"/>
        </w:rPr>
        <w:drawing>
          <wp:inline distT="0" distB="0" distL="0" distR="0" wp14:anchorId="3732DBE9" wp14:editId="352B59B4">
            <wp:extent cx="2323070" cy="319707"/>
            <wp:effectExtent l="0" t="0" r="1270" b="4445"/>
            <wp:docPr id="14" name="Imagen 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sidR="00666846">
        <w:rPr>
          <w:noProof/>
          <w:sz w:val="20"/>
        </w:rPr>
        <w:tab/>
      </w:r>
    </w:p>
    <w:p w14:paraId="05BFC503" w14:textId="77777777" w:rsidR="00A738DC" w:rsidRDefault="00A738DC" w:rsidP="00CC6405">
      <w:pPr>
        <w:ind w:firstLine="1418"/>
        <w:rPr>
          <w:noProof/>
          <w:sz w:val="20"/>
        </w:rPr>
        <w:sectPr w:rsidR="00A738DC" w:rsidSect="00CC6405">
          <w:headerReference w:type="default" r:id="rId16"/>
          <w:footerReference w:type="default" r:id="rId17"/>
          <w:headerReference w:type="first" r:id="rId18"/>
          <w:footerReference w:type="first" r:id="rId19"/>
          <w:pgSz w:w="12242" w:h="15842" w:code="1"/>
          <w:pgMar w:top="1985" w:right="1077" w:bottom="1276" w:left="1701" w:header="567" w:footer="629" w:gutter="0"/>
          <w:cols w:space="708"/>
          <w:titlePg/>
          <w:docGrid w:linePitch="360"/>
        </w:sectPr>
      </w:pPr>
    </w:p>
    <w:p w14:paraId="28F5C342" w14:textId="77777777" w:rsidR="00C30374" w:rsidRPr="001962BC" w:rsidRDefault="00032660" w:rsidP="001962BC">
      <w:pPr>
        <w:tabs>
          <w:tab w:val="left" w:pos="3180"/>
        </w:tabs>
        <w:ind w:firstLine="1418"/>
        <w:rPr>
          <w:noProof/>
          <w:sz w:val="20"/>
        </w:rPr>
      </w:pPr>
      <w:r>
        <w:rPr>
          <w:noProof/>
          <w:sz w:val="20"/>
        </w:rPr>
        <w:tab/>
      </w:r>
      <w:r>
        <w:rPr>
          <w:rFonts w:cs="Arial"/>
          <w:b/>
          <w:bCs/>
          <w:color w:val="000000" w:themeColor="text1"/>
          <w:sz w:val="24"/>
          <w:lang w:val="es-MX"/>
        </w:rPr>
        <w:t xml:space="preserve">                             </w:t>
      </w:r>
    </w:p>
    <w:p w14:paraId="7750732B" w14:textId="77777777" w:rsidR="009D257F" w:rsidRPr="00351720" w:rsidRDefault="009D257F" w:rsidP="009D257F">
      <w:pPr>
        <w:jc w:val="center"/>
        <w:rPr>
          <w:rFonts w:cs="Arial"/>
          <w:color w:val="000000" w:themeColor="text1"/>
          <w:sz w:val="24"/>
          <w:lang w:val="es-MX"/>
        </w:rPr>
      </w:pPr>
      <w:r w:rsidRPr="00CE7FF1">
        <w:rPr>
          <w:rFonts w:cs="Arial"/>
          <w:b/>
          <w:bCs/>
          <w:color w:val="000000" w:themeColor="text1"/>
          <w:sz w:val="24"/>
          <w:lang w:val="es-MX"/>
        </w:rPr>
        <w:lastRenderedPageBreak/>
        <w:t>NOTA TÉCNICA</w:t>
      </w:r>
    </w:p>
    <w:p w14:paraId="645F41AA" w14:textId="77777777" w:rsidR="009D257F" w:rsidRPr="00351720" w:rsidRDefault="009D257F" w:rsidP="009D257F">
      <w:pPr>
        <w:rPr>
          <w:rFonts w:cs="Arial"/>
          <w:color w:val="000000" w:themeColor="text1"/>
          <w:szCs w:val="22"/>
          <w:lang w:val="es-MX"/>
        </w:rPr>
      </w:pPr>
    </w:p>
    <w:p w14:paraId="3566F924" w14:textId="77777777" w:rsidR="009D257F" w:rsidRPr="0040573E" w:rsidRDefault="009D257F" w:rsidP="009D257F">
      <w:pPr>
        <w:jc w:val="center"/>
        <w:rPr>
          <w:rFonts w:cs="Arial"/>
          <w:b/>
          <w:bCs/>
          <w:color w:val="000000" w:themeColor="text1"/>
          <w:sz w:val="24"/>
          <w:lang w:val="es-MX"/>
        </w:rPr>
      </w:pPr>
      <w:r w:rsidRPr="00CE7FF1">
        <w:rPr>
          <w:rFonts w:cs="Arial"/>
          <w:b/>
          <w:bCs/>
          <w:color w:val="000000" w:themeColor="text1"/>
          <w:sz w:val="24"/>
          <w:lang w:val="es-MX"/>
        </w:rPr>
        <w:t xml:space="preserve">ESTADÍSTICAS A PROPÓSITO </w:t>
      </w:r>
      <w:r w:rsidRPr="0040573E">
        <w:rPr>
          <w:rFonts w:cs="Arial"/>
          <w:b/>
          <w:sz w:val="24"/>
        </w:rPr>
        <w:t xml:space="preserve">DEL DÍA </w:t>
      </w:r>
      <w:r>
        <w:rPr>
          <w:rFonts w:cs="Arial"/>
          <w:b/>
          <w:sz w:val="24"/>
        </w:rPr>
        <w:t>MUNDIAL DE LA POBLACIÓN</w:t>
      </w:r>
    </w:p>
    <w:p w14:paraId="4A70A083" w14:textId="77777777" w:rsidR="009D257F" w:rsidRPr="00953D1B" w:rsidRDefault="009D257F" w:rsidP="009D257F">
      <w:pPr>
        <w:rPr>
          <w:rFonts w:cs="Arial"/>
        </w:rPr>
      </w:pPr>
    </w:p>
    <w:p w14:paraId="5DCA9189" w14:textId="77777777" w:rsidR="009D257F" w:rsidRPr="00CE7D62" w:rsidRDefault="009D257F" w:rsidP="009D257F">
      <w:pPr>
        <w:ind w:left="-567"/>
        <w:rPr>
          <w:rFonts w:cs="Arial"/>
          <w:color w:val="FF0000"/>
        </w:rPr>
      </w:pPr>
      <w:r w:rsidRPr="00B45168">
        <w:rPr>
          <w:rFonts w:cs="Arial"/>
        </w:rPr>
        <w:t>Debido al papel fundamental que tiene la población en los programas y planes generales de desarrollo de cada país, en 1989 el Consejo de Administración del Programa de las Naciones Unidas para el Desarrollo (PNUD) propuso el 11 de julio para celebrar el Día Mundial de la Población</w:t>
      </w:r>
      <w:r w:rsidRPr="00986832">
        <w:rPr>
          <w:rFonts w:cs="Arial"/>
        </w:rPr>
        <w:t xml:space="preserve">. </w:t>
      </w:r>
    </w:p>
    <w:p w14:paraId="3F3E2DB4" w14:textId="77777777" w:rsidR="009D257F" w:rsidRDefault="009D257F" w:rsidP="009D257F">
      <w:pPr>
        <w:ind w:left="-567"/>
        <w:rPr>
          <w:rFonts w:cs="Arial"/>
        </w:rPr>
      </w:pPr>
    </w:p>
    <w:p w14:paraId="4F6C32AC" w14:textId="77777777" w:rsidR="009D257F" w:rsidRDefault="009D257F" w:rsidP="009D257F">
      <w:pPr>
        <w:ind w:left="-567"/>
        <w:rPr>
          <w:rFonts w:cs="Arial"/>
        </w:rPr>
      </w:pPr>
      <w:r w:rsidRPr="00B45168">
        <w:rPr>
          <w:rFonts w:cs="Arial"/>
        </w:rPr>
        <w:t xml:space="preserve">Durante el siglo XX la dinámica demográfica en el país experimentó importantes transformaciones. </w:t>
      </w:r>
      <w:r>
        <w:rPr>
          <w:rFonts w:cs="Arial"/>
        </w:rPr>
        <w:t xml:space="preserve">La primera de ellas se da en los </w:t>
      </w:r>
      <w:r w:rsidRPr="00B45168">
        <w:rPr>
          <w:rFonts w:cs="Arial"/>
        </w:rPr>
        <w:t xml:space="preserve">años treinta, </w:t>
      </w:r>
      <w:r>
        <w:rPr>
          <w:rFonts w:cs="Arial"/>
        </w:rPr>
        <w:t xml:space="preserve">cuando </w:t>
      </w:r>
      <w:r w:rsidRPr="00B45168">
        <w:rPr>
          <w:rFonts w:cs="Arial"/>
        </w:rPr>
        <w:t>los programas de salud y la mayor cobertura de estos servicios dieron lugar al descenso continuo de la mortalidad</w:t>
      </w:r>
      <w:r>
        <w:rPr>
          <w:rFonts w:cs="Arial"/>
        </w:rPr>
        <w:t>.</w:t>
      </w:r>
      <w:r w:rsidRPr="00B45168">
        <w:rPr>
          <w:rFonts w:cs="Arial"/>
        </w:rPr>
        <w:t xml:space="preserve"> </w:t>
      </w:r>
      <w:r>
        <w:rPr>
          <w:rFonts w:cs="Arial"/>
        </w:rPr>
        <w:t>La segunda</w:t>
      </w:r>
      <w:r w:rsidRPr="00B76304">
        <w:rPr>
          <w:rFonts w:cs="Arial"/>
        </w:rPr>
        <w:t xml:space="preserve">, fue la instrumentación de </w:t>
      </w:r>
      <w:r>
        <w:rPr>
          <w:rFonts w:cs="Arial"/>
        </w:rPr>
        <w:t xml:space="preserve">una </w:t>
      </w:r>
      <w:r w:rsidRPr="00B45168">
        <w:rPr>
          <w:rFonts w:cs="Arial"/>
        </w:rPr>
        <w:t xml:space="preserve">política de población </w:t>
      </w:r>
      <w:r>
        <w:rPr>
          <w:rFonts w:cs="Arial"/>
        </w:rPr>
        <w:t>en</w:t>
      </w:r>
      <w:r w:rsidRPr="00B45168">
        <w:rPr>
          <w:rFonts w:cs="Arial"/>
        </w:rPr>
        <w:t xml:space="preserve"> la década de los setenta para controlar la fecundidad</w:t>
      </w:r>
      <w:r>
        <w:rPr>
          <w:rFonts w:cs="Arial"/>
        </w:rPr>
        <w:t>. D</w:t>
      </w:r>
      <w:r w:rsidRPr="00B45168">
        <w:rPr>
          <w:rFonts w:cs="Arial"/>
        </w:rPr>
        <w:t>esde ese momento se observa un descenso continuo de la tasa global de fecundidad.</w:t>
      </w:r>
      <w:r>
        <w:rPr>
          <w:rFonts w:cs="Arial"/>
        </w:rPr>
        <w:t xml:space="preserve"> </w:t>
      </w:r>
      <w:r w:rsidRPr="0089715C">
        <w:rPr>
          <w:rFonts w:cs="Arial"/>
        </w:rPr>
        <w:t>Aunado a esto, a partir de la década de 1980 se dio un notable incremento en la migración, tanto interna como internacional, provocando que el total de habitantes de las entidad</w:t>
      </w:r>
      <w:r>
        <w:rPr>
          <w:rFonts w:cs="Arial"/>
        </w:rPr>
        <w:t>es</w:t>
      </w:r>
      <w:r w:rsidRPr="0089715C">
        <w:rPr>
          <w:rFonts w:cs="Arial"/>
        </w:rPr>
        <w:t xml:space="preserve"> se vea afectado por la salida o llegada de personas.</w:t>
      </w:r>
      <w:r>
        <w:rPr>
          <w:rFonts w:cs="Arial"/>
        </w:rPr>
        <w:t xml:space="preserve"> </w:t>
      </w:r>
    </w:p>
    <w:p w14:paraId="04E0D9FD" w14:textId="77777777" w:rsidR="009D257F" w:rsidRDefault="009D257F" w:rsidP="009D257F">
      <w:pPr>
        <w:ind w:left="-567"/>
        <w:rPr>
          <w:rFonts w:cs="Arial"/>
        </w:rPr>
      </w:pPr>
    </w:p>
    <w:p w14:paraId="411768CC" w14:textId="22F34B32" w:rsidR="009D257F" w:rsidRPr="00B76304" w:rsidRDefault="007D01D7" w:rsidP="009D257F">
      <w:pPr>
        <w:ind w:left="-567"/>
        <w:rPr>
          <w:rFonts w:cs="Arial"/>
        </w:rPr>
      </w:pPr>
      <w:r>
        <w:rPr>
          <w:rFonts w:cs="Arial"/>
        </w:rPr>
        <w:t xml:space="preserve">Esta nota técnica presenta </w:t>
      </w:r>
      <w:r w:rsidR="009D257F" w:rsidRPr="00B45168">
        <w:rPr>
          <w:rFonts w:cs="Arial"/>
        </w:rPr>
        <w:t xml:space="preserve">la </w:t>
      </w:r>
      <w:r w:rsidR="009D257F">
        <w:rPr>
          <w:rFonts w:cs="Arial"/>
        </w:rPr>
        <w:t xml:space="preserve">tendencia de los componentes de la </w:t>
      </w:r>
      <w:r w:rsidR="009D257F" w:rsidRPr="00B45168">
        <w:rPr>
          <w:rFonts w:cs="Arial"/>
        </w:rPr>
        <w:t xml:space="preserve">dinámica </w:t>
      </w:r>
      <w:r w:rsidR="009D257F">
        <w:rPr>
          <w:rFonts w:cs="Arial"/>
        </w:rPr>
        <w:t>demográfica (fecundidad, mortalidad y migración) y su impacto en el volumen y estructura de la población</w:t>
      </w:r>
      <w:r w:rsidR="009D257F" w:rsidRPr="00B76304">
        <w:rPr>
          <w:rFonts w:cs="Arial"/>
        </w:rPr>
        <w:t>.</w:t>
      </w:r>
      <w:r w:rsidR="009D257F" w:rsidRPr="00B76304">
        <w:rPr>
          <w:rFonts w:cs="Arial"/>
          <w:szCs w:val="22"/>
        </w:rPr>
        <w:t xml:space="preserve"> Los proyectos que se emplean para la generación de los indicadores </w:t>
      </w:r>
      <w:r w:rsidR="009D257F">
        <w:rPr>
          <w:rFonts w:cs="Arial"/>
          <w:szCs w:val="22"/>
        </w:rPr>
        <w:t xml:space="preserve">son </w:t>
      </w:r>
      <w:r w:rsidR="009D257F" w:rsidRPr="00B76304">
        <w:rPr>
          <w:rFonts w:cs="Arial"/>
          <w:szCs w:val="22"/>
        </w:rPr>
        <w:t>el XI Censo General de Población y Vivienda 1990, l</w:t>
      </w:r>
      <w:r w:rsidR="009D257F" w:rsidRPr="00B76304">
        <w:rPr>
          <w:rFonts w:cs="Arial"/>
        </w:rPr>
        <w:t xml:space="preserve">as Proyecciones de población que estima el Consejo Nacional de Población (CONAPO), las Estadísticas de mortalidad 2018 y la Encuesta Nacional de la Dinámica Demográfica (ENADID) 2014 y 2018.   </w:t>
      </w:r>
    </w:p>
    <w:p w14:paraId="3A1C2231" w14:textId="77777777" w:rsidR="009D257F" w:rsidRDefault="009D257F" w:rsidP="009D257F">
      <w:pPr>
        <w:ind w:left="-567"/>
        <w:rPr>
          <w:rFonts w:cs="Arial"/>
        </w:rPr>
      </w:pPr>
    </w:p>
    <w:p w14:paraId="64588199" w14:textId="77777777" w:rsidR="009D257F" w:rsidRPr="002B22FE" w:rsidRDefault="003A4572" w:rsidP="009D257F">
      <w:pPr>
        <w:pStyle w:val="Ttulo3"/>
        <w:ind w:left="-567"/>
        <w:rPr>
          <w:rFonts w:cs="Arial"/>
          <w:b/>
          <w:color w:val="auto"/>
          <w:sz w:val="22"/>
          <w:szCs w:val="22"/>
        </w:rPr>
      </w:pPr>
      <w:r w:rsidRPr="002B22FE">
        <w:rPr>
          <w:rFonts w:ascii="Arial" w:eastAsiaTheme="minorHAnsi" w:hAnsi="Arial" w:cs="Arial"/>
          <w:b/>
          <w:color w:val="auto"/>
          <w:sz w:val="22"/>
          <w:szCs w:val="22"/>
          <w:lang w:val="es-MX" w:eastAsia="en-US"/>
        </w:rPr>
        <w:t>POBLACIÓN POR EDAD Y SEXO</w:t>
      </w:r>
    </w:p>
    <w:p w14:paraId="3270B595" w14:textId="77777777" w:rsidR="009D257F" w:rsidRDefault="009D257F" w:rsidP="009D257F">
      <w:pPr>
        <w:pStyle w:val="Ttulo3"/>
        <w:ind w:left="-567"/>
        <w:jc w:val="both"/>
        <w:rPr>
          <w:rFonts w:ascii="Arial" w:eastAsia="Times New Roman" w:hAnsi="Arial" w:cs="Arial"/>
          <w:color w:val="auto"/>
          <w:sz w:val="22"/>
        </w:rPr>
      </w:pPr>
    </w:p>
    <w:p w14:paraId="073A1AA3" w14:textId="41C9FA1C" w:rsidR="009D257F" w:rsidRDefault="00DE700F" w:rsidP="00131E2C">
      <w:pPr>
        <w:pStyle w:val="Ttulo3"/>
        <w:ind w:left="-567"/>
        <w:jc w:val="both"/>
        <w:rPr>
          <w:rFonts w:ascii="Arial" w:eastAsia="Times New Roman" w:hAnsi="Arial" w:cs="Arial"/>
          <w:color w:val="auto"/>
          <w:sz w:val="22"/>
        </w:rPr>
      </w:pPr>
      <w:r w:rsidRPr="00B94494">
        <w:rPr>
          <w:rFonts w:ascii="Arial" w:eastAsia="Times New Roman" w:hAnsi="Arial" w:cs="Arial"/>
          <w:color w:val="auto"/>
          <w:sz w:val="22"/>
        </w:rPr>
        <w:t xml:space="preserve">De </w:t>
      </w:r>
      <w:r w:rsidRPr="002C3FF8">
        <w:rPr>
          <w:rFonts w:ascii="Arial" w:eastAsia="Times New Roman" w:hAnsi="Arial" w:cs="Arial"/>
          <w:color w:val="auto"/>
          <w:sz w:val="22"/>
        </w:rPr>
        <w:t>acuerdo con</w:t>
      </w:r>
      <w:r w:rsidRPr="00694321">
        <w:rPr>
          <w:rFonts w:ascii="Arial" w:eastAsia="Times New Roman" w:hAnsi="Arial" w:cs="Arial"/>
          <w:color w:val="auto"/>
          <w:sz w:val="22"/>
        </w:rPr>
        <w:t xml:space="preserve"> la </w:t>
      </w:r>
      <w:r w:rsidR="00131E2C">
        <w:rPr>
          <w:rFonts w:ascii="Arial" w:eastAsia="Times New Roman" w:hAnsi="Arial" w:cs="Arial"/>
          <w:color w:val="auto"/>
          <w:sz w:val="22"/>
        </w:rPr>
        <w:t>Encuesta N</w:t>
      </w:r>
      <w:r w:rsidR="00131E2C" w:rsidRPr="00694321">
        <w:rPr>
          <w:rFonts w:ascii="Arial" w:eastAsia="Times New Roman" w:hAnsi="Arial" w:cs="Arial"/>
          <w:color w:val="auto"/>
          <w:sz w:val="22"/>
        </w:rPr>
        <w:t xml:space="preserve">acional de la Dinámica Demográfica </w:t>
      </w:r>
      <w:r w:rsidR="00131E2C">
        <w:rPr>
          <w:rFonts w:ascii="Arial" w:eastAsia="Times New Roman" w:hAnsi="Arial" w:cs="Arial"/>
          <w:color w:val="auto"/>
          <w:sz w:val="22"/>
        </w:rPr>
        <w:t>(</w:t>
      </w:r>
      <w:r w:rsidRPr="00694321">
        <w:rPr>
          <w:rFonts w:ascii="Arial" w:eastAsia="Times New Roman" w:hAnsi="Arial" w:cs="Arial"/>
          <w:color w:val="auto"/>
          <w:sz w:val="22"/>
        </w:rPr>
        <w:t>ENADID 2018</w:t>
      </w:r>
      <w:r w:rsidR="00131E2C">
        <w:rPr>
          <w:rFonts w:ascii="Arial" w:eastAsia="Times New Roman" w:hAnsi="Arial" w:cs="Arial"/>
          <w:color w:val="auto"/>
          <w:sz w:val="22"/>
        </w:rPr>
        <w:t>)</w:t>
      </w:r>
      <w:r w:rsidRPr="002C3FF8">
        <w:rPr>
          <w:rFonts w:ascii="Arial" w:eastAsia="Times New Roman" w:hAnsi="Arial" w:cs="Arial"/>
          <w:color w:val="auto"/>
          <w:sz w:val="22"/>
        </w:rPr>
        <w:t xml:space="preserve">, hay </w:t>
      </w:r>
      <w:r w:rsidRPr="00694321">
        <w:rPr>
          <w:rFonts w:ascii="Arial" w:eastAsia="Times New Roman" w:hAnsi="Arial" w:cs="Arial"/>
          <w:color w:val="auto"/>
          <w:sz w:val="22"/>
        </w:rPr>
        <w:t>125</w:t>
      </w:r>
      <w:r w:rsidRPr="002C3FF8">
        <w:rPr>
          <w:rFonts w:ascii="Arial" w:eastAsia="Times New Roman" w:hAnsi="Arial" w:cs="Arial"/>
          <w:color w:val="auto"/>
          <w:sz w:val="22"/>
        </w:rPr>
        <w:t xml:space="preserve"> millones de perso</w:t>
      </w:r>
      <w:r w:rsidR="008B2281" w:rsidRPr="002C3FF8">
        <w:rPr>
          <w:rFonts w:ascii="Arial" w:eastAsia="Times New Roman" w:hAnsi="Arial" w:cs="Arial"/>
          <w:color w:val="auto"/>
          <w:sz w:val="22"/>
        </w:rPr>
        <w:t>nas que residen en el país</w:t>
      </w:r>
      <w:r w:rsidR="00131E2C">
        <w:rPr>
          <w:rFonts w:ascii="Arial" w:eastAsia="Times New Roman" w:hAnsi="Arial" w:cs="Arial"/>
          <w:color w:val="auto"/>
          <w:sz w:val="22"/>
        </w:rPr>
        <w:t>. D</w:t>
      </w:r>
      <w:r w:rsidR="008B2281" w:rsidRPr="002C3FF8">
        <w:rPr>
          <w:rFonts w:ascii="Arial" w:eastAsia="Times New Roman" w:hAnsi="Arial" w:cs="Arial"/>
          <w:color w:val="auto"/>
          <w:sz w:val="22"/>
        </w:rPr>
        <w:t>e é</w:t>
      </w:r>
      <w:r w:rsidRPr="002C3FF8">
        <w:rPr>
          <w:rFonts w:ascii="Arial" w:eastAsia="Times New Roman" w:hAnsi="Arial" w:cs="Arial"/>
          <w:color w:val="auto"/>
          <w:sz w:val="22"/>
        </w:rPr>
        <w:t xml:space="preserve">stas, </w:t>
      </w:r>
      <w:r w:rsidRPr="00694321">
        <w:rPr>
          <w:rFonts w:ascii="Arial" w:eastAsia="Times New Roman" w:hAnsi="Arial" w:cs="Arial"/>
          <w:color w:val="auto"/>
          <w:sz w:val="22"/>
        </w:rPr>
        <w:t>51.1%</w:t>
      </w:r>
      <w:r w:rsidRPr="002C3FF8">
        <w:rPr>
          <w:rFonts w:ascii="Arial" w:eastAsia="Times New Roman" w:hAnsi="Arial" w:cs="Arial"/>
          <w:color w:val="auto"/>
          <w:sz w:val="22"/>
        </w:rPr>
        <w:t xml:space="preserve"> son mujeres (</w:t>
      </w:r>
      <w:r w:rsidRPr="00694321">
        <w:rPr>
          <w:rFonts w:ascii="Arial" w:eastAsia="Times New Roman" w:hAnsi="Arial" w:cs="Arial"/>
          <w:color w:val="auto"/>
          <w:sz w:val="22"/>
        </w:rPr>
        <w:t>63.9</w:t>
      </w:r>
      <w:r w:rsidRPr="002C3FF8">
        <w:rPr>
          <w:rFonts w:ascii="Arial" w:eastAsia="Times New Roman" w:hAnsi="Arial" w:cs="Arial"/>
          <w:color w:val="auto"/>
          <w:sz w:val="22"/>
        </w:rPr>
        <w:t xml:space="preserve"> millones) y </w:t>
      </w:r>
      <w:r w:rsidRPr="00694321">
        <w:rPr>
          <w:rFonts w:ascii="Arial" w:eastAsia="Times New Roman" w:hAnsi="Arial" w:cs="Arial"/>
          <w:color w:val="auto"/>
          <w:sz w:val="22"/>
        </w:rPr>
        <w:t>48.9%</w:t>
      </w:r>
      <w:r w:rsidRPr="002C3FF8">
        <w:rPr>
          <w:rFonts w:ascii="Arial" w:eastAsia="Times New Roman" w:hAnsi="Arial" w:cs="Arial"/>
          <w:color w:val="auto"/>
          <w:sz w:val="22"/>
        </w:rPr>
        <w:t xml:space="preserve"> son hombres (</w:t>
      </w:r>
      <w:r w:rsidRPr="00694321">
        <w:rPr>
          <w:rFonts w:ascii="Arial" w:eastAsia="Times New Roman" w:hAnsi="Arial" w:cs="Arial"/>
          <w:color w:val="auto"/>
          <w:sz w:val="22"/>
        </w:rPr>
        <w:t>61.1</w:t>
      </w:r>
      <w:r w:rsidRPr="002C3FF8">
        <w:rPr>
          <w:rFonts w:ascii="Arial" w:eastAsia="Times New Roman" w:hAnsi="Arial" w:cs="Arial"/>
          <w:color w:val="auto"/>
          <w:sz w:val="22"/>
        </w:rPr>
        <w:t xml:space="preserve"> millones)</w:t>
      </w:r>
      <w:r w:rsidR="00131E2C">
        <w:rPr>
          <w:rFonts w:ascii="Arial" w:eastAsia="Times New Roman" w:hAnsi="Arial" w:cs="Arial"/>
          <w:color w:val="auto"/>
          <w:sz w:val="22"/>
        </w:rPr>
        <w:t xml:space="preserve">. </w:t>
      </w:r>
      <w:r w:rsidRPr="002C3FF8">
        <w:rPr>
          <w:rFonts w:ascii="Arial" w:eastAsia="Times New Roman" w:hAnsi="Arial" w:cs="Arial"/>
          <w:color w:val="auto"/>
          <w:sz w:val="22"/>
        </w:rPr>
        <w:t>En cuanto a la estructura por edad, datos censales de 1990 y l</w:t>
      </w:r>
      <w:r w:rsidRPr="00694321">
        <w:rPr>
          <w:rFonts w:ascii="Arial" w:eastAsia="Times New Roman" w:hAnsi="Arial" w:cs="Arial"/>
          <w:color w:val="auto"/>
          <w:sz w:val="22"/>
        </w:rPr>
        <w:t>a ENADID</w:t>
      </w:r>
      <w:r w:rsidRPr="002C3FF8">
        <w:rPr>
          <w:rFonts w:ascii="Arial" w:eastAsia="Times New Roman" w:hAnsi="Arial" w:cs="Arial"/>
          <w:color w:val="auto"/>
          <w:sz w:val="22"/>
        </w:rPr>
        <w:t xml:space="preserve"> </w:t>
      </w:r>
      <w:r w:rsidRPr="00694321">
        <w:rPr>
          <w:rFonts w:ascii="Arial" w:eastAsia="Times New Roman" w:hAnsi="Arial" w:cs="Arial"/>
          <w:color w:val="auto"/>
          <w:sz w:val="22"/>
        </w:rPr>
        <w:t>2018</w:t>
      </w:r>
      <w:r w:rsidRPr="002C3FF8">
        <w:rPr>
          <w:rFonts w:ascii="Arial" w:eastAsia="Times New Roman" w:hAnsi="Arial" w:cs="Arial"/>
          <w:color w:val="auto"/>
          <w:sz w:val="22"/>
        </w:rPr>
        <w:t xml:space="preserve"> indican que la población infantil de menos de 15 años disminuye su participación porcentual al pasar de 38.3% en 1990 a </w:t>
      </w:r>
      <w:r w:rsidRPr="00694321">
        <w:rPr>
          <w:rFonts w:ascii="Arial" w:eastAsia="Times New Roman" w:hAnsi="Arial" w:cs="Arial"/>
          <w:color w:val="auto"/>
          <w:sz w:val="22"/>
        </w:rPr>
        <w:t>25.3%</w:t>
      </w:r>
      <w:r w:rsidRPr="002C3FF8">
        <w:rPr>
          <w:rFonts w:ascii="Arial" w:eastAsia="Times New Roman" w:hAnsi="Arial" w:cs="Arial"/>
          <w:color w:val="auto"/>
          <w:sz w:val="22"/>
        </w:rPr>
        <w:t xml:space="preserve"> en </w:t>
      </w:r>
      <w:r w:rsidRPr="00694321">
        <w:rPr>
          <w:rFonts w:ascii="Arial" w:eastAsia="Times New Roman" w:hAnsi="Arial" w:cs="Arial"/>
          <w:color w:val="auto"/>
          <w:sz w:val="22"/>
        </w:rPr>
        <w:t>2018</w:t>
      </w:r>
      <w:r w:rsidRPr="002C3FF8">
        <w:rPr>
          <w:rFonts w:ascii="Arial" w:eastAsia="Times New Roman" w:hAnsi="Arial" w:cs="Arial"/>
          <w:color w:val="auto"/>
          <w:sz w:val="22"/>
        </w:rPr>
        <w:t xml:space="preserve">; la participación relativa de la población joven (15 a 29 años) también baja de 29.4% a </w:t>
      </w:r>
      <w:r w:rsidRPr="00694321">
        <w:rPr>
          <w:rFonts w:ascii="Arial" w:eastAsia="Times New Roman" w:hAnsi="Arial" w:cs="Arial"/>
          <w:color w:val="auto"/>
          <w:sz w:val="22"/>
        </w:rPr>
        <w:t>24.6</w:t>
      </w:r>
      <w:r w:rsidRPr="002C3FF8">
        <w:rPr>
          <w:rFonts w:ascii="Arial" w:eastAsia="Times New Roman" w:hAnsi="Arial" w:cs="Arial"/>
          <w:color w:val="auto"/>
          <w:sz w:val="22"/>
        </w:rPr>
        <w:t xml:space="preserve"> por ciento; mientras que el porcentaje de los adultos de 30 a 59 años aumenta de 25.5% a </w:t>
      </w:r>
      <w:r w:rsidRPr="00694321">
        <w:rPr>
          <w:rFonts w:ascii="Arial" w:eastAsia="Times New Roman" w:hAnsi="Arial" w:cs="Arial"/>
          <w:color w:val="auto"/>
          <w:sz w:val="22"/>
        </w:rPr>
        <w:t>37.8%</w:t>
      </w:r>
      <w:r w:rsidRPr="002C3FF8">
        <w:rPr>
          <w:rFonts w:ascii="Arial" w:eastAsia="Times New Roman" w:hAnsi="Arial" w:cs="Arial"/>
          <w:color w:val="auto"/>
          <w:sz w:val="22"/>
        </w:rPr>
        <w:t xml:space="preserve"> y la de 60 años o más pasa de 6.2% a </w:t>
      </w:r>
      <w:r w:rsidRPr="00694321">
        <w:rPr>
          <w:rFonts w:ascii="Arial" w:eastAsia="Times New Roman" w:hAnsi="Arial" w:cs="Arial"/>
          <w:color w:val="auto"/>
          <w:sz w:val="22"/>
        </w:rPr>
        <w:t>12.3</w:t>
      </w:r>
      <w:r w:rsidRPr="002C3FF8">
        <w:rPr>
          <w:rFonts w:ascii="Arial" w:eastAsia="Times New Roman" w:hAnsi="Arial" w:cs="Arial"/>
          <w:color w:val="auto"/>
          <w:sz w:val="22"/>
        </w:rPr>
        <w:t xml:space="preserve"> por ciento.</w:t>
      </w:r>
    </w:p>
    <w:p w14:paraId="7D5EC53F" w14:textId="77777777" w:rsidR="00131E2C" w:rsidRPr="00131E2C" w:rsidRDefault="00131E2C" w:rsidP="00131E2C"/>
    <w:p w14:paraId="5B1C9024" w14:textId="77777777" w:rsidR="009D257F" w:rsidRPr="00694321" w:rsidRDefault="009D257F" w:rsidP="009D257F">
      <w:pPr>
        <w:pStyle w:val="Ttulo3"/>
        <w:ind w:left="-567"/>
        <w:jc w:val="both"/>
        <w:rPr>
          <w:rFonts w:ascii="Arial" w:eastAsia="Times New Roman" w:hAnsi="Arial" w:cs="Arial"/>
          <w:color w:val="auto"/>
          <w:sz w:val="22"/>
        </w:rPr>
      </w:pPr>
      <w:r w:rsidRPr="00694321">
        <w:rPr>
          <w:rFonts w:ascii="Arial" w:eastAsia="Times New Roman" w:hAnsi="Arial" w:cs="Arial"/>
          <w:color w:val="auto"/>
          <w:sz w:val="22"/>
        </w:rPr>
        <w:t xml:space="preserve">El país está pasando por un proceso de envejecimiento demográfico, es decir, por un aumento en la proporción de personas de 60 años o más y la disminución de la población infantil y joven. Ello plantea diseñar políticas orientadas a mejorar el bienestar de vida de las personas que pasan por este ciclo de vida o que en un futuro cercano la transitarán. Así lo manifiesta la Organización de las Naciones Unidas (ONU) cuando señala que “en las próximas décadas, muchos países estarán sometidos a presiones fiscales y políticas debido a las necesidades de asistencia sanitaria, pensiones y protecciones sociales de este grupo de población en aumento” (Organización de las Naciones Unidas [ONU], s.f., párr. 3).   </w:t>
      </w:r>
    </w:p>
    <w:p w14:paraId="71D2A65E" w14:textId="77777777" w:rsidR="009D257F" w:rsidRPr="00694321" w:rsidRDefault="009D257F" w:rsidP="009D257F">
      <w:pPr>
        <w:pStyle w:val="Ttulo3"/>
        <w:ind w:left="-567"/>
        <w:jc w:val="both"/>
        <w:rPr>
          <w:rFonts w:ascii="Arial" w:eastAsia="Times New Roman" w:hAnsi="Arial" w:cs="Arial"/>
          <w:color w:val="auto"/>
          <w:sz w:val="22"/>
        </w:rPr>
      </w:pPr>
    </w:p>
    <w:p w14:paraId="39455691" w14:textId="58384195" w:rsidR="009D257F" w:rsidRPr="00B94494" w:rsidRDefault="009D257F" w:rsidP="009D257F">
      <w:pPr>
        <w:pStyle w:val="NormalWeb"/>
        <w:shd w:val="clear" w:color="auto" w:fill="FFFFFF"/>
        <w:spacing w:before="0" w:beforeAutospacing="0" w:after="240" w:afterAutospacing="0"/>
        <w:ind w:left="-567"/>
        <w:jc w:val="both"/>
      </w:pPr>
      <w:r w:rsidRPr="00694321">
        <w:rPr>
          <w:rFonts w:ascii="Arial" w:hAnsi="Arial"/>
          <w:sz w:val="22"/>
        </w:rPr>
        <w:t>Por otra parte, esta transición en la estructura por edad configura un contexto favorable para el desarrollo del país denominado por la comunidad internacional como bono demográfico. Se define como un “fenómeno en el que la población en edad de trabajar es mayor que la dependiente; es decir, niños y adultos mayores” (</w:t>
      </w:r>
      <w:r w:rsidRPr="00694321">
        <w:rPr>
          <w:rFonts w:ascii="Arial" w:hAnsi="Arial" w:cs="Arial"/>
          <w:sz w:val="22"/>
        </w:rPr>
        <w:t>ONU</w:t>
      </w:r>
      <w:r w:rsidRPr="00694321">
        <w:rPr>
          <w:rFonts w:ascii="Arial" w:hAnsi="Arial"/>
          <w:sz w:val="22"/>
        </w:rPr>
        <w:t xml:space="preserve">, 2011, párr. 1). </w:t>
      </w:r>
      <w:r w:rsidR="00DE700F" w:rsidRPr="00694321">
        <w:rPr>
          <w:rFonts w:ascii="Arial" w:hAnsi="Arial"/>
          <w:sz w:val="22"/>
        </w:rPr>
        <w:t>En México, la razón de dependencia</w:t>
      </w:r>
      <w:r w:rsidR="00DE700F" w:rsidRPr="002C3FF8">
        <w:rPr>
          <w:rFonts w:ascii="Arial" w:hAnsi="Arial" w:cs="Arial"/>
          <w:sz w:val="20"/>
          <w:szCs w:val="20"/>
          <w:vertAlign w:val="superscript"/>
        </w:rPr>
        <w:footnoteReference w:id="2"/>
      </w:r>
      <w:r w:rsidR="00DE700F" w:rsidRPr="002C3FF8">
        <w:rPr>
          <w:rFonts w:ascii="Arial" w:hAnsi="Arial"/>
          <w:sz w:val="22"/>
        </w:rPr>
        <w:t xml:space="preserve"> ha disminuido de 81 en 1990 a</w:t>
      </w:r>
      <w:r w:rsidR="00DE700F" w:rsidRPr="00694321">
        <w:rPr>
          <w:rFonts w:ascii="Arial" w:hAnsi="Arial"/>
          <w:sz w:val="22"/>
        </w:rPr>
        <w:t xml:space="preserve"> 60.2</w:t>
      </w:r>
      <w:r w:rsidR="00DE700F" w:rsidRPr="002C3FF8">
        <w:rPr>
          <w:rFonts w:ascii="Arial" w:hAnsi="Arial"/>
          <w:sz w:val="22"/>
        </w:rPr>
        <w:t xml:space="preserve"> personas dependientes por cada 100 personas en edades activas en </w:t>
      </w:r>
      <w:r w:rsidR="00DE700F" w:rsidRPr="00694321">
        <w:rPr>
          <w:rFonts w:ascii="Arial" w:hAnsi="Arial"/>
          <w:sz w:val="22"/>
        </w:rPr>
        <w:t>2018</w:t>
      </w:r>
      <w:r w:rsidR="00DE700F" w:rsidRPr="002C3FF8">
        <w:rPr>
          <w:rFonts w:ascii="Arial" w:hAnsi="Arial"/>
          <w:sz w:val="22"/>
        </w:rPr>
        <w:t xml:space="preserve"> y “seguirá descendiendo hasta entrada la tercera década del presente siglo</w:t>
      </w:r>
      <w:r w:rsidR="00131E2C">
        <w:rPr>
          <w:rFonts w:ascii="Arial" w:hAnsi="Arial"/>
          <w:sz w:val="22"/>
        </w:rPr>
        <w:t>. A</w:t>
      </w:r>
      <w:r w:rsidR="00DE700F" w:rsidRPr="002C3FF8">
        <w:rPr>
          <w:rFonts w:ascii="Arial" w:hAnsi="Arial"/>
          <w:sz w:val="22"/>
        </w:rPr>
        <w:t xml:space="preserve"> partir de entonces, esta </w:t>
      </w:r>
      <w:r w:rsidR="00DE700F" w:rsidRPr="00BD39F4">
        <w:rPr>
          <w:rFonts w:ascii="Arial" w:hAnsi="Arial"/>
          <w:sz w:val="22"/>
        </w:rPr>
        <w:t xml:space="preserve">tendencia se invertirá como consecuencia del considerable aumento de la población de la tercera edad” </w:t>
      </w:r>
      <w:r w:rsidR="00DE700F" w:rsidRPr="00BD39F4">
        <w:rPr>
          <w:rFonts w:ascii="Arial" w:hAnsi="Arial"/>
          <w:sz w:val="22"/>
        </w:rPr>
        <w:lastRenderedPageBreak/>
        <w:t xml:space="preserve">(CONAPO, 2001, </w:t>
      </w:r>
      <w:r w:rsidR="00DE700F" w:rsidRPr="00B94494">
        <w:rPr>
          <w:rFonts w:ascii="Arial" w:hAnsi="Arial"/>
          <w:sz w:val="22"/>
        </w:rPr>
        <w:t xml:space="preserve">p. </w:t>
      </w:r>
      <w:r w:rsidR="00DE700F" w:rsidRPr="00BD39F4">
        <w:rPr>
          <w:rFonts w:ascii="Arial" w:hAnsi="Arial"/>
          <w:sz w:val="22"/>
        </w:rPr>
        <w:t>254).</w:t>
      </w:r>
      <w:r w:rsidRPr="00BD39F4">
        <w:rPr>
          <w:rFonts w:ascii="Arial" w:hAnsi="Arial"/>
          <w:sz w:val="22"/>
        </w:rPr>
        <w:t xml:space="preserve"> De acuerdo </w:t>
      </w:r>
      <w:r w:rsidR="00131E2C">
        <w:rPr>
          <w:rFonts w:ascii="Arial" w:hAnsi="Arial"/>
          <w:sz w:val="22"/>
        </w:rPr>
        <w:t>con</w:t>
      </w:r>
      <w:r w:rsidRPr="00BD39F4">
        <w:rPr>
          <w:rFonts w:ascii="Arial" w:hAnsi="Arial"/>
          <w:sz w:val="22"/>
        </w:rPr>
        <w:t xml:space="preserve"> la </w:t>
      </w:r>
      <w:r w:rsidRPr="00B94494">
        <w:rPr>
          <w:rFonts w:ascii="Arial" w:hAnsi="Arial"/>
          <w:sz w:val="22"/>
        </w:rPr>
        <w:t>Comisión Económica para América Latina y el Caribe (CEPAL), el bono se traducirá en beneficios reales para los jóvenes solo si se realizan inversiones en capital humano, sobre todo en educación y empleo (</w:t>
      </w:r>
      <w:r w:rsidRPr="00B94494">
        <w:rPr>
          <w:rFonts w:ascii="Arial" w:hAnsi="Arial" w:cs="Arial"/>
        </w:rPr>
        <w:t>CEPAL</w:t>
      </w:r>
      <w:r w:rsidRPr="00B94494">
        <w:rPr>
          <w:rFonts w:ascii="Arial" w:hAnsi="Arial"/>
          <w:sz w:val="22"/>
        </w:rPr>
        <w:t xml:space="preserve">, 2013). </w:t>
      </w:r>
    </w:p>
    <w:p w14:paraId="3416BA3D" w14:textId="38404F89" w:rsidR="009D257F" w:rsidRPr="00B94494" w:rsidRDefault="009D257F" w:rsidP="009D257F">
      <w:pPr>
        <w:ind w:left="-567"/>
        <w:rPr>
          <w:rFonts w:cs="Arial"/>
          <w:bCs/>
        </w:rPr>
      </w:pPr>
      <w:r w:rsidRPr="00B94494">
        <w:rPr>
          <w:rFonts w:cs="Arial"/>
        </w:rPr>
        <w:t>Si bien el proceso de envejecimiento es una tendencia generalizada para la población mundial, se observa que México aún se clasifica con una población joven, conforme a las proyecciones de población que realiza la ONU</w:t>
      </w:r>
      <w:r w:rsidR="00131E2C">
        <w:rPr>
          <w:rFonts w:cs="Arial"/>
        </w:rPr>
        <w:t>. L</w:t>
      </w:r>
      <w:r w:rsidRPr="00B94494">
        <w:rPr>
          <w:rFonts w:cs="Arial"/>
        </w:rPr>
        <w:t xml:space="preserve">a edad mediana en el país para 2020 es de 29.2 años, la cual es baja si se compara con </w:t>
      </w:r>
      <w:r w:rsidR="003A4572">
        <w:rPr>
          <w:rFonts w:cs="Arial"/>
        </w:rPr>
        <w:t xml:space="preserve">la de </w:t>
      </w:r>
      <w:r w:rsidRPr="00B94494">
        <w:rPr>
          <w:rFonts w:cs="Arial"/>
        </w:rPr>
        <w:t>Estados Unidos de Norte América que es de 38.3 años o con la de países europeos como Francia (42.3), España (44.9) e Italia (47.3) que tienen una edad mediana mayor a los 41 años (</w:t>
      </w:r>
      <w:r w:rsidRPr="00B94494">
        <w:rPr>
          <w:rFonts w:cs="Arial"/>
          <w:bCs/>
        </w:rPr>
        <w:t>ONU, 2019).</w:t>
      </w:r>
    </w:p>
    <w:p w14:paraId="66F38D86" w14:textId="77777777" w:rsidR="009D257F" w:rsidRDefault="009D257F" w:rsidP="009D257F">
      <w:pPr>
        <w:ind w:left="-567"/>
        <w:rPr>
          <w:rFonts w:cs="Arial"/>
        </w:rPr>
      </w:pPr>
    </w:p>
    <w:p w14:paraId="288945F1" w14:textId="77777777" w:rsidR="009D257F" w:rsidRPr="00822F27" w:rsidRDefault="003A4572" w:rsidP="009D257F">
      <w:pPr>
        <w:pStyle w:val="Ttulo3"/>
        <w:ind w:left="-567"/>
        <w:rPr>
          <w:rFonts w:ascii="Arial" w:eastAsiaTheme="minorHAnsi" w:hAnsi="Arial" w:cs="Arial"/>
          <w:b/>
          <w:color w:val="auto"/>
          <w:sz w:val="22"/>
          <w:szCs w:val="22"/>
          <w:lang w:val="es-MX" w:eastAsia="en-US"/>
        </w:rPr>
      </w:pPr>
      <w:r w:rsidRPr="00822F27">
        <w:rPr>
          <w:rFonts w:ascii="Arial" w:eastAsiaTheme="minorHAnsi" w:hAnsi="Arial" w:cs="Arial"/>
          <w:b/>
          <w:color w:val="auto"/>
          <w:sz w:val="22"/>
          <w:szCs w:val="22"/>
          <w:lang w:val="es-MX" w:eastAsia="en-US"/>
        </w:rPr>
        <w:t>FECUNDIDAD</w:t>
      </w:r>
    </w:p>
    <w:p w14:paraId="354CF67C" w14:textId="77777777" w:rsidR="009D257F" w:rsidRPr="00221FD2" w:rsidRDefault="009D257F" w:rsidP="009D257F">
      <w:pPr>
        <w:ind w:left="-567"/>
        <w:rPr>
          <w:rFonts w:cs="Arial"/>
        </w:rPr>
      </w:pPr>
    </w:p>
    <w:p w14:paraId="6498B4E8" w14:textId="77777777" w:rsidR="009D257F" w:rsidRPr="00DA1706" w:rsidRDefault="009D257F" w:rsidP="009D257F">
      <w:pPr>
        <w:ind w:left="-567"/>
        <w:rPr>
          <w:rFonts w:cs="Arial"/>
        </w:rPr>
      </w:pPr>
      <w:r w:rsidRPr="00DA1706">
        <w:rPr>
          <w:rFonts w:cs="Arial"/>
        </w:rPr>
        <w:t xml:space="preserve">La tasa global de fecundidad (TGF) representa el número de hijos que en promedio tendrá una mujer al final de su vida reproductiva y su tendencia ha mantenido un descenso desde mediados de la década de los sesenta cuando la fecundidad era de 6 hijos por mujer en edad fértil (15 a 49 años). Actualmente, la TGF es de 2.07 hijos por mujer en edad fértil para el trienio 2015-2017. </w:t>
      </w:r>
    </w:p>
    <w:p w14:paraId="51611B85" w14:textId="77777777" w:rsidR="009D257F" w:rsidRPr="00DA1706" w:rsidRDefault="009D257F" w:rsidP="009D257F">
      <w:pPr>
        <w:ind w:left="-567"/>
        <w:rPr>
          <w:rFonts w:cs="Arial"/>
        </w:rPr>
      </w:pPr>
    </w:p>
    <w:p w14:paraId="1569A518" w14:textId="77777777" w:rsidR="009D257F" w:rsidRPr="00DA1706" w:rsidRDefault="009D257F" w:rsidP="009D257F">
      <w:pPr>
        <w:ind w:left="-567"/>
        <w:rPr>
          <w:rFonts w:cs="Arial"/>
        </w:rPr>
      </w:pPr>
      <w:r w:rsidRPr="00DA1706">
        <w:rPr>
          <w:rFonts w:cs="Arial"/>
        </w:rPr>
        <w:t>Al comparar la información que proporciona la ENADID en sus dos últimos levantamientos, 2014 y 2018, se observa un descenso en las tasas de fecundidad por grupo de edad, excepto en la de 45 a 49 años, donde se mantiene el mismo nivel.</w:t>
      </w:r>
    </w:p>
    <w:p w14:paraId="10EF5327" w14:textId="77777777" w:rsidR="009D257F" w:rsidRDefault="009D257F" w:rsidP="009D257F">
      <w:pPr>
        <w:ind w:left="-567"/>
        <w:rPr>
          <w:rFonts w:cs="Arial"/>
        </w:rPr>
      </w:pPr>
    </w:p>
    <w:p w14:paraId="4855B2F1" w14:textId="77777777" w:rsidR="009D257F" w:rsidRPr="00BD39F4" w:rsidRDefault="009D257F" w:rsidP="009D257F">
      <w:pPr>
        <w:ind w:left="1701"/>
        <w:rPr>
          <w:rFonts w:cs="Arial"/>
          <w:b/>
          <w:sz w:val="20"/>
          <w:szCs w:val="20"/>
        </w:rPr>
      </w:pPr>
      <w:r w:rsidRPr="00BD39F4">
        <w:rPr>
          <w:rFonts w:cs="Arial"/>
          <w:b/>
          <w:sz w:val="20"/>
          <w:szCs w:val="20"/>
        </w:rPr>
        <w:t>Tasas específicas de fecundidad, 2014</w:t>
      </w:r>
      <w:r>
        <w:rPr>
          <w:rFonts w:cs="Arial"/>
          <w:b/>
          <w:sz w:val="20"/>
          <w:szCs w:val="20"/>
        </w:rPr>
        <w:t xml:space="preserve">, </w:t>
      </w:r>
      <w:r w:rsidRPr="00BD39F4">
        <w:rPr>
          <w:rFonts w:cs="Arial"/>
          <w:b/>
          <w:sz w:val="20"/>
          <w:szCs w:val="20"/>
        </w:rPr>
        <w:t>2018</w:t>
      </w:r>
    </w:p>
    <w:p w14:paraId="1ABEB519" w14:textId="77777777" w:rsidR="009D257F" w:rsidRPr="00BD39F4" w:rsidRDefault="009D257F" w:rsidP="009D257F">
      <w:pPr>
        <w:ind w:left="1701"/>
        <w:rPr>
          <w:rFonts w:cs="Arial"/>
          <w:sz w:val="18"/>
          <w:szCs w:val="18"/>
        </w:rPr>
      </w:pPr>
      <w:r w:rsidRPr="00BD39F4">
        <w:rPr>
          <w:rFonts w:cs="Arial"/>
          <w:sz w:val="18"/>
          <w:szCs w:val="18"/>
        </w:rPr>
        <w:t>Trienios</w:t>
      </w:r>
    </w:p>
    <w:p w14:paraId="213648FD" w14:textId="77777777" w:rsidR="009D257F" w:rsidRPr="00BD39F4" w:rsidRDefault="009D257F" w:rsidP="009D257F">
      <w:pPr>
        <w:ind w:left="1701"/>
        <w:rPr>
          <w:rFonts w:cs="Arial"/>
          <w:sz w:val="18"/>
          <w:szCs w:val="18"/>
        </w:rPr>
      </w:pPr>
      <w:r w:rsidRPr="00BD39F4">
        <w:rPr>
          <w:rFonts w:cs="Arial"/>
          <w:sz w:val="18"/>
          <w:szCs w:val="18"/>
        </w:rPr>
        <w:t>Hijos por cada 1 000 mujeres</w:t>
      </w:r>
      <w:r>
        <w:rPr>
          <w:rFonts w:cs="Arial"/>
          <w:sz w:val="18"/>
          <w:szCs w:val="18"/>
        </w:rPr>
        <w:t xml:space="preserve"> </w:t>
      </w:r>
      <w:r w:rsidRPr="00DA1706">
        <w:rPr>
          <w:rFonts w:cs="Arial"/>
          <w:sz w:val="18"/>
          <w:szCs w:val="18"/>
        </w:rPr>
        <w:t>en cada grupo de edad</w:t>
      </w:r>
    </w:p>
    <w:p w14:paraId="3A9AE1A2" w14:textId="77777777" w:rsidR="009D257F" w:rsidRPr="00BD39F4" w:rsidRDefault="009D257F" w:rsidP="009D257F">
      <w:pPr>
        <w:jc w:val="center"/>
        <w:rPr>
          <w:rFonts w:cs="Arial"/>
        </w:rPr>
      </w:pPr>
      <w:r>
        <w:rPr>
          <w:rFonts w:cs="Arial"/>
          <w:noProof/>
          <w:lang w:val="en-US" w:eastAsia="en-US"/>
        </w:rPr>
        <w:drawing>
          <wp:anchor distT="0" distB="0" distL="114300" distR="114300" simplePos="0" relativeHeight="251676672" behindDoc="0" locked="0" layoutInCell="1" allowOverlap="1" wp14:anchorId="5B1D22FC" wp14:editId="07D3FA29">
            <wp:simplePos x="0" y="0"/>
            <wp:positionH relativeFrom="margin">
              <wp:posOffset>1068705</wp:posOffset>
            </wp:positionH>
            <wp:positionV relativeFrom="paragraph">
              <wp:posOffset>12065</wp:posOffset>
            </wp:positionV>
            <wp:extent cx="3933825" cy="222885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825" cy="222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E7E1" w14:textId="77777777" w:rsidR="009D257F" w:rsidRPr="00BD39F4" w:rsidRDefault="009D257F" w:rsidP="009D257F">
      <w:pPr>
        <w:rPr>
          <w:rFonts w:cs="Arial"/>
        </w:rPr>
      </w:pPr>
    </w:p>
    <w:p w14:paraId="36A28F63" w14:textId="77777777" w:rsidR="009D257F" w:rsidRPr="00BD39F4" w:rsidRDefault="009D257F" w:rsidP="009D257F">
      <w:pPr>
        <w:rPr>
          <w:rFonts w:cs="Arial"/>
        </w:rPr>
      </w:pPr>
    </w:p>
    <w:p w14:paraId="15638AFB" w14:textId="77777777" w:rsidR="009D257F" w:rsidRPr="00BD39F4" w:rsidRDefault="009D257F" w:rsidP="009D257F">
      <w:pPr>
        <w:ind w:left="1134" w:right="1667"/>
        <w:jc w:val="left"/>
        <w:rPr>
          <w:rFonts w:cs="Arial"/>
          <w:szCs w:val="22"/>
          <w:vertAlign w:val="superscript"/>
        </w:rPr>
      </w:pPr>
    </w:p>
    <w:p w14:paraId="26D773A3" w14:textId="77777777" w:rsidR="009D257F" w:rsidRPr="00BD39F4" w:rsidRDefault="009D257F" w:rsidP="009D257F">
      <w:pPr>
        <w:ind w:left="1134" w:right="1667"/>
        <w:jc w:val="left"/>
        <w:rPr>
          <w:rFonts w:cs="Arial"/>
          <w:szCs w:val="22"/>
          <w:vertAlign w:val="superscript"/>
        </w:rPr>
      </w:pPr>
    </w:p>
    <w:p w14:paraId="327BED63" w14:textId="77777777" w:rsidR="009D257F" w:rsidRPr="00BD39F4" w:rsidRDefault="009D257F" w:rsidP="009D257F">
      <w:pPr>
        <w:ind w:left="1134" w:right="1667"/>
        <w:jc w:val="left"/>
        <w:rPr>
          <w:rFonts w:cs="Arial"/>
          <w:szCs w:val="22"/>
          <w:vertAlign w:val="superscript"/>
        </w:rPr>
      </w:pPr>
    </w:p>
    <w:p w14:paraId="574EB925" w14:textId="77777777" w:rsidR="009D257F" w:rsidRPr="00BD39F4" w:rsidRDefault="009D257F" w:rsidP="009D257F">
      <w:pPr>
        <w:ind w:left="1134" w:right="1667"/>
        <w:jc w:val="center"/>
        <w:rPr>
          <w:rFonts w:cs="Arial"/>
          <w:szCs w:val="22"/>
          <w:vertAlign w:val="superscript"/>
        </w:rPr>
      </w:pPr>
    </w:p>
    <w:p w14:paraId="0221938A" w14:textId="77777777" w:rsidR="009D257F" w:rsidRPr="00BD39F4" w:rsidRDefault="009D257F" w:rsidP="009D257F">
      <w:pPr>
        <w:ind w:left="1134" w:right="1667"/>
        <w:jc w:val="left"/>
        <w:rPr>
          <w:rFonts w:cs="Arial"/>
          <w:szCs w:val="22"/>
          <w:vertAlign w:val="superscript"/>
        </w:rPr>
      </w:pPr>
    </w:p>
    <w:p w14:paraId="5D25D977" w14:textId="77777777" w:rsidR="009D257F" w:rsidRPr="00BD39F4" w:rsidRDefault="009D257F" w:rsidP="009D257F">
      <w:pPr>
        <w:ind w:left="1134" w:right="1667"/>
        <w:jc w:val="left"/>
        <w:rPr>
          <w:rFonts w:cs="Arial"/>
          <w:szCs w:val="22"/>
          <w:vertAlign w:val="superscript"/>
        </w:rPr>
      </w:pPr>
    </w:p>
    <w:p w14:paraId="10149D40" w14:textId="77777777" w:rsidR="009D257F" w:rsidRPr="00BD39F4" w:rsidRDefault="009D257F" w:rsidP="009D257F">
      <w:pPr>
        <w:ind w:left="1134" w:right="1667"/>
        <w:jc w:val="left"/>
        <w:rPr>
          <w:rFonts w:cs="Arial"/>
          <w:szCs w:val="22"/>
          <w:vertAlign w:val="superscript"/>
        </w:rPr>
      </w:pPr>
    </w:p>
    <w:p w14:paraId="01E163C4" w14:textId="77777777" w:rsidR="009D257F" w:rsidRPr="00BD39F4" w:rsidRDefault="009D257F" w:rsidP="009D257F">
      <w:pPr>
        <w:ind w:left="1134" w:right="1667"/>
        <w:jc w:val="left"/>
        <w:rPr>
          <w:rFonts w:cs="Arial"/>
          <w:szCs w:val="22"/>
          <w:vertAlign w:val="superscript"/>
        </w:rPr>
      </w:pPr>
    </w:p>
    <w:p w14:paraId="3EBCFC91" w14:textId="77777777" w:rsidR="009D257F" w:rsidRPr="00BD39F4" w:rsidRDefault="009D257F" w:rsidP="009D257F">
      <w:pPr>
        <w:ind w:left="1134" w:right="1667"/>
        <w:jc w:val="left"/>
        <w:rPr>
          <w:rFonts w:cs="Arial"/>
          <w:szCs w:val="22"/>
          <w:vertAlign w:val="superscript"/>
        </w:rPr>
      </w:pPr>
    </w:p>
    <w:p w14:paraId="73322084" w14:textId="77777777" w:rsidR="009D257F" w:rsidRPr="00BD39F4" w:rsidRDefault="009D257F" w:rsidP="009D257F">
      <w:pPr>
        <w:ind w:left="1134" w:right="1667"/>
        <w:jc w:val="left"/>
        <w:rPr>
          <w:rFonts w:cs="Arial"/>
          <w:szCs w:val="22"/>
          <w:vertAlign w:val="superscript"/>
        </w:rPr>
      </w:pPr>
    </w:p>
    <w:p w14:paraId="651650A0" w14:textId="77777777" w:rsidR="009D257F" w:rsidRPr="00BD39F4" w:rsidRDefault="009D257F" w:rsidP="009D257F">
      <w:pPr>
        <w:ind w:left="1134" w:right="1667"/>
        <w:jc w:val="left"/>
        <w:rPr>
          <w:rFonts w:cs="Arial"/>
          <w:szCs w:val="22"/>
          <w:vertAlign w:val="superscript"/>
        </w:rPr>
      </w:pPr>
    </w:p>
    <w:p w14:paraId="242000E3" w14:textId="77777777" w:rsidR="009D257F" w:rsidRPr="00BD39F4" w:rsidRDefault="009D257F" w:rsidP="009D257F">
      <w:pPr>
        <w:ind w:left="1701" w:right="1667"/>
        <w:jc w:val="left"/>
        <w:rPr>
          <w:rFonts w:cs="Arial"/>
          <w:sz w:val="16"/>
          <w:szCs w:val="16"/>
        </w:rPr>
      </w:pPr>
      <w:r w:rsidRPr="00BD39F4">
        <w:rPr>
          <w:rFonts w:cs="Arial"/>
          <w:szCs w:val="22"/>
          <w:vertAlign w:val="superscript"/>
        </w:rPr>
        <w:t>a</w:t>
      </w:r>
      <w:r w:rsidRPr="00BD39F4">
        <w:rPr>
          <w:rFonts w:cs="Arial"/>
          <w:sz w:val="16"/>
          <w:szCs w:val="16"/>
        </w:rPr>
        <w:t xml:space="preserve"> Corresponde al trienio 2011 a 2013.</w:t>
      </w:r>
    </w:p>
    <w:p w14:paraId="7ACEDA7B" w14:textId="77777777" w:rsidR="009D257F" w:rsidRPr="00BD39F4" w:rsidRDefault="009D257F" w:rsidP="009D257F">
      <w:pPr>
        <w:ind w:left="1701" w:right="1667"/>
        <w:jc w:val="left"/>
        <w:rPr>
          <w:rFonts w:cs="Arial"/>
          <w:sz w:val="16"/>
          <w:szCs w:val="16"/>
        </w:rPr>
      </w:pPr>
      <w:r w:rsidRPr="00BD39F4">
        <w:rPr>
          <w:rFonts w:cs="Arial"/>
          <w:szCs w:val="16"/>
          <w:vertAlign w:val="superscript"/>
        </w:rPr>
        <w:t>b</w:t>
      </w:r>
      <w:r w:rsidRPr="00BD39F4">
        <w:rPr>
          <w:rFonts w:cs="Arial"/>
          <w:sz w:val="16"/>
          <w:szCs w:val="16"/>
        </w:rPr>
        <w:t xml:space="preserve"> Corresponde al trienio 2015 a 2017.</w:t>
      </w:r>
    </w:p>
    <w:p w14:paraId="6CA08E9A" w14:textId="77777777" w:rsidR="00F8151F" w:rsidRDefault="009D257F" w:rsidP="00822F27">
      <w:pPr>
        <w:tabs>
          <w:tab w:val="left" w:pos="8364"/>
        </w:tabs>
        <w:ind w:left="2268" w:right="1100" w:hanging="567"/>
        <w:jc w:val="left"/>
        <w:rPr>
          <w:rFonts w:cs="Arial"/>
          <w:sz w:val="16"/>
          <w:szCs w:val="16"/>
        </w:rPr>
      </w:pPr>
      <w:r w:rsidRPr="00BD39F4">
        <w:rPr>
          <w:rFonts w:cs="Arial"/>
          <w:sz w:val="16"/>
          <w:szCs w:val="16"/>
        </w:rPr>
        <w:t xml:space="preserve">Fuente: INEGI. Encuesta Nacional de la Dinámica Demográfica 2014 y 2018. Base </w:t>
      </w:r>
    </w:p>
    <w:p w14:paraId="668B95C4" w14:textId="77777777" w:rsidR="009D257F" w:rsidRDefault="009D257F" w:rsidP="00F8151F">
      <w:pPr>
        <w:tabs>
          <w:tab w:val="left" w:pos="8364"/>
        </w:tabs>
        <w:ind w:left="2268" w:right="1100"/>
        <w:jc w:val="left"/>
        <w:rPr>
          <w:rFonts w:cs="Arial"/>
        </w:rPr>
      </w:pPr>
      <w:r w:rsidRPr="00BD39F4">
        <w:rPr>
          <w:rFonts w:cs="Arial"/>
          <w:sz w:val="16"/>
          <w:szCs w:val="16"/>
        </w:rPr>
        <w:t xml:space="preserve">de datos. SNIEG. </w:t>
      </w:r>
      <w:r w:rsidR="00822F27">
        <w:rPr>
          <w:rFonts w:cs="Arial"/>
          <w:sz w:val="16"/>
          <w:szCs w:val="16"/>
        </w:rPr>
        <w:t>Información de Interés Nacional.</w:t>
      </w:r>
      <w:r>
        <w:rPr>
          <w:rFonts w:cs="Arial"/>
        </w:rPr>
        <w:br w:type="page"/>
      </w:r>
    </w:p>
    <w:p w14:paraId="13FD68BB" w14:textId="77777777" w:rsidR="009D257F" w:rsidRPr="00DA1706" w:rsidRDefault="009D257F" w:rsidP="009D257F">
      <w:pPr>
        <w:ind w:left="-567"/>
        <w:rPr>
          <w:rFonts w:cs="Arial"/>
        </w:rPr>
      </w:pPr>
      <w:r>
        <w:rPr>
          <w:rFonts w:cs="Arial"/>
        </w:rPr>
        <w:lastRenderedPageBreak/>
        <w:t>Otro aspecto relacionado con la fecundidad es e</w:t>
      </w:r>
      <w:r w:rsidRPr="00BD39F4">
        <w:rPr>
          <w:rFonts w:cs="Arial"/>
        </w:rPr>
        <w:t>l embarazo adolescente</w:t>
      </w:r>
      <w:r>
        <w:rPr>
          <w:rFonts w:cs="Arial"/>
        </w:rPr>
        <w:t xml:space="preserve">, que </w:t>
      </w:r>
      <w:r w:rsidRPr="00BD39F4">
        <w:rPr>
          <w:rFonts w:cs="Arial"/>
        </w:rPr>
        <w:t xml:space="preserve">es un tema emergente para el Estado, toda vez </w:t>
      </w:r>
      <w:r w:rsidRPr="00BD39F4">
        <w:t xml:space="preserve">que “afecta su salud, educación, proyecto de vida, relaciones sociales y culturales, y su </w:t>
      </w:r>
      <w:r w:rsidRPr="009065A3">
        <w:t>economía</w:t>
      </w:r>
      <w:r w:rsidRPr="00877430">
        <w:t>,</w:t>
      </w:r>
      <w:r w:rsidRPr="009065A3">
        <w:t xml:space="preserve"> entre </w:t>
      </w:r>
      <w:r w:rsidRPr="00BD39F4">
        <w:t>otros aspectos” (</w:t>
      </w:r>
      <w:r w:rsidRPr="00BD39F4">
        <w:rPr>
          <w:rFonts w:cs="Arial"/>
        </w:rPr>
        <w:t>Gobierno de la República [GR], s.f.</w:t>
      </w:r>
      <w:r w:rsidRPr="00BD39F4">
        <w:t>, p. 15</w:t>
      </w:r>
      <w:r w:rsidRPr="00DA1706">
        <w:t xml:space="preserve">). En México de acuerdo con la ENADID, </w:t>
      </w:r>
      <w:r w:rsidRPr="00DA1706">
        <w:rPr>
          <w:rFonts w:cs="Arial"/>
        </w:rPr>
        <w:t xml:space="preserve">la fecundidad de las adolescentes disminuyó de 77 hijos por cada mil mujeres de 15 a 19 años en el trienio 2011 a 2013 a 70.6 en el trienio 2015 a 2017.  </w:t>
      </w:r>
    </w:p>
    <w:p w14:paraId="7BA79051" w14:textId="77777777" w:rsidR="009D257F" w:rsidRPr="00BD39F4" w:rsidRDefault="009D257F" w:rsidP="009D257F">
      <w:pPr>
        <w:ind w:left="-567"/>
        <w:rPr>
          <w:rFonts w:cs="Arial"/>
        </w:rPr>
      </w:pPr>
    </w:p>
    <w:p w14:paraId="66587114" w14:textId="508D945E" w:rsidR="009D257F" w:rsidRPr="00DA1706" w:rsidRDefault="009D257F" w:rsidP="009D257F">
      <w:pPr>
        <w:ind w:left="-567"/>
        <w:rPr>
          <w:rFonts w:cs="Arial"/>
        </w:rPr>
      </w:pPr>
      <w:r w:rsidRPr="00DA1706">
        <w:rPr>
          <w:rFonts w:cs="Arial"/>
        </w:rPr>
        <w:t>El descenso de la fecundidad no ha sido homogéneo entre las entidades federativas</w:t>
      </w:r>
      <w:r w:rsidR="00131E2C">
        <w:rPr>
          <w:rFonts w:cs="Arial"/>
        </w:rPr>
        <w:t>. D</w:t>
      </w:r>
      <w:r w:rsidRPr="00DA1706">
        <w:rPr>
          <w:rFonts w:cs="Arial"/>
        </w:rPr>
        <w:t>atos de la ENADID 2018 muestran a Chiapas como el estado con la mayor TGF para el quinquenio 2013-2017 con 2.8 hijos por mujer en edad fértil</w:t>
      </w:r>
      <w:r w:rsidR="0075491B">
        <w:rPr>
          <w:rFonts w:cs="Arial"/>
        </w:rPr>
        <w:t xml:space="preserve">; </w:t>
      </w:r>
      <w:r w:rsidRPr="00DA1706">
        <w:rPr>
          <w:rFonts w:cs="Arial"/>
        </w:rPr>
        <w:t>le siguen Zacatecas y Coahuila con 2.71 y 2.53 hijos por mujer en edad fértil respectivamente</w:t>
      </w:r>
      <w:r w:rsidR="0075491B">
        <w:rPr>
          <w:rFonts w:cs="Arial"/>
        </w:rPr>
        <w:t>, m</w:t>
      </w:r>
      <w:r w:rsidRPr="00DA1706">
        <w:rPr>
          <w:rFonts w:cs="Arial"/>
        </w:rPr>
        <w:t>ientras que las entidades con la menor fecundidad son la Ciudad de México, México y Querétaro con menos de 2 hijos por mujer en edad fértil.</w:t>
      </w:r>
    </w:p>
    <w:p w14:paraId="69F6FDA1" w14:textId="77777777" w:rsidR="009D257F" w:rsidRDefault="009D257F" w:rsidP="009D257F">
      <w:pPr>
        <w:ind w:left="-567"/>
        <w:rPr>
          <w:rFonts w:eastAsiaTheme="minorHAnsi" w:cs="Arial"/>
          <w:b/>
          <w:color w:val="0070C0"/>
          <w:lang w:val="es-MX" w:eastAsia="en-US"/>
        </w:rPr>
      </w:pPr>
      <w:r>
        <w:rPr>
          <w:rFonts w:eastAsiaTheme="minorHAnsi" w:cs="Arial"/>
          <w:b/>
          <w:color w:val="0070C0"/>
          <w:lang w:val="es-MX" w:eastAsia="en-US"/>
        </w:rPr>
        <w:t xml:space="preserve"> </w:t>
      </w:r>
    </w:p>
    <w:p w14:paraId="436D02DF" w14:textId="77777777" w:rsidR="009D257F" w:rsidRPr="00822F27" w:rsidRDefault="00442E9D" w:rsidP="009D257F">
      <w:pPr>
        <w:pStyle w:val="Ttulo3"/>
        <w:ind w:left="-567"/>
        <w:rPr>
          <w:rFonts w:cs="Arial"/>
          <w:b/>
          <w:color w:val="auto"/>
          <w:sz w:val="22"/>
          <w:szCs w:val="22"/>
        </w:rPr>
      </w:pPr>
      <w:r w:rsidRPr="00822F27">
        <w:rPr>
          <w:rFonts w:ascii="Arial" w:eastAsiaTheme="minorHAnsi" w:hAnsi="Arial" w:cs="Arial"/>
          <w:b/>
          <w:color w:val="auto"/>
          <w:sz w:val="22"/>
          <w:szCs w:val="22"/>
          <w:lang w:val="es-MX" w:eastAsia="en-US"/>
        </w:rPr>
        <w:t>MORTALIDAD</w:t>
      </w:r>
    </w:p>
    <w:p w14:paraId="481408BE" w14:textId="77777777" w:rsidR="009D257F" w:rsidRPr="00221FD2" w:rsidRDefault="009D257F" w:rsidP="009D257F">
      <w:pPr>
        <w:ind w:left="-567"/>
        <w:rPr>
          <w:rFonts w:cs="Arial"/>
        </w:rPr>
      </w:pPr>
    </w:p>
    <w:p w14:paraId="43A031CC" w14:textId="2D94B493" w:rsidR="009D257F" w:rsidRDefault="009D257F" w:rsidP="009D257F">
      <w:pPr>
        <w:ind w:left="-567"/>
        <w:rPr>
          <w:rFonts w:cs="Arial"/>
        </w:rPr>
      </w:pPr>
      <w:r w:rsidRPr="00BD39F4">
        <w:rPr>
          <w:rFonts w:cs="Arial"/>
        </w:rPr>
        <w:t xml:space="preserve">La </w:t>
      </w:r>
      <w:r w:rsidRPr="00DA1706">
        <w:rPr>
          <w:rFonts w:cs="Arial"/>
        </w:rPr>
        <w:t xml:space="preserve">transición epidemiológica experimentada en el país durante el siglo pasado ha hecho que la población tenga una mayor esperanza de vida. De acuerdo </w:t>
      </w:r>
      <w:r w:rsidR="0075491B">
        <w:rPr>
          <w:rFonts w:cs="Arial"/>
        </w:rPr>
        <w:t>con</w:t>
      </w:r>
      <w:r w:rsidRPr="00DA1706">
        <w:rPr>
          <w:rFonts w:cs="Arial"/>
        </w:rPr>
        <w:t xml:space="preserve"> las proyecciones de</w:t>
      </w:r>
      <w:r w:rsidR="00F94C19">
        <w:rPr>
          <w:rFonts w:cs="Arial"/>
        </w:rPr>
        <w:t>l</w:t>
      </w:r>
      <w:r w:rsidRPr="00DA1706">
        <w:rPr>
          <w:rFonts w:cs="Arial"/>
        </w:rPr>
        <w:t xml:space="preserve"> CONAPO, en 1970 el promedio de vida al nacer era de 59.9 años y aumentó a 75.2 años en 2020 </w:t>
      </w:r>
      <w:r w:rsidRPr="00DA1706">
        <w:rPr>
          <w:rFonts w:cs="Arial"/>
          <w:szCs w:val="22"/>
        </w:rPr>
        <w:t>(CONAPO, s.f.).</w:t>
      </w:r>
      <w:r w:rsidRPr="00DA1706">
        <w:rPr>
          <w:rFonts w:cs="Arial"/>
        </w:rPr>
        <w:t xml:space="preserve"> La prolongación de la vida ha hecho que los fallecimientos se centren en edades avanzadas y por enfermedades crónicas degenerativas. De las 722 611 defunciones registradas en 2018, la mayoría fueron en hombres (56.4%) y por edad, 63.8% correspondieron a personas de 60 años o más. </w:t>
      </w:r>
      <w:r w:rsidRPr="00C20F72">
        <w:rPr>
          <w:rFonts w:cs="Arial"/>
        </w:rPr>
        <w:t>Las tres principales causas de muerte en el país son las enfermedades isquémicas del corazón (15%), la diabetes mellitus (14%) y las enfermedades del hígado (5.5%). Aunque las principales causas de muerte cambian en edades más jóvenes, las enfermedades crónicas degenerativas dominan en los grupos más avanzados de edad.</w:t>
      </w:r>
    </w:p>
    <w:p w14:paraId="73A3319A" w14:textId="77777777" w:rsidR="009D257F" w:rsidRDefault="009D257F" w:rsidP="009D257F">
      <w:pPr>
        <w:ind w:left="-567"/>
        <w:rPr>
          <w:rFonts w:cs="Arial"/>
        </w:rPr>
      </w:pPr>
    </w:p>
    <w:p w14:paraId="56B2E09F" w14:textId="77777777" w:rsidR="009D257F" w:rsidRDefault="009D257F" w:rsidP="009D257F">
      <w:pPr>
        <w:ind w:left="709"/>
        <w:rPr>
          <w:rFonts w:cs="Arial"/>
          <w:b/>
          <w:sz w:val="20"/>
          <w:szCs w:val="20"/>
        </w:rPr>
      </w:pPr>
      <w:r w:rsidRPr="00CE3186">
        <w:rPr>
          <w:rFonts w:cs="Arial"/>
          <w:b/>
          <w:sz w:val="20"/>
          <w:szCs w:val="20"/>
        </w:rPr>
        <w:t>Distribución porcentual de las principales causas de defunción por grupo de edad</w:t>
      </w:r>
      <w:r w:rsidRPr="00CE3186">
        <w:rPr>
          <w:rFonts w:cs="Arial"/>
          <w:b/>
          <w:szCs w:val="20"/>
          <w:vertAlign w:val="superscript"/>
        </w:rPr>
        <w:t>1</w:t>
      </w:r>
    </w:p>
    <w:p w14:paraId="27602162" w14:textId="77777777" w:rsidR="009D257F" w:rsidRDefault="009D257F" w:rsidP="009D257F">
      <w:pPr>
        <w:ind w:left="709"/>
        <w:rPr>
          <w:rFonts w:cs="Arial"/>
          <w:b/>
          <w:sz w:val="20"/>
          <w:szCs w:val="20"/>
        </w:rPr>
      </w:pPr>
      <w:r>
        <w:rPr>
          <w:rFonts w:cs="Arial"/>
          <w:b/>
          <w:sz w:val="20"/>
          <w:szCs w:val="20"/>
        </w:rPr>
        <w:t>2018</w:t>
      </w:r>
    </w:p>
    <w:p w14:paraId="2DED7C7A" w14:textId="77777777" w:rsidR="009D257F" w:rsidRDefault="009D257F" w:rsidP="009D257F">
      <w:pPr>
        <w:ind w:left="1134"/>
        <w:rPr>
          <w:rFonts w:cs="Arial"/>
          <w:b/>
          <w:sz w:val="20"/>
          <w:szCs w:val="20"/>
        </w:rPr>
      </w:pPr>
      <w:r>
        <w:rPr>
          <w:rFonts w:cs="Arial"/>
          <w:noProof/>
          <w:lang w:val="en-US" w:eastAsia="en-US"/>
        </w:rPr>
        <w:drawing>
          <wp:anchor distT="0" distB="0" distL="114300" distR="114300" simplePos="0" relativeHeight="251678720" behindDoc="0" locked="0" layoutInCell="1" allowOverlap="1" wp14:anchorId="6A30BDD9" wp14:editId="6AF02E8E">
            <wp:simplePos x="0" y="0"/>
            <wp:positionH relativeFrom="margin">
              <wp:posOffset>412281</wp:posOffset>
            </wp:positionH>
            <wp:positionV relativeFrom="paragraph">
              <wp:posOffset>24102</wp:posOffset>
            </wp:positionV>
            <wp:extent cx="5000625" cy="28289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00625" cy="282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CD1FED" w14:textId="77777777" w:rsidR="009D257F" w:rsidRDefault="009D257F" w:rsidP="009D257F">
      <w:pPr>
        <w:ind w:left="1134"/>
        <w:rPr>
          <w:rFonts w:cs="Arial"/>
          <w:sz w:val="20"/>
          <w:szCs w:val="16"/>
          <w:vertAlign w:val="superscript"/>
        </w:rPr>
      </w:pPr>
    </w:p>
    <w:p w14:paraId="7A4E8523" w14:textId="77777777" w:rsidR="009D257F" w:rsidRDefault="009D257F" w:rsidP="009D257F">
      <w:pPr>
        <w:ind w:left="1134"/>
        <w:rPr>
          <w:rFonts w:cs="Arial"/>
          <w:sz w:val="20"/>
          <w:szCs w:val="16"/>
          <w:vertAlign w:val="superscript"/>
        </w:rPr>
      </w:pPr>
    </w:p>
    <w:p w14:paraId="315678D7" w14:textId="77777777" w:rsidR="009D257F" w:rsidRDefault="009D257F" w:rsidP="009D257F">
      <w:pPr>
        <w:ind w:left="1134"/>
        <w:rPr>
          <w:rFonts w:cs="Arial"/>
          <w:sz w:val="20"/>
          <w:szCs w:val="16"/>
          <w:vertAlign w:val="superscript"/>
        </w:rPr>
      </w:pPr>
    </w:p>
    <w:p w14:paraId="5D66A3F3" w14:textId="77777777" w:rsidR="009D257F" w:rsidRDefault="009D257F" w:rsidP="009D257F">
      <w:pPr>
        <w:ind w:left="1134"/>
        <w:rPr>
          <w:rFonts w:cs="Arial"/>
          <w:sz w:val="20"/>
          <w:szCs w:val="16"/>
          <w:vertAlign w:val="superscript"/>
        </w:rPr>
      </w:pPr>
    </w:p>
    <w:p w14:paraId="45AC84EF" w14:textId="77777777" w:rsidR="009D257F" w:rsidRDefault="009D257F" w:rsidP="009D257F">
      <w:pPr>
        <w:ind w:left="1134"/>
        <w:rPr>
          <w:rFonts w:cs="Arial"/>
          <w:sz w:val="20"/>
          <w:szCs w:val="16"/>
          <w:vertAlign w:val="superscript"/>
        </w:rPr>
      </w:pPr>
    </w:p>
    <w:p w14:paraId="06748EA2" w14:textId="77777777" w:rsidR="009D257F" w:rsidRDefault="009D257F" w:rsidP="009D257F">
      <w:pPr>
        <w:ind w:left="1134"/>
        <w:rPr>
          <w:rFonts w:cs="Arial"/>
          <w:sz w:val="20"/>
          <w:szCs w:val="16"/>
          <w:vertAlign w:val="superscript"/>
        </w:rPr>
      </w:pPr>
    </w:p>
    <w:p w14:paraId="40908D1B" w14:textId="77777777" w:rsidR="009D257F" w:rsidRDefault="009D257F" w:rsidP="009D257F">
      <w:pPr>
        <w:ind w:left="1134"/>
        <w:rPr>
          <w:rFonts w:cs="Arial"/>
          <w:sz w:val="20"/>
          <w:szCs w:val="16"/>
          <w:vertAlign w:val="superscript"/>
        </w:rPr>
      </w:pPr>
    </w:p>
    <w:p w14:paraId="04821DC1" w14:textId="77777777" w:rsidR="009D257F" w:rsidRDefault="009D257F" w:rsidP="009D257F">
      <w:pPr>
        <w:ind w:left="1134"/>
        <w:rPr>
          <w:rFonts w:cs="Arial"/>
          <w:sz w:val="20"/>
          <w:szCs w:val="16"/>
          <w:vertAlign w:val="superscript"/>
        </w:rPr>
      </w:pPr>
    </w:p>
    <w:p w14:paraId="0EBC1988" w14:textId="77777777" w:rsidR="009D257F" w:rsidRDefault="009D257F" w:rsidP="009D257F">
      <w:pPr>
        <w:ind w:left="1134"/>
        <w:rPr>
          <w:rFonts w:cs="Arial"/>
          <w:sz w:val="20"/>
          <w:szCs w:val="16"/>
          <w:vertAlign w:val="superscript"/>
        </w:rPr>
      </w:pPr>
    </w:p>
    <w:p w14:paraId="612C3485" w14:textId="77777777" w:rsidR="009D257F" w:rsidRDefault="009D257F" w:rsidP="009D257F">
      <w:pPr>
        <w:ind w:left="1134"/>
        <w:rPr>
          <w:rFonts w:cs="Arial"/>
          <w:sz w:val="20"/>
          <w:szCs w:val="16"/>
          <w:vertAlign w:val="superscript"/>
        </w:rPr>
      </w:pPr>
    </w:p>
    <w:p w14:paraId="77E7C268" w14:textId="77777777" w:rsidR="009D257F" w:rsidRDefault="009D257F" w:rsidP="009D257F">
      <w:pPr>
        <w:ind w:left="1134"/>
        <w:rPr>
          <w:rFonts w:cs="Arial"/>
          <w:sz w:val="20"/>
          <w:szCs w:val="16"/>
          <w:vertAlign w:val="superscript"/>
        </w:rPr>
      </w:pPr>
    </w:p>
    <w:p w14:paraId="111A05CC" w14:textId="77777777" w:rsidR="009D257F" w:rsidRDefault="009D257F" w:rsidP="009D257F">
      <w:pPr>
        <w:ind w:left="1134"/>
        <w:rPr>
          <w:rFonts w:cs="Arial"/>
          <w:sz w:val="20"/>
          <w:szCs w:val="16"/>
          <w:vertAlign w:val="superscript"/>
        </w:rPr>
      </w:pPr>
    </w:p>
    <w:p w14:paraId="2E5D19E2" w14:textId="77777777" w:rsidR="009D257F" w:rsidRDefault="009D257F" w:rsidP="009D257F">
      <w:pPr>
        <w:ind w:left="1134"/>
        <w:rPr>
          <w:rFonts w:cs="Arial"/>
          <w:sz w:val="20"/>
          <w:szCs w:val="16"/>
          <w:vertAlign w:val="superscript"/>
        </w:rPr>
      </w:pPr>
    </w:p>
    <w:p w14:paraId="44B6C479" w14:textId="77777777" w:rsidR="009D257F" w:rsidRDefault="009D257F" w:rsidP="009D257F">
      <w:pPr>
        <w:ind w:left="1134"/>
        <w:rPr>
          <w:rFonts w:cs="Arial"/>
          <w:sz w:val="20"/>
          <w:szCs w:val="16"/>
          <w:vertAlign w:val="superscript"/>
        </w:rPr>
      </w:pPr>
    </w:p>
    <w:p w14:paraId="329C39D6" w14:textId="77777777" w:rsidR="009D257F" w:rsidRDefault="009D257F" w:rsidP="009D257F">
      <w:pPr>
        <w:ind w:left="1134"/>
        <w:rPr>
          <w:rFonts w:cs="Arial"/>
          <w:sz w:val="20"/>
          <w:szCs w:val="16"/>
          <w:vertAlign w:val="superscript"/>
        </w:rPr>
      </w:pPr>
    </w:p>
    <w:p w14:paraId="2E63A574" w14:textId="77777777" w:rsidR="009D257F" w:rsidRDefault="009D257F" w:rsidP="009D257F">
      <w:pPr>
        <w:ind w:left="1134"/>
        <w:rPr>
          <w:rFonts w:cs="Arial"/>
          <w:sz w:val="20"/>
          <w:szCs w:val="16"/>
          <w:vertAlign w:val="superscript"/>
        </w:rPr>
      </w:pPr>
    </w:p>
    <w:p w14:paraId="3FCF1D65" w14:textId="77777777" w:rsidR="009D257F" w:rsidRDefault="009D257F" w:rsidP="009D257F">
      <w:pPr>
        <w:ind w:left="1134"/>
        <w:rPr>
          <w:rFonts w:cs="Arial"/>
          <w:sz w:val="20"/>
          <w:szCs w:val="16"/>
          <w:vertAlign w:val="superscript"/>
        </w:rPr>
      </w:pPr>
    </w:p>
    <w:p w14:paraId="07A785C2" w14:textId="77777777" w:rsidR="009D257F" w:rsidRDefault="009D257F" w:rsidP="009D257F">
      <w:pPr>
        <w:ind w:left="1134"/>
        <w:rPr>
          <w:rFonts w:cs="Arial"/>
          <w:sz w:val="20"/>
          <w:szCs w:val="16"/>
          <w:vertAlign w:val="superscript"/>
        </w:rPr>
      </w:pPr>
    </w:p>
    <w:p w14:paraId="40C323B1" w14:textId="77777777" w:rsidR="009D257F" w:rsidRDefault="009D257F" w:rsidP="009D257F">
      <w:pPr>
        <w:ind w:left="1134"/>
        <w:rPr>
          <w:rFonts w:cs="Arial"/>
          <w:sz w:val="20"/>
          <w:szCs w:val="16"/>
          <w:vertAlign w:val="superscript"/>
        </w:rPr>
      </w:pPr>
    </w:p>
    <w:p w14:paraId="193D0A54" w14:textId="77777777" w:rsidR="009D257F" w:rsidRDefault="009D257F" w:rsidP="009D257F">
      <w:pPr>
        <w:ind w:left="709"/>
        <w:rPr>
          <w:rFonts w:cs="Arial"/>
          <w:sz w:val="16"/>
          <w:szCs w:val="16"/>
        </w:rPr>
      </w:pPr>
      <w:r w:rsidRPr="000E301D">
        <w:rPr>
          <w:rFonts w:cs="Arial"/>
          <w:sz w:val="20"/>
          <w:szCs w:val="16"/>
          <w:vertAlign w:val="superscript"/>
        </w:rPr>
        <w:t>1</w:t>
      </w:r>
      <w:r w:rsidRPr="000E301D">
        <w:rPr>
          <w:rFonts w:cs="Arial"/>
          <w:sz w:val="16"/>
          <w:szCs w:val="16"/>
        </w:rPr>
        <w:t xml:space="preserve"> </w:t>
      </w:r>
      <w:r w:rsidRPr="00CE3186">
        <w:rPr>
          <w:rFonts w:cs="Arial"/>
          <w:sz w:val="16"/>
          <w:szCs w:val="16"/>
        </w:rPr>
        <w:t>Lista especial de tabulados (tabulación 1 para la mortalidad). CIE-10</w:t>
      </w:r>
    </w:p>
    <w:p w14:paraId="55C207DD" w14:textId="77777777" w:rsidR="009D257F" w:rsidRDefault="009D257F" w:rsidP="009D257F">
      <w:pPr>
        <w:ind w:left="709"/>
        <w:rPr>
          <w:rFonts w:cs="Arial"/>
          <w:sz w:val="16"/>
          <w:szCs w:val="16"/>
        </w:rPr>
      </w:pPr>
      <w:r w:rsidRPr="000E301D">
        <w:rPr>
          <w:rFonts w:cs="Arial"/>
          <w:sz w:val="16"/>
          <w:szCs w:val="16"/>
        </w:rPr>
        <w:t xml:space="preserve">Fuente: </w:t>
      </w:r>
      <w:r w:rsidRPr="00CE3186">
        <w:rPr>
          <w:rFonts w:cs="Arial"/>
          <w:sz w:val="16"/>
          <w:szCs w:val="16"/>
        </w:rPr>
        <w:t>INEGI. Estadísticas de mortalidad 2018. Consulta interactiva de datos.</w:t>
      </w:r>
      <w:r>
        <w:rPr>
          <w:rFonts w:cs="Arial"/>
          <w:sz w:val="16"/>
          <w:szCs w:val="16"/>
        </w:rPr>
        <w:t xml:space="preserve"> </w:t>
      </w:r>
      <w:r w:rsidRPr="0086677C">
        <w:rPr>
          <w:rFonts w:cs="Arial"/>
          <w:sz w:val="16"/>
          <w:szCs w:val="16"/>
        </w:rPr>
        <w:t xml:space="preserve">SNIEG. Información </w:t>
      </w:r>
    </w:p>
    <w:p w14:paraId="0FB490D7" w14:textId="77777777" w:rsidR="009D257F" w:rsidRPr="000E301D" w:rsidRDefault="009D257F" w:rsidP="009D257F">
      <w:pPr>
        <w:ind w:left="1276"/>
        <w:rPr>
          <w:rFonts w:cs="Arial"/>
          <w:b/>
          <w:sz w:val="20"/>
          <w:szCs w:val="20"/>
        </w:rPr>
      </w:pPr>
      <w:r w:rsidRPr="0086677C">
        <w:rPr>
          <w:rFonts w:cs="Arial"/>
          <w:sz w:val="16"/>
          <w:szCs w:val="16"/>
        </w:rPr>
        <w:t>de Interés Nacional.</w:t>
      </w:r>
    </w:p>
    <w:p w14:paraId="1D253CA2" w14:textId="77777777" w:rsidR="009D257F" w:rsidRPr="00380746" w:rsidRDefault="009D257F" w:rsidP="009D257F">
      <w:pPr>
        <w:rPr>
          <w:rFonts w:eastAsiaTheme="minorHAnsi" w:cs="Arial"/>
          <w:b/>
          <w:color w:val="0070C0"/>
          <w:lang w:eastAsia="en-US"/>
        </w:rPr>
      </w:pPr>
    </w:p>
    <w:p w14:paraId="3893D2FE" w14:textId="77777777" w:rsidR="009D257F" w:rsidRDefault="009D257F" w:rsidP="009D257F">
      <w:pPr>
        <w:tabs>
          <w:tab w:val="left" w:pos="1365"/>
        </w:tabs>
        <w:ind w:left="-567"/>
        <w:rPr>
          <w:rFonts w:cs="Arial"/>
        </w:rPr>
      </w:pPr>
    </w:p>
    <w:p w14:paraId="1A122056" w14:textId="77777777" w:rsidR="004457C6" w:rsidRDefault="004457C6" w:rsidP="00DE700F">
      <w:pPr>
        <w:spacing w:after="200" w:line="276" w:lineRule="auto"/>
        <w:ind w:left="-567"/>
        <w:jc w:val="left"/>
        <w:rPr>
          <w:rFonts w:eastAsiaTheme="minorHAnsi" w:cs="Arial"/>
          <w:b/>
          <w:szCs w:val="22"/>
          <w:lang w:val="es-MX" w:eastAsia="en-US"/>
        </w:rPr>
      </w:pPr>
    </w:p>
    <w:p w14:paraId="02D00D12" w14:textId="77777777" w:rsidR="0075491B" w:rsidRDefault="0075491B" w:rsidP="00DE700F">
      <w:pPr>
        <w:spacing w:after="200" w:line="276" w:lineRule="auto"/>
        <w:ind w:left="-567"/>
        <w:jc w:val="left"/>
        <w:rPr>
          <w:rFonts w:eastAsiaTheme="minorHAnsi" w:cs="Arial"/>
          <w:b/>
          <w:szCs w:val="22"/>
          <w:lang w:val="es-MX" w:eastAsia="en-US"/>
        </w:rPr>
      </w:pPr>
    </w:p>
    <w:p w14:paraId="446F3059" w14:textId="3CE04551" w:rsidR="008D4C8B" w:rsidRDefault="00442E9D" w:rsidP="00DE700F">
      <w:pPr>
        <w:spacing w:after="200" w:line="276" w:lineRule="auto"/>
        <w:ind w:left="-567"/>
        <w:jc w:val="left"/>
        <w:rPr>
          <w:rFonts w:cs="Arial"/>
          <w:b/>
          <w:szCs w:val="22"/>
        </w:rPr>
      </w:pPr>
      <w:r w:rsidRPr="008D4C8B">
        <w:rPr>
          <w:rFonts w:eastAsiaTheme="minorHAnsi" w:cs="Arial"/>
          <w:b/>
          <w:szCs w:val="22"/>
          <w:lang w:val="es-MX" w:eastAsia="en-US"/>
        </w:rPr>
        <w:t>MIGRACIÓN</w:t>
      </w:r>
    </w:p>
    <w:p w14:paraId="789EAD81" w14:textId="77777777" w:rsidR="008D4C8B" w:rsidRPr="008D4C8B" w:rsidRDefault="008D4C8B" w:rsidP="008D4C8B">
      <w:pPr>
        <w:ind w:left="-567"/>
        <w:rPr>
          <w:rFonts w:cs="Arial"/>
          <w:b/>
          <w:szCs w:val="22"/>
        </w:rPr>
      </w:pPr>
      <w:r w:rsidRPr="008D4C8B">
        <w:rPr>
          <w:rFonts w:eastAsiaTheme="minorHAnsi" w:cs="Arial"/>
          <w:szCs w:val="22"/>
          <w:lang w:val="es-MX" w:eastAsia="en-US"/>
        </w:rPr>
        <w:t xml:space="preserve">La migración es el componente que, junto con la fecundidad y la mortalidad, permite conocer la dinámica demográfica de un país, está compuesta por la migración interna e internacional. A nivel mundial, una gran cantidad de personas que cambia su lugar de residencia (migra) lo hacen al interior de sus propios países. Según estimaciones del PNUD en 2009 había 740 millones de personas que se desplazaron dentro del país de su residencia, tres veces más que la cantidad de migrantes internacionales (Programa de las Naciones Unidas para el Desarrollo [PNUD], 2009).  </w:t>
      </w:r>
    </w:p>
    <w:p w14:paraId="7A7332A2" w14:textId="77777777" w:rsidR="008D4C8B" w:rsidRDefault="008D4C8B" w:rsidP="009D257F">
      <w:pPr>
        <w:pStyle w:val="Textoindependiente"/>
        <w:ind w:left="-567"/>
        <w:rPr>
          <w:rFonts w:eastAsiaTheme="minorHAnsi"/>
          <w:szCs w:val="22"/>
          <w:lang w:val="es-MX" w:eastAsia="en-US"/>
        </w:rPr>
      </w:pPr>
    </w:p>
    <w:p w14:paraId="306A6BF6" w14:textId="77777777" w:rsidR="009D257F" w:rsidRDefault="009D257F" w:rsidP="009D257F">
      <w:pPr>
        <w:ind w:left="-567"/>
        <w:rPr>
          <w:rFonts w:eastAsiaTheme="minorHAnsi"/>
          <w:lang w:val="es-MX" w:eastAsia="en-US"/>
        </w:rPr>
      </w:pPr>
      <w:r w:rsidRPr="00634B13">
        <w:rPr>
          <w:rFonts w:eastAsiaTheme="minorHAnsi"/>
          <w:lang w:val="es-MX" w:eastAsia="en-US"/>
        </w:rPr>
        <w:t>Al comprende</w:t>
      </w:r>
      <w:r>
        <w:rPr>
          <w:rFonts w:eastAsiaTheme="minorHAnsi"/>
          <w:lang w:val="es-MX" w:eastAsia="en-US"/>
        </w:rPr>
        <w:t>r las transformaciones sociales y</w:t>
      </w:r>
      <w:r w:rsidRPr="00634B13">
        <w:rPr>
          <w:rFonts w:eastAsiaTheme="minorHAnsi"/>
          <w:lang w:val="es-MX" w:eastAsia="en-US"/>
        </w:rPr>
        <w:t xml:space="preserve"> económicas</w:t>
      </w:r>
      <w:r w:rsidRPr="00E37734">
        <w:rPr>
          <w:rFonts w:eastAsiaTheme="minorHAnsi"/>
          <w:lang w:val="es-MX" w:eastAsia="en-US"/>
        </w:rPr>
        <w:t xml:space="preserve"> </w:t>
      </w:r>
      <w:r w:rsidRPr="00634B13">
        <w:rPr>
          <w:rFonts w:eastAsiaTheme="minorHAnsi"/>
          <w:lang w:val="es-MX" w:eastAsia="en-US"/>
        </w:rPr>
        <w:t xml:space="preserve">provocadas por la migración, </w:t>
      </w:r>
      <w:r>
        <w:rPr>
          <w:rFonts w:eastAsiaTheme="minorHAnsi"/>
          <w:lang w:val="es-MX" w:eastAsia="en-US"/>
        </w:rPr>
        <w:t xml:space="preserve">así como </w:t>
      </w:r>
      <w:r w:rsidRPr="00634B13">
        <w:rPr>
          <w:rFonts w:eastAsiaTheme="minorHAnsi"/>
          <w:lang w:val="es-MX" w:eastAsia="en-US"/>
        </w:rPr>
        <w:t xml:space="preserve">los cambios y </w:t>
      </w:r>
      <w:r>
        <w:rPr>
          <w:rFonts w:eastAsiaTheme="minorHAnsi"/>
          <w:lang w:val="es-MX" w:eastAsia="en-US"/>
        </w:rPr>
        <w:t xml:space="preserve">la </w:t>
      </w:r>
      <w:r w:rsidRPr="00634B13">
        <w:rPr>
          <w:rFonts w:eastAsiaTheme="minorHAnsi"/>
          <w:lang w:val="es-MX" w:eastAsia="en-US"/>
        </w:rPr>
        <w:t xml:space="preserve">evolución de las variables demográficas, se tendrá un mejor entendimiento de la sociedad en la que vivimos y se podría tener una mejor visión del futuro (Organización Internacional para las Migraciones </w:t>
      </w:r>
      <w:r>
        <w:rPr>
          <w:rFonts w:eastAsiaTheme="minorHAnsi"/>
          <w:lang w:val="es-MX" w:eastAsia="en-US"/>
        </w:rPr>
        <w:t>[</w:t>
      </w:r>
      <w:r w:rsidRPr="00634B13">
        <w:rPr>
          <w:rFonts w:eastAsiaTheme="minorHAnsi"/>
          <w:lang w:val="es-MX" w:eastAsia="en-US"/>
        </w:rPr>
        <w:t>OIM</w:t>
      </w:r>
      <w:r>
        <w:rPr>
          <w:rFonts w:eastAsiaTheme="minorHAnsi"/>
          <w:lang w:val="es-MX" w:eastAsia="en-US"/>
        </w:rPr>
        <w:t>]</w:t>
      </w:r>
      <w:r w:rsidRPr="00634B13">
        <w:rPr>
          <w:rFonts w:eastAsiaTheme="minorHAnsi"/>
          <w:lang w:val="es-MX" w:eastAsia="en-US"/>
        </w:rPr>
        <w:t>, 2019).</w:t>
      </w:r>
    </w:p>
    <w:p w14:paraId="7DBC80A0" w14:textId="77777777" w:rsidR="009D257F" w:rsidRPr="00634B13" w:rsidRDefault="009D257F" w:rsidP="009D257F">
      <w:pPr>
        <w:pStyle w:val="Textoindependiente"/>
        <w:ind w:left="-567"/>
        <w:rPr>
          <w:rFonts w:eastAsiaTheme="minorHAnsi"/>
          <w:szCs w:val="22"/>
          <w:lang w:val="es-MX" w:eastAsia="en-US"/>
        </w:rPr>
      </w:pPr>
    </w:p>
    <w:p w14:paraId="439F662C" w14:textId="77777777" w:rsidR="009D257F" w:rsidRPr="008D4C8B" w:rsidRDefault="00442E9D" w:rsidP="009D257F">
      <w:pPr>
        <w:pStyle w:val="Textoindependiente"/>
        <w:ind w:left="-567"/>
        <w:rPr>
          <w:rFonts w:eastAsiaTheme="minorHAnsi"/>
          <w:b/>
          <w:szCs w:val="22"/>
          <w:lang w:val="es-MX" w:eastAsia="en-US"/>
        </w:rPr>
      </w:pPr>
      <w:r w:rsidRPr="008D4C8B">
        <w:rPr>
          <w:rFonts w:eastAsiaTheme="minorHAnsi"/>
          <w:b/>
          <w:szCs w:val="22"/>
          <w:lang w:val="es-MX" w:eastAsia="en-US"/>
        </w:rPr>
        <w:t>MIGRACIÓN INTERNA</w:t>
      </w:r>
    </w:p>
    <w:p w14:paraId="551F7D20" w14:textId="77777777" w:rsidR="009D257F" w:rsidRDefault="009D257F" w:rsidP="009D257F">
      <w:pPr>
        <w:pStyle w:val="Textoindependiente"/>
        <w:ind w:left="-567"/>
        <w:rPr>
          <w:rFonts w:eastAsiaTheme="minorHAnsi"/>
          <w:b/>
          <w:szCs w:val="22"/>
          <w:lang w:val="es-MX" w:eastAsia="en-US"/>
        </w:rPr>
      </w:pPr>
    </w:p>
    <w:p w14:paraId="341017FB" w14:textId="77777777" w:rsidR="00EF7C6A" w:rsidRDefault="00EF7C6A" w:rsidP="009D257F">
      <w:pPr>
        <w:pStyle w:val="Textoindependiente"/>
        <w:ind w:left="-567"/>
        <w:rPr>
          <w:rFonts w:eastAsiaTheme="minorHAnsi"/>
          <w:szCs w:val="22"/>
          <w:lang w:val="es-MX" w:eastAsia="en-US"/>
        </w:rPr>
      </w:pPr>
      <w:r w:rsidRPr="00EF7C6A">
        <w:rPr>
          <w:rFonts w:eastAsiaTheme="minorHAnsi"/>
          <w:szCs w:val="22"/>
          <w:lang w:val="es-MX" w:eastAsia="en-US"/>
        </w:rPr>
        <w:t>Las variables que se relacionan con el proceso migratorio y que se incluyen en las encuestas en hogares, censos de población o registros administrativos, como el lugar de nacimiento, lugar de residencia en una fecha específica del pasado y la razón por la cual la persona decidió cambiar de lugar de residencia, permiten hacer un análisis integral de la migración (López, 2007).</w:t>
      </w:r>
    </w:p>
    <w:p w14:paraId="6874CC7A" w14:textId="77777777" w:rsidR="00EF7C6A" w:rsidRDefault="00EF7C6A" w:rsidP="009D257F">
      <w:pPr>
        <w:pStyle w:val="Textoindependiente"/>
        <w:ind w:left="-567"/>
        <w:rPr>
          <w:rFonts w:eastAsiaTheme="minorHAnsi"/>
          <w:szCs w:val="22"/>
          <w:lang w:val="es-MX" w:eastAsia="en-US"/>
        </w:rPr>
      </w:pPr>
    </w:p>
    <w:p w14:paraId="63D54B6B" w14:textId="6AFC3D86" w:rsidR="00EF7C6A" w:rsidRDefault="00EF7C6A" w:rsidP="009D257F">
      <w:pPr>
        <w:pStyle w:val="Textoindependiente"/>
        <w:ind w:left="-567"/>
        <w:rPr>
          <w:rFonts w:eastAsiaTheme="minorHAnsi"/>
          <w:szCs w:val="22"/>
          <w:lang w:val="es-MX" w:eastAsia="en-US"/>
        </w:rPr>
      </w:pPr>
      <w:r w:rsidRPr="00EF7C6A">
        <w:rPr>
          <w:rFonts w:eastAsiaTheme="minorHAnsi"/>
          <w:szCs w:val="22"/>
          <w:lang w:val="es-MX" w:eastAsia="en-US"/>
        </w:rPr>
        <w:t>Según los datos de la ENADID 2018, 17.2% (21.5 millones) de la población que habita el país (125 millones) reside en una entidad distinta a la de su nacimiento</w:t>
      </w:r>
      <w:r w:rsidR="0075491B">
        <w:rPr>
          <w:rFonts w:eastAsiaTheme="minorHAnsi"/>
          <w:szCs w:val="22"/>
          <w:lang w:val="es-MX" w:eastAsia="en-US"/>
        </w:rPr>
        <w:t>. E</w:t>
      </w:r>
      <w:r w:rsidRPr="00EF7C6A">
        <w:rPr>
          <w:rFonts w:eastAsiaTheme="minorHAnsi"/>
          <w:szCs w:val="22"/>
          <w:lang w:val="es-MX" w:eastAsia="en-US"/>
        </w:rPr>
        <w:t>ste grupo de personas representan una parte de la migración interna</w:t>
      </w:r>
      <w:r w:rsidR="0075491B">
        <w:rPr>
          <w:rFonts w:eastAsiaTheme="minorHAnsi"/>
          <w:szCs w:val="22"/>
          <w:lang w:val="es-MX" w:eastAsia="en-US"/>
        </w:rPr>
        <w:t>,</w:t>
      </w:r>
      <w:r w:rsidRPr="00EF7C6A">
        <w:rPr>
          <w:rFonts w:eastAsiaTheme="minorHAnsi"/>
          <w:szCs w:val="22"/>
          <w:lang w:val="es-MX" w:eastAsia="en-US"/>
        </w:rPr>
        <w:t xml:space="preserve"> siendo </w:t>
      </w:r>
      <w:r w:rsidR="00F8151F">
        <w:rPr>
          <w:rFonts w:eastAsiaTheme="minorHAnsi"/>
          <w:szCs w:val="22"/>
          <w:lang w:val="es-MX" w:eastAsia="en-US"/>
        </w:rPr>
        <w:t>en su</w:t>
      </w:r>
      <w:r w:rsidRPr="00EF7C6A">
        <w:rPr>
          <w:rFonts w:eastAsiaTheme="minorHAnsi"/>
          <w:szCs w:val="22"/>
          <w:lang w:val="es-MX" w:eastAsia="en-US"/>
        </w:rPr>
        <w:t xml:space="preserve"> mayoría mujeres (51.5</w:t>
      </w:r>
      <w:r w:rsidR="00F8151F">
        <w:rPr>
          <w:rFonts w:eastAsiaTheme="minorHAnsi"/>
          <w:szCs w:val="22"/>
          <w:lang w:val="es-MX" w:eastAsia="en-US"/>
        </w:rPr>
        <w:t xml:space="preserve"> por ciento)</w:t>
      </w:r>
      <w:r w:rsidRPr="00EF7C6A">
        <w:rPr>
          <w:rFonts w:eastAsiaTheme="minorHAnsi"/>
          <w:szCs w:val="22"/>
          <w:lang w:val="es-MX" w:eastAsia="en-US"/>
        </w:rPr>
        <w:t>. En cambio, solo 0.8% (1.07 millón) de la población nació en el extranjero</w:t>
      </w:r>
      <w:r w:rsidR="0075491B">
        <w:rPr>
          <w:rFonts w:eastAsiaTheme="minorHAnsi"/>
          <w:szCs w:val="22"/>
          <w:lang w:val="es-MX" w:eastAsia="en-US"/>
        </w:rPr>
        <w:t xml:space="preserve">; </w:t>
      </w:r>
      <w:r w:rsidRPr="00EF7C6A">
        <w:rPr>
          <w:rFonts w:eastAsiaTheme="minorHAnsi"/>
          <w:szCs w:val="22"/>
          <w:lang w:val="es-MX" w:eastAsia="en-US"/>
        </w:rPr>
        <w:t>la mayoría son hombres (50.3 por ciento). Por país de origen de las personas extranjeras que viven en México, 3 de cada 4 (799 mil) nacieron en Estados Unidos de América</w:t>
      </w:r>
      <w:r w:rsidR="0075491B">
        <w:rPr>
          <w:rFonts w:eastAsiaTheme="minorHAnsi"/>
          <w:szCs w:val="22"/>
          <w:lang w:val="es-MX" w:eastAsia="en-US"/>
        </w:rPr>
        <w:t xml:space="preserve"> y </w:t>
      </w:r>
      <w:r w:rsidRPr="00EF7C6A">
        <w:rPr>
          <w:rFonts w:eastAsiaTheme="minorHAnsi"/>
          <w:szCs w:val="22"/>
          <w:lang w:val="es-MX" w:eastAsia="en-US"/>
        </w:rPr>
        <w:t>72.9% tienen menos de 18 años (de 0 a 17 años).</w:t>
      </w:r>
    </w:p>
    <w:p w14:paraId="08BB45AE" w14:textId="77777777" w:rsidR="00EF7C6A" w:rsidRDefault="00EF7C6A" w:rsidP="009D257F">
      <w:pPr>
        <w:ind w:left="-567"/>
        <w:rPr>
          <w:rFonts w:eastAsiaTheme="minorHAnsi"/>
          <w:lang w:val="es-MX" w:eastAsia="en-US"/>
        </w:rPr>
      </w:pPr>
    </w:p>
    <w:p w14:paraId="136CD6B7" w14:textId="77777777" w:rsidR="002656DC" w:rsidRDefault="002656DC" w:rsidP="002656DC">
      <w:pPr>
        <w:ind w:left="-567"/>
        <w:rPr>
          <w:rFonts w:eastAsiaTheme="minorHAnsi"/>
          <w:lang w:val="es-MX" w:eastAsia="en-US"/>
        </w:rPr>
      </w:pPr>
      <w:r w:rsidRPr="002656DC">
        <w:rPr>
          <w:rFonts w:eastAsiaTheme="minorHAnsi"/>
          <w:lang w:val="es-MX" w:eastAsia="en-US"/>
        </w:rPr>
        <w:t>La ENADID 2018 indaga sobre el lugar de residencia en agosto de 2013 de las personas de cinco años y más. Con la información recolectada se estima que en agosto de 2013, de los 115.7 millones de personas de cinco años y más, 3.3 millones de personas (2.9%) residían en una entidad distinta a la de su residencia en 2018, mientras 511 mil vivían en otro país.</w:t>
      </w:r>
    </w:p>
    <w:p w14:paraId="5175EE4A" w14:textId="77777777" w:rsidR="002656DC" w:rsidRPr="00CE2D19" w:rsidRDefault="002656DC" w:rsidP="002656DC">
      <w:pPr>
        <w:rPr>
          <w:lang w:val="es-MX"/>
        </w:rPr>
      </w:pPr>
    </w:p>
    <w:p w14:paraId="3443757C" w14:textId="0260C0FF" w:rsidR="002656DC" w:rsidRPr="009F0ECF" w:rsidRDefault="002656DC" w:rsidP="002656DC">
      <w:pPr>
        <w:ind w:left="-567"/>
        <w:rPr>
          <w:rFonts w:eastAsiaTheme="minorHAnsi"/>
          <w:lang w:val="es-MX" w:eastAsia="en-US"/>
        </w:rPr>
      </w:pPr>
      <w:r w:rsidRPr="005E1BCD">
        <w:rPr>
          <w:rFonts w:eastAsiaTheme="minorHAnsi"/>
          <w:lang w:val="es-MX" w:eastAsia="en-US"/>
        </w:rPr>
        <w:t>El Saldo Neto Migratorio</w:t>
      </w:r>
      <w:r w:rsidRPr="005E1BCD">
        <w:rPr>
          <w:rFonts w:eastAsiaTheme="minorHAnsi"/>
          <w:vertAlign w:val="superscript"/>
        </w:rPr>
        <w:footnoteReference w:id="3"/>
      </w:r>
      <w:r w:rsidRPr="005E1BCD">
        <w:rPr>
          <w:rFonts w:eastAsiaTheme="minorHAnsi"/>
          <w:lang w:val="es-MX" w:eastAsia="en-US"/>
        </w:rPr>
        <w:t xml:space="preserve"> (SNM) representa la pérdida (emigración) o ganancia (inmigración) de población de cada una de las entidades federativas. Baja California Sur (5.81%) y Quintana Roo (5.24%) son las entidades con mayor proporción de ganancia</w:t>
      </w:r>
      <w:r w:rsidRPr="005E1BCD">
        <w:rPr>
          <w:rFonts w:eastAsiaTheme="minorHAnsi"/>
          <w:vertAlign w:val="superscript"/>
          <w:lang w:val="es-MX" w:eastAsia="en-US"/>
        </w:rPr>
        <w:footnoteReference w:id="4"/>
      </w:r>
      <w:r w:rsidRPr="005E1BCD">
        <w:rPr>
          <w:rFonts w:eastAsiaTheme="minorHAnsi"/>
          <w:lang w:val="es-MX" w:eastAsia="en-US"/>
        </w:rPr>
        <w:t xml:space="preserve"> de población de 5 años o más</w:t>
      </w:r>
      <w:r w:rsidR="0075491B">
        <w:rPr>
          <w:rFonts w:eastAsiaTheme="minorHAnsi"/>
          <w:lang w:val="es-MX" w:eastAsia="en-US"/>
        </w:rPr>
        <w:t xml:space="preserve">. La </w:t>
      </w:r>
      <w:r w:rsidRPr="005E1BCD">
        <w:rPr>
          <w:rFonts w:eastAsiaTheme="minorHAnsi"/>
          <w:lang w:val="es-MX" w:eastAsia="en-US"/>
        </w:rPr>
        <w:t>Ciudad de México (-2.73%) y Guerrero (-2.83%) son las entidades que tiene la mayor pérdida</w:t>
      </w:r>
      <w:r w:rsidRPr="005E1BCD">
        <w:rPr>
          <w:rFonts w:eastAsiaTheme="minorHAnsi"/>
          <w:vertAlign w:val="superscript"/>
          <w:lang w:val="es-MX" w:eastAsia="en-US"/>
        </w:rPr>
        <w:footnoteReference w:id="5"/>
      </w:r>
      <w:r w:rsidRPr="005E1BCD">
        <w:rPr>
          <w:rFonts w:eastAsiaTheme="minorHAnsi"/>
          <w:lang w:val="es-MX" w:eastAsia="en-US"/>
        </w:rPr>
        <w:t xml:space="preserve"> de población de 5 años y más.</w:t>
      </w:r>
      <w:r w:rsidRPr="009F0ECF">
        <w:rPr>
          <w:rFonts w:eastAsiaTheme="minorHAnsi"/>
          <w:lang w:val="es-MX" w:eastAsia="en-US"/>
        </w:rPr>
        <w:t xml:space="preserve"> </w:t>
      </w:r>
    </w:p>
    <w:p w14:paraId="1AFEDF67" w14:textId="77777777" w:rsidR="009D257F" w:rsidRPr="00873245" w:rsidRDefault="009D257F" w:rsidP="009D257F">
      <w:pPr>
        <w:tabs>
          <w:tab w:val="left" w:pos="1365"/>
        </w:tabs>
        <w:ind w:left="-567"/>
        <w:rPr>
          <w:rFonts w:cs="Arial"/>
          <w:lang w:val="es-MX"/>
        </w:rPr>
      </w:pPr>
    </w:p>
    <w:p w14:paraId="63F37D28" w14:textId="77777777" w:rsidR="00FF2169" w:rsidRDefault="00FF2169" w:rsidP="009D257F">
      <w:pPr>
        <w:spacing w:after="200" w:line="276" w:lineRule="auto"/>
        <w:ind w:left="-567"/>
        <w:jc w:val="left"/>
        <w:rPr>
          <w:rFonts w:cs="Arial"/>
          <w:sz w:val="24"/>
          <w:lang w:val="es-MX"/>
        </w:rPr>
      </w:pPr>
      <w:r w:rsidRPr="009D257F">
        <w:rPr>
          <w:rFonts w:cs="Arial"/>
          <w:sz w:val="24"/>
          <w:lang w:val="es-MX"/>
        </w:rPr>
        <w:br w:type="page"/>
      </w:r>
    </w:p>
    <w:p w14:paraId="0F15566E" w14:textId="77777777" w:rsidR="009D257F" w:rsidRDefault="009D257F" w:rsidP="009D257F">
      <w:pPr>
        <w:autoSpaceDE w:val="0"/>
        <w:autoSpaceDN w:val="0"/>
        <w:adjustRightInd w:val="0"/>
        <w:ind w:left="851" w:right="1015"/>
        <w:rPr>
          <w:rFonts w:eastAsiaTheme="minorHAnsi" w:cs="Arial"/>
          <w:b/>
          <w:color w:val="000000"/>
          <w:sz w:val="20"/>
          <w:szCs w:val="20"/>
          <w:lang w:val="es-MX" w:eastAsia="en-US"/>
        </w:rPr>
      </w:pPr>
    </w:p>
    <w:p w14:paraId="40A166D8" w14:textId="77777777" w:rsidR="009D257F" w:rsidRPr="00616CDC" w:rsidRDefault="009D257F" w:rsidP="009D257F">
      <w:pPr>
        <w:autoSpaceDE w:val="0"/>
        <w:autoSpaceDN w:val="0"/>
        <w:adjustRightInd w:val="0"/>
        <w:ind w:left="426" w:right="1015"/>
        <w:rPr>
          <w:rFonts w:eastAsiaTheme="minorHAnsi" w:cs="Arial"/>
          <w:b/>
          <w:color w:val="000000"/>
          <w:sz w:val="20"/>
          <w:szCs w:val="20"/>
          <w:lang w:val="es-MX" w:eastAsia="en-US"/>
        </w:rPr>
      </w:pPr>
      <w:r w:rsidRPr="00616CDC">
        <w:rPr>
          <w:rFonts w:eastAsiaTheme="minorHAnsi" w:cs="Arial"/>
          <w:b/>
          <w:color w:val="000000"/>
          <w:sz w:val="20"/>
          <w:szCs w:val="20"/>
          <w:lang w:val="es-MX" w:eastAsia="en-US"/>
        </w:rPr>
        <w:t>Saldo Neto Migratorio</w:t>
      </w:r>
      <w:r w:rsidRPr="00616CDC">
        <w:rPr>
          <w:rFonts w:eastAsiaTheme="minorHAnsi" w:cs="Arial"/>
          <w:b/>
          <w:color w:val="000000"/>
          <w:sz w:val="20"/>
          <w:szCs w:val="20"/>
          <w:vertAlign w:val="superscript"/>
          <w:lang w:val="es-MX" w:eastAsia="en-US"/>
        </w:rPr>
        <w:t>1</w:t>
      </w:r>
      <w:r w:rsidRPr="00616CDC">
        <w:rPr>
          <w:rFonts w:eastAsiaTheme="minorHAnsi" w:cs="Arial"/>
          <w:b/>
          <w:color w:val="000000"/>
          <w:sz w:val="20"/>
          <w:szCs w:val="20"/>
          <w:lang w:val="es-MX" w:eastAsia="en-US"/>
        </w:rPr>
        <w:t xml:space="preserve"> de la población de 5 años y más que en agosto de 2013 vivía en una entidad distinta a la que residía en 2018, por entidades seleccionadas</w:t>
      </w:r>
    </w:p>
    <w:p w14:paraId="0AF33EBE" w14:textId="77777777" w:rsidR="009D257F" w:rsidRPr="00616CDC" w:rsidRDefault="009D257F" w:rsidP="009D257F">
      <w:pPr>
        <w:autoSpaceDE w:val="0"/>
        <w:autoSpaceDN w:val="0"/>
        <w:adjustRightInd w:val="0"/>
        <w:ind w:left="426" w:right="1016"/>
        <w:rPr>
          <w:rFonts w:eastAsiaTheme="minorHAnsi" w:cs="Arial"/>
          <w:b/>
          <w:color w:val="000000"/>
          <w:sz w:val="20"/>
          <w:szCs w:val="20"/>
          <w:lang w:val="es-MX" w:eastAsia="en-US"/>
        </w:rPr>
      </w:pPr>
      <w:r w:rsidRPr="00616CDC">
        <w:rPr>
          <w:rFonts w:eastAsiaTheme="minorHAnsi" w:cs="Arial"/>
          <w:b/>
          <w:color w:val="000000"/>
          <w:sz w:val="20"/>
          <w:szCs w:val="20"/>
          <w:lang w:val="es-MX" w:eastAsia="en-US"/>
        </w:rPr>
        <w:t>2018</w:t>
      </w:r>
    </w:p>
    <w:p w14:paraId="30BAC36F" w14:textId="77777777" w:rsidR="009D257F" w:rsidRPr="007B716A" w:rsidRDefault="009D257F" w:rsidP="009D257F">
      <w:pPr>
        <w:autoSpaceDE w:val="0"/>
        <w:autoSpaceDN w:val="0"/>
        <w:adjustRightInd w:val="0"/>
        <w:ind w:left="426"/>
        <w:rPr>
          <w:rFonts w:cs="Arial"/>
          <w:sz w:val="18"/>
          <w:szCs w:val="22"/>
        </w:rPr>
      </w:pPr>
      <w:r w:rsidRPr="007B716A">
        <w:rPr>
          <w:rFonts w:eastAsiaTheme="minorHAnsi" w:cs="Arial"/>
          <w:color w:val="000000"/>
          <w:sz w:val="18"/>
          <w:szCs w:val="22"/>
          <w:lang w:val="es-MX" w:eastAsia="en-US"/>
        </w:rPr>
        <w:t>(porcentaje)</w:t>
      </w:r>
    </w:p>
    <w:p w14:paraId="07E84CF3" w14:textId="77777777" w:rsidR="009D257F" w:rsidRPr="00634B13" w:rsidRDefault="009D257F" w:rsidP="009D257F">
      <w:pPr>
        <w:autoSpaceDE w:val="0"/>
        <w:autoSpaceDN w:val="0"/>
        <w:adjustRightInd w:val="0"/>
        <w:rPr>
          <w:rFonts w:cs="Arial"/>
          <w:szCs w:val="22"/>
        </w:rPr>
      </w:pPr>
      <w:r w:rsidRPr="00634B13">
        <w:rPr>
          <w:rFonts w:cs="Arial"/>
          <w:noProof/>
          <w:szCs w:val="22"/>
          <w:lang w:val="en-US" w:eastAsia="en-US"/>
        </w:rPr>
        <w:drawing>
          <wp:anchor distT="0" distB="0" distL="114300" distR="114300" simplePos="0" relativeHeight="251680768" behindDoc="0" locked="0" layoutInCell="1" allowOverlap="1" wp14:anchorId="1B37000A" wp14:editId="28093C40">
            <wp:simplePos x="0" y="0"/>
            <wp:positionH relativeFrom="page">
              <wp:posOffset>1741170</wp:posOffset>
            </wp:positionH>
            <wp:positionV relativeFrom="paragraph">
              <wp:posOffset>66675</wp:posOffset>
            </wp:positionV>
            <wp:extent cx="4213860" cy="209677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5026" r="8839"/>
                    <a:stretch/>
                  </pic:blipFill>
                  <pic:spPr bwMode="auto">
                    <a:xfrm>
                      <a:off x="0" y="0"/>
                      <a:ext cx="4213860" cy="2096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CAEA9" w14:textId="77777777" w:rsidR="009D257F" w:rsidRPr="00634B13" w:rsidRDefault="009D257F" w:rsidP="009D257F">
      <w:pPr>
        <w:autoSpaceDE w:val="0"/>
        <w:autoSpaceDN w:val="0"/>
        <w:adjustRightInd w:val="0"/>
        <w:ind w:left="1560"/>
        <w:rPr>
          <w:rFonts w:cs="Arial"/>
          <w:szCs w:val="22"/>
        </w:rPr>
      </w:pPr>
    </w:p>
    <w:p w14:paraId="2E2585ED" w14:textId="77777777" w:rsidR="009D257F" w:rsidRPr="00634B13" w:rsidRDefault="009D257F" w:rsidP="009D257F">
      <w:pPr>
        <w:autoSpaceDE w:val="0"/>
        <w:autoSpaceDN w:val="0"/>
        <w:adjustRightInd w:val="0"/>
        <w:rPr>
          <w:rFonts w:cs="Arial"/>
          <w:szCs w:val="22"/>
        </w:rPr>
      </w:pPr>
    </w:p>
    <w:p w14:paraId="708FAABD" w14:textId="77777777" w:rsidR="009D257F" w:rsidRPr="00634B13" w:rsidRDefault="009D257F" w:rsidP="009D257F">
      <w:pPr>
        <w:autoSpaceDE w:val="0"/>
        <w:autoSpaceDN w:val="0"/>
        <w:adjustRightInd w:val="0"/>
        <w:rPr>
          <w:rFonts w:cs="Arial"/>
          <w:szCs w:val="22"/>
        </w:rPr>
      </w:pPr>
    </w:p>
    <w:p w14:paraId="5296061A" w14:textId="77777777" w:rsidR="009D257F" w:rsidRPr="00634B13" w:rsidRDefault="009D257F" w:rsidP="009D257F">
      <w:pPr>
        <w:autoSpaceDE w:val="0"/>
        <w:autoSpaceDN w:val="0"/>
        <w:adjustRightInd w:val="0"/>
        <w:rPr>
          <w:rFonts w:cs="Arial"/>
          <w:szCs w:val="22"/>
        </w:rPr>
      </w:pPr>
    </w:p>
    <w:p w14:paraId="6074ED95" w14:textId="77777777" w:rsidR="009D257F" w:rsidRPr="00634B13" w:rsidRDefault="009D257F" w:rsidP="009D257F">
      <w:pPr>
        <w:pStyle w:val="Textoindependienteprimerasangra2"/>
        <w:ind w:left="0" w:firstLine="0"/>
        <w:rPr>
          <w:rFonts w:eastAsiaTheme="minorHAnsi" w:cs="Arial"/>
          <w:szCs w:val="22"/>
          <w:lang w:val="es-MX" w:eastAsia="en-US"/>
        </w:rPr>
      </w:pPr>
    </w:p>
    <w:p w14:paraId="00CB5AAE" w14:textId="77777777" w:rsidR="009D257F" w:rsidRPr="00634B13" w:rsidRDefault="009D257F" w:rsidP="009D257F">
      <w:pPr>
        <w:pStyle w:val="Textoindependienteprimerasangra2"/>
        <w:ind w:left="0" w:firstLine="0"/>
        <w:rPr>
          <w:rFonts w:eastAsiaTheme="minorHAnsi" w:cs="Arial"/>
          <w:szCs w:val="22"/>
          <w:lang w:val="es-MX" w:eastAsia="en-US"/>
        </w:rPr>
      </w:pPr>
    </w:p>
    <w:p w14:paraId="146267C2" w14:textId="77777777" w:rsidR="009D257F" w:rsidRPr="00634B13" w:rsidRDefault="009D257F" w:rsidP="009D257F">
      <w:pPr>
        <w:pStyle w:val="Textoindependienteprimerasangra2"/>
        <w:ind w:left="0" w:firstLine="0"/>
        <w:rPr>
          <w:rFonts w:eastAsiaTheme="minorHAnsi" w:cs="Arial"/>
          <w:szCs w:val="22"/>
          <w:lang w:val="es-MX" w:eastAsia="en-US"/>
        </w:rPr>
      </w:pPr>
    </w:p>
    <w:p w14:paraId="1E3326D7" w14:textId="77777777" w:rsidR="009D257F" w:rsidRPr="00634B13" w:rsidRDefault="009D257F" w:rsidP="009D257F">
      <w:pPr>
        <w:pStyle w:val="Textoindependienteprimerasangra2"/>
        <w:ind w:left="0" w:firstLine="0"/>
        <w:rPr>
          <w:rFonts w:eastAsiaTheme="minorHAnsi" w:cs="Arial"/>
          <w:szCs w:val="22"/>
          <w:lang w:val="es-MX" w:eastAsia="en-US"/>
        </w:rPr>
      </w:pPr>
    </w:p>
    <w:p w14:paraId="2B65CF46" w14:textId="77777777" w:rsidR="009D257F" w:rsidRPr="00634B13" w:rsidRDefault="009D257F" w:rsidP="009D257F">
      <w:pPr>
        <w:pStyle w:val="Textoindependienteprimerasangra2"/>
        <w:ind w:left="0" w:firstLine="0"/>
        <w:rPr>
          <w:rFonts w:eastAsiaTheme="minorHAnsi" w:cs="Arial"/>
          <w:szCs w:val="22"/>
          <w:lang w:val="es-MX" w:eastAsia="en-US"/>
        </w:rPr>
      </w:pPr>
    </w:p>
    <w:p w14:paraId="7BCD855C" w14:textId="77777777" w:rsidR="009D257F" w:rsidRDefault="009D257F" w:rsidP="009D257F">
      <w:pPr>
        <w:pStyle w:val="Textoindependienteprimerasangra2"/>
        <w:ind w:left="0" w:firstLine="0"/>
        <w:rPr>
          <w:rFonts w:eastAsiaTheme="minorHAnsi" w:cs="Arial"/>
          <w:szCs w:val="22"/>
          <w:lang w:val="es-MX" w:eastAsia="en-US"/>
        </w:rPr>
      </w:pPr>
    </w:p>
    <w:p w14:paraId="16820336" w14:textId="77777777" w:rsidR="009D257F" w:rsidRPr="00634B13" w:rsidRDefault="009D257F" w:rsidP="009D257F">
      <w:pPr>
        <w:pStyle w:val="Textoindependienteprimerasangra2"/>
        <w:ind w:left="0" w:firstLine="0"/>
        <w:rPr>
          <w:rFonts w:eastAsiaTheme="minorHAnsi" w:cs="Arial"/>
          <w:szCs w:val="22"/>
          <w:lang w:val="es-MX" w:eastAsia="en-US"/>
        </w:rPr>
      </w:pPr>
    </w:p>
    <w:p w14:paraId="14C1F654" w14:textId="77777777" w:rsidR="009D257F" w:rsidRPr="00634B13" w:rsidRDefault="009D257F" w:rsidP="009D257F">
      <w:pPr>
        <w:pStyle w:val="Textoindependienteprimerasangra2"/>
        <w:ind w:left="0" w:firstLine="0"/>
        <w:rPr>
          <w:rFonts w:eastAsiaTheme="minorHAnsi" w:cs="Arial"/>
          <w:szCs w:val="22"/>
          <w:lang w:val="es-MX" w:eastAsia="en-US"/>
        </w:rPr>
      </w:pPr>
    </w:p>
    <w:p w14:paraId="7013A178" w14:textId="77777777" w:rsidR="009D257F" w:rsidRDefault="009D257F" w:rsidP="009D257F">
      <w:pPr>
        <w:pStyle w:val="Textoindependienteprimerasangra2"/>
        <w:ind w:left="0" w:firstLine="0"/>
        <w:rPr>
          <w:rFonts w:eastAsiaTheme="minorHAnsi" w:cs="Arial"/>
          <w:szCs w:val="22"/>
          <w:lang w:val="es-MX" w:eastAsia="en-US"/>
        </w:rPr>
      </w:pPr>
    </w:p>
    <w:p w14:paraId="3C267832" w14:textId="77777777" w:rsidR="007E42CC" w:rsidRDefault="007E42CC" w:rsidP="007E42CC">
      <w:pPr>
        <w:pStyle w:val="Textoindependienteprimerasangra2"/>
        <w:ind w:left="595" w:right="1015" w:hanging="113"/>
        <w:rPr>
          <w:rFonts w:cs="Arial"/>
          <w:color w:val="000000"/>
          <w:sz w:val="16"/>
          <w:szCs w:val="16"/>
          <w:lang w:val="es-MX" w:eastAsia="es-MX"/>
        </w:rPr>
      </w:pPr>
      <w:r w:rsidRPr="00E72AE6">
        <w:rPr>
          <w:rFonts w:eastAsiaTheme="minorHAnsi" w:cs="Arial"/>
          <w:szCs w:val="22"/>
          <w:vertAlign w:val="superscript"/>
          <w:lang w:val="es-MX" w:eastAsia="en-US"/>
        </w:rPr>
        <w:t>1</w:t>
      </w:r>
      <w:r>
        <w:rPr>
          <w:rFonts w:eastAsiaTheme="minorHAnsi" w:cs="Arial"/>
          <w:szCs w:val="22"/>
          <w:vertAlign w:val="superscript"/>
          <w:lang w:val="es-MX" w:eastAsia="en-US"/>
        </w:rPr>
        <w:t xml:space="preserve"> </w:t>
      </w:r>
      <w:r w:rsidRPr="009F0ECF">
        <w:rPr>
          <w:rFonts w:eastAsiaTheme="minorHAnsi" w:cs="Arial"/>
          <w:sz w:val="16"/>
          <w:szCs w:val="16"/>
          <w:lang w:val="es-MX" w:eastAsia="en-US"/>
        </w:rPr>
        <w:t xml:space="preserve">El </w:t>
      </w:r>
      <w:r w:rsidRPr="009F0ECF">
        <w:rPr>
          <w:rFonts w:cs="Arial"/>
          <w:color w:val="000000"/>
          <w:sz w:val="16"/>
          <w:szCs w:val="16"/>
          <w:lang w:val="es-MX" w:eastAsia="es-MX"/>
        </w:rPr>
        <w:t xml:space="preserve">Saldo Neto Migratorio representa </w:t>
      </w:r>
      <w:r w:rsidRPr="009F0ECF">
        <w:rPr>
          <w:rFonts w:eastAsiaTheme="minorHAnsi"/>
          <w:sz w:val="16"/>
          <w:szCs w:val="16"/>
          <w:lang w:val="es-MX" w:eastAsia="en-US"/>
        </w:rPr>
        <w:t>la pérdida (emigración) o ganancia (inmigración) de población de cada una de las entidades federativas</w:t>
      </w:r>
      <w:r>
        <w:rPr>
          <w:rFonts w:eastAsiaTheme="minorHAnsi"/>
          <w:sz w:val="16"/>
          <w:szCs w:val="16"/>
          <w:lang w:val="es-MX" w:eastAsia="en-US"/>
        </w:rPr>
        <w:t>.</w:t>
      </w:r>
      <w:r>
        <w:rPr>
          <w:rFonts w:cs="Arial"/>
          <w:color w:val="000000"/>
          <w:sz w:val="16"/>
          <w:szCs w:val="16"/>
          <w:lang w:val="es-MX" w:eastAsia="es-MX"/>
        </w:rPr>
        <w:t xml:space="preserve">  </w:t>
      </w:r>
    </w:p>
    <w:p w14:paraId="2ADDFCE4" w14:textId="77777777" w:rsidR="007E42CC" w:rsidRPr="00634B13" w:rsidRDefault="00833905" w:rsidP="00833905">
      <w:pPr>
        <w:pStyle w:val="Textoindependienteprimerasangra2"/>
        <w:ind w:left="992" w:right="1015" w:hanging="566"/>
        <w:rPr>
          <w:rFonts w:cs="Arial"/>
          <w:color w:val="000000"/>
          <w:sz w:val="16"/>
          <w:szCs w:val="16"/>
          <w:lang w:val="es-MX" w:eastAsia="es-MX"/>
        </w:rPr>
      </w:pPr>
      <w:r>
        <w:rPr>
          <w:rFonts w:cs="Arial"/>
          <w:color w:val="000000"/>
          <w:sz w:val="16"/>
          <w:szCs w:val="16"/>
          <w:lang w:val="es-MX" w:eastAsia="es-MX"/>
        </w:rPr>
        <w:t xml:space="preserve"> </w:t>
      </w:r>
      <w:r w:rsidR="007E42CC" w:rsidRPr="00AE082F">
        <w:rPr>
          <w:rFonts w:cs="Arial"/>
          <w:color w:val="000000"/>
          <w:sz w:val="16"/>
          <w:szCs w:val="16"/>
          <w:lang w:val="es-MX" w:eastAsia="es-MX"/>
        </w:rPr>
        <w:t>Nota</w:t>
      </w:r>
      <w:r w:rsidR="007E42CC">
        <w:rPr>
          <w:rFonts w:cs="Arial"/>
          <w:color w:val="000000"/>
          <w:sz w:val="16"/>
          <w:szCs w:val="16"/>
          <w:lang w:val="es-MX" w:eastAsia="es-MX"/>
        </w:rPr>
        <w:t>s</w:t>
      </w:r>
      <w:r w:rsidR="007E42CC" w:rsidRPr="00AE082F">
        <w:rPr>
          <w:rFonts w:cs="Arial"/>
          <w:color w:val="000000"/>
          <w:sz w:val="16"/>
          <w:szCs w:val="16"/>
          <w:lang w:val="es-MX" w:eastAsia="es-MX"/>
        </w:rPr>
        <w:t>: Se excluye a la población que no especifico su edad</w:t>
      </w:r>
      <w:r w:rsidR="007E42CC" w:rsidRPr="00634B13">
        <w:rPr>
          <w:rFonts w:cs="Arial"/>
          <w:color w:val="000000"/>
          <w:sz w:val="16"/>
          <w:szCs w:val="16"/>
          <w:lang w:val="es-MX" w:eastAsia="es-MX"/>
        </w:rPr>
        <w:t xml:space="preserve"> y a </w:t>
      </w:r>
      <w:r w:rsidR="007E42CC" w:rsidRPr="00AE082F">
        <w:rPr>
          <w:rFonts w:cs="Arial"/>
          <w:color w:val="000000"/>
          <w:sz w:val="16"/>
          <w:szCs w:val="16"/>
          <w:lang w:val="es-MX" w:eastAsia="es-MX"/>
        </w:rPr>
        <w:t>quienes no especificaron la entidad de residencia en agosto de 2013.</w:t>
      </w:r>
    </w:p>
    <w:p w14:paraId="213B91CB" w14:textId="77777777" w:rsidR="007E42CC" w:rsidRPr="00634B13" w:rsidRDefault="00833905" w:rsidP="00833905">
      <w:pPr>
        <w:pStyle w:val="Textoindependienteprimerasangra2"/>
        <w:ind w:left="1134" w:right="1015" w:hanging="708"/>
        <w:rPr>
          <w:rFonts w:eastAsiaTheme="minorHAnsi" w:cs="Arial"/>
          <w:sz w:val="16"/>
          <w:szCs w:val="16"/>
          <w:lang w:val="es-MX" w:eastAsia="en-US"/>
        </w:rPr>
      </w:pPr>
      <w:r>
        <w:rPr>
          <w:rFonts w:eastAsiaTheme="minorHAnsi" w:cs="Arial"/>
          <w:sz w:val="16"/>
          <w:szCs w:val="16"/>
          <w:lang w:val="es-MX" w:eastAsia="en-US"/>
        </w:rPr>
        <w:t xml:space="preserve"> Fuente</w:t>
      </w:r>
      <w:r w:rsidR="007E42CC" w:rsidRPr="00634B13">
        <w:rPr>
          <w:rFonts w:eastAsiaTheme="minorHAnsi" w:cs="Arial"/>
          <w:sz w:val="16"/>
          <w:szCs w:val="16"/>
          <w:lang w:val="es-MX" w:eastAsia="en-US"/>
        </w:rPr>
        <w:t>: INEGI. Encuesta Nacional de la Dinámica Demográfica, 2018. Base de datos. SNIEG, Información de Interés Nacional.</w:t>
      </w:r>
    </w:p>
    <w:p w14:paraId="0554DFDB" w14:textId="77777777" w:rsidR="009D257F" w:rsidRPr="007E42CC" w:rsidRDefault="009D257F" w:rsidP="009D257F">
      <w:pPr>
        <w:spacing w:after="200" w:line="276" w:lineRule="auto"/>
        <w:ind w:left="-567"/>
        <w:jc w:val="left"/>
        <w:rPr>
          <w:rFonts w:cs="Arial"/>
          <w:b/>
          <w:bCs/>
          <w:color w:val="000000" w:themeColor="text1"/>
          <w:sz w:val="12"/>
          <w:szCs w:val="12"/>
          <w:lang w:val="es-MX"/>
        </w:rPr>
      </w:pPr>
    </w:p>
    <w:p w14:paraId="241C967F" w14:textId="77777777" w:rsidR="009D257F" w:rsidRPr="00634B13" w:rsidRDefault="009D257F" w:rsidP="009D257F">
      <w:pPr>
        <w:ind w:left="-567"/>
        <w:rPr>
          <w:rFonts w:cs="Arial"/>
          <w:b/>
          <w:bCs/>
          <w:szCs w:val="22"/>
          <w:lang w:val="es-MX" w:eastAsia="es-MX"/>
        </w:rPr>
      </w:pPr>
      <w:r w:rsidRPr="00634B13">
        <w:rPr>
          <w:rFonts w:cs="Arial"/>
          <w:szCs w:val="22"/>
          <w:lang w:val="es-MX" w:eastAsia="es-MX"/>
        </w:rPr>
        <w:t xml:space="preserve">Para completar el panorama de la migración reciente es necesario examinar las causas por las cuales las personas deciden cambiar de entidad o país de residencia. Reunirse con la familia (43.3%), </w:t>
      </w:r>
      <w:r w:rsidR="00D86F5D">
        <w:rPr>
          <w:rFonts w:cs="Arial"/>
          <w:szCs w:val="22"/>
          <w:lang w:val="es-MX" w:eastAsia="es-MX"/>
        </w:rPr>
        <w:t>b</w:t>
      </w:r>
      <w:r w:rsidRPr="00634B13">
        <w:rPr>
          <w:rFonts w:cs="Arial"/>
          <w:szCs w:val="22"/>
          <w:lang w:val="es-MX" w:eastAsia="es-MX"/>
        </w:rPr>
        <w:t xml:space="preserve">uscar trabajo (18.2%) y cambio de trabajo (9.3%), son las principales causas </w:t>
      </w:r>
      <w:r>
        <w:rPr>
          <w:rFonts w:cs="Arial"/>
          <w:szCs w:val="22"/>
          <w:lang w:val="es-MX" w:eastAsia="es-MX"/>
        </w:rPr>
        <w:t xml:space="preserve">que provocaron que la población de cinco años o más saliera de </w:t>
      </w:r>
      <w:r w:rsidRPr="00634B13">
        <w:rPr>
          <w:rFonts w:cs="Arial"/>
          <w:szCs w:val="22"/>
          <w:lang w:val="es-MX" w:eastAsia="es-MX"/>
        </w:rPr>
        <w:t xml:space="preserve">la entidad en la que residía en 2013. En </w:t>
      </w:r>
      <w:r w:rsidR="007107D4" w:rsidRPr="00634B13">
        <w:rPr>
          <w:rFonts w:cs="Arial"/>
          <w:szCs w:val="22"/>
          <w:lang w:val="es-MX" w:eastAsia="es-MX"/>
        </w:rPr>
        <w:t>cambio,</w:t>
      </w:r>
      <w:r w:rsidR="00005B2B">
        <w:rPr>
          <w:rFonts w:cs="Arial"/>
          <w:szCs w:val="22"/>
          <w:lang w:val="es-MX" w:eastAsia="es-MX"/>
        </w:rPr>
        <w:t xml:space="preserve"> para el grupo de</w:t>
      </w:r>
      <w:r w:rsidRPr="00634B13">
        <w:rPr>
          <w:rFonts w:cs="Arial"/>
          <w:szCs w:val="22"/>
          <w:lang w:val="es-MX" w:eastAsia="es-MX"/>
        </w:rPr>
        <w:t xml:space="preserve"> personas que en 2013 vivían en otro país, las razones para llegar a residir a México son reunirse con la familia (49.9%), deportación (11.2%) y buscar trabajo (5.4</w:t>
      </w:r>
      <w:r>
        <w:rPr>
          <w:rFonts w:cs="Arial"/>
          <w:szCs w:val="22"/>
          <w:lang w:val="es-MX" w:eastAsia="es-MX"/>
        </w:rPr>
        <w:t xml:space="preserve"> por ciento</w:t>
      </w:r>
      <w:r w:rsidRPr="00634B13">
        <w:rPr>
          <w:rFonts w:cs="Arial"/>
          <w:szCs w:val="22"/>
          <w:lang w:val="es-MX" w:eastAsia="es-MX"/>
        </w:rPr>
        <w:t>).</w:t>
      </w:r>
    </w:p>
    <w:p w14:paraId="77C659FA" w14:textId="77777777" w:rsidR="009D257F" w:rsidRPr="00634B13" w:rsidRDefault="009D257F" w:rsidP="009D257F">
      <w:pPr>
        <w:pStyle w:val="Textoindependiente"/>
        <w:ind w:left="-567"/>
        <w:rPr>
          <w:rFonts w:eastAsiaTheme="minorHAnsi"/>
          <w:szCs w:val="22"/>
          <w:lang w:val="es-MX" w:eastAsia="en-US"/>
        </w:rPr>
      </w:pPr>
    </w:p>
    <w:p w14:paraId="0F76D5D7" w14:textId="77777777" w:rsidR="009D257F" w:rsidRPr="00B40D83" w:rsidRDefault="00442E9D" w:rsidP="009D257F">
      <w:pPr>
        <w:pStyle w:val="Textoindependiente"/>
        <w:ind w:left="-567"/>
        <w:rPr>
          <w:rFonts w:eastAsiaTheme="minorHAnsi"/>
          <w:b/>
          <w:szCs w:val="22"/>
          <w:lang w:val="es-MX" w:eastAsia="en-US"/>
        </w:rPr>
      </w:pPr>
      <w:r w:rsidRPr="00B40D83">
        <w:rPr>
          <w:rFonts w:eastAsiaTheme="minorHAnsi"/>
          <w:b/>
          <w:szCs w:val="22"/>
          <w:lang w:val="es-MX" w:eastAsia="en-US"/>
        </w:rPr>
        <w:t>MIGRACIÓN INTERNACIONAL</w:t>
      </w:r>
    </w:p>
    <w:p w14:paraId="5CF6630F" w14:textId="77777777" w:rsidR="009D257F" w:rsidRPr="00634B13" w:rsidRDefault="009D257F" w:rsidP="009D257F">
      <w:pPr>
        <w:pStyle w:val="Textoindependiente"/>
        <w:ind w:left="-567"/>
        <w:rPr>
          <w:rFonts w:eastAsiaTheme="minorHAnsi"/>
          <w:b/>
          <w:szCs w:val="22"/>
          <w:lang w:val="es-MX" w:eastAsia="en-US"/>
        </w:rPr>
      </w:pPr>
    </w:p>
    <w:p w14:paraId="73431B00" w14:textId="713A6F1F" w:rsidR="009D257F" w:rsidRPr="00EF0EA3" w:rsidRDefault="00F17C27" w:rsidP="009D257F">
      <w:pPr>
        <w:pStyle w:val="Textoindependiente"/>
        <w:ind w:left="-567"/>
        <w:rPr>
          <w:rFonts w:eastAsiaTheme="minorHAnsi"/>
          <w:szCs w:val="22"/>
          <w:lang w:val="es-MX" w:eastAsia="en-US"/>
        </w:rPr>
      </w:pPr>
      <w:r w:rsidRPr="00EF0EA3">
        <w:rPr>
          <w:rFonts w:eastAsiaTheme="minorHAnsi"/>
          <w:szCs w:val="22"/>
          <w:lang w:val="es-MX" w:eastAsia="en-US"/>
        </w:rPr>
        <w:t xml:space="preserve">Aunque la migración internacional es un fenómeno mundial, solo un grupo de países aporta la mayoría de personas que cruza las fronteras internacionales. </w:t>
      </w:r>
      <w:r w:rsidR="00A16EFF" w:rsidRPr="00EF0EA3">
        <w:rPr>
          <w:rFonts w:eastAsiaTheme="minorHAnsi"/>
          <w:szCs w:val="22"/>
          <w:lang w:val="es-MX" w:eastAsia="en-US"/>
        </w:rPr>
        <w:t>Según las Naciones Unidas</w:t>
      </w:r>
      <w:r w:rsidR="00AE0665">
        <w:rPr>
          <w:rFonts w:eastAsiaTheme="minorHAnsi"/>
          <w:szCs w:val="22"/>
          <w:lang w:val="es-MX" w:eastAsia="en-US"/>
        </w:rPr>
        <w:t>,</w:t>
      </w:r>
      <w:r w:rsidR="00A16EFF" w:rsidRPr="00EF0EA3">
        <w:rPr>
          <w:rFonts w:eastAsiaTheme="minorHAnsi"/>
          <w:szCs w:val="22"/>
          <w:lang w:val="es-MX" w:eastAsia="en-US"/>
        </w:rPr>
        <w:t xml:space="preserve"> </w:t>
      </w:r>
      <w:r w:rsidRPr="00EF0EA3">
        <w:rPr>
          <w:rFonts w:eastAsiaTheme="minorHAnsi"/>
          <w:szCs w:val="22"/>
          <w:lang w:val="es-MX" w:eastAsia="en-US"/>
        </w:rPr>
        <w:t xml:space="preserve">México </w:t>
      </w:r>
      <w:r w:rsidR="004457C6" w:rsidRPr="00EF0EA3">
        <w:rPr>
          <w:rFonts w:eastAsiaTheme="minorHAnsi"/>
          <w:szCs w:val="22"/>
          <w:lang w:val="es-MX" w:eastAsia="en-US"/>
        </w:rPr>
        <w:t xml:space="preserve">se encuentra entre </w:t>
      </w:r>
      <w:r w:rsidR="00EF0EA3">
        <w:rPr>
          <w:rFonts w:eastAsiaTheme="minorHAnsi"/>
          <w:szCs w:val="22"/>
          <w:lang w:val="es-MX" w:eastAsia="en-US"/>
        </w:rPr>
        <w:t>l</w:t>
      </w:r>
      <w:r w:rsidR="004457C6" w:rsidRPr="00EF0EA3">
        <w:rPr>
          <w:rFonts w:eastAsiaTheme="minorHAnsi"/>
          <w:szCs w:val="22"/>
          <w:lang w:val="es-MX" w:eastAsia="en-US"/>
        </w:rPr>
        <w:t xml:space="preserve">os </w:t>
      </w:r>
      <w:r w:rsidRPr="00EF0EA3">
        <w:rPr>
          <w:rFonts w:eastAsiaTheme="minorHAnsi"/>
          <w:szCs w:val="22"/>
          <w:lang w:val="es-MX" w:eastAsia="en-US"/>
        </w:rPr>
        <w:t xml:space="preserve">países con las </w:t>
      </w:r>
      <w:r w:rsidR="0075491B" w:rsidRPr="00EF0EA3">
        <w:rPr>
          <w:rFonts w:eastAsiaTheme="minorHAnsi"/>
          <w:szCs w:val="22"/>
          <w:lang w:val="es-MX" w:eastAsia="en-US"/>
        </w:rPr>
        <w:t>disgregaciones</w:t>
      </w:r>
      <w:r w:rsidRPr="00EF0EA3">
        <w:rPr>
          <w:rFonts w:eastAsiaTheme="minorHAnsi"/>
          <w:szCs w:val="22"/>
          <w:lang w:val="es-MX" w:eastAsia="en-US"/>
        </w:rPr>
        <w:t xml:space="preserve"> más grandes fuera de sus territorios (United Nations [UN], 2019). Una de las fuentes de información utilizadas en México para disponer de estadísticas sobre la migración internacional es la ENADID, la cual incluye una sección de preguntas dedicadas exclusivamente a este tema.</w:t>
      </w:r>
    </w:p>
    <w:p w14:paraId="706FC60F" w14:textId="77777777" w:rsidR="009D257F" w:rsidRDefault="009D257F" w:rsidP="009D257F">
      <w:pPr>
        <w:pStyle w:val="Textoindependiente"/>
        <w:ind w:left="-567"/>
        <w:rPr>
          <w:rFonts w:eastAsiaTheme="minorHAnsi"/>
          <w:szCs w:val="22"/>
          <w:lang w:val="es-MX" w:eastAsia="en-US"/>
        </w:rPr>
      </w:pPr>
    </w:p>
    <w:p w14:paraId="0B0E1F6B" w14:textId="2BA52B15" w:rsidR="002656DC" w:rsidRDefault="002656DC" w:rsidP="002656DC">
      <w:pPr>
        <w:pStyle w:val="Textoindependiente"/>
        <w:ind w:left="-567"/>
        <w:rPr>
          <w:rFonts w:eastAsiaTheme="minorHAnsi"/>
          <w:szCs w:val="22"/>
          <w:lang w:val="es-MX" w:eastAsia="en-US"/>
        </w:rPr>
      </w:pPr>
      <w:r w:rsidRPr="002656DC">
        <w:rPr>
          <w:rFonts w:eastAsiaTheme="minorHAnsi"/>
          <w:szCs w:val="22"/>
          <w:lang w:val="es-MX" w:eastAsia="en-US"/>
        </w:rPr>
        <w:t>Según los datos de esta encuesta, se estima que en el periodo de enero de 2013 a octubre de 2018, 760 mil personas salieron del país con la intención de trabajar, vivir o estudiar en el extranjero; cifra que es apenas mayor que lo registrado en el periodo de enero de 2009 a septiembre de 2014 en el que se tiene una estimación de 719 mil personas. La mediana de edad al momento de la migración, es de 28 años en ambos eventos, la mayoría de quienes salen del país lo hacen en el periodo de edad productiva</w:t>
      </w:r>
      <w:r w:rsidR="00405A07">
        <w:t xml:space="preserve">, </w:t>
      </w:r>
      <w:r w:rsidRPr="002656DC">
        <w:t>es decir, entre los 18 y 59 años.</w:t>
      </w:r>
    </w:p>
    <w:p w14:paraId="37D809FD" w14:textId="77777777" w:rsidR="009D257F" w:rsidRDefault="009D257F" w:rsidP="009D257F">
      <w:pPr>
        <w:tabs>
          <w:tab w:val="left" w:pos="1139"/>
        </w:tabs>
        <w:rPr>
          <w:rFonts w:cs="Arial"/>
          <w:sz w:val="24"/>
          <w:lang w:val="es-MX"/>
        </w:rPr>
      </w:pPr>
      <w:r>
        <w:rPr>
          <w:rFonts w:cs="Arial"/>
          <w:sz w:val="24"/>
          <w:lang w:val="es-MX"/>
        </w:rPr>
        <w:tab/>
      </w:r>
    </w:p>
    <w:p w14:paraId="7603F8A3" w14:textId="77777777" w:rsidR="009D257F" w:rsidRDefault="009D257F">
      <w:pPr>
        <w:spacing w:after="200" w:line="276" w:lineRule="auto"/>
        <w:jc w:val="left"/>
        <w:rPr>
          <w:rFonts w:cs="Arial"/>
          <w:sz w:val="24"/>
          <w:lang w:val="es-MX"/>
        </w:rPr>
      </w:pPr>
      <w:r>
        <w:rPr>
          <w:rFonts w:cs="Arial"/>
          <w:sz w:val="24"/>
          <w:lang w:val="es-MX"/>
        </w:rPr>
        <w:br w:type="page"/>
      </w:r>
    </w:p>
    <w:p w14:paraId="11667B3B" w14:textId="77777777" w:rsidR="009D257F" w:rsidRDefault="009D257F" w:rsidP="009D257F">
      <w:pPr>
        <w:tabs>
          <w:tab w:val="left" w:pos="1139"/>
        </w:tabs>
        <w:ind w:left="-567"/>
        <w:rPr>
          <w:rFonts w:cs="Arial"/>
          <w:sz w:val="24"/>
          <w:lang w:val="es-MX"/>
        </w:rPr>
      </w:pPr>
    </w:p>
    <w:p w14:paraId="23923D35" w14:textId="77777777" w:rsidR="009D257F" w:rsidRPr="002101BA" w:rsidRDefault="009D257F" w:rsidP="00942D8E">
      <w:pPr>
        <w:autoSpaceDE w:val="0"/>
        <w:autoSpaceDN w:val="0"/>
        <w:adjustRightInd w:val="0"/>
        <w:ind w:left="851"/>
        <w:rPr>
          <w:rFonts w:eastAsiaTheme="minorHAnsi" w:cs="Arial"/>
          <w:b/>
          <w:color w:val="000000"/>
          <w:sz w:val="20"/>
          <w:szCs w:val="20"/>
          <w:lang w:val="es-MX" w:eastAsia="en-US"/>
        </w:rPr>
      </w:pPr>
      <w:r>
        <w:rPr>
          <w:rFonts w:eastAsiaTheme="minorHAnsi" w:cs="Arial"/>
          <w:b/>
          <w:color w:val="000000"/>
          <w:sz w:val="20"/>
          <w:szCs w:val="20"/>
          <w:lang w:val="es-MX" w:eastAsia="en-US"/>
        </w:rPr>
        <w:t xml:space="preserve">Estructura </w:t>
      </w:r>
      <w:r w:rsidRPr="002101BA">
        <w:rPr>
          <w:rFonts w:eastAsiaTheme="minorHAnsi" w:cs="Arial"/>
          <w:b/>
          <w:color w:val="000000"/>
          <w:sz w:val="20"/>
          <w:szCs w:val="20"/>
          <w:lang w:val="es-MX" w:eastAsia="en-US"/>
        </w:rPr>
        <w:t>de la población migrante internacional</w:t>
      </w:r>
      <w:r>
        <w:rPr>
          <w:rFonts w:eastAsiaTheme="minorHAnsi" w:cs="Arial"/>
          <w:b/>
          <w:color w:val="000000"/>
          <w:sz w:val="20"/>
          <w:szCs w:val="20"/>
          <w:lang w:val="es-MX" w:eastAsia="en-US"/>
        </w:rPr>
        <w:t xml:space="preserve"> por edad al emigrar </w:t>
      </w:r>
      <w:r w:rsidRPr="002101BA">
        <w:rPr>
          <w:rFonts w:eastAsiaTheme="minorHAnsi" w:cs="Arial"/>
          <w:b/>
          <w:color w:val="000000"/>
          <w:sz w:val="20"/>
          <w:szCs w:val="20"/>
          <w:lang w:val="es-MX" w:eastAsia="en-US"/>
        </w:rPr>
        <w:t xml:space="preserve">y sexo </w:t>
      </w:r>
    </w:p>
    <w:p w14:paraId="3C42EBA0" w14:textId="77777777" w:rsidR="009D257F" w:rsidRPr="002101BA" w:rsidRDefault="009D257F" w:rsidP="00942D8E">
      <w:pPr>
        <w:pStyle w:val="Prrafodelista"/>
        <w:autoSpaceDE w:val="0"/>
        <w:autoSpaceDN w:val="0"/>
        <w:adjustRightInd w:val="0"/>
        <w:ind w:left="851"/>
        <w:jc w:val="both"/>
        <w:rPr>
          <w:rFonts w:ascii="Arial" w:eastAsiaTheme="minorHAnsi" w:hAnsi="Arial" w:cs="Arial"/>
          <w:b/>
          <w:color w:val="000000"/>
          <w:sz w:val="20"/>
          <w:szCs w:val="20"/>
          <w:lang w:val="es-MX" w:eastAsia="en-US"/>
        </w:rPr>
      </w:pPr>
      <w:r w:rsidRPr="002101BA">
        <w:rPr>
          <w:rFonts w:ascii="Arial" w:eastAsiaTheme="minorHAnsi" w:hAnsi="Arial" w:cs="Arial"/>
          <w:b/>
          <w:color w:val="000000"/>
          <w:sz w:val="20"/>
          <w:szCs w:val="20"/>
          <w:lang w:val="es-MX" w:eastAsia="en-US"/>
        </w:rPr>
        <w:t>2014,</w:t>
      </w:r>
      <w:r>
        <w:rPr>
          <w:rFonts w:ascii="Arial" w:eastAsiaTheme="minorHAnsi" w:hAnsi="Arial" w:cs="Arial"/>
          <w:b/>
          <w:color w:val="000000"/>
          <w:sz w:val="20"/>
          <w:szCs w:val="20"/>
          <w:lang w:val="es-MX" w:eastAsia="en-US"/>
        </w:rPr>
        <w:t xml:space="preserve"> </w:t>
      </w:r>
      <w:r w:rsidRPr="002101BA">
        <w:rPr>
          <w:rFonts w:ascii="Arial" w:eastAsiaTheme="minorHAnsi" w:hAnsi="Arial" w:cs="Arial"/>
          <w:b/>
          <w:color w:val="000000"/>
          <w:sz w:val="20"/>
          <w:szCs w:val="20"/>
          <w:lang w:val="es-MX" w:eastAsia="en-US"/>
        </w:rPr>
        <w:t>2018</w:t>
      </w:r>
    </w:p>
    <w:p w14:paraId="6E563D00" w14:textId="77777777" w:rsidR="009D257F" w:rsidRPr="007B716A" w:rsidRDefault="009D257F" w:rsidP="00942D8E">
      <w:pPr>
        <w:pStyle w:val="Prrafodelista"/>
        <w:autoSpaceDE w:val="0"/>
        <w:autoSpaceDN w:val="0"/>
        <w:adjustRightInd w:val="0"/>
        <w:ind w:left="851"/>
        <w:jc w:val="both"/>
        <w:rPr>
          <w:rFonts w:ascii="Arial" w:eastAsiaTheme="minorHAnsi" w:hAnsi="Arial" w:cs="Arial"/>
          <w:color w:val="000000"/>
          <w:sz w:val="18"/>
          <w:szCs w:val="18"/>
          <w:lang w:val="es-MX" w:eastAsia="en-US"/>
        </w:rPr>
      </w:pPr>
      <w:r w:rsidRPr="007B716A">
        <w:rPr>
          <w:rFonts w:ascii="Arial" w:eastAsiaTheme="minorHAnsi" w:hAnsi="Arial" w:cs="Arial"/>
          <w:color w:val="000000"/>
          <w:sz w:val="18"/>
          <w:szCs w:val="18"/>
          <w:lang w:val="es-MX" w:eastAsia="en-US"/>
        </w:rPr>
        <w:t>(porcentaje)</w:t>
      </w:r>
    </w:p>
    <w:p w14:paraId="7D6F2E12" w14:textId="77777777" w:rsidR="009D257F" w:rsidRPr="00634B13" w:rsidRDefault="009D257F" w:rsidP="009D257F">
      <w:pPr>
        <w:pStyle w:val="Prrafodelista"/>
        <w:autoSpaceDE w:val="0"/>
        <w:autoSpaceDN w:val="0"/>
        <w:adjustRightInd w:val="0"/>
        <w:ind w:left="0"/>
        <w:jc w:val="both"/>
        <w:rPr>
          <w:rFonts w:ascii="Arial" w:eastAsiaTheme="minorHAnsi" w:hAnsi="Arial" w:cs="Arial"/>
          <w:color w:val="000000"/>
          <w:sz w:val="22"/>
          <w:szCs w:val="22"/>
          <w:lang w:val="es-MX" w:eastAsia="en-US"/>
        </w:rPr>
      </w:pPr>
      <w:r w:rsidRPr="001B19B3">
        <w:rPr>
          <w:noProof/>
          <w:lang w:val="en-US" w:eastAsia="en-US"/>
        </w:rPr>
        <w:drawing>
          <wp:anchor distT="0" distB="0" distL="114300" distR="114300" simplePos="0" relativeHeight="251682816" behindDoc="0" locked="0" layoutInCell="1" allowOverlap="1" wp14:anchorId="05593B12" wp14:editId="4B3BD085">
            <wp:simplePos x="0" y="0"/>
            <wp:positionH relativeFrom="column">
              <wp:posOffset>686325</wp:posOffset>
            </wp:positionH>
            <wp:positionV relativeFrom="paragraph">
              <wp:posOffset>44064</wp:posOffset>
            </wp:positionV>
            <wp:extent cx="4657725" cy="294005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1702" t="2274" r="1865" b="2538"/>
                    <a:stretch/>
                  </pic:blipFill>
                  <pic:spPr bwMode="auto">
                    <a:xfrm>
                      <a:off x="0" y="0"/>
                      <a:ext cx="4657725" cy="294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475928" w14:textId="77777777" w:rsidR="009D257F" w:rsidRPr="00634B13" w:rsidRDefault="009D257F" w:rsidP="009D257F">
      <w:pPr>
        <w:pStyle w:val="Prrafodelista"/>
        <w:autoSpaceDE w:val="0"/>
        <w:autoSpaceDN w:val="0"/>
        <w:adjustRightInd w:val="0"/>
        <w:ind w:left="0"/>
        <w:jc w:val="both"/>
        <w:rPr>
          <w:rFonts w:ascii="Arial" w:eastAsiaTheme="minorHAnsi" w:hAnsi="Arial" w:cs="Arial"/>
          <w:color w:val="000000"/>
          <w:sz w:val="22"/>
          <w:szCs w:val="22"/>
          <w:lang w:val="es-MX" w:eastAsia="en-US"/>
        </w:rPr>
      </w:pPr>
    </w:p>
    <w:p w14:paraId="25342DAC" w14:textId="77777777" w:rsidR="009D257F" w:rsidRPr="00634B13" w:rsidRDefault="009D257F" w:rsidP="009D257F">
      <w:pPr>
        <w:pStyle w:val="Prrafodelista"/>
        <w:autoSpaceDE w:val="0"/>
        <w:autoSpaceDN w:val="0"/>
        <w:adjustRightInd w:val="0"/>
        <w:ind w:left="0"/>
        <w:jc w:val="both"/>
        <w:rPr>
          <w:rFonts w:ascii="Arial" w:eastAsiaTheme="minorHAnsi" w:hAnsi="Arial" w:cs="Arial"/>
          <w:color w:val="000000"/>
          <w:sz w:val="22"/>
          <w:szCs w:val="22"/>
          <w:lang w:val="es-MX" w:eastAsia="en-US"/>
        </w:rPr>
      </w:pPr>
    </w:p>
    <w:p w14:paraId="5DC8E6AA" w14:textId="77777777" w:rsidR="009D257F" w:rsidRPr="00634B13" w:rsidRDefault="009D257F" w:rsidP="009D257F">
      <w:pPr>
        <w:pStyle w:val="Prrafodelista"/>
        <w:autoSpaceDE w:val="0"/>
        <w:autoSpaceDN w:val="0"/>
        <w:adjustRightInd w:val="0"/>
        <w:ind w:left="0"/>
        <w:jc w:val="both"/>
        <w:rPr>
          <w:rFonts w:ascii="Arial" w:eastAsiaTheme="minorHAnsi" w:hAnsi="Arial" w:cs="Arial"/>
          <w:color w:val="000000"/>
          <w:sz w:val="22"/>
          <w:szCs w:val="22"/>
          <w:lang w:val="es-MX" w:eastAsia="en-US"/>
        </w:rPr>
      </w:pPr>
    </w:p>
    <w:p w14:paraId="7F45F706" w14:textId="77777777" w:rsidR="009D257F" w:rsidRPr="00634B13" w:rsidRDefault="009D257F" w:rsidP="009D257F">
      <w:pPr>
        <w:pStyle w:val="Prrafodelista"/>
        <w:autoSpaceDE w:val="0"/>
        <w:autoSpaceDN w:val="0"/>
        <w:adjustRightInd w:val="0"/>
        <w:ind w:left="0"/>
        <w:jc w:val="both"/>
        <w:rPr>
          <w:rFonts w:ascii="Arial" w:eastAsiaTheme="minorHAnsi" w:hAnsi="Arial" w:cs="Arial"/>
          <w:color w:val="000000"/>
          <w:sz w:val="22"/>
          <w:szCs w:val="22"/>
          <w:lang w:val="es-MX" w:eastAsia="en-US"/>
        </w:rPr>
      </w:pPr>
    </w:p>
    <w:p w14:paraId="3A229744" w14:textId="77777777" w:rsidR="009D257F" w:rsidRPr="00634B13" w:rsidRDefault="009D257F" w:rsidP="009D257F">
      <w:pPr>
        <w:pStyle w:val="Prrafodelista"/>
        <w:autoSpaceDE w:val="0"/>
        <w:autoSpaceDN w:val="0"/>
        <w:adjustRightInd w:val="0"/>
        <w:ind w:left="0"/>
        <w:jc w:val="both"/>
        <w:rPr>
          <w:rFonts w:ascii="Arial" w:eastAsiaTheme="minorHAnsi" w:hAnsi="Arial" w:cs="Arial"/>
          <w:color w:val="000000"/>
          <w:sz w:val="22"/>
          <w:szCs w:val="22"/>
          <w:lang w:val="es-MX" w:eastAsia="en-US"/>
        </w:rPr>
      </w:pPr>
    </w:p>
    <w:p w14:paraId="5C11EFBB" w14:textId="77777777" w:rsidR="009D257F" w:rsidRPr="00634B13" w:rsidRDefault="009D257F" w:rsidP="009D257F">
      <w:pPr>
        <w:pStyle w:val="Prrafodelista"/>
        <w:autoSpaceDE w:val="0"/>
        <w:autoSpaceDN w:val="0"/>
        <w:adjustRightInd w:val="0"/>
        <w:ind w:left="0"/>
        <w:jc w:val="both"/>
        <w:rPr>
          <w:rFonts w:ascii="Arial" w:eastAsiaTheme="minorHAnsi" w:hAnsi="Arial" w:cs="Arial"/>
          <w:color w:val="000000"/>
          <w:sz w:val="22"/>
          <w:szCs w:val="22"/>
          <w:lang w:val="es-MX" w:eastAsia="en-US"/>
        </w:rPr>
      </w:pPr>
    </w:p>
    <w:p w14:paraId="3726C595" w14:textId="77777777" w:rsidR="009D257F" w:rsidRPr="00634B13" w:rsidRDefault="009D257F" w:rsidP="009D257F">
      <w:pPr>
        <w:pStyle w:val="Prrafodelista"/>
        <w:autoSpaceDE w:val="0"/>
        <w:autoSpaceDN w:val="0"/>
        <w:adjustRightInd w:val="0"/>
        <w:jc w:val="both"/>
        <w:rPr>
          <w:rFonts w:ascii="Arial" w:eastAsiaTheme="minorHAnsi" w:hAnsi="Arial" w:cs="Arial"/>
          <w:color w:val="000000"/>
          <w:sz w:val="22"/>
          <w:szCs w:val="22"/>
          <w:lang w:val="es-MX" w:eastAsia="en-US"/>
        </w:rPr>
      </w:pPr>
    </w:p>
    <w:p w14:paraId="6576A724" w14:textId="77777777" w:rsidR="009D257F" w:rsidRPr="00634B13" w:rsidRDefault="009D257F" w:rsidP="009D257F">
      <w:pPr>
        <w:pStyle w:val="Prrafodelista"/>
        <w:autoSpaceDE w:val="0"/>
        <w:autoSpaceDN w:val="0"/>
        <w:adjustRightInd w:val="0"/>
        <w:jc w:val="both"/>
        <w:rPr>
          <w:rFonts w:ascii="Arial" w:eastAsiaTheme="minorHAnsi" w:hAnsi="Arial" w:cs="Arial"/>
          <w:color w:val="000000"/>
          <w:sz w:val="22"/>
          <w:szCs w:val="22"/>
          <w:lang w:val="es-MX" w:eastAsia="en-US"/>
        </w:rPr>
      </w:pPr>
    </w:p>
    <w:p w14:paraId="13F6EAE5" w14:textId="77777777" w:rsidR="009D257F" w:rsidRPr="00634B13" w:rsidRDefault="009D257F" w:rsidP="009D257F">
      <w:pPr>
        <w:pStyle w:val="Prrafodelista"/>
        <w:autoSpaceDE w:val="0"/>
        <w:autoSpaceDN w:val="0"/>
        <w:adjustRightInd w:val="0"/>
        <w:jc w:val="both"/>
        <w:rPr>
          <w:rFonts w:ascii="Arial" w:eastAsiaTheme="minorHAnsi" w:hAnsi="Arial" w:cs="Arial"/>
          <w:color w:val="000000"/>
          <w:sz w:val="22"/>
          <w:szCs w:val="22"/>
          <w:lang w:val="es-MX" w:eastAsia="en-US"/>
        </w:rPr>
      </w:pPr>
    </w:p>
    <w:p w14:paraId="029E0C5E" w14:textId="77777777" w:rsidR="009D257F" w:rsidRPr="00634B13" w:rsidRDefault="009D257F" w:rsidP="009D257F">
      <w:pPr>
        <w:pStyle w:val="Prrafodelista"/>
        <w:autoSpaceDE w:val="0"/>
        <w:autoSpaceDN w:val="0"/>
        <w:adjustRightInd w:val="0"/>
        <w:jc w:val="both"/>
        <w:rPr>
          <w:rFonts w:ascii="Arial" w:eastAsiaTheme="minorHAnsi" w:hAnsi="Arial" w:cs="Arial"/>
          <w:color w:val="000000"/>
          <w:sz w:val="22"/>
          <w:szCs w:val="22"/>
          <w:lang w:val="es-MX" w:eastAsia="en-US"/>
        </w:rPr>
      </w:pPr>
    </w:p>
    <w:p w14:paraId="044D15F8" w14:textId="77777777" w:rsidR="009D257F" w:rsidRPr="00634B13" w:rsidRDefault="009D257F" w:rsidP="009D257F">
      <w:pPr>
        <w:pStyle w:val="Prrafodelista"/>
        <w:autoSpaceDE w:val="0"/>
        <w:autoSpaceDN w:val="0"/>
        <w:adjustRightInd w:val="0"/>
        <w:jc w:val="both"/>
        <w:rPr>
          <w:rFonts w:ascii="Arial" w:eastAsiaTheme="minorHAnsi" w:hAnsi="Arial" w:cs="Arial"/>
          <w:color w:val="000000"/>
          <w:sz w:val="22"/>
          <w:szCs w:val="22"/>
          <w:lang w:val="es-MX" w:eastAsia="en-US"/>
        </w:rPr>
      </w:pPr>
    </w:p>
    <w:p w14:paraId="1C5077D5" w14:textId="77777777" w:rsidR="009D257F" w:rsidRPr="00634B13" w:rsidRDefault="009D257F" w:rsidP="009D257F">
      <w:pPr>
        <w:pStyle w:val="Prrafodelista"/>
        <w:autoSpaceDE w:val="0"/>
        <w:autoSpaceDN w:val="0"/>
        <w:adjustRightInd w:val="0"/>
        <w:jc w:val="both"/>
        <w:rPr>
          <w:rFonts w:ascii="Arial" w:eastAsiaTheme="minorHAnsi" w:hAnsi="Arial" w:cs="Arial"/>
          <w:color w:val="000000"/>
          <w:sz w:val="22"/>
          <w:szCs w:val="22"/>
          <w:lang w:val="es-MX" w:eastAsia="en-US"/>
        </w:rPr>
      </w:pPr>
    </w:p>
    <w:p w14:paraId="5611DB58" w14:textId="77777777" w:rsidR="009D257F" w:rsidRDefault="009D257F" w:rsidP="009D257F">
      <w:pPr>
        <w:pStyle w:val="Prrafodelista"/>
        <w:autoSpaceDE w:val="0"/>
        <w:autoSpaceDN w:val="0"/>
        <w:adjustRightInd w:val="0"/>
        <w:jc w:val="both"/>
        <w:rPr>
          <w:rFonts w:ascii="Arial" w:eastAsiaTheme="minorHAnsi" w:hAnsi="Arial" w:cs="Arial"/>
          <w:color w:val="000000"/>
          <w:sz w:val="22"/>
          <w:szCs w:val="22"/>
          <w:lang w:val="es-MX" w:eastAsia="en-US"/>
        </w:rPr>
      </w:pPr>
    </w:p>
    <w:p w14:paraId="061899AC" w14:textId="77777777" w:rsidR="009D257F" w:rsidRDefault="009D257F" w:rsidP="009D257F">
      <w:pPr>
        <w:pStyle w:val="Prrafodelista"/>
        <w:autoSpaceDE w:val="0"/>
        <w:autoSpaceDN w:val="0"/>
        <w:adjustRightInd w:val="0"/>
        <w:jc w:val="both"/>
        <w:rPr>
          <w:rFonts w:ascii="Arial" w:eastAsiaTheme="minorHAnsi" w:hAnsi="Arial" w:cs="Arial"/>
          <w:color w:val="000000"/>
          <w:sz w:val="22"/>
          <w:szCs w:val="22"/>
          <w:lang w:val="es-MX" w:eastAsia="en-US"/>
        </w:rPr>
      </w:pPr>
    </w:p>
    <w:p w14:paraId="78CC1D6B" w14:textId="77777777" w:rsidR="009D257F" w:rsidRDefault="009D257F" w:rsidP="009D257F">
      <w:pPr>
        <w:pStyle w:val="Prrafodelista"/>
        <w:autoSpaceDE w:val="0"/>
        <w:autoSpaceDN w:val="0"/>
        <w:adjustRightInd w:val="0"/>
        <w:jc w:val="both"/>
        <w:rPr>
          <w:rFonts w:ascii="Arial" w:eastAsiaTheme="minorHAnsi" w:hAnsi="Arial" w:cs="Arial"/>
          <w:color w:val="000000"/>
          <w:sz w:val="22"/>
          <w:szCs w:val="22"/>
          <w:lang w:val="es-MX" w:eastAsia="en-US"/>
        </w:rPr>
      </w:pPr>
    </w:p>
    <w:p w14:paraId="49918C14" w14:textId="77777777" w:rsidR="009D257F" w:rsidRDefault="009D257F" w:rsidP="009D257F">
      <w:pPr>
        <w:pStyle w:val="Prrafodelista"/>
        <w:autoSpaceDE w:val="0"/>
        <w:autoSpaceDN w:val="0"/>
        <w:adjustRightInd w:val="0"/>
        <w:jc w:val="both"/>
        <w:rPr>
          <w:rFonts w:ascii="Arial" w:eastAsiaTheme="minorHAnsi" w:hAnsi="Arial" w:cs="Arial"/>
          <w:color w:val="000000"/>
          <w:sz w:val="22"/>
          <w:szCs w:val="22"/>
          <w:lang w:val="es-MX" w:eastAsia="en-US"/>
        </w:rPr>
      </w:pPr>
    </w:p>
    <w:p w14:paraId="6FB7BEFE" w14:textId="77777777" w:rsidR="009D257F" w:rsidRDefault="009D257F" w:rsidP="009D257F">
      <w:pPr>
        <w:pStyle w:val="Prrafodelista"/>
        <w:autoSpaceDE w:val="0"/>
        <w:autoSpaceDN w:val="0"/>
        <w:adjustRightInd w:val="0"/>
        <w:jc w:val="both"/>
        <w:rPr>
          <w:rFonts w:ascii="Arial" w:eastAsiaTheme="minorHAnsi" w:hAnsi="Arial" w:cs="Arial"/>
          <w:color w:val="000000"/>
          <w:sz w:val="22"/>
          <w:szCs w:val="22"/>
          <w:lang w:val="es-MX" w:eastAsia="en-US"/>
        </w:rPr>
      </w:pPr>
    </w:p>
    <w:p w14:paraId="77270D68" w14:textId="77777777" w:rsidR="009D257F" w:rsidRDefault="009D257F" w:rsidP="009D257F">
      <w:pPr>
        <w:pStyle w:val="Prrafodelista"/>
        <w:autoSpaceDE w:val="0"/>
        <w:autoSpaceDN w:val="0"/>
        <w:adjustRightInd w:val="0"/>
        <w:jc w:val="both"/>
        <w:rPr>
          <w:rFonts w:ascii="Arial" w:eastAsiaTheme="minorHAnsi" w:hAnsi="Arial" w:cs="Arial"/>
          <w:color w:val="000000"/>
          <w:sz w:val="22"/>
          <w:szCs w:val="22"/>
          <w:lang w:val="es-MX" w:eastAsia="en-US"/>
        </w:rPr>
      </w:pPr>
    </w:p>
    <w:p w14:paraId="303A47CB" w14:textId="77777777" w:rsidR="009D257F" w:rsidRPr="00F255A1" w:rsidRDefault="009D257F" w:rsidP="00942D8E">
      <w:pPr>
        <w:pStyle w:val="Prrafodelista"/>
        <w:autoSpaceDE w:val="0"/>
        <w:autoSpaceDN w:val="0"/>
        <w:adjustRightInd w:val="0"/>
        <w:ind w:left="1276" w:right="1016" w:hanging="425"/>
        <w:jc w:val="both"/>
        <w:rPr>
          <w:rFonts w:ascii="Arial" w:eastAsiaTheme="minorHAnsi" w:hAnsi="Arial" w:cs="Arial"/>
          <w:color w:val="000000"/>
          <w:sz w:val="16"/>
          <w:szCs w:val="16"/>
          <w:lang w:val="es-MX" w:eastAsia="en-US"/>
        </w:rPr>
      </w:pPr>
      <w:r w:rsidRPr="00F255A1">
        <w:rPr>
          <w:rFonts w:ascii="Arial" w:eastAsiaTheme="minorHAnsi" w:hAnsi="Arial" w:cs="Arial"/>
          <w:color w:val="000000"/>
          <w:sz w:val="16"/>
          <w:szCs w:val="16"/>
          <w:lang w:val="es-MX" w:eastAsia="en-US"/>
        </w:rPr>
        <w:t>Nota: La suma de los porcentajes</w:t>
      </w:r>
      <w:r>
        <w:rPr>
          <w:rFonts w:ascii="Arial" w:eastAsiaTheme="minorHAnsi" w:hAnsi="Arial" w:cs="Arial"/>
          <w:color w:val="000000"/>
          <w:sz w:val="16"/>
          <w:szCs w:val="16"/>
          <w:lang w:val="es-MX" w:eastAsia="en-US"/>
        </w:rPr>
        <w:t xml:space="preserve"> por año</w:t>
      </w:r>
      <w:r w:rsidRPr="00F255A1">
        <w:rPr>
          <w:rFonts w:ascii="Arial" w:eastAsiaTheme="minorHAnsi" w:hAnsi="Arial" w:cs="Arial"/>
          <w:color w:val="000000"/>
          <w:sz w:val="16"/>
          <w:szCs w:val="16"/>
          <w:lang w:val="es-MX" w:eastAsia="en-US"/>
        </w:rPr>
        <w:t xml:space="preserve"> es menor a 100 debido a que no se incluye a quienes no especificaron su edad</w:t>
      </w:r>
      <w:r>
        <w:rPr>
          <w:rFonts w:ascii="Arial" w:eastAsiaTheme="minorHAnsi" w:hAnsi="Arial" w:cs="Arial"/>
          <w:color w:val="000000"/>
          <w:sz w:val="16"/>
          <w:szCs w:val="16"/>
          <w:lang w:val="es-MX" w:eastAsia="en-US"/>
        </w:rPr>
        <w:t xml:space="preserve"> al migrar</w:t>
      </w:r>
      <w:r w:rsidRPr="00F255A1">
        <w:rPr>
          <w:rFonts w:ascii="Arial" w:eastAsiaTheme="minorHAnsi" w:hAnsi="Arial" w:cs="Arial"/>
          <w:color w:val="000000"/>
          <w:sz w:val="16"/>
          <w:szCs w:val="16"/>
          <w:lang w:val="es-MX" w:eastAsia="en-US"/>
        </w:rPr>
        <w:t>.</w:t>
      </w:r>
      <w:r>
        <w:rPr>
          <w:rFonts w:ascii="Arial" w:eastAsiaTheme="minorHAnsi" w:hAnsi="Arial" w:cs="Arial"/>
          <w:color w:val="000000"/>
          <w:sz w:val="16"/>
          <w:szCs w:val="16"/>
          <w:lang w:val="es-MX" w:eastAsia="en-US"/>
        </w:rPr>
        <w:t xml:space="preserve"> El porcentaje se calcula con respecto al total de emigrantes internacionales en cada una de las versiones de la ENADID.</w:t>
      </w:r>
    </w:p>
    <w:p w14:paraId="46E0F7B5" w14:textId="77777777" w:rsidR="009D257F" w:rsidRPr="00616CDC" w:rsidRDefault="009D257F" w:rsidP="00942D8E">
      <w:pPr>
        <w:ind w:left="1418" w:right="1015" w:hanging="624"/>
        <w:rPr>
          <w:rFonts w:eastAsiaTheme="minorHAnsi" w:cs="Arial"/>
          <w:sz w:val="16"/>
          <w:szCs w:val="16"/>
          <w:lang w:val="es-MX" w:eastAsia="en-US"/>
        </w:rPr>
      </w:pPr>
      <w:r w:rsidRPr="00F255A1">
        <w:rPr>
          <w:rFonts w:eastAsiaTheme="minorHAnsi" w:cs="Arial"/>
          <w:sz w:val="16"/>
          <w:szCs w:val="16"/>
          <w:lang w:val="es-MX" w:eastAsia="en-US"/>
        </w:rPr>
        <w:t>Fuente: INEGI. Encuesta Nacional de la Dinámica Demográfica, 2014 y 2018. Base de datos. SNIEG, Información de Interés Nacional.</w:t>
      </w:r>
    </w:p>
    <w:p w14:paraId="3F8BC71A" w14:textId="77777777" w:rsidR="009D257F" w:rsidRDefault="00942D8E" w:rsidP="00942D8E">
      <w:pPr>
        <w:tabs>
          <w:tab w:val="left" w:pos="5234"/>
        </w:tabs>
        <w:ind w:left="-567"/>
        <w:rPr>
          <w:rFonts w:cs="Arial"/>
          <w:sz w:val="24"/>
          <w:lang w:val="es-MX"/>
        </w:rPr>
      </w:pPr>
      <w:r>
        <w:rPr>
          <w:rFonts w:cs="Arial"/>
          <w:sz w:val="24"/>
          <w:lang w:val="es-MX"/>
        </w:rPr>
        <w:tab/>
      </w:r>
    </w:p>
    <w:p w14:paraId="7061FCF2" w14:textId="77777777" w:rsidR="00B40D83" w:rsidRDefault="00B40D83" w:rsidP="00942D8E">
      <w:pPr>
        <w:pStyle w:val="Prrafodelista"/>
        <w:autoSpaceDE w:val="0"/>
        <w:autoSpaceDN w:val="0"/>
        <w:adjustRightInd w:val="0"/>
        <w:ind w:left="-567"/>
        <w:jc w:val="both"/>
        <w:rPr>
          <w:rFonts w:ascii="Arial" w:eastAsiaTheme="minorHAnsi" w:hAnsi="Arial" w:cs="Arial"/>
          <w:color w:val="000000"/>
          <w:sz w:val="22"/>
          <w:szCs w:val="22"/>
          <w:lang w:val="es-MX" w:eastAsia="en-US"/>
        </w:rPr>
      </w:pPr>
    </w:p>
    <w:p w14:paraId="7A31BB35" w14:textId="2C495CD7" w:rsidR="00B40D83" w:rsidRDefault="00B40D83" w:rsidP="00942D8E">
      <w:pPr>
        <w:pStyle w:val="Prrafodelista"/>
        <w:autoSpaceDE w:val="0"/>
        <w:autoSpaceDN w:val="0"/>
        <w:adjustRightInd w:val="0"/>
        <w:ind w:left="-567"/>
        <w:jc w:val="both"/>
        <w:rPr>
          <w:rFonts w:ascii="Arial" w:eastAsiaTheme="minorHAnsi" w:hAnsi="Arial" w:cs="Arial"/>
          <w:color w:val="000000"/>
          <w:sz w:val="22"/>
          <w:szCs w:val="22"/>
          <w:lang w:val="es-MX" w:eastAsia="en-US"/>
        </w:rPr>
      </w:pPr>
      <w:r w:rsidRPr="00B40D83">
        <w:rPr>
          <w:rFonts w:ascii="Arial" w:eastAsiaTheme="minorHAnsi" w:hAnsi="Arial" w:cs="Arial"/>
          <w:color w:val="000000"/>
          <w:sz w:val="22"/>
          <w:szCs w:val="22"/>
          <w:lang w:val="es-MX" w:eastAsia="en-US"/>
        </w:rPr>
        <w:t>Estados Unidos de América es el principal destino de los migrantes internacionales</w:t>
      </w:r>
      <w:r w:rsidR="00405A07">
        <w:rPr>
          <w:rFonts w:ascii="Arial" w:eastAsiaTheme="minorHAnsi" w:hAnsi="Arial" w:cs="Arial"/>
          <w:color w:val="000000"/>
          <w:sz w:val="22"/>
          <w:szCs w:val="22"/>
          <w:lang w:val="es-MX" w:eastAsia="en-US"/>
        </w:rPr>
        <w:t>. E</w:t>
      </w:r>
      <w:r w:rsidRPr="00B40D83">
        <w:rPr>
          <w:rFonts w:ascii="Arial" w:eastAsiaTheme="minorHAnsi" w:hAnsi="Arial" w:cs="Arial"/>
          <w:color w:val="000000"/>
          <w:sz w:val="22"/>
          <w:szCs w:val="22"/>
          <w:lang w:val="es-MX" w:eastAsia="en-US"/>
        </w:rPr>
        <w:t>n ambas versiones de la encuesta se mantiene sin muchos cambios</w:t>
      </w:r>
      <w:r w:rsidR="00405A07">
        <w:rPr>
          <w:rFonts w:ascii="Arial" w:eastAsiaTheme="minorHAnsi" w:hAnsi="Arial" w:cs="Arial"/>
          <w:color w:val="000000"/>
          <w:sz w:val="22"/>
          <w:szCs w:val="22"/>
          <w:lang w:val="es-MX" w:eastAsia="en-US"/>
        </w:rPr>
        <w:t>. E</w:t>
      </w:r>
      <w:r w:rsidRPr="00B40D83">
        <w:rPr>
          <w:rFonts w:ascii="Arial" w:eastAsiaTheme="minorHAnsi" w:hAnsi="Arial" w:cs="Arial"/>
          <w:color w:val="000000"/>
          <w:sz w:val="22"/>
          <w:szCs w:val="22"/>
          <w:lang w:val="es-MX" w:eastAsia="en-US"/>
        </w:rPr>
        <w:t>n 2014 la proporción fue de 86.3% y en 2018 de 84.8</w:t>
      </w:r>
      <w:r w:rsidR="00405A07">
        <w:rPr>
          <w:rFonts w:ascii="Arial" w:eastAsiaTheme="minorHAnsi" w:hAnsi="Arial" w:cs="Arial"/>
          <w:color w:val="000000"/>
          <w:sz w:val="22"/>
          <w:szCs w:val="22"/>
          <w:lang w:val="es-MX" w:eastAsia="en-US"/>
        </w:rPr>
        <w:t>%</w:t>
      </w:r>
      <w:r w:rsidRPr="00B40D83">
        <w:rPr>
          <w:rFonts w:ascii="Arial" w:eastAsiaTheme="minorHAnsi" w:hAnsi="Arial" w:cs="Arial"/>
          <w:color w:val="000000"/>
          <w:sz w:val="22"/>
          <w:szCs w:val="22"/>
          <w:lang w:val="es-MX" w:eastAsia="en-US"/>
        </w:rPr>
        <w:t>. En cuanto a la tenencia de algún documento que les permita el ingreso autorizado al vecino país del norte, se observan cambios importantes. En 2014, 56.1% de quienes emigraron hacia dicho territorio contaba con algún documento</w:t>
      </w:r>
      <w:r w:rsidR="00405A07">
        <w:rPr>
          <w:rFonts w:ascii="Arial" w:eastAsiaTheme="minorHAnsi" w:hAnsi="Arial" w:cs="Arial"/>
          <w:color w:val="000000"/>
          <w:sz w:val="22"/>
          <w:szCs w:val="22"/>
          <w:lang w:val="es-MX" w:eastAsia="en-US"/>
        </w:rPr>
        <w:t>;</w:t>
      </w:r>
      <w:r w:rsidRPr="00B40D83">
        <w:rPr>
          <w:rFonts w:ascii="Arial" w:eastAsiaTheme="minorHAnsi" w:hAnsi="Arial" w:cs="Arial"/>
          <w:color w:val="000000"/>
          <w:sz w:val="22"/>
          <w:szCs w:val="22"/>
          <w:lang w:val="es-MX" w:eastAsia="en-US"/>
        </w:rPr>
        <w:t xml:space="preserve"> en 2018 </w:t>
      </w:r>
      <w:r w:rsidR="00405A07">
        <w:rPr>
          <w:rFonts w:ascii="Arial" w:eastAsiaTheme="minorHAnsi" w:hAnsi="Arial" w:cs="Arial"/>
          <w:color w:val="000000"/>
          <w:sz w:val="22"/>
          <w:szCs w:val="22"/>
          <w:lang w:val="es-MX" w:eastAsia="en-US"/>
        </w:rPr>
        <w:t>esta cifra</w:t>
      </w:r>
      <w:r w:rsidRPr="00B40D83">
        <w:rPr>
          <w:rFonts w:ascii="Arial" w:eastAsiaTheme="minorHAnsi" w:hAnsi="Arial" w:cs="Arial"/>
          <w:color w:val="000000"/>
          <w:sz w:val="22"/>
          <w:szCs w:val="22"/>
          <w:lang w:val="es-MX" w:eastAsia="en-US"/>
        </w:rPr>
        <w:t xml:space="preserve"> se incrementó 14 puntos porcentuales (70.7 por ciento).</w:t>
      </w:r>
    </w:p>
    <w:p w14:paraId="60E7E4A7" w14:textId="77777777" w:rsidR="00B40D83" w:rsidRDefault="00B40D83" w:rsidP="00942D8E">
      <w:pPr>
        <w:pStyle w:val="Prrafodelista"/>
        <w:autoSpaceDE w:val="0"/>
        <w:autoSpaceDN w:val="0"/>
        <w:adjustRightInd w:val="0"/>
        <w:ind w:left="-567"/>
        <w:jc w:val="both"/>
        <w:rPr>
          <w:rFonts w:ascii="Arial" w:eastAsiaTheme="minorHAnsi" w:hAnsi="Arial" w:cs="Arial"/>
          <w:color w:val="000000"/>
          <w:sz w:val="22"/>
          <w:szCs w:val="22"/>
          <w:lang w:val="es-MX" w:eastAsia="en-US"/>
        </w:rPr>
      </w:pPr>
    </w:p>
    <w:p w14:paraId="3B3BB302" w14:textId="5C2F923F" w:rsidR="00942D8E" w:rsidRDefault="00B40D83" w:rsidP="00942D8E">
      <w:pPr>
        <w:autoSpaceDE w:val="0"/>
        <w:autoSpaceDN w:val="0"/>
        <w:adjustRightInd w:val="0"/>
        <w:ind w:left="-567"/>
        <w:rPr>
          <w:rFonts w:eastAsiaTheme="minorHAnsi" w:cs="Arial"/>
          <w:color w:val="000000"/>
          <w:szCs w:val="22"/>
          <w:lang w:val="es-MX" w:eastAsia="en-US"/>
        </w:rPr>
      </w:pPr>
      <w:r w:rsidRPr="00B40D83">
        <w:rPr>
          <w:rFonts w:eastAsiaTheme="minorHAnsi" w:cs="Arial"/>
          <w:color w:val="000000"/>
          <w:szCs w:val="22"/>
          <w:lang w:val="es-MX" w:eastAsia="en-US"/>
        </w:rPr>
        <w:t xml:space="preserve">Del total de personas que salieron del país hacia el extranjero, se ha visto una disminución sustancial de quienes regresan a vivir a México, luego de su experiencia migratoria. En 2014 </w:t>
      </w:r>
      <w:r w:rsidR="00405A07">
        <w:rPr>
          <w:rFonts w:eastAsiaTheme="minorHAnsi" w:cs="Arial"/>
          <w:color w:val="000000"/>
          <w:szCs w:val="22"/>
          <w:lang w:val="es-MX" w:eastAsia="en-US"/>
        </w:rPr>
        <w:t>l</w:t>
      </w:r>
      <w:r w:rsidRPr="00B40D83">
        <w:rPr>
          <w:rFonts w:eastAsiaTheme="minorHAnsi" w:cs="Arial"/>
          <w:color w:val="000000"/>
          <w:szCs w:val="22"/>
          <w:lang w:val="es-MX" w:eastAsia="en-US"/>
        </w:rPr>
        <w:t>a proporción fue de 45.7% y en 2018 de 37.7 por ciento.</w:t>
      </w:r>
    </w:p>
    <w:p w14:paraId="7C4F337B" w14:textId="77777777" w:rsidR="00B40D83" w:rsidRDefault="00B40D83" w:rsidP="00942D8E">
      <w:pPr>
        <w:autoSpaceDE w:val="0"/>
        <w:autoSpaceDN w:val="0"/>
        <w:adjustRightInd w:val="0"/>
        <w:ind w:left="-567"/>
        <w:rPr>
          <w:rFonts w:eastAsiaTheme="minorHAnsi" w:cs="Arial"/>
          <w:color w:val="000000"/>
          <w:szCs w:val="22"/>
          <w:lang w:val="es-MX" w:eastAsia="en-US"/>
        </w:rPr>
      </w:pPr>
    </w:p>
    <w:p w14:paraId="0576FB23" w14:textId="77777777" w:rsidR="00B40D83" w:rsidRDefault="00B40D83" w:rsidP="00942D8E">
      <w:pPr>
        <w:autoSpaceDE w:val="0"/>
        <w:autoSpaceDN w:val="0"/>
        <w:adjustRightInd w:val="0"/>
        <w:ind w:left="-567"/>
        <w:rPr>
          <w:rFonts w:eastAsiaTheme="minorHAnsi" w:cs="Arial"/>
          <w:color w:val="000000"/>
          <w:szCs w:val="22"/>
          <w:lang w:val="es-MX" w:eastAsia="en-US"/>
        </w:rPr>
      </w:pPr>
    </w:p>
    <w:p w14:paraId="408D0E29" w14:textId="77777777" w:rsidR="00942D8E" w:rsidRPr="00F85CB1" w:rsidRDefault="003E61F0" w:rsidP="00942D8E">
      <w:pPr>
        <w:ind w:left="-567"/>
        <w:rPr>
          <w:rFonts w:cs="Arial"/>
          <w:b/>
          <w:szCs w:val="22"/>
          <w:lang w:val="es-MX"/>
        </w:rPr>
      </w:pPr>
      <w:r w:rsidRPr="00F85CB1">
        <w:rPr>
          <w:rFonts w:cs="Arial"/>
          <w:b/>
          <w:szCs w:val="22"/>
          <w:lang w:val="es-MX"/>
        </w:rPr>
        <w:t>REFERENCIAS</w:t>
      </w:r>
    </w:p>
    <w:p w14:paraId="7E650751" w14:textId="77777777" w:rsidR="00942D8E" w:rsidRPr="00241FDF" w:rsidRDefault="00942D8E" w:rsidP="00942D8E">
      <w:pPr>
        <w:rPr>
          <w:rFonts w:cs="Arial"/>
          <w:szCs w:val="22"/>
          <w:lang w:val="es-MX"/>
        </w:rPr>
      </w:pPr>
    </w:p>
    <w:p w14:paraId="04D6B91F" w14:textId="77777777" w:rsidR="00942D8E" w:rsidRPr="00F85CB1" w:rsidRDefault="00942D8E" w:rsidP="00942D8E">
      <w:pPr>
        <w:ind w:left="142" w:hanging="720"/>
        <w:rPr>
          <w:rFonts w:cs="Arial"/>
        </w:rPr>
      </w:pPr>
      <w:r w:rsidRPr="00F85CB1">
        <w:rPr>
          <w:rFonts w:cs="Arial"/>
        </w:rPr>
        <w:t xml:space="preserve">Consejo Nacional de Población. (2001). </w:t>
      </w:r>
      <w:r w:rsidRPr="00F85CB1">
        <w:rPr>
          <w:rFonts w:cs="Arial"/>
          <w:i/>
        </w:rPr>
        <w:t>La población de México en el nuevo siglo</w:t>
      </w:r>
      <w:r w:rsidRPr="00F85CB1">
        <w:rPr>
          <w:rFonts w:cs="Arial"/>
        </w:rPr>
        <w:t xml:space="preserve">. </w:t>
      </w:r>
    </w:p>
    <w:p w14:paraId="3C889621" w14:textId="77777777" w:rsidR="00942D8E" w:rsidRPr="00F85CB1" w:rsidRDefault="00942D8E" w:rsidP="00942D8E">
      <w:pPr>
        <w:ind w:left="142" w:hanging="720"/>
      </w:pPr>
      <w:r w:rsidRPr="00F85CB1">
        <w:rPr>
          <w:rFonts w:cs="Arial"/>
        </w:rPr>
        <w:t xml:space="preserve">            </w:t>
      </w:r>
      <w:hyperlink r:id="rId23" w:history="1">
        <w:r w:rsidRPr="00F85CB1">
          <w:rPr>
            <w:rStyle w:val="Hipervnculo"/>
            <w:rFonts w:cs="Arial"/>
            <w:szCs w:val="22"/>
          </w:rPr>
          <w:t>http://www.conapo.gob.mx/es/CONAPO/La_poblacion_de_Mexico_en_el_nuevo_siglo</w:t>
        </w:r>
      </w:hyperlink>
    </w:p>
    <w:p w14:paraId="5EF44ED9" w14:textId="77777777" w:rsidR="00942D8E" w:rsidRPr="00F85CB1" w:rsidRDefault="00942D8E" w:rsidP="00942D8E">
      <w:pPr>
        <w:ind w:left="142" w:hanging="567"/>
        <w:rPr>
          <w:rFonts w:cs="Arial"/>
        </w:rPr>
      </w:pPr>
      <w:r w:rsidRPr="00F85CB1">
        <w:rPr>
          <w:rFonts w:cs="Arial"/>
        </w:rPr>
        <w:t xml:space="preserve"> </w:t>
      </w:r>
    </w:p>
    <w:p w14:paraId="5D81B305" w14:textId="77777777" w:rsidR="00942D8E" w:rsidRPr="00F85CB1" w:rsidRDefault="00942D8E" w:rsidP="00942D8E">
      <w:pPr>
        <w:ind w:left="142" w:hanging="720"/>
        <w:rPr>
          <w:rFonts w:cs="Arial"/>
        </w:rPr>
      </w:pPr>
      <w:r w:rsidRPr="00F85CB1">
        <w:rPr>
          <w:rFonts w:cs="Arial"/>
        </w:rPr>
        <w:t xml:space="preserve">Comisión Económica para América Latina y el Caribe. (2013). </w:t>
      </w:r>
      <w:r w:rsidRPr="00F85CB1">
        <w:rPr>
          <w:rFonts w:cs="Arial"/>
          <w:i/>
        </w:rPr>
        <w:t xml:space="preserve">Notas de la CEPAL. </w:t>
      </w:r>
      <w:r w:rsidRPr="00F85CB1">
        <w:rPr>
          <w:i/>
        </w:rPr>
        <w:t>Mejor educación y empleo para jóvenes son clave para aprovechar el bono demográfico.</w:t>
      </w:r>
      <w:r w:rsidRPr="00F85CB1">
        <w:t xml:space="preserve"> </w:t>
      </w:r>
      <w:hyperlink r:id="rId24" w:history="1">
        <w:r w:rsidRPr="00F85CB1">
          <w:rPr>
            <w:rStyle w:val="Hipervnculo"/>
            <w:rFonts w:cs="Arial"/>
            <w:szCs w:val="22"/>
          </w:rPr>
          <w:t>https://www.cepal.org/notas/75/EnFoco_3.html</w:t>
        </w:r>
      </w:hyperlink>
    </w:p>
    <w:p w14:paraId="53BDBF00" w14:textId="77777777" w:rsidR="00942D8E" w:rsidRPr="00F85CB1" w:rsidRDefault="00942D8E" w:rsidP="00942D8E">
      <w:pPr>
        <w:ind w:left="142" w:hanging="720"/>
        <w:rPr>
          <w:rFonts w:cs="Arial"/>
        </w:rPr>
      </w:pPr>
    </w:p>
    <w:p w14:paraId="31554A54" w14:textId="77777777" w:rsidR="00942D8E" w:rsidRPr="00F85CB1" w:rsidRDefault="00942D8E" w:rsidP="00942D8E">
      <w:pPr>
        <w:ind w:left="142" w:hanging="720"/>
        <w:rPr>
          <w:rFonts w:cs="Arial"/>
        </w:rPr>
      </w:pPr>
      <w:r w:rsidRPr="00F85CB1">
        <w:rPr>
          <w:rFonts w:cs="Arial"/>
        </w:rPr>
        <w:lastRenderedPageBreak/>
        <w:t xml:space="preserve">Gobierno de la República. (s.f.). </w:t>
      </w:r>
      <w:r w:rsidRPr="00F85CB1">
        <w:rPr>
          <w:rFonts w:cs="Arial"/>
          <w:i/>
        </w:rPr>
        <w:t>Estrategia Nacional para la Prevención del Embarazo en Adolescentes.</w:t>
      </w:r>
      <w:r w:rsidRPr="00F85CB1">
        <w:rPr>
          <w:rFonts w:cs="Arial"/>
        </w:rPr>
        <w:t xml:space="preserve"> </w:t>
      </w:r>
      <w:hyperlink r:id="rId25" w:history="1">
        <w:r w:rsidRPr="00F85CB1">
          <w:rPr>
            <w:rStyle w:val="Hipervnculo"/>
            <w:rFonts w:cs="Arial"/>
            <w:szCs w:val="22"/>
          </w:rPr>
          <w:t>http://www.conapo.gob.mx/work/models/CONAPO/Resource/2441/1/images/ENAPEA_V10.pdf</w:t>
        </w:r>
      </w:hyperlink>
    </w:p>
    <w:p w14:paraId="30113E80" w14:textId="77777777" w:rsidR="00942D8E" w:rsidRPr="00F85CB1" w:rsidRDefault="00942D8E" w:rsidP="00942D8E">
      <w:pPr>
        <w:ind w:left="142"/>
        <w:rPr>
          <w:rFonts w:cs="Arial"/>
          <w:szCs w:val="22"/>
        </w:rPr>
      </w:pPr>
    </w:p>
    <w:p w14:paraId="20978101" w14:textId="77777777" w:rsidR="00DE700F" w:rsidRDefault="00DE700F" w:rsidP="001932BF">
      <w:pPr>
        <w:ind w:left="142" w:hanging="720"/>
        <w:rPr>
          <w:rStyle w:val="Hipervnculo"/>
        </w:rPr>
      </w:pPr>
      <w:r w:rsidRPr="00A16EFF">
        <w:rPr>
          <w:rFonts w:cs="Arial"/>
          <w:bCs/>
        </w:rPr>
        <w:t>Instituto Nacional de Estadística y Geografía</w:t>
      </w:r>
      <w:r w:rsidR="00A16EFF">
        <w:rPr>
          <w:rFonts w:cs="Arial"/>
          <w:bCs/>
        </w:rPr>
        <w:t>.</w:t>
      </w:r>
      <w:r w:rsidRPr="00A16EFF">
        <w:rPr>
          <w:rFonts w:cs="Arial"/>
          <w:bCs/>
        </w:rPr>
        <w:t xml:space="preserve"> (s.f.). </w:t>
      </w:r>
      <w:r w:rsidRPr="00A16EFF">
        <w:rPr>
          <w:rFonts w:cs="Arial"/>
          <w:bCs/>
          <w:i/>
        </w:rPr>
        <w:t>Base de datos.</w:t>
      </w:r>
      <w:r w:rsidRPr="00A16EFF">
        <w:rPr>
          <w:rFonts w:cs="Arial"/>
          <w:bCs/>
        </w:rPr>
        <w:t xml:space="preserve"> </w:t>
      </w:r>
      <w:r w:rsidRPr="00A16EFF">
        <w:rPr>
          <w:rFonts w:cs="Arial"/>
          <w:bCs/>
          <w:i/>
        </w:rPr>
        <w:t>Encuesta Nacional de la Dinámica Demográfica 2018.</w:t>
      </w:r>
      <w:r w:rsidRPr="00A16EFF">
        <w:rPr>
          <w:rFonts w:cs="Arial"/>
          <w:bCs/>
        </w:rPr>
        <w:t xml:space="preserve"> SNIEG. Información de Interés Nacional. </w:t>
      </w:r>
      <w:hyperlink r:id="rId26" w:anchor="Microdatos" w:history="1">
        <w:r>
          <w:rPr>
            <w:rStyle w:val="Hipervnculo"/>
          </w:rPr>
          <w:t>https://www.inegi.org.mx/programas/enadid/2018/default.html#Microdatos</w:t>
        </w:r>
      </w:hyperlink>
    </w:p>
    <w:p w14:paraId="6F3CC84B" w14:textId="77777777" w:rsidR="00DE700F" w:rsidRDefault="00DE700F" w:rsidP="001932BF">
      <w:pPr>
        <w:ind w:left="142" w:hanging="720"/>
        <w:rPr>
          <w:rFonts w:cs="Arial"/>
        </w:rPr>
      </w:pPr>
    </w:p>
    <w:p w14:paraId="09DCE9A6" w14:textId="77777777" w:rsidR="001932BF" w:rsidRDefault="001932BF" w:rsidP="001932BF">
      <w:pPr>
        <w:ind w:left="142" w:hanging="720"/>
        <w:rPr>
          <w:rFonts w:cs="Arial"/>
        </w:rPr>
      </w:pPr>
      <w:r w:rsidRPr="00F85CB1">
        <w:rPr>
          <w:rFonts w:cs="Arial"/>
        </w:rPr>
        <w:t xml:space="preserve">Instituto Vasco de Estadística. (s.f.). </w:t>
      </w:r>
      <w:r w:rsidRPr="00F85CB1">
        <w:rPr>
          <w:rFonts w:cs="Arial"/>
          <w:i/>
        </w:rPr>
        <w:t>Saldo neto migratorio. EUSTAR</w:t>
      </w:r>
      <w:r w:rsidR="00F85CB1" w:rsidRPr="00F85CB1">
        <w:rPr>
          <w:rFonts w:cs="Arial"/>
          <w:i/>
        </w:rPr>
        <w:t>.</w:t>
      </w:r>
      <w:r w:rsidRPr="00F85CB1">
        <w:rPr>
          <w:rFonts w:cs="Arial"/>
        </w:rPr>
        <w:t xml:space="preserve"> </w:t>
      </w:r>
      <w:hyperlink r:id="rId27" w:history="1">
        <w:r w:rsidR="00005B2B" w:rsidRPr="00117C8A">
          <w:rPr>
            <w:rStyle w:val="Hipervnculo"/>
            <w:rFonts w:cs="Arial"/>
          </w:rPr>
          <w:t>https://www.eustat.eus/documentos/opt_0/tema_159/elem_1443/definicion.html</w:t>
        </w:r>
      </w:hyperlink>
    </w:p>
    <w:p w14:paraId="7AFC3747" w14:textId="77777777" w:rsidR="001932BF" w:rsidRPr="00F85CB1" w:rsidRDefault="001932BF" w:rsidP="00942D8E">
      <w:pPr>
        <w:ind w:left="142" w:hanging="720"/>
        <w:rPr>
          <w:rFonts w:cs="Arial"/>
          <w:szCs w:val="22"/>
          <w:lang w:val="es-MX"/>
        </w:rPr>
      </w:pPr>
    </w:p>
    <w:p w14:paraId="38E1A4EA" w14:textId="77777777" w:rsidR="00005B2B" w:rsidRDefault="00942D8E" w:rsidP="00942D8E">
      <w:pPr>
        <w:ind w:left="142" w:hanging="720"/>
        <w:rPr>
          <w:rFonts w:cs="Arial"/>
          <w:szCs w:val="22"/>
          <w:lang w:val="es-MX"/>
        </w:rPr>
      </w:pPr>
      <w:r w:rsidRPr="00F85CB1">
        <w:rPr>
          <w:rFonts w:cs="Arial"/>
          <w:szCs w:val="22"/>
          <w:lang w:val="es-MX"/>
        </w:rPr>
        <w:t xml:space="preserve">López, V.R. (2007). Medición de la migración con especial referencia a la fuente de datos censal (la medición de la migración en los Censos de Población y Vivienda en México). </w:t>
      </w:r>
      <w:r w:rsidRPr="00F85CB1">
        <w:rPr>
          <w:rFonts w:cs="Arial"/>
          <w:i/>
          <w:szCs w:val="22"/>
          <w:lang w:val="es-MX"/>
        </w:rPr>
        <w:t>Taller Nacional sobre Migración interna y desarrollo en México: diagnóstico, perspectivas y políticas</w:t>
      </w:r>
      <w:r w:rsidR="00255432">
        <w:rPr>
          <w:rFonts w:cs="Arial"/>
          <w:szCs w:val="22"/>
          <w:lang w:val="es-MX"/>
        </w:rPr>
        <w:t xml:space="preserve"> 16 de a</w:t>
      </w:r>
      <w:r w:rsidRPr="00F85CB1">
        <w:rPr>
          <w:rFonts w:cs="Arial"/>
          <w:szCs w:val="22"/>
          <w:lang w:val="es-MX"/>
        </w:rPr>
        <w:t>bril 2007, Ciudad de México, México.</w:t>
      </w:r>
    </w:p>
    <w:p w14:paraId="4380843E" w14:textId="77777777" w:rsidR="00942D8E" w:rsidRPr="00F85CB1" w:rsidRDefault="00942D8E" w:rsidP="00005B2B">
      <w:pPr>
        <w:tabs>
          <w:tab w:val="left" w:pos="426"/>
        </w:tabs>
        <w:rPr>
          <w:rFonts w:cs="Arial"/>
          <w:szCs w:val="22"/>
          <w:lang w:val="es-MX"/>
        </w:rPr>
      </w:pPr>
      <w:r w:rsidRPr="00F85CB1">
        <w:rPr>
          <w:rFonts w:cs="Arial"/>
          <w:szCs w:val="22"/>
          <w:lang w:val="es-MX"/>
        </w:rPr>
        <w:t xml:space="preserve"> </w:t>
      </w:r>
      <w:r w:rsidR="00005B2B">
        <w:rPr>
          <w:rFonts w:cs="Arial"/>
          <w:szCs w:val="22"/>
          <w:lang w:val="es-MX"/>
        </w:rPr>
        <w:t xml:space="preserve"> </w:t>
      </w:r>
      <w:hyperlink r:id="rId28" w:history="1">
        <w:r w:rsidRPr="00F85CB1">
          <w:rPr>
            <w:rStyle w:val="Hipervnculo"/>
            <w:rFonts w:cs="Arial"/>
            <w:szCs w:val="22"/>
          </w:rPr>
          <w:t>https://www.cepal.org/sites/default/files/courses/files/rlopez.pdf</w:t>
        </w:r>
      </w:hyperlink>
      <w:r w:rsidRPr="00F85CB1">
        <w:rPr>
          <w:rFonts w:cs="Arial"/>
          <w:szCs w:val="22"/>
          <w:lang w:val="es-MX"/>
        </w:rPr>
        <w:t xml:space="preserve"> </w:t>
      </w:r>
    </w:p>
    <w:p w14:paraId="345E1332" w14:textId="77777777" w:rsidR="00942D8E" w:rsidRPr="00F85CB1" w:rsidRDefault="00942D8E" w:rsidP="00942D8E">
      <w:pPr>
        <w:ind w:left="142"/>
        <w:rPr>
          <w:rFonts w:cs="Arial"/>
          <w:szCs w:val="22"/>
          <w:lang w:val="es-MX"/>
        </w:rPr>
      </w:pPr>
    </w:p>
    <w:p w14:paraId="18132262" w14:textId="77777777" w:rsidR="00942D8E" w:rsidRPr="00F85CB1" w:rsidRDefault="00942D8E" w:rsidP="00942D8E">
      <w:pPr>
        <w:ind w:left="142" w:hanging="720"/>
        <w:rPr>
          <w:rFonts w:cs="Arial"/>
        </w:rPr>
      </w:pPr>
      <w:r w:rsidRPr="00F85CB1">
        <w:rPr>
          <w:rFonts w:cs="Arial"/>
        </w:rPr>
        <w:t xml:space="preserve">Organización de las Naciones Unidas. (2019). </w:t>
      </w:r>
      <w:r w:rsidRPr="00F85CB1">
        <w:rPr>
          <w:rFonts w:cs="Arial"/>
          <w:i/>
        </w:rPr>
        <w:t>Perspectivas de la población mundial 2019.</w:t>
      </w:r>
      <w:r w:rsidRPr="00F85CB1">
        <w:rPr>
          <w:rFonts w:cs="Arial"/>
        </w:rPr>
        <w:t xml:space="preserve"> </w:t>
      </w:r>
      <w:hyperlink r:id="rId29" w:history="1">
        <w:r w:rsidRPr="00F85CB1">
          <w:rPr>
            <w:rStyle w:val="Hipervnculo"/>
            <w:szCs w:val="22"/>
          </w:rPr>
          <w:t>https://population.un.org/wpp/Download/Standard/Population/</w:t>
        </w:r>
      </w:hyperlink>
    </w:p>
    <w:p w14:paraId="311ACC70" w14:textId="77777777" w:rsidR="00942D8E" w:rsidRPr="00F85CB1" w:rsidRDefault="00942D8E" w:rsidP="00942D8E">
      <w:pPr>
        <w:ind w:left="142"/>
        <w:rPr>
          <w:rFonts w:cs="Arial"/>
        </w:rPr>
      </w:pPr>
    </w:p>
    <w:p w14:paraId="6C21BF6C" w14:textId="77777777" w:rsidR="00942D8E" w:rsidRPr="00F85CB1" w:rsidRDefault="00942D8E" w:rsidP="001932BF">
      <w:pPr>
        <w:ind w:left="142" w:hanging="709"/>
        <w:rPr>
          <w:rFonts w:cs="Arial"/>
          <w:bCs/>
        </w:rPr>
      </w:pPr>
      <w:r w:rsidRPr="00F85CB1">
        <w:rPr>
          <w:rFonts w:cs="Arial"/>
        </w:rPr>
        <w:t xml:space="preserve">Organización de las Naciones Unidas. (2011). </w:t>
      </w:r>
      <w:r w:rsidRPr="00F85CB1">
        <w:rPr>
          <w:rFonts w:cs="Arial"/>
          <w:i/>
          <w:iCs/>
        </w:rPr>
        <w:t>Noticias ONU. Mirada global historias humanas. El bono demográfico: una oportunidad para México.</w:t>
      </w:r>
      <w:r w:rsidRPr="00F85CB1">
        <w:rPr>
          <w:rFonts w:cs="Arial"/>
        </w:rPr>
        <w:t xml:space="preserve"> </w:t>
      </w:r>
      <w:hyperlink r:id="rId30" w:history="1">
        <w:r w:rsidRPr="00F85CB1">
          <w:rPr>
            <w:rStyle w:val="Hipervnculo"/>
            <w:szCs w:val="22"/>
          </w:rPr>
          <w:t>https://news.un.org/es/audio/2011/07/1394231</w:t>
        </w:r>
      </w:hyperlink>
    </w:p>
    <w:p w14:paraId="65B99129" w14:textId="77777777" w:rsidR="00942D8E" w:rsidRPr="00F85CB1" w:rsidRDefault="00942D8E" w:rsidP="00942D8E">
      <w:pPr>
        <w:ind w:left="142"/>
        <w:rPr>
          <w:rFonts w:cs="Arial"/>
          <w:bCs/>
        </w:rPr>
      </w:pPr>
    </w:p>
    <w:p w14:paraId="1B02C6B6" w14:textId="77777777" w:rsidR="00942D8E" w:rsidRPr="00F85CB1" w:rsidRDefault="00942D8E" w:rsidP="001932BF">
      <w:pPr>
        <w:ind w:left="142" w:hanging="709"/>
        <w:rPr>
          <w:rFonts w:cs="Arial"/>
          <w:bCs/>
        </w:rPr>
      </w:pPr>
      <w:r w:rsidRPr="00F85CB1">
        <w:rPr>
          <w:rFonts w:cs="Arial"/>
        </w:rPr>
        <w:t xml:space="preserve">Organización de las Naciones Unidas. </w:t>
      </w:r>
      <w:r w:rsidRPr="00F85CB1">
        <w:rPr>
          <w:lang w:eastAsia="es-MX"/>
        </w:rPr>
        <w:t xml:space="preserve">(s.f.). </w:t>
      </w:r>
      <w:r w:rsidRPr="00F85CB1">
        <w:rPr>
          <w:i/>
          <w:lang w:eastAsia="es-MX"/>
        </w:rPr>
        <w:t>Paz, dignidad e igualdad en un planeta sano. Envejecimiento.</w:t>
      </w:r>
      <w:r w:rsidRPr="00F85CB1">
        <w:rPr>
          <w:lang w:eastAsia="es-MX"/>
        </w:rPr>
        <w:t xml:space="preserve"> </w:t>
      </w:r>
      <w:r w:rsidRPr="00F85CB1">
        <w:rPr>
          <w:rStyle w:val="Hipervnculo"/>
          <w:szCs w:val="22"/>
        </w:rPr>
        <w:t>https://www.un.org/es/sections/issues-depth/ageing/index.html.</w:t>
      </w:r>
    </w:p>
    <w:p w14:paraId="548DEE69" w14:textId="77777777" w:rsidR="00942D8E" w:rsidRPr="00F85CB1" w:rsidRDefault="00942D8E" w:rsidP="00942D8E">
      <w:pPr>
        <w:ind w:left="142"/>
        <w:rPr>
          <w:rFonts w:eastAsiaTheme="minorHAnsi" w:cs="Arial"/>
          <w:szCs w:val="22"/>
          <w:lang w:eastAsia="en-US"/>
        </w:rPr>
      </w:pPr>
    </w:p>
    <w:p w14:paraId="6400181F" w14:textId="77777777" w:rsidR="00942D8E" w:rsidRPr="00875767" w:rsidRDefault="00942D8E" w:rsidP="00F85CB1">
      <w:pPr>
        <w:ind w:left="142" w:hanging="720"/>
        <w:rPr>
          <w:rStyle w:val="Hipervnculo"/>
          <w:lang w:val="en-US"/>
        </w:rPr>
      </w:pPr>
      <w:r w:rsidRPr="00F85CB1">
        <w:rPr>
          <w:rFonts w:eastAsiaTheme="minorHAnsi" w:cs="Arial"/>
          <w:szCs w:val="22"/>
          <w:lang w:val="es-MX" w:eastAsia="en-US"/>
        </w:rPr>
        <w:t xml:space="preserve">Organización Internacional para las Migraciones. (2019). </w:t>
      </w:r>
      <w:r w:rsidRPr="00F85CB1">
        <w:rPr>
          <w:rFonts w:eastAsiaTheme="minorHAnsi" w:cs="Arial"/>
          <w:i/>
          <w:szCs w:val="22"/>
          <w:lang w:val="es-MX" w:eastAsia="en-US"/>
        </w:rPr>
        <w:t xml:space="preserve">Informe sobre las Migraciones en el Mundo 2020. </w:t>
      </w:r>
      <w:r w:rsidRPr="00875767">
        <w:rPr>
          <w:rFonts w:eastAsiaTheme="minorHAnsi" w:cs="Arial"/>
          <w:i/>
          <w:szCs w:val="22"/>
          <w:lang w:val="en-US" w:eastAsia="en-US"/>
        </w:rPr>
        <w:t>OIM</w:t>
      </w:r>
      <w:r w:rsidRPr="00875767">
        <w:rPr>
          <w:rFonts w:eastAsiaTheme="minorHAnsi" w:cs="Arial"/>
          <w:szCs w:val="22"/>
          <w:lang w:val="en-US" w:eastAsia="en-US"/>
        </w:rPr>
        <w:t xml:space="preserve">. </w:t>
      </w:r>
      <w:hyperlink r:id="rId31" w:history="1">
        <w:r w:rsidRPr="00875767">
          <w:rPr>
            <w:rStyle w:val="Hipervnculo"/>
            <w:szCs w:val="22"/>
            <w:lang w:val="en-US"/>
          </w:rPr>
          <w:t>https://publications.iom.int/system/files/pdf/wmr_2020_es.pdf</w:t>
        </w:r>
      </w:hyperlink>
    </w:p>
    <w:p w14:paraId="72AA3F44" w14:textId="77777777" w:rsidR="00942D8E" w:rsidRPr="00875767" w:rsidRDefault="00942D8E" w:rsidP="00942D8E">
      <w:pPr>
        <w:ind w:left="142"/>
        <w:rPr>
          <w:rFonts w:eastAsiaTheme="minorHAnsi" w:cs="Arial"/>
          <w:szCs w:val="22"/>
          <w:lang w:val="en-US" w:eastAsia="en-US"/>
        </w:rPr>
      </w:pPr>
    </w:p>
    <w:p w14:paraId="084A0406" w14:textId="77777777" w:rsidR="00942D8E" w:rsidRPr="00F85CB1" w:rsidRDefault="00942D8E" w:rsidP="00942D8E">
      <w:pPr>
        <w:ind w:left="142" w:hanging="720"/>
        <w:rPr>
          <w:rStyle w:val="Hipervnculo"/>
        </w:rPr>
      </w:pPr>
      <w:r w:rsidRPr="00F85CB1">
        <w:rPr>
          <w:rFonts w:eastAsiaTheme="minorHAnsi" w:cs="Arial"/>
          <w:szCs w:val="22"/>
          <w:lang w:val="es-MX" w:eastAsia="en-US"/>
        </w:rPr>
        <w:t xml:space="preserve">Programa de las Naciones Unidas para el Desarrollo. (2009). </w:t>
      </w:r>
      <w:r w:rsidRPr="00F85CB1">
        <w:rPr>
          <w:rFonts w:eastAsiaTheme="minorHAnsi" w:cs="Arial"/>
          <w:i/>
          <w:szCs w:val="22"/>
          <w:lang w:val="es-MX" w:eastAsia="en-US"/>
        </w:rPr>
        <w:t>Información sobre Desarrollo Humano 2009. Superando barreras: Movilidad y desarrollo humanos. PNUD</w:t>
      </w:r>
      <w:r w:rsidRPr="00F85CB1">
        <w:rPr>
          <w:rFonts w:eastAsiaTheme="minorHAnsi" w:cs="Arial"/>
          <w:szCs w:val="22"/>
          <w:lang w:val="es-MX" w:eastAsia="en-US"/>
        </w:rPr>
        <w:t xml:space="preserve">. </w:t>
      </w:r>
      <w:hyperlink r:id="rId32" w:history="1">
        <w:r w:rsidRPr="00F85CB1">
          <w:rPr>
            <w:rStyle w:val="Hipervnculo"/>
            <w:szCs w:val="22"/>
          </w:rPr>
          <w:t>http://hdr.undp.org/sites/default/files/hdr_2009_es_complete.pdf</w:t>
        </w:r>
      </w:hyperlink>
    </w:p>
    <w:p w14:paraId="1A891873" w14:textId="77777777" w:rsidR="00942D8E" w:rsidRPr="00F85CB1" w:rsidRDefault="00942D8E" w:rsidP="00942D8E">
      <w:pPr>
        <w:ind w:left="142"/>
        <w:rPr>
          <w:rFonts w:eastAsiaTheme="minorHAnsi" w:cs="Arial"/>
          <w:szCs w:val="22"/>
          <w:lang w:eastAsia="en-US"/>
        </w:rPr>
      </w:pPr>
    </w:p>
    <w:p w14:paraId="187BA515" w14:textId="77777777" w:rsidR="00942D8E" w:rsidRPr="00B54B8A" w:rsidRDefault="00942D8E" w:rsidP="00005B2B">
      <w:pPr>
        <w:ind w:left="142" w:hanging="720"/>
        <w:rPr>
          <w:rFonts w:eastAsiaTheme="minorHAnsi" w:cs="Arial"/>
          <w:szCs w:val="22"/>
          <w:lang w:val="en-US" w:eastAsia="en-US"/>
        </w:rPr>
      </w:pPr>
      <w:r w:rsidRPr="00F85CB1">
        <w:rPr>
          <w:rFonts w:eastAsiaTheme="minorHAnsi" w:cs="Arial"/>
          <w:szCs w:val="22"/>
          <w:lang w:val="en-US" w:eastAsia="en-US"/>
        </w:rPr>
        <w:t xml:space="preserve">United Nations. (2018). </w:t>
      </w:r>
      <w:r w:rsidRPr="00F85CB1">
        <w:rPr>
          <w:rFonts w:cs="Arial"/>
          <w:i/>
          <w:szCs w:val="22"/>
          <w:lang w:val="en-US"/>
        </w:rPr>
        <w:t xml:space="preserve">International migration and development Report of the Secretary-General. </w:t>
      </w:r>
      <w:r w:rsidRPr="00B54B8A">
        <w:rPr>
          <w:rFonts w:cs="Arial"/>
          <w:i/>
          <w:szCs w:val="22"/>
          <w:lang w:val="en-US"/>
        </w:rPr>
        <w:t xml:space="preserve">UN General </w:t>
      </w:r>
      <w:r w:rsidR="00B93B03" w:rsidRPr="00B54B8A">
        <w:rPr>
          <w:rFonts w:cs="Arial"/>
          <w:i/>
          <w:szCs w:val="22"/>
          <w:lang w:val="en-US"/>
        </w:rPr>
        <w:t xml:space="preserve">Assembly </w:t>
      </w:r>
      <w:r w:rsidRPr="00B54B8A">
        <w:rPr>
          <w:rFonts w:cs="Arial"/>
          <w:i/>
          <w:szCs w:val="22"/>
          <w:lang w:val="en-US"/>
        </w:rPr>
        <w:t>A/73/286</w:t>
      </w:r>
      <w:r w:rsidRPr="00B54B8A">
        <w:rPr>
          <w:rFonts w:cs="Arial"/>
          <w:szCs w:val="22"/>
          <w:lang w:val="en-US"/>
        </w:rPr>
        <w:t>.</w:t>
      </w:r>
      <w:r w:rsidR="00005B2B" w:rsidRPr="00B54B8A">
        <w:rPr>
          <w:rFonts w:cs="Arial"/>
          <w:szCs w:val="22"/>
          <w:lang w:val="en-US"/>
        </w:rPr>
        <w:t xml:space="preserve"> </w:t>
      </w:r>
      <w:hyperlink r:id="rId33" w:history="1">
        <w:r w:rsidR="00005B2B" w:rsidRPr="00B54B8A">
          <w:rPr>
            <w:rStyle w:val="Hipervnculo"/>
            <w:szCs w:val="22"/>
            <w:lang w:val="en-US"/>
          </w:rPr>
          <w:t>https://documents-dds-ny.un.org/doc/UNDOC/LTD/N18/246/56/PDF/N1824656.pdf?OpenElement</w:t>
        </w:r>
      </w:hyperlink>
    </w:p>
    <w:p w14:paraId="5A78DE09" w14:textId="77777777" w:rsidR="00942D8E" w:rsidRPr="00B54B8A" w:rsidRDefault="00942D8E" w:rsidP="00942D8E">
      <w:pPr>
        <w:ind w:left="142"/>
        <w:rPr>
          <w:rFonts w:eastAsiaTheme="minorHAnsi" w:cs="Arial"/>
          <w:szCs w:val="22"/>
          <w:lang w:val="en-US" w:eastAsia="en-US"/>
        </w:rPr>
      </w:pPr>
    </w:p>
    <w:p w14:paraId="69EADD14" w14:textId="77777777" w:rsidR="00942D8E" w:rsidRPr="00875767" w:rsidRDefault="00942D8E" w:rsidP="00942D8E">
      <w:pPr>
        <w:ind w:left="142" w:hanging="720"/>
        <w:rPr>
          <w:rFonts w:eastAsiaTheme="minorHAnsi" w:cs="Arial"/>
          <w:szCs w:val="22"/>
          <w:lang w:val="en-US" w:eastAsia="en-US"/>
        </w:rPr>
      </w:pPr>
      <w:r w:rsidRPr="00F85CB1">
        <w:rPr>
          <w:rFonts w:eastAsiaTheme="minorHAnsi" w:cs="Arial"/>
          <w:szCs w:val="22"/>
          <w:lang w:val="en-US" w:eastAsia="en-US"/>
        </w:rPr>
        <w:t xml:space="preserve">United Nations. (2019). International migrants numbered 272 million in 2019, continuing an upward trend in all major world regions. </w:t>
      </w:r>
      <w:r w:rsidRPr="00875767">
        <w:rPr>
          <w:rFonts w:eastAsiaTheme="minorHAnsi" w:cs="Arial"/>
          <w:i/>
          <w:szCs w:val="22"/>
          <w:lang w:val="en-US" w:eastAsia="en-US"/>
        </w:rPr>
        <w:t>Population Facts</w:t>
      </w:r>
      <w:r w:rsidRPr="00875767">
        <w:rPr>
          <w:rFonts w:eastAsiaTheme="minorHAnsi" w:cs="Arial"/>
          <w:szCs w:val="22"/>
          <w:lang w:val="en-US" w:eastAsia="en-US"/>
        </w:rPr>
        <w:t xml:space="preserve">. September 2019 No. 2019/4. </w:t>
      </w:r>
    </w:p>
    <w:p w14:paraId="723031FD" w14:textId="77777777" w:rsidR="00942D8E" w:rsidRPr="00875767" w:rsidRDefault="00E77EF5" w:rsidP="00942D8E">
      <w:pPr>
        <w:ind w:left="142" w:hanging="11"/>
        <w:rPr>
          <w:rStyle w:val="Hipervnculo"/>
          <w:szCs w:val="22"/>
          <w:lang w:val="en-US"/>
        </w:rPr>
      </w:pPr>
      <w:hyperlink r:id="rId34" w:history="1">
        <w:r w:rsidR="00942D8E" w:rsidRPr="00875767">
          <w:rPr>
            <w:rStyle w:val="Hipervnculo"/>
            <w:szCs w:val="22"/>
            <w:lang w:val="en-US"/>
          </w:rPr>
          <w:t>https://www.un.org/en/development/desa/population/migration/publications/populationfacts/docs/MigrationStock2019_PopFacts_2019-04.pdf</w:t>
        </w:r>
      </w:hyperlink>
      <w:r w:rsidR="00942D8E" w:rsidRPr="00875767">
        <w:rPr>
          <w:rStyle w:val="Hipervnculo"/>
          <w:szCs w:val="22"/>
          <w:lang w:val="en-US"/>
        </w:rPr>
        <w:t xml:space="preserve"> </w:t>
      </w:r>
    </w:p>
    <w:p w14:paraId="3DFA9C10" w14:textId="77777777" w:rsidR="00942D8E" w:rsidRPr="00875767" w:rsidRDefault="00942D8E" w:rsidP="00942D8E">
      <w:pPr>
        <w:rPr>
          <w:rFonts w:cs="Arial"/>
          <w:b/>
          <w:lang w:val="en-US"/>
        </w:rPr>
      </w:pPr>
    </w:p>
    <w:p w14:paraId="5241F40B" w14:textId="77777777" w:rsidR="00942D8E" w:rsidRPr="00875767" w:rsidRDefault="00942D8E" w:rsidP="00942D8E">
      <w:pPr>
        <w:tabs>
          <w:tab w:val="left" w:pos="5234"/>
        </w:tabs>
        <w:ind w:left="-567"/>
        <w:rPr>
          <w:rFonts w:cs="Arial"/>
          <w:sz w:val="24"/>
          <w:lang w:val="en-US"/>
        </w:rPr>
      </w:pPr>
    </w:p>
    <w:sectPr w:rsidR="00942D8E" w:rsidRPr="00875767" w:rsidSect="0071694E">
      <w:headerReference w:type="default" r:id="rId35"/>
      <w:headerReference w:type="first" r:id="rId36"/>
      <w:footnotePr>
        <w:numRestart w:val="eachSect"/>
      </w:footnotePr>
      <w:type w:val="continuous"/>
      <w:pgSz w:w="12242" w:h="15842" w:code="1"/>
      <w:pgMar w:top="1418" w:right="1077" w:bottom="851" w:left="1701" w:header="567"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FABAE" w14:textId="77777777" w:rsidR="00E77EF5" w:rsidRDefault="00E77EF5">
      <w:r>
        <w:separator/>
      </w:r>
    </w:p>
  </w:endnote>
  <w:endnote w:type="continuationSeparator" w:id="0">
    <w:p w14:paraId="7EF42582" w14:textId="77777777" w:rsidR="00E77EF5" w:rsidRDefault="00E77EF5">
      <w:r>
        <w:continuationSeparator/>
      </w:r>
    </w:p>
  </w:endnote>
  <w:endnote w:type="continuationNotice" w:id="1">
    <w:p w14:paraId="4F22B5CF" w14:textId="77777777" w:rsidR="00E77EF5" w:rsidRDefault="00E77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AD2B2" w14:textId="77777777" w:rsidR="00CC6405" w:rsidRDefault="00CC6405">
    <w:pPr>
      <w:pStyle w:val="Piedepgina"/>
    </w:pPr>
  </w:p>
  <w:p w14:paraId="1AC1CE55" w14:textId="77777777" w:rsidR="00CC6405" w:rsidRPr="00CC6405" w:rsidRDefault="00CC6405" w:rsidP="00CC6405">
    <w:pPr>
      <w:pStyle w:val="Piedepgina"/>
      <w:jc w:val="center"/>
      <w:rPr>
        <w:b/>
        <w:bCs/>
        <w:color w:val="002060"/>
        <w:sz w:val="20"/>
        <w:szCs w:val="20"/>
      </w:rPr>
    </w:pPr>
    <w:r w:rsidRPr="00CC6405">
      <w:rPr>
        <w:b/>
        <w:bCs/>
        <w:color w:val="002060"/>
        <w:sz w:val="20"/>
        <w:szCs w:val="2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571BF" w14:textId="77777777" w:rsidR="00CC6405" w:rsidRPr="00CC6405" w:rsidRDefault="00CC6405" w:rsidP="00CC6405">
    <w:pPr>
      <w:pStyle w:val="Piedepgina"/>
      <w:jc w:val="center"/>
      <w:rPr>
        <w:b/>
        <w:bCs/>
        <w:color w:val="002060"/>
      </w:rPr>
    </w:pPr>
    <w:r w:rsidRPr="00CC6405">
      <w:rPr>
        <w:b/>
        <w:bCs/>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34FE3" w14:textId="77777777" w:rsidR="00E77EF5" w:rsidRDefault="00E77EF5">
      <w:r>
        <w:separator/>
      </w:r>
    </w:p>
  </w:footnote>
  <w:footnote w:type="continuationSeparator" w:id="0">
    <w:p w14:paraId="1BBEC32F" w14:textId="77777777" w:rsidR="00E77EF5" w:rsidRDefault="00E77EF5">
      <w:r>
        <w:continuationSeparator/>
      </w:r>
    </w:p>
  </w:footnote>
  <w:footnote w:type="continuationNotice" w:id="1">
    <w:p w14:paraId="7F8FE23B" w14:textId="77777777" w:rsidR="00E77EF5" w:rsidRDefault="00E77EF5"/>
  </w:footnote>
  <w:footnote w:id="2">
    <w:p w14:paraId="552E242F" w14:textId="77777777" w:rsidR="00DE700F" w:rsidRPr="007B65D0" w:rsidRDefault="00DE700F" w:rsidP="00DE700F">
      <w:pPr>
        <w:pStyle w:val="Textonotapie"/>
        <w:ind w:left="-426" w:hanging="142"/>
      </w:pPr>
      <w:r>
        <w:rPr>
          <w:rStyle w:val="Refdenotaalpie"/>
        </w:rPr>
        <w:footnoteRef/>
      </w:r>
      <w:r>
        <w:t xml:space="preserve"> </w:t>
      </w:r>
      <w:r>
        <w:rPr>
          <w:rFonts w:cs="Arial"/>
          <w:sz w:val="16"/>
          <w:szCs w:val="16"/>
        </w:rPr>
        <w:t>E</w:t>
      </w:r>
      <w:r w:rsidRPr="007B65D0">
        <w:rPr>
          <w:rFonts w:cs="Arial"/>
          <w:sz w:val="16"/>
          <w:szCs w:val="16"/>
        </w:rPr>
        <w:t>xpresa el número de dependientes económicos (0 a 14 años y 60 años y más) por cada 100 personas en edad de trabajar (15 a 59 años)</w:t>
      </w:r>
      <w:r>
        <w:rPr>
          <w:rFonts w:cs="Arial"/>
          <w:sz w:val="16"/>
          <w:szCs w:val="16"/>
        </w:rPr>
        <w:t>.</w:t>
      </w:r>
    </w:p>
  </w:footnote>
  <w:footnote w:id="3">
    <w:p w14:paraId="662F0C2B" w14:textId="77777777" w:rsidR="002656DC" w:rsidRDefault="002656DC" w:rsidP="002656DC">
      <w:pPr>
        <w:pStyle w:val="Textonotapie"/>
        <w:ind w:left="-426" w:hanging="142"/>
        <w:rPr>
          <w:rFonts w:cs="Arial"/>
          <w:sz w:val="16"/>
          <w:szCs w:val="16"/>
        </w:rPr>
      </w:pPr>
      <w:r>
        <w:rPr>
          <w:rStyle w:val="Refdenotaalpie"/>
        </w:rPr>
        <w:footnoteRef/>
      </w:r>
      <w:r>
        <w:t xml:space="preserve"> </w:t>
      </w:r>
      <w:r>
        <w:rPr>
          <w:rFonts w:cs="Arial"/>
          <w:sz w:val="16"/>
          <w:szCs w:val="16"/>
        </w:rPr>
        <w:t>E</w:t>
      </w:r>
      <w:r w:rsidRPr="00376FF4">
        <w:rPr>
          <w:rFonts w:cs="Arial"/>
          <w:sz w:val="16"/>
          <w:szCs w:val="16"/>
        </w:rPr>
        <w:t>s la diferencia entre las entradas y las salidas por migración; en consecuencia, el signo positivo indica que las entradas superan las salidas y</w:t>
      </w:r>
      <w:r>
        <w:rPr>
          <w:rFonts w:cs="Arial"/>
          <w:sz w:val="16"/>
          <w:szCs w:val="16"/>
        </w:rPr>
        <w:t xml:space="preserve"> el signo negativo</w:t>
      </w:r>
      <w:r w:rsidRPr="00376FF4">
        <w:rPr>
          <w:rFonts w:cs="Arial"/>
          <w:sz w:val="16"/>
          <w:szCs w:val="16"/>
        </w:rPr>
        <w:t xml:space="preserve"> indica que las salidas superan las entradas (Instituto Vasco de Estadística [EUSTAT], s.f.)</w:t>
      </w:r>
      <w:r>
        <w:rPr>
          <w:rFonts w:cs="Arial"/>
          <w:sz w:val="16"/>
          <w:szCs w:val="16"/>
        </w:rPr>
        <w:t>.</w:t>
      </w:r>
    </w:p>
    <w:p w14:paraId="35F2B972" w14:textId="77777777" w:rsidR="002656DC" w:rsidRPr="00133A6B" w:rsidRDefault="002656DC" w:rsidP="002656DC">
      <w:pPr>
        <w:pStyle w:val="Textonotapie"/>
        <w:ind w:left="-426" w:hanging="142"/>
        <w:rPr>
          <w:rFonts w:cs="Arial"/>
          <w:sz w:val="4"/>
          <w:szCs w:val="4"/>
        </w:rPr>
      </w:pPr>
    </w:p>
  </w:footnote>
  <w:footnote w:id="4">
    <w:p w14:paraId="3BC10C80" w14:textId="77777777" w:rsidR="002656DC" w:rsidRDefault="002656DC" w:rsidP="002656DC">
      <w:pPr>
        <w:pStyle w:val="Textonotapie"/>
        <w:ind w:left="-426" w:hanging="153"/>
        <w:rPr>
          <w:rFonts w:cs="Arial"/>
          <w:sz w:val="16"/>
          <w:szCs w:val="16"/>
        </w:rPr>
      </w:pPr>
      <w:r>
        <w:rPr>
          <w:rStyle w:val="Refdenotaalpie"/>
        </w:rPr>
        <w:footnoteRef/>
      </w:r>
      <w:r>
        <w:t xml:space="preserve"> </w:t>
      </w:r>
      <w:r w:rsidRPr="00914371">
        <w:rPr>
          <w:rFonts w:cs="Arial"/>
          <w:sz w:val="16"/>
          <w:szCs w:val="16"/>
        </w:rPr>
        <w:t>Se refiere al número de personas que en agosto 2013 vivían en otra entidad y que llegaron a vivir a la entidad en la cual fueron registradas en 2018.</w:t>
      </w:r>
    </w:p>
    <w:p w14:paraId="78096C47" w14:textId="77777777" w:rsidR="002656DC" w:rsidRPr="00133A6B" w:rsidRDefault="002656DC" w:rsidP="002656DC">
      <w:pPr>
        <w:pStyle w:val="Textonotapie"/>
        <w:ind w:left="-426" w:hanging="153"/>
        <w:rPr>
          <w:sz w:val="4"/>
          <w:szCs w:val="4"/>
          <w:lang w:val="es-MX"/>
        </w:rPr>
      </w:pPr>
    </w:p>
  </w:footnote>
  <w:footnote w:id="5">
    <w:p w14:paraId="1C8BE192" w14:textId="77777777" w:rsidR="002656DC" w:rsidRDefault="002656DC" w:rsidP="002656DC">
      <w:pPr>
        <w:pStyle w:val="Textonotapie"/>
        <w:ind w:left="-567"/>
        <w:rPr>
          <w:lang w:val="es-MX"/>
        </w:rPr>
      </w:pPr>
      <w:r>
        <w:rPr>
          <w:rStyle w:val="Refdenotaalpie"/>
        </w:rPr>
        <w:footnoteRef/>
      </w:r>
      <w:r>
        <w:t xml:space="preserve"> </w:t>
      </w:r>
      <w:r w:rsidRPr="00914371">
        <w:rPr>
          <w:rFonts w:cs="Arial"/>
          <w:sz w:val="16"/>
          <w:szCs w:val="16"/>
        </w:rPr>
        <w:t>Se refiere a las personas que en 2013 vivían en una entidad y que en 2018 habían dejado de vivir en ella.</w:t>
      </w:r>
      <w:r>
        <w:rPr>
          <w:lang w:val="es-MX"/>
        </w:rPr>
        <w:t xml:space="preserve"> </w:t>
      </w:r>
    </w:p>
    <w:p w14:paraId="3D596898" w14:textId="77777777" w:rsidR="002656DC" w:rsidRPr="00914371" w:rsidRDefault="002656DC" w:rsidP="002656DC">
      <w:pPr>
        <w:pStyle w:val="Textonotapie"/>
        <w:ind w:left="-567"/>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EE39E" w14:textId="77777777" w:rsidR="00CC6405" w:rsidRPr="00A36C24" w:rsidRDefault="00CC6405" w:rsidP="00CC6405">
    <w:pPr>
      <w:spacing w:line="265" w:lineRule="exact"/>
      <w:ind w:right="353"/>
      <w:jc w:val="right"/>
      <w:rPr>
        <w:rFonts w:eastAsia="Arial" w:cs="Arial"/>
        <w:sz w:val="24"/>
      </w:rPr>
    </w:pPr>
    <w:r>
      <w:rPr>
        <w:noProof/>
        <w:lang w:val="en-US" w:eastAsia="en-US"/>
      </w:rPr>
      <w:drawing>
        <wp:anchor distT="0" distB="0" distL="114300" distR="114300" simplePos="0" relativeHeight="251662336" behindDoc="0" locked="0" layoutInCell="1" allowOverlap="1" wp14:anchorId="1A829A99" wp14:editId="1F71B1B5">
          <wp:simplePos x="0" y="0"/>
          <wp:positionH relativeFrom="margin">
            <wp:posOffset>-304800</wp:posOffset>
          </wp:positionH>
          <wp:positionV relativeFrom="margin">
            <wp:posOffset>-940435</wp:posOffset>
          </wp:positionV>
          <wp:extent cx="775278" cy="805260"/>
          <wp:effectExtent l="0" t="0" r="635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78" cy="805260"/>
                  </a:xfrm>
                  <a:prstGeom prst="rect">
                    <a:avLst/>
                  </a:prstGeom>
                  <a:noFill/>
                  <a:ln>
                    <a:noFill/>
                  </a:ln>
                </pic:spPr>
              </pic:pic>
            </a:graphicData>
          </a:graphic>
        </wp:anchor>
      </w:drawing>
    </w:r>
    <w:r w:rsidRPr="00A36C24">
      <w:rPr>
        <w:b/>
        <w:color w:val="002060"/>
        <w:sz w:val="24"/>
      </w:rPr>
      <w:t>COMUNICADO</w:t>
    </w:r>
    <w:r w:rsidRPr="00A36C24">
      <w:rPr>
        <w:b/>
        <w:color w:val="002060"/>
        <w:spacing w:val="-11"/>
        <w:sz w:val="24"/>
      </w:rPr>
      <w:t xml:space="preserve"> </w:t>
    </w:r>
    <w:r w:rsidRPr="00A36C24">
      <w:rPr>
        <w:b/>
        <w:color w:val="002060"/>
        <w:sz w:val="24"/>
      </w:rPr>
      <w:t>DE</w:t>
    </w:r>
    <w:r w:rsidRPr="00A36C24">
      <w:rPr>
        <w:b/>
        <w:color w:val="002060"/>
        <w:spacing w:val="-11"/>
        <w:sz w:val="24"/>
      </w:rPr>
      <w:t xml:space="preserve"> P</w:t>
    </w:r>
    <w:r w:rsidRPr="00A36C24">
      <w:rPr>
        <w:b/>
        <w:color w:val="002060"/>
        <w:spacing w:val="-1"/>
        <w:sz w:val="24"/>
      </w:rPr>
      <w:t>RENSA</w:t>
    </w:r>
    <w:r w:rsidRPr="00A36C24">
      <w:rPr>
        <w:b/>
        <w:color w:val="002060"/>
        <w:spacing w:val="-11"/>
        <w:sz w:val="24"/>
      </w:rPr>
      <w:t xml:space="preserve"> </w:t>
    </w:r>
    <w:r w:rsidRPr="00A36C24">
      <w:rPr>
        <w:b/>
        <w:color w:val="002060"/>
        <w:sz w:val="24"/>
      </w:rPr>
      <w:t xml:space="preserve">NÚM. </w:t>
    </w:r>
    <w:r>
      <w:rPr>
        <w:b/>
        <w:color w:val="002060"/>
        <w:sz w:val="24"/>
      </w:rPr>
      <w:t>XXX</w:t>
    </w:r>
    <w:r w:rsidRPr="00A36C24">
      <w:rPr>
        <w:b/>
        <w:color w:val="002060"/>
        <w:sz w:val="24"/>
      </w:rPr>
      <w:t>/</w:t>
    </w:r>
    <w:r>
      <w:rPr>
        <w:b/>
        <w:color w:val="002060"/>
        <w:sz w:val="24"/>
      </w:rPr>
      <w:t>20</w:t>
    </w:r>
    <w:r w:rsidRPr="00A36C24">
      <w:rPr>
        <w:b/>
        <w:color w:val="002060"/>
        <w:spacing w:val="-11"/>
        <w:sz w:val="24"/>
      </w:rPr>
      <w:t xml:space="preserve"> </w:t>
    </w:r>
  </w:p>
  <w:p w14:paraId="0D7EF58D" w14:textId="77777777" w:rsidR="00CC6405" w:rsidRDefault="00E570F3" w:rsidP="00CC6405">
    <w:pPr>
      <w:ind w:right="353"/>
      <w:jc w:val="right"/>
      <w:rPr>
        <w:b/>
        <w:color w:val="002060"/>
        <w:sz w:val="24"/>
      </w:rPr>
    </w:pPr>
    <w:r>
      <w:rPr>
        <w:b/>
        <w:color w:val="002060"/>
        <w:sz w:val="24"/>
      </w:rPr>
      <w:t>1</w:t>
    </w:r>
    <w:r w:rsidR="002B22FE">
      <w:rPr>
        <w:b/>
        <w:color w:val="002060"/>
        <w:sz w:val="24"/>
      </w:rPr>
      <w:t>1</w:t>
    </w:r>
    <w:r w:rsidR="00B53E59">
      <w:rPr>
        <w:b/>
        <w:color w:val="002060"/>
        <w:sz w:val="24"/>
      </w:rPr>
      <w:t xml:space="preserve"> </w:t>
    </w:r>
    <w:r w:rsidR="00C46361">
      <w:rPr>
        <w:b/>
        <w:color w:val="002060"/>
        <w:sz w:val="24"/>
      </w:rPr>
      <w:t xml:space="preserve">DE </w:t>
    </w:r>
    <w:r w:rsidR="002B22FE">
      <w:rPr>
        <w:b/>
        <w:color w:val="002060"/>
        <w:sz w:val="24"/>
      </w:rPr>
      <w:t>JULIO</w:t>
    </w:r>
    <w:r w:rsidR="00CC6405" w:rsidRPr="00A36C24">
      <w:rPr>
        <w:b/>
        <w:color w:val="002060"/>
        <w:spacing w:val="-6"/>
        <w:sz w:val="24"/>
      </w:rPr>
      <w:t xml:space="preserve"> </w:t>
    </w:r>
    <w:r w:rsidR="00CC6405" w:rsidRPr="00A36C24">
      <w:rPr>
        <w:b/>
        <w:color w:val="002060"/>
        <w:sz w:val="24"/>
      </w:rPr>
      <w:t>DE</w:t>
    </w:r>
    <w:r w:rsidR="00CC6405" w:rsidRPr="00A36C24">
      <w:rPr>
        <w:b/>
        <w:color w:val="002060"/>
        <w:spacing w:val="-5"/>
        <w:sz w:val="24"/>
      </w:rPr>
      <w:t xml:space="preserve"> </w:t>
    </w:r>
    <w:r w:rsidR="00CC6405" w:rsidRPr="00A36C24">
      <w:rPr>
        <w:b/>
        <w:color w:val="002060"/>
        <w:sz w:val="24"/>
      </w:rPr>
      <w:t>20</w:t>
    </w:r>
    <w:r w:rsidR="00CC6405">
      <w:rPr>
        <w:b/>
        <w:color w:val="002060"/>
        <w:sz w:val="24"/>
      </w:rPr>
      <w:t>20</w:t>
    </w:r>
  </w:p>
  <w:p w14:paraId="5A9ECAD5" w14:textId="77777777" w:rsidR="00CC6405" w:rsidRPr="00CC6405" w:rsidRDefault="00CC6405" w:rsidP="00CC6405">
    <w:pPr>
      <w:pStyle w:val="Encabezado"/>
      <w:ind w:right="353"/>
      <w:jc w:val="right"/>
    </w:pPr>
    <w:r w:rsidRPr="00A36C24">
      <w:rPr>
        <w:b/>
        <w:color w:val="002060"/>
        <w:sz w:val="24"/>
      </w:rPr>
      <w:t>PÁGINA</w:t>
    </w:r>
    <w:r w:rsidRPr="00A36C24">
      <w:rPr>
        <w:b/>
        <w:color w:val="002060"/>
        <w:spacing w:val="-13"/>
        <w:sz w:val="24"/>
      </w:rPr>
      <w:t xml:space="preserve"> </w:t>
    </w:r>
    <w:r w:rsidR="00AE0110">
      <w:rPr>
        <w:b/>
        <w:noProof/>
        <w:color w:val="002060"/>
        <w:sz w:val="24"/>
      </w:rPr>
      <w:t>2</w:t>
    </w:r>
    <w:r w:rsidRPr="00A36C24">
      <w:rPr>
        <w:b/>
        <w:color w:val="002060"/>
        <w:sz w:val="24"/>
      </w:rPr>
      <w:t>/2</w:t>
    </w:r>
  </w:p>
  <w:p w14:paraId="18D83874" w14:textId="77777777" w:rsidR="00CC6405" w:rsidRDefault="00CC64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8055" w14:textId="218EA3F3" w:rsidR="00CC6405" w:rsidRPr="00A36C24" w:rsidRDefault="00CC6405" w:rsidP="00CC6405">
    <w:pPr>
      <w:framePr w:w="6178" w:hSpace="141" w:vSpace="141" w:wrap="auto" w:vAnchor="page" w:hAnchor="page" w:x="5335" w:y="541"/>
      <w:spacing w:line="265" w:lineRule="exact"/>
      <w:ind w:right="353"/>
      <w:jc w:val="right"/>
      <w:rPr>
        <w:rFonts w:eastAsia="Arial" w:cs="Arial"/>
        <w:sz w:val="24"/>
      </w:rPr>
    </w:pPr>
    <w:r w:rsidRPr="00A36C24">
      <w:rPr>
        <w:b/>
        <w:color w:val="002060"/>
        <w:sz w:val="24"/>
      </w:rPr>
      <w:t>COMUNICADO</w:t>
    </w:r>
    <w:r w:rsidRPr="00A36C24">
      <w:rPr>
        <w:b/>
        <w:color w:val="002060"/>
        <w:spacing w:val="-11"/>
        <w:sz w:val="24"/>
      </w:rPr>
      <w:t xml:space="preserve"> </w:t>
    </w:r>
    <w:r w:rsidRPr="00A36C24">
      <w:rPr>
        <w:b/>
        <w:color w:val="002060"/>
        <w:sz w:val="24"/>
      </w:rPr>
      <w:t>DE</w:t>
    </w:r>
    <w:r w:rsidRPr="00A36C24">
      <w:rPr>
        <w:b/>
        <w:color w:val="002060"/>
        <w:spacing w:val="-11"/>
        <w:sz w:val="24"/>
      </w:rPr>
      <w:t xml:space="preserve"> P</w:t>
    </w:r>
    <w:r w:rsidRPr="00A36C24">
      <w:rPr>
        <w:b/>
        <w:color w:val="002060"/>
        <w:spacing w:val="-1"/>
        <w:sz w:val="24"/>
      </w:rPr>
      <w:t>RENSA</w:t>
    </w:r>
    <w:r w:rsidRPr="00A36C24">
      <w:rPr>
        <w:b/>
        <w:color w:val="002060"/>
        <w:spacing w:val="-11"/>
        <w:sz w:val="24"/>
      </w:rPr>
      <w:t xml:space="preserve"> </w:t>
    </w:r>
    <w:r w:rsidRPr="00A36C24">
      <w:rPr>
        <w:b/>
        <w:color w:val="002060"/>
        <w:sz w:val="24"/>
      </w:rPr>
      <w:t xml:space="preserve">NÚM. </w:t>
    </w:r>
    <w:r w:rsidR="00B54B8A">
      <w:rPr>
        <w:b/>
        <w:color w:val="002060"/>
        <w:sz w:val="24"/>
      </w:rPr>
      <w:t>30</w:t>
    </w:r>
    <w:r w:rsidR="00BC3516">
      <w:rPr>
        <w:b/>
        <w:color w:val="002060"/>
        <w:sz w:val="24"/>
      </w:rPr>
      <w:t>2</w:t>
    </w:r>
    <w:r w:rsidRPr="00A36C24">
      <w:rPr>
        <w:b/>
        <w:color w:val="002060"/>
        <w:sz w:val="24"/>
      </w:rPr>
      <w:t>/</w:t>
    </w:r>
    <w:r>
      <w:rPr>
        <w:b/>
        <w:color w:val="002060"/>
        <w:sz w:val="24"/>
      </w:rPr>
      <w:t>20</w:t>
    </w:r>
    <w:r w:rsidRPr="00A36C24">
      <w:rPr>
        <w:b/>
        <w:color w:val="002060"/>
        <w:spacing w:val="-11"/>
        <w:sz w:val="24"/>
      </w:rPr>
      <w:t xml:space="preserve"> </w:t>
    </w:r>
  </w:p>
  <w:p w14:paraId="4D89003D" w14:textId="390BFE92" w:rsidR="00CC6405" w:rsidRDefault="004347A1" w:rsidP="00CC6405">
    <w:pPr>
      <w:framePr w:w="6178" w:hSpace="141" w:vSpace="141" w:wrap="auto" w:vAnchor="page" w:hAnchor="page" w:x="5335" w:y="541"/>
      <w:ind w:right="353"/>
      <w:jc w:val="right"/>
      <w:rPr>
        <w:b/>
        <w:color w:val="002060"/>
        <w:sz w:val="24"/>
      </w:rPr>
    </w:pPr>
    <w:r>
      <w:rPr>
        <w:b/>
        <w:color w:val="002060"/>
        <w:sz w:val="24"/>
      </w:rPr>
      <w:t>9</w:t>
    </w:r>
    <w:r w:rsidR="00E81018">
      <w:rPr>
        <w:b/>
        <w:color w:val="002060"/>
        <w:sz w:val="24"/>
      </w:rPr>
      <w:t xml:space="preserve"> </w:t>
    </w:r>
    <w:r w:rsidR="00CC6405">
      <w:rPr>
        <w:b/>
        <w:color w:val="002060"/>
        <w:sz w:val="24"/>
      </w:rPr>
      <w:t xml:space="preserve">DE </w:t>
    </w:r>
    <w:r w:rsidR="002B22FE">
      <w:rPr>
        <w:b/>
        <w:color w:val="002060"/>
        <w:sz w:val="24"/>
      </w:rPr>
      <w:t>JULIO</w:t>
    </w:r>
    <w:r w:rsidR="00CC6405" w:rsidRPr="00A36C24">
      <w:rPr>
        <w:b/>
        <w:color w:val="002060"/>
        <w:spacing w:val="-6"/>
        <w:sz w:val="24"/>
      </w:rPr>
      <w:t xml:space="preserve"> </w:t>
    </w:r>
    <w:r w:rsidR="00CC6405" w:rsidRPr="00A36C24">
      <w:rPr>
        <w:b/>
        <w:color w:val="002060"/>
        <w:sz w:val="24"/>
      </w:rPr>
      <w:t>DE</w:t>
    </w:r>
    <w:r w:rsidR="00CC6405" w:rsidRPr="00A36C24">
      <w:rPr>
        <w:b/>
        <w:color w:val="002060"/>
        <w:spacing w:val="-5"/>
        <w:sz w:val="24"/>
      </w:rPr>
      <w:t xml:space="preserve"> </w:t>
    </w:r>
    <w:r w:rsidR="00CC6405" w:rsidRPr="00A36C24">
      <w:rPr>
        <w:b/>
        <w:color w:val="002060"/>
        <w:sz w:val="24"/>
      </w:rPr>
      <w:t>20</w:t>
    </w:r>
    <w:r w:rsidR="00CC6405">
      <w:rPr>
        <w:b/>
        <w:color w:val="002060"/>
        <w:sz w:val="24"/>
      </w:rPr>
      <w:t>20</w:t>
    </w:r>
  </w:p>
  <w:p w14:paraId="1BDB0951" w14:textId="77777777" w:rsidR="00CC6405" w:rsidRPr="00CC6405" w:rsidRDefault="00CC6405" w:rsidP="00CC6405">
    <w:pPr>
      <w:pStyle w:val="Encabezado"/>
      <w:framePr w:w="6178" w:hSpace="141" w:vSpace="141" w:wrap="auto" w:vAnchor="page" w:hAnchor="page" w:x="5335" w:y="541"/>
      <w:ind w:right="353"/>
      <w:jc w:val="right"/>
    </w:pPr>
    <w:r w:rsidRPr="00A36C24">
      <w:rPr>
        <w:b/>
        <w:color w:val="002060"/>
        <w:sz w:val="24"/>
      </w:rPr>
      <w:t>PÁGINA</w:t>
    </w:r>
    <w:r w:rsidRPr="00A36C24">
      <w:rPr>
        <w:b/>
        <w:color w:val="002060"/>
        <w:spacing w:val="-13"/>
        <w:sz w:val="24"/>
      </w:rPr>
      <w:t xml:space="preserve"> </w:t>
    </w:r>
    <w:r w:rsidR="00AE0110">
      <w:rPr>
        <w:b/>
        <w:noProof/>
        <w:color w:val="002060"/>
        <w:sz w:val="24"/>
      </w:rPr>
      <w:t>1</w:t>
    </w:r>
    <w:r w:rsidRPr="00A36C24">
      <w:rPr>
        <w:b/>
        <w:color w:val="002060"/>
        <w:sz w:val="24"/>
      </w:rPr>
      <w:t>/2</w:t>
    </w:r>
  </w:p>
  <w:p w14:paraId="3D012425" w14:textId="77777777" w:rsidR="00CC6405" w:rsidRDefault="00CC6405">
    <w:pPr>
      <w:pStyle w:val="Encabezado"/>
    </w:pPr>
    <w:r>
      <w:rPr>
        <w:noProof/>
        <w:lang w:val="en-US" w:eastAsia="en-US"/>
      </w:rPr>
      <w:drawing>
        <wp:anchor distT="0" distB="0" distL="114300" distR="114300" simplePos="0" relativeHeight="251660288" behindDoc="0" locked="0" layoutInCell="1" allowOverlap="1" wp14:anchorId="67BB233A" wp14:editId="114343F0">
          <wp:simplePos x="0" y="0"/>
          <wp:positionH relativeFrom="margin">
            <wp:posOffset>-361950</wp:posOffset>
          </wp:positionH>
          <wp:positionV relativeFrom="margin">
            <wp:posOffset>-904875</wp:posOffset>
          </wp:positionV>
          <wp:extent cx="775278" cy="805260"/>
          <wp:effectExtent l="0" t="0" r="635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78" cy="805260"/>
                  </a:xfrm>
                  <a:prstGeom prst="rect">
                    <a:avLst/>
                  </a:prstGeom>
                  <a:noFill/>
                  <a:ln>
                    <a:noFill/>
                  </a:ln>
                </pic:spPr>
              </pic:pic>
            </a:graphicData>
          </a:graphic>
        </wp:anchor>
      </w:drawing>
    </w:r>
  </w:p>
  <w:p w14:paraId="6FD4705D" w14:textId="77777777" w:rsidR="00CC6405" w:rsidRDefault="00CC6405">
    <w:pPr>
      <w:pStyle w:val="Encabezado"/>
    </w:pPr>
  </w:p>
  <w:p w14:paraId="43E78038" w14:textId="77777777" w:rsidR="00CC6405" w:rsidRDefault="00CC640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45300" w14:textId="77777777" w:rsidR="00CC6405" w:rsidRDefault="00CC6405" w:rsidP="00C30374">
    <w:pPr>
      <w:pStyle w:val="Encabezado"/>
      <w:ind w:left="-567"/>
      <w:jc w:val="center"/>
    </w:pPr>
    <w:r>
      <w:rPr>
        <w:noProof/>
        <w:lang w:val="en-US" w:eastAsia="en-US"/>
      </w:rPr>
      <w:drawing>
        <wp:inline distT="0" distB="0" distL="0" distR="0" wp14:anchorId="5C91F5D3" wp14:editId="66907CDC">
          <wp:extent cx="775278" cy="805260"/>
          <wp:effectExtent l="0" t="0" r="635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99" cy="8123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395F" w14:textId="77777777" w:rsidR="00A36C24" w:rsidRDefault="00A36C24" w:rsidP="00CE7FF1">
    <w:pPr>
      <w:pStyle w:val="Encabezado"/>
      <w:ind w:hanging="426"/>
      <w:jc w:val="center"/>
      <w:rPr>
        <w:noProof/>
      </w:rPr>
    </w:pPr>
    <w:r>
      <w:rPr>
        <w:noProof/>
        <w:lang w:val="en-US" w:eastAsia="en-US"/>
      </w:rPr>
      <w:drawing>
        <wp:inline distT="0" distB="0" distL="0" distR="0" wp14:anchorId="501302A0" wp14:editId="045893E3">
          <wp:extent cx="775278" cy="805260"/>
          <wp:effectExtent l="0" t="0" r="635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99" cy="812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B6C2F"/>
    <w:multiLevelType w:val="hybridMultilevel"/>
    <w:tmpl w:val="1EA4C0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B337903"/>
    <w:multiLevelType w:val="hybridMultilevel"/>
    <w:tmpl w:val="ABF69A66"/>
    <w:lvl w:ilvl="0" w:tplc="5B1E1B38">
      <w:start w:val="1"/>
      <w:numFmt w:val="bullet"/>
      <w:suff w:val="space"/>
      <w:lvlText w:val=""/>
      <w:lvlJc w:val="left"/>
      <w:pPr>
        <w:ind w:left="113" w:hanging="56"/>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 w15:restartNumberingAfterBreak="0">
    <w:nsid w:val="3726798A"/>
    <w:multiLevelType w:val="hybridMultilevel"/>
    <w:tmpl w:val="55DC402E"/>
    <w:lvl w:ilvl="0" w:tplc="080A0001">
      <w:start w:val="1"/>
      <w:numFmt w:val="bullet"/>
      <w:lvlText w:val=""/>
      <w:lvlJc w:val="left"/>
      <w:pPr>
        <w:ind w:left="5541" w:hanging="360"/>
      </w:pPr>
      <w:rPr>
        <w:rFonts w:ascii="Symbol" w:hAnsi="Symbol" w:hint="default"/>
      </w:rPr>
    </w:lvl>
    <w:lvl w:ilvl="1" w:tplc="080A0003" w:tentative="1">
      <w:start w:val="1"/>
      <w:numFmt w:val="bullet"/>
      <w:lvlText w:val="o"/>
      <w:lvlJc w:val="left"/>
      <w:pPr>
        <w:ind w:left="6261" w:hanging="360"/>
      </w:pPr>
      <w:rPr>
        <w:rFonts w:ascii="Courier New" w:hAnsi="Courier New" w:cs="Courier New" w:hint="default"/>
      </w:rPr>
    </w:lvl>
    <w:lvl w:ilvl="2" w:tplc="080A0005" w:tentative="1">
      <w:start w:val="1"/>
      <w:numFmt w:val="bullet"/>
      <w:lvlText w:val=""/>
      <w:lvlJc w:val="left"/>
      <w:pPr>
        <w:ind w:left="6981" w:hanging="360"/>
      </w:pPr>
      <w:rPr>
        <w:rFonts w:ascii="Wingdings" w:hAnsi="Wingdings" w:hint="default"/>
      </w:rPr>
    </w:lvl>
    <w:lvl w:ilvl="3" w:tplc="080A0001" w:tentative="1">
      <w:start w:val="1"/>
      <w:numFmt w:val="bullet"/>
      <w:lvlText w:val=""/>
      <w:lvlJc w:val="left"/>
      <w:pPr>
        <w:ind w:left="7701" w:hanging="360"/>
      </w:pPr>
      <w:rPr>
        <w:rFonts w:ascii="Symbol" w:hAnsi="Symbol" w:hint="default"/>
      </w:rPr>
    </w:lvl>
    <w:lvl w:ilvl="4" w:tplc="080A0003" w:tentative="1">
      <w:start w:val="1"/>
      <w:numFmt w:val="bullet"/>
      <w:lvlText w:val="o"/>
      <w:lvlJc w:val="left"/>
      <w:pPr>
        <w:ind w:left="8421" w:hanging="360"/>
      </w:pPr>
      <w:rPr>
        <w:rFonts w:ascii="Courier New" w:hAnsi="Courier New" w:cs="Courier New" w:hint="default"/>
      </w:rPr>
    </w:lvl>
    <w:lvl w:ilvl="5" w:tplc="080A0005" w:tentative="1">
      <w:start w:val="1"/>
      <w:numFmt w:val="bullet"/>
      <w:lvlText w:val=""/>
      <w:lvlJc w:val="left"/>
      <w:pPr>
        <w:ind w:left="9141" w:hanging="360"/>
      </w:pPr>
      <w:rPr>
        <w:rFonts w:ascii="Wingdings" w:hAnsi="Wingdings" w:hint="default"/>
      </w:rPr>
    </w:lvl>
    <w:lvl w:ilvl="6" w:tplc="080A0001" w:tentative="1">
      <w:start w:val="1"/>
      <w:numFmt w:val="bullet"/>
      <w:lvlText w:val=""/>
      <w:lvlJc w:val="left"/>
      <w:pPr>
        <w:ind w:left="9861" w:hanging="360"/>
      </w:pPr>
      <w:rPr>
        <w:rFonts w:ascii="Symbol" w:hAnsi="Symbol" w:hint="default"/>
      </w:rPr>
    </w:lvl>
    <w:lvl w:ilvl="7" w:tplc="080A0003" w:tentative="1">
      <w:start w:val="1"/>
      <w:numFmt w:val="bullet"/>
      <w:lvlText w:val="o"/>
      <w:lvlJc w:val="left"/>
      <w:pPr>
        <w:ind w:left="10581" w:hanging="360"/>
      </w:pPr>
      <w:rPr>
        <w:rFonts w:ascii="Courier New" w:hAnsi="Courier New" w:cs="Courier New" w:hint="default"/>
      </w:rPr>
    </w:lvl>
    <w:lvl w:ilvl="8" w:tplc="080A0005" w:tentative="1">
      <w:start w:val="1"/>
      <w:numFmt w:val="bullet"/>
      <w:lvlText w:val=""/>
      <w:lvlJc w:val="left"/>
      <w:pPr>
        <w:ind w:left="11301" w:hanging="360"/>
      </w:pPr>
      <w:rPr>
        <w:rFonts w:ascii="Wingdings" w:hAnsi="Wingdings" w:hint="default"/>
      </w:rPr>
    </w:lvl>
  </w:abstractNum>
  <w:abstractNum w:abstractNumId="3" w15:restartNumberingAfterBreak="0">
    <w:nsid w:val="3E545A1F"/>
    <w:multiLevelType w:val="hybridMultilevel"/>
    <w:tmpl w:val="64A0C66A"/>
    <w:lvl w:ilvl="0" w:tplc="38EABD44">
      <w:start w:val="1"/>
      <w:numFmt w:val="decimal"/>
      <w:lvlText w:val="%1."/>
      <w:lvlJc w:val="left"/>
      <w:pPr>
        <w:ind w:left="810" w:hanging="4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D97F66"/>
    <w:multiLevelType w:val="hybridMultilevel"/>
    <w:tmpl w:val="BF9C5DFE"/>
    <w:lvl w:ilvl="0" w:tplc="9000EC16">
      <w:start w:val="1"/>
      <w:numFmt w:val="decimal"/>
      <w:lvlText w:val="%1."/>
      <w:lvlJc w:val="left"/>
      <w:pPr>
        <w:ind w:left="810" w:hanging="4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D57F12"/>
    <w:multiLevelType w:val="hybridMultilevel"/>
    <w:tmpl w:val="39F27B82"/>
    <w:lvl w:ilvl="0" w:tplc="2F3C7114">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07246B3"/>
    <w:multiLevelType w:val="hybridMultilevel"/>
    <w:tmpl w:val="A74822BE"/>
    <w:lvl w:ilvl="0" w:tplc="CA4670EC">
      <w:numFmt w:val="bullet"/>
      <w:lvlText w:val=""/>
      <w:lvlJc w:val="left"/>
      <w:pPr>
        <w:ind w:left="720" w:hanging="363"/>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0F6466"/>
    <w:multiLevelType w:val="hybridMultilevel"/>
    <w:tmpl w:val="47260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U0tDQxtjQyMDSzMDNV0lEKTi0uzszPAymwrAUAltib+iwAAAA="/>
  </w:docVars>
  <w:rsids>
    <w:rsidRoot w:val="00315B2B"/>
    <w:rsid w:val="00003FE8"/>
    <w:rsid w:val="00005B2B"/>
    <w:rsid w:val="00006D77"/>
    <w:rsid w:val="0001376D"/>
    <w:rsid w:val="00015103"/>
    <w:rsid w:val="00016B7F"/>
    <w:rsid w:val="00020BA3"/>
    <w:rsid w:val="00023DFB"/>
    <w:rsid w:val="000240C7"/>
    <w:rsid w:val="00027165"/>
    <w:rsid w:val="000271C0"/>
    <w:rsid w:val="00027B82"/>
    <w:rsid w:val="00031C58"/>
    <w:rsid w:val="00032660"/>
    <w:rsid w:val="00035F61"/>
    <w:rsid w:val="00036253"/>
    <w:rsid w:val="00037DE6"/>
    <w:rsid w:val="0004006B"/>
    <w:rsid w:val="00042571"/>
    <w:rsid w:val="00043ACC"/>
    <w:rsid w:val="00044668"/>
    <w:rsid w:val="0004548E"/>
    <w:rsid w:val="0005167F"/>
    <w:rsid w:val="00056A59"/>
    <w:rsid w:val="00056CCE"/>
    <w:rsid w:val="00057B10"/>
    <w:rsid w:val="000608E5"/>
    <w:rsid w:val="00060B8C"/>
    <w:rsid w:val="0006305B"/>
    <w:rsid w:val="00064914"/>
    <w:rsid w:val="00067A9C"/>
    <w:rsid w:val="000744E1"/>
    <w:rsid w:val="000842BA"/>
    <w:rsid w:val="0008703C"/>
    <w:rsid w:val="00092B91"/>
    <w:rsid w:val="00092CEE"/>
    <w:rsid w:val="00097815"/>
    <w:rsid w:val="000A0414"/>
    <w:rsid w:val="000A0585"/>
    <w:rsid w:val="000A4347"/>
    <w:rsid w:val="000A4537"/>
    <w:rsid w:val="000A531D"/>
    <w:rsid w:val="000B288B"/>
    <w:rsid w:val="000B3A40"/>
    <w:rsid w:val="000B6321"/>
    <w:rsid w:val="000B6880"/>
    <w:rsid w:val="000C3BFC"/>
    <w:rsid w:val="000C3DE8"/>
    <w:rsid w:val="000C461D"/>
    <w:rsid w:val="000C767D"/>
    <w:rsid w:val="000D0FD9"/>
    <w:rsid w:val="000D1E4C"/>
    <w:rsid w:val="000D3AC0"/>
    <w:rsid w:val="000D5124"/>
    <w:rsid w:val="000D5937"/>
    <w:rsid w:val="000D665D"/>
    <w:rsid w:val="000E59E1"/>
    <w:rsid w:val="000E6509"/>
    <w:rsid w:val="000F2A08"/>
    <w:rsid w:val="000F2D36"/>
    <w:rsid w:val="0010141F"/>
    <w:rsid w:val="00102629"/>
    <w:rsid w:val="00102DB2"/>
    <w:rsid w:val="001047D7"/>
    <w:rsid w:val="00104D2F"/>
    <w:rsid w:val="0010718A"/>
    <w:rsid w:val="00110686"/>
    <w:rsid w:val="00113BF4"/>
    <w:rsid w:val="001202E3"/>
    <w:rsid w:val="00122886"/>
    <w:rsid w:val="00123A01"/>
    <w:rsid w:val="00131E2C"/>
    <w:rsid w:val="00131E68"/>
    <w:rsid w:val="00133A6B"/>
    <w:rsid w:val="00136402"/>
    <w:rsid w:val="001532CD"/>
    <w:rsid w:val="00156632"/>
    <w:rsid w:val="00157D68"/>
    <w:rsid w:val="0016188E"/>
    <w:rsid w:val="0016205E"/>
    <w:rsid w:val="00163375"/>
    <w:rsid w:val="00165038"/>
    <w:rsid w:val="00166CF8"/>
    <w:rsid w:val="00170681"/>
    <w:rsid w:val="00173451"/>
    <w:rsid w:val="00173539"/>
    <w:rsid w:val="001803CB"/>
    <w:rsid w:val="001820EB"/>
    <w:rsid w:val="00183B0D"/>
    <w:rsid w:val="00184F2D"/>
    <w:rsid w:val="001853D1"/>
    <w:rsid w:val="001931CF"/>
    <w:rsid w:val="001932BF"/>
    <w:rsid w:val="00193656"/>
    <w:rsid w:val="00194A88"/>
    <w:rsid w:val="0019582A"/>
    <w:rsid w:val="001962BC"/>
    <w:rsid w:val="001A06FE"/>
    <w:rsid w:val="001A2094"/>
    <w:rsid w:val="001A2D54"/>
    <w:rsid w:val="001A76CB"/>
    <w:rsid w:val="001B19C9"/>
    <w:rsid w:val="001B3A50"/>
    <w:rsid w:val="001B5250"/>
    <w:rsid w:val="001C3ACF"/>
    <w:rsid w:val="001C3B60"/>
    <w:rsid w:val="001D00DA"/>
    <w:rsid w:val="001D2B64"/>
    <w:rsid w:val="001D2FCC"/>
    <w:rsid w:val="001D37EA"/>
    <w:rsid w:val="001D38C8"/>
    <w:rsid w:val="001D6937"/>
    <w:rsid w:val="001E0795"/>
    <w:rsid w:val="001E11CF"/>
    <w:rsid w:val="001E2933"/>
    <w:rsid w:val="001E593B"/>
    <w:rsid w:val="001E6ACC"/>
    <w:rsid w:val="001F1B98"/>
    <w:rsid w:val="001F3690"/>
    <w:rsid w:val="001F46D0"/>
    <w:rsid w:val="001F624E"/>
    <w:rsid w:val="00202C91"/>
    <w:rsid w:val="0020711D"/>
    <w:rsid w:val="00207E1B"/>
    <w:rsid w:val="0021127C"/>
    <w:rsid w:val="00214E01"/>
    <w:rsid w:val="002155F1"/>
    <w:rsid w:val="00216457"/>
    <w:rsid w:val="00216472"/>
    <w:rsid w:val="00217907"/>
    <w:rsid w:val="00224290"/>
    <w:rsid w:val="002254B5"/>
    <w:rsid w:val="00230B3E"/>
    <w:rsid w:val="002502CE"/>
    <w:rsid w:val="0025079A"/>
    <w:rsid w:val="00253FE7"/>
    <w:rsid w:val="00255432"/>
    <w:rsid w:val="00257AEF"/>
    <w:rsid w:val="002639A2"/>
    <w:rsid w:val="00263AFE"/>
    <w:rsid w:val="002656DC"/>
    <w:rsid w:val="0026612A"/>
    <w:rsid w:val="00271CED"/>
    <w:rsid w:val="0027233C"/>
    <w:rsid w:val="0027296A"/>
    <w:rsid w:val="00272BD5"/>
    <w:rsid w:val="00276A6E"/>
    <w:rsid w:val="00277D65"/>
    <w:rsid w:val="00284972"/>
    <w:rsid w:val="00285B0B"/>
    <w:rsid w:val="00292E52"/>
    <w:rsid w:val="00293869"/>
    <w:rsid w:val="002A5320"/>
    <w:rsid w:val="002A7FED"/>
    <w:rsid w:val="002B22FE"/>
    <w:rsid w:val="002B5F42"/>
    <w:rsid w:val="002C0F47"/>
    <w:rsid w:val="002C3FF8"/>
    <w:rsid w:val="002D0396"/>
    <w:rsid w:val="002D4288"/>
    <w:rsid w:val="002D662C"/>
    <w:rsid w:val="002D6676"/>
    <w:rsid w:val="002E0A2D"/>
    <w:rsid w:val="002E43A3"/>
    <w:rsid w:val="002E72EC"/>
    <w:rsid w:val="002E75E8"/>
    <w:rsid w:val="002F663A"/>
    <w:rsid w:val="002F7DF8"/>
    <w:rsid w:val="0030110D"/>
    <w:rsid w:val="00301958"/>
    <w:rsid w:val="00305184"/>
    <w:rsid w:val="00307130"/>
    <w:rsid w:val="00307F9D"/>
    <w:rsid w:val="00315694"/>
    <w:rsid w:val="00315B2B"/>
    <w:rsid w:val="00316B25"/>
    <w:rsid w:val="00317AE3"/>
    <w:rsid w:val="00317C49"/>
    <w:rsid w:val="003232AC"/>
    <w:rsid w:val="00324417"/>
    <w:rsid w:val="00332B54"/>
    <w:rsid w:val="0033437D"/>
    <w:rsid w:val="003349FD"/>
    <w:rsid w:val="0034090C"/>
    <w:rsid w:val="00340FDE"/>
    <w:rsid w:val="0034149E"/>
    <w:rsid w:val="00351720"/>
    <w:rsid w:val="00352454"/>
    <w:rsid w:val="00352793"/>
    <w:rsid w:val="003623A1"/>
    <w:rsid w:val="003651BD"/>
    <w:rsid w:val="00367755"/>
    <w:rsid w:val="00367DAB"/>
    <w:rsid w:val="0037096B"/>
    <w:rsid w:val="00370D8A"/>
    <w:rsid w:val="0037102C"/>
    <w:rsid w:val="00371695"/>
    <w:rsid w:val="00371A1F"/>
    <w:rsid w:val="003736AA"/>
    <w:rsid w:val="003755E0"/>
    <w:rsid w:val="00375BAD"/>
    <w:rsid w:val="00375E0A"/>
    <w:rsid w:val="003768C2"/>
    <w:rsid w:val="003809B0"/>
    <w:rsid w:val="003822D9"/>
    <w:rsid w:val="00382942"/>
    <w:rsid w:val="00383222"/>
    <w:rsid w:val="003849F7"/>
    <w:rsid w:val="0038563F"/>
    <w:rsid w:val="003869D1"/>
    <w:rsid w:val="00387A76"/>
    <w:rsid w:val="00392A6E"/>
    <w:rsid w:val="00397856"/>
    <w:rsid w:val="003A09E0"/>
    <w:rsid w:val="003A4572"/>
    <w:rsid w:val="003A5EDF"/>
    <w:rsid w:val="003A70E1"/>
    <w:rsid w:val="003B3796"/>
    <w:rsid w:val="003B4F59"/>
    <w:rsid w:val="003C7A8F"/>
    <w:rsid w:val="003D22E0"/>
    <w:rsid w:val="003D6208"/>
    <w:rsid w:val="003D6353"/>
    <w:rsid w:val="003E03D2"/>
    <w:rsid w:val="003E25EC"/>
    <w:rsid w:val="003E3158"/>
    <w:rsid w:val="003E3384"/>
    <w:rsid w:val="003E37CF"/>
    <w:rsid w:val="003E61F0"/>
    <w:rsid w:val="003F081C"/>
    <w:rsid w:val="003F21AA"/>
    <w:rsid w:val="003F2BE4"/>
    <w:rsid w:val="003F5D6B"/>
    <w:rsid w:val="003F6C0D"/>
    <w:rsid w:val="00404D61"/>
    <w:rsid w:val="0040573E"/>
    <w:rsid w:val="00405A07"/>
    <w:rsid w:val="004109CD"/>
    <w:rsid w:val="004123CE"/>
    <w:rsid w:val="00413712"/>
    <w:rsid w:val="004241FE"/>
    <w:rsid w:val="00433AB0"/>
    <w:rsid w:val="004347A1"/>
    <w:rsid w:val="00442E9D"/>
    <w:rsid w:val="004457C6"/>
    <w:rsid w:val="00446F4E"/>
    <w:rsid w:val="00450E6A"/>
    <w:rsid w:val="00452A6A"/>
    <w:rsid w:val="00453BB6"/>
    <w:rsid w:val="004546CE"/>
    <w:rsid w:val="004556F8"/>
    <w:rsid w:val="004616F3"/>
    <w:rsid w:val="004731A2"/>
    <w:rsid w:val="00474B65"/>
    <w:rsid w:val="00483161"/>
    <w:rsid w:val="00485049"/>
    <w:rsid w:val="00487ECD"/>
    <w:rsid w:val="0049040D"/>
    <w:rsid w:val="00491966"/>
    <w:rsid w:val="004935EA"/>
    <w:rsid w:val="0049580B"/>
    <w:rsid w:val="00495CFC"/>
    <w:rsid w:val="004A1E60"/>
    <w:rsid w:val="004B204F"/>
    <w:rsid w:val="004B4FBA"/>
    <w:rsid w:val="004C007C"/>
    <w:rsid w:val="004C00A6"/>
    <w:rsid w:val="004C2FFA"/>
    <w:rsid w:val="004C3772"/>
    <w:rsid w:val="004C4044"/>
    <w:rsid w:val="004C748C"/>
    <w:rsid w:val="004D00C3"/>
    <w:rsid w:val="004D07BE"/>
    <w:rsid w:val="004D183D"/>
    <w:rsid w:val="004D2E9D"/>
    <w:rsid w:val="004D4284"/>
    <w:rsid w:val="004D5151"/>
    <w:rsid w:val="004D52F1"/>
    <w:rsid w:val="004D6BC4"/>
    <w:rsid w:val="004E2A16"/>
    <w:rsid w:val="00501075"/>
    <w:rsid w:val="00503BBC"/>
    <w:rsid w:val="005054C2"/>
    <w:rsid w:val="00506FC5"/>
    <w:rsid w:val="00514510"/>
    <w:rsid w:val="00514775"/>
    <w:rsid w:val="00517EAE"/>
    <w:rsid w:val="005211B9"/>
    <w:rsid w:val="00522B3E"/>
    <w:rsid w:val="00525DD4"/>
    <w:rsid w:val="00525F2F"/>
    <w:rsid w:val="00526345"/>
    <w:rsid w:val="00526607"/>
    <w:rsid w:val="00526FE8"/>
    <w:rsid w:val="00527BA7"/>
    <w:rsid w:val="0053137A"/>
    <w:rsid w:val="0053144B"/>
    <w:rsid w:val="00534573"/>
    <w:rsid w:val="005345AB"/>
    <w:rsid w:val="00534D1F"/>
    <w:rsid w:val="005414EF"/>
    <w:rsid w:val="00541921"/>
    <w:rsid w:val="00541D64"/>
    <w:rsid w:val="00542D79"/>
    <w:rsid w:val="00543D43"/>
    <w:rsid w:val="0055054F"/>
    <w:rsid w:val="00550933"/>
    <w:rsid w:val="00550FE4"/>
    <w:rsid w:val="00553405"/>
    <w:rsid w:val="00556A80"/>
    <w:rsid w:val="00557A85"/>
    <w:rsid w:val="00560DA6"/>
    <w:rsid w:val="00566FF4"/>
    <w:rsid w:val="0058076B"/>
    <w:rsid w:val="00581402"/>
    <w:rsid w:val="00583CFA"/>
    <w:rsid w:val="00584CAB"/>
    <w:rsid w:val="00586FA9"/>
    <w:rsid w:val="00593279"/>
    <w:rsid w:val="00594164"/>
    <w:rsid w:val="00596974"/>
    <w:rsid w:val="00597BD5"/>
    <w:rsid w:val="005B2223"/>
    <w:rsid w:val="005B4BB2"/>
    <w:rsid w:val="005C0177"/>
    <w:rsid w:val="005C0764"/>
    <w:rsid w:val="005C1038"/>
    <w:rsid w:val="005C4499"/>
    <w:rsid w:val="005C7E19"/>
    <w:rsid w:val="005D29A0"/>
    <w:rsid w:val="005D3D0A"/>
    <w:rsid w:val="005D4EA9"/>
    <w:rsid w:val="005E1BCD"/>
    <w:rsid w:val="005E55BD"/>
    <w:rsid w:val="005F2F9E"/>
    <w:rsid w:val="00602950"/>
    <w:rsid w:val="00605021"/>
    <w:rsid w:val="00606318"/>
    <w:rsid w:val="00610493"/>
    <w:rsid w:val="00632458"/>
    <w:rsid w:val="00633FD3"/>
    <w:rsid w:val="00647294"/>
    <w:rsid w:val="0065016E"/>
    <w:rsid w:val="00651153"/>
    <w:rsid w:val="00664106"/>
    <w:rsid w:val="00664BB3"/>
    <w:rsid w:val="00664DA8"/>
    <w:rsid w:val="00664EB7"/>
    <w:rsid w:val="00666846"/>
    <w:rsid w:val="00667A4F"/>
    <w:rsid w:val="006739CE"/>
    <w:rsid w:val="006749CF"/>
    <w:rsid w:val="00676503"/>
    <w:rsid w:val="00676832"/>
    <w:rsid w:val="00692E7A"/>
    <w:rsid w:val="00693BEE"/>
    <w:rsid w:val="00694321"/>
    <w:rsid w:val="006951F1"/>
    <w:rsid w:val="006A2423"/>
    <w:rsid w:val="006A6290"/>
    <w:rsid w:val="006B372F"/>
    <w:rsid w:val="006B42E1"/>
    <w:rsid w:val="006C0463"/>
    <w:rsid w:val="006C1819"/>
    <w:rsid w:val="006C5CED"/>
    <w:rsid w:val="006C74F1"/>
    <w:rsid w:val="006D45BA"/>
    <w:rsid w:val="006D4832"/>
    <w:rsid w:val="006D62F8"/>
    <w:rsid w:val="006E409F"/>
    <w:rsid w:val="006E636A"/>
    <w:rsid w:val="006F15D0"/>
    <w:rsid w:val="006F28D1"/>
    <w:rsid w:val="006F48D1"/>
    <w:rsid w:val="006F7B43"/>
    <w:rsid w:val="00703905"/>
    <w:rsid w:val="00704E46"/>
    <w:rsid w:val="0071039F"/>
    <w:rsid w:val="007107D4"/>
    <w:rsid w:val="00715826"/>
    <w:rsid w:val="0071694E"/>
    <w:rsid w:val="00717326"/>
    <w:rsid w:val="007219E5"/>
    <w:rsid w:val="00723A41"/>
    <w:rsid w:val="007313C1"/>
    <w:rsid w:val="0073316D"/>
    <w:rsid w:val="00736F8E"/>
    <w:rsid w:val="007426F2"/>
    <w:rsid w:val="007438DB"/>
    <w:rsid w:val="00744FF8"/>
    <w:rsid w:val="007473CC"/>
    <w:rsid w:val="007528DF"/>
    <w:rsid w:val="007533C5"/>
    <w:rsid w:val="00753C04"/>
    <w:rsid w:val="007543D8"/>
    <w:rsid w:val="0075491B"/>
    <w:rsid w:val="007568DA"/>
    <w:rsid w:val="0075695F"/>
    <w:rsid w:val="00761287"/>
    <w:rsid w:val="00761456"/>
    <w:rsid w:val="0076297A"/>
    <w:rsid w:val="0076645E"/>
    <w:rsid w:val="00767729"/>
    <w:rsid w:val="00767A68"/>
    <w:rsid w:val="00773888"/>
    <w:rsid w:val="0077473B"/>
    <w:rsid w:val="007749C5"/>
    <w:rsid w:val="00775706"/>
    <w:rsid w:val="00784C45"/>
    <w:rsid w:val="0078511A"/>
    <w:rsid w:val="0078550D"/>
    <w:rsid w:val="007870BE"/>
    <w:rsid w:val="00791E1D"/>
    <w:rsid w:val="00792746"/>
    <w:rsid w:val="007958C1"/>
    <w:rsid w:val="007970E5"/>
    <w:rsid w:val="007977CA"/>
    <w:rsid w:val="007A0C77"/>
    <w:rsid w:val="007A34D2"/>
    <w:rsid w:val="007A405A"/>
    <w:rsid w:val="007B3147"/>
    <w:rsid w:val="007B3B69"/>
    <w:rsid w:val="007C245C"/>
    <w:rsid w:val="007C47D0"/>
    <w:rsid w:val="007C4BB6"/>
    <w:rsid w:val="007D01D7"/>
    <w:rsid w:val="007D1084"/>
    <w:rsid w:val="007D6827"/>
    <w:rsid w:val="007D73A5"/>
    <w:rsid w:val="007E0F4B"/>
    <w:rsid w:val="007E42CC"/>
    <w:rsid w:val="007F390D"/>
    <w:rsid w:val="007F559D"/>
    <w:rsid w:val="007F65D3"/>
    <w:rsid w:val="00800C9E"/>
    <w:rsid w:val="008022E7"/>
    <w:rsid w:val="0080752D"/>
    <w:rsid w:val="008107C6"/>
    <w:rsid w:val="008206D7"/>
    <w:rsid w:val="00822F27"/>
    <w:rsid w:val="00830BF4"/>
    <w:rsid w:val="00833905"/>
    <w:rsid w:val="00834CC2"/>
    <w:rsid w:val="00840400"/>
    <w:rsid w:val="0084305A"/>
    <w:rsid w:val="008436E0"/>
    <w:rsid w:val="00844834"/>
    <w:rsid w:val="008459DD"/>
    <w:rsid w:val="00850E0A"/>
    <w:rsid w:val="00851C89"/>
    <w:rsid w:val="00855D4F"/>
    <w:rsid w:val="00857645"/>
    <w:rsid w:val="00857F97"/>
    <w:rsid w:val="008609C6"/>
    <w:rsid w:val="00861CE7"/>
    <w:rsid w:val="00863BBE"/>
    <w:rsid w:val="00866C9A"/>
    <w:rsid w:val="008706E4"/>
    <w:rsid w:val="00871E51"/>
    <w:rsid w:val="00873245"/>
    <w:rsid w:val="00875767"/>
    <w:rsid w:val="008800C4"/>
    <w:rsid w:val="00883312"/>
    <w:rsid w:val="00886682"/>
    <w:rsid w:val="008872AA"/>
    <w:rsid w:val="00887BD7"/>
    <w:rsid w:val="00891AA5"/>
    <w:rsid w:val="008A1710"/>
    <w:rsid w:val="008A1ADC"/>
    <w:rsid w:val="008A2DC8"/>
    <w:rsid w:val="008A5B41"/>
    <w:rsid w:val="008A7BE6"/>
    <w:rsid w:val="008B1EB9"/>
    <w:rsid w:val="008B2281"/>
    <w:rsid w:val="008B4B97"/>
    <w:rsid w:val="008B5189"/>
    <w:rsid w:val="008B7D56"/>
    <w:rsid w:val="008C3A69"/>
    <w:rsid w:val="008D4C8B"/>
    <w:rsid w:val="008D6FB5"/>
    <w:rsid w:val="008E1609"/>
    <w:rsid w:val="008E6037"/>
    <w:rsid w:val="008F0E6E"/>
    <w:rsid w:val="008F1172"/>
    <w:rsid w:val="008F425B"/>
    <w:rsid w:val="008F5D47"/>
    <w:rsid w:val="008F6885"/>
    <w:rsid w:val="00900200"/>
    <w:rsid w:val="0090059E"/>
    <w:rsid w:val="0090096C"/>
    <w:rsid w:val="00902721"/>
    <w:rsid w:val="00904F6D"/>
    <w:rsid w:val="00905ECA"/>
    <w:rsid w:val="00911A57"/>
    <w:rsid w:val="00912F2E"/>
    <w:rsid w:val="0091363F"/>
    <w:rsid w:val="009145D1"/>
    <w:rsid w:val="00916637"/>
    <w:rsid w:val="00917AA6"/>
    <w:rsid w:val="00921399"/>
    <w:rsid w:val="00926627"/>
    <w:rsid w:val="00932ECF"/>
    <w:rsid w:val="00933DD6"/>
    <w:rsid w:val="0093405A"/>
    <w:rsid w:val="00934EE9"/>
    <w:rsid w:val="0093674E"/>
    <w:rsid w:val="0093774D"/>
    <w:rsid w:val="00940AF6"/>
    <w:rsid w:val="00941E3E"/>
    <w:rsid w:val="00942D8E"/>
    <w:rsid w:val="00946200"/>
    <w:rsid w:val="00950808"/>
    <w:rsid w:val="00951506"/>
    <w:rsid w:val="00951805"/>
    <w:rsid w:val="009548DC"/>
    <w:rsid w:val="009554CA"/>
    <w:rsid w:val="00956861"/>
    <w:rsid w:val="00960722"/>
    <w:rsid w:val="0096168D"/>
    <w:rsid w:val="00961A15"/>
    <w:rsid w:val="00962361"/>
    <w:rsid w:val="00964322"/>
    <w:rsid w:val="00964438"/>
    <w:rsid w:val="00964869"/>
    <w:rsid w:val="009663AD"/>
    <w:rsid w:val="00970189"/>
    <w:rsid w:val="00971EE6"/>
    <w:rsid w:val="00972F23"/>
    <w:rsid w:val="009736DB"/>
    <w:rsid w:val="00977834"/>
    <w:rsid w:val="0098259D"/>
    <w:rsid w:val="009850DC"/>
    <w:rsid w:val="00986832"/>
    <w:rsid w:val="00990651"/>
    <w:rsid w:val="0099066B"/>
    <w:rsid w:val="00990E44"/>
    <w:rsid w:val="00991287"/>
    <w:rsid w:val="00992693"/>
    <w:rsid w:val="00995F57"/>
    <w:rsid w:val="00996298"/>
    <w:rsid w:val="009A61C9"/>
    <w:rsid w:val="009B0128"/>
    <w:rsid w:val="009B0ABA"/>
    <w:rsid w:val="009B461D"/>
    <w:rsid w:val="009B6462"/>
    <w:rsid w:val="009B6D8A"/>
    <w:rsid w:val="009C0A16"/>
    <w:rsid w:val="009C3354"/>
    <w:rsid w:val="009C55A7"/>
    <w:rsid w:val="009C7B8A"/>
    <w:rsid w:val="009D257F"/>
    <w:rsid w:val="009D56C1"/>
    <w:rsid w:val="009E3176"/>
    <w:rsid w:val="009F1600"/>
    <w:rsid w:val="00A007E3"/>
    <w:rsid w:val="00A02C7A"/>
    <w:rsid w:val="00A045F9"/>
    <w:rsid w:val="00A10932"/>
    <w:rsid w:val="00A10DAA"/>
    <w:rsid w:val="00A129C2"/>
    <w:rsid w:val="00A12C3B"/>
    <w:rsid w:val="00A137F5"/>
    <w:rsid w:val="00A153B6"/>
    <w:rsid w:val="00A16B56"/>
    <w:rsid w:val="00A16EFF"/>
    <w:rsid w:val="00A2388F"/>
    <w:rsid w:val="00A30E27"/>
    <w:rsid w:val="00A32D62"/>
    <w:rsid w:val="00A33C4F"/>
    <w:rsid w:val="00A36928"/>
    <w:rsid w:val="00A36C24"/>
    <w:rsid w:val="00A37AED"/>
    <w:rsid w:val="00A40532"/>
    <w:rsid w:val="00A45685"/>
    <w:rsid w:val="00A55174"/>
    <w:rsid w:val="00A63E16"/>
    <w:rsid w:val="00A6758C"/>
    <w:rsid w:val="00A703CA"/>
    <w:rsid w:val="00A70C71"/>
    <w:rsid w:val="00A70D07"/>
    <w:rsid w:val="00A73471"/>
    <w:rsid w:val="00A738DC"/>
    <w:rsid w:val="00A7610B"/>
    <w:rsid w:val="00A81471"/>
    <w:rsid w:val="00A85DA7"/>
    <w:rsid w:val="00A921DD"/>
    <w:rsid w:val="00A92484"/>
    <w:rsid w:val="00A926A9"/>
    <w:rsid w:val="00A95218"/>
    <w:rsid w:val="00A96323"/>
    <w:rsid w:val="00AA1643"/>
    <w:rsid w:val="00AA31C0"/>
    <w:rsid w:val="00AA7C42"/>
    <w:rsid w:val="00AB1828"/>
    <w:rsid w:val="00AB4A00"/>
    <w:rsid w:val="00AB6885"/>
    <w:rsid w:val="00AC1FC1"/>
    <w:rsid w:val="00AC2991"/>
    <w:rsid w:val="00AC40B3"/>
    <w:rsid w:val="00AC76C6"/>
    <w:rsid w:val="00AD178C"/>
    <w:rsid w:val="00AD4D0D"/>
    <w:rsid w:val="00AD723E"/>
    <w:rsid w:val="00AE0110"/>
    <w:rsid w:val="00AE0665"/>
    <w:rsid w:val="00AE0BDA"/>
    <w:rsid w:val="00AE49C6"/>
    <w:rsid w:val="00AF454D"/>
    <w:rsid w:val="00AF606A"/>
    <w:rsid w:val="00B05EB9"/>
    <w:rsid w:val="00B05EE7"/>
    <w:rsid w:val="00B10E9E"/>
    <w:rsid w:val="00B10F64"/>
    <w:rsid w:val="00B1366E"/>
    <w:rsid w:val="00B200F4"/>
    <w:rsid w:val="00B32DCF"/>
    <w:rsid w:val="00B34558"/>
    <w:rsid w:val="00B40D83"/>
    <w:rsid w:val="00B45820"/>
    <w:rsid w:val="00B53E59"/>
    <w:rsid w:val="00B54B8A"/>
    <w:rsid w:val="00B55DCA"/>
    <w:rsid w:val="00B72BD6"/>
    <w:rsid w:val="00B75649"/>
    <w:rsid w:val="00B760FF"/>
    <w:rsid w:val="00B811BD"/>
    <w:rsid w:val="00B81F91"/>
    <w:rsid w:val="00B85B3C"/>
    <w:rsid w:val="00B85D35"/>
    <w:rsid w:val="00B869F5"/>
    <w:rsid w:val="00B8795C"/>
    <w:rsid w:val="00B87EFE"/>
    <w:rsid w:val="00B90ABA"/>
    <w:rsid w:val="00B92B31"/>
    <w:rsid w:val="00B92F99"/>
    <w:rsid w:val="00B93B03"/>
    <w:rsid w:val="00B97968"/>
    <w:rsid w:val="00BA1786"/>
    <w:rsid w:val="00BA419D"/>
    <w:rsid w:val="00BA563A"/>
    <w:rsid w:val="00BA5E7F"/>
    <w:rsid w:val="00BA7AAC"/>
    <w:rsid w:val="00BB038A"/>
    <w:rsid w:val="00BB03D9"/>
    <w:rsid w:val="00BB172D"/>
    <w:rsid w:val="00BB3051"/>
    <w:rsid w:val="00BB3D5B"/>
    <w:rsid w:val="00BB7251"/>
    <w:rsid w:val="00BC07CF"/>
    <w:rsid w:val="00BC3516"/>
    <w:rsid w:val="00BC638F"/>
    <w:rsid w:val="00BC7EC4"/>
    <w:rsid w:val="00BD6209"/>
    <w:rsid w:val="00BE012C"/>
    <w:rsid w:val="00BE2546"/>
    <w:rsid w:val="00BE5A42"/>
    <w:rsid w:val="00BF0378"/>
    <w:rsid w:val="00BF2AE2"/>
    <w:rsid w:val="00BF528A"/>
    <w:rsid w:val="00C027F5"/>
    <w:rsid w:val="00C035D7"/>
    <w:rsid w:val="00C071B1"/>
    <w:rsid w:val="00C12686"/>
    <w:rsid w:val="00C20F72"/>
    <w:rsid w:val="00C231A1"/>
    <w:rsid w:val="00C27C08"/>
    <w:rsid w:val="00C30374"/>
    <w:rsid w:val="00C33B59"/>
    <w:rsid w:val="00C3487A"/>
    <w:rsid w:val="00C366C1"/>
    <w:rsid w:val="00C41BF8"/>
    <w:rsid w:val="00C44ACF"/>
    <w:rsid w:val="00C44F26"/>
    <w:rsid w:val="00C454D5"/>
    <w:rsid w:val="00C46361"/>
    <w:rsid w:val="00C52DE9"/>
    <w:rsid w:val="00C567B8"/>
    <w:rsid w:val="00C56E33"/>
    <w:rsid w:val="00C62292"/>
    <w:rsid w:val="00C63440"/>
    <w:rsid w:val="00C7024C"/>
    <w:rsid w:val="00C72225"/>
    <w:rsid w:val="00C72315"/>
    <w:rsid w:val="00C74DDD"/>
    <w:rsid w:val="00C80429"/>
    <w:rsid w:val="00C81107"/>
    <w:rsid w:val="00C82402"/>
    <w:rsid w:val="00C82573"/>
    <w:rsid w:val="00C840A5"/>
    <w:rsid w:val="00C868C9"/>
    <w:rsid w:val="00CA1C8D"/>
    <w:rsid w:val="00CA3B86"/>
    <w:rsid w:val="00CA5367"/>
    <w:rsid w:val="00CA6C5E"/>
    <w:rsid w:val="00CB0220"/>
    <w:rsid w:val="00CB08AA"/>
    <w:rsid w:val="00CB3FD0"/>
    <w:rsid w:val="00CC1025"/>
    <w:rsid w:val="00CC2F6F"/>
    <w:rsid w:val="00CC6405"/>
    <w:rsid w:val="00CD2326"/>
    <w:rsid w:val="00CD6678"/>
    <w:rsid w:val="00CE2D35"/>
    <w:rsid w:val="00CE4377"/>
    <w:rsid w:val="00CE7FF1"/>
    <w:rsid w:val="00CF0B52"/>
    <w:rsid w:val="00CF5CEF"/>
    <w:rsid w:val="00CF7DDF"/>
    <w:rsid w:val="00D04217"/>
    <w:rsid w:val="00D04AD2"/>
    <w:rsid w:val="00D07DB0"/>
    <w:rsid w:val="00D1475B"/>
    <w:rsid w:val="00D21049"/>
    <w:rsid w:val="00D229EA"/>
    <w:rsid w:val="00D2539B"/>
    <w:rsid w:val="00D33975"/>
    <w:rsid w:val="00D40321"/>
    <w:rsid w:val="00D41D2C"/>
    <w:rsid w:val="00D450DB"/>
    <w:rsid w:val="00D4528E"/>
    <w:rsid w:val="00D5443C"/>
    <w:rsid w:val="00D54605"/>
    <w:rsid w:val="00D54EDF"/>
    <w:rsid w:val="00D55F11"/>
    <w:rsid w:val="00D57EBA"/>
    <w:rsid w:val="00D607D9"/>
    <w:rsid w:val="00D62B85"/>
    <w:rsid w:val="00D63AEB"/>
    <w:rsid w:val="00D63B7F"/>
    <w:rsid w:val="00D64E3F"/>
    <w:rsid w:val="00D67B04"/>
    <w:rsid w:val="00D67CCF"/>
    <w:rsid w:val="00D722FF"/>
    <w:rsid w:val="00D72BBA"/>
    <w:rsid w:val="00D7362C"/>
    <w:rsid w:val="00D73F44"/>
    <w:rsid w:val="00D753B0"/>
    <w:rsid w:val="00D7759A"/>
    <w:rsid w:val="00D81933"/>
    <w:rsid w:val="00D86F5D"/>
    <w:rsid w:val="00D872E9"/>
    <w:rsid w:val="00D929A9"/>
    <w:rsid w:val="00D93B12"/>
    <w:rsid w:val="00DA1F49"/>
    <w:rsid w:val="00DA371B"/>
    <w:rsid w:val="00DA3A93"/>
    <w:rsid w:val="00DB0B37"/>
    <w:rsid w:val="00DB2EF1"/>
    <w:rsid w:val="00DB3964"/>
    <w:rsid w:val="00DB6564"/>
    <w:rsid w:val="00DC027A"/>
    <w:rsid w:val="00DC17DF"/>
    <w:rsid w:val="00DC59EF"/>
    <w:rsid w:val="00DD1414"/>
    <w:rsid w:val="00DD1685"/>
    <w:rsid w:val="00DD46F5"/>
    <w:rsid w:val="00DD479D"/>
    <w:rsid w:val="00DD5BD4"/>
    <w:rsid w:val="00DE1253"/>
    <w:rsid w:val="00DE567E"/>
    <w:rsid w:val="00DE700F"/>
    <w:rsid w:val="00DF0268"/>
    <w:rsid w:val="00DF7A29"/>
    <w:rsid w:val="00E0039C"/>
    <w:rsid w:val="00E0185C"/>
    <w:rsid w:val="00E02F68"/>
    <w:rsid w:val="00E030B1"/>
    <w:rsid w:val="00E04DF4"/>
    <w:rsid w:val="00E05474"/>
    <w:rsid w:val="00E05772"/>
    <w:rsid w:val="00E057DB"/>
    <w:rsid w:val="00E132C7"/>
    <w:rsid w:val="00E13776"/>
    <w:rsid w:val="00E14199"/>
    <w:rsid w:val="00E141D9"/>
    <w:rsid w:val="00E1781B"/>
    <w:rsid w:val="00E217E8"/>
    <w:rsid w:val="00E233B7"/>
    <w:rsid w:val="00E24304"/>
    <w:rsid w:val="00E30A64"/>
    <w:rsid w:val="00E30F70"/>
    <w:rsid w:val="00E365C5"/>
    <w:rsid w:val="00E40CA0"/>
    <w:rsid w:val="00E42353"/>
    <w:rsid w:val="00E44399"/>
    <w:rsid w:val="00E45834"/>
    <w:rsid w:val="00E5020E"/>
    <w:rsid w:val="00E53231"/>
    <w:rsid w:val="00E544BB"/>
    <w:rsid w:val="00E570F3"/>
    <w:rsid w:val="00E63884"/>
    <w:rsid w:val="00E65EC4"/>
    <w:rsid w:val="00E7274F"/>
    <w:rsid w:val="00E7474A"/>
    <w:rsid w:val="00E768EC"/>
    <w:rsid w:val="00E77EF5"/>
    <w:rsid w:val="00E800E4"/>
    <w:rsid w:val="00E81018"/>
    <w:rsid w:val="00E8233E"/>
    <w:rsid w:val="00E91649"/>
    <w:rsid w:val="00E934AA"/>
    <w:rsid w:val="00E96641"/>
    <w:rsid w:val="00E9766D"/>
    <w:rsid w:val="00EA3B04"/>
    <w:rsid w:val="00EB1C6E"/>
    <w:rsid w:val="00EB429B"/>
    <w:rsid w:val="00EB430C"/>
    <w:rsid w:val="00EB5DA4"/>
    <w:rsid w:val="00EB7561"/>
    <w:rsid w:val="00EC11BB"/>
    <w:rsid w:val="00EC1340"/>
    <w:rsid w:val="00EC427D"/>
    <w:rsid w:val="00ED022C"/>
    <w:rsid w:val="00ED3C38"/>
    <w:rsid w:val="00ED5777"/>
    <w:rsid w:val="00EE2A6B"/>
    <w:rsid w:val="00EE6C79"/>
    <w:rsid w:val="00EF0C40"/>
    <w:rsid w:val="00EF0EA3"/>
    <w:rsid w:val="00EF7C6A"/>
    <w:rsid w:val="00F03B50"/>
    <w:rsid w:val="00F111D5"/>
    <w:rsid w:val="00F12C3D"/>
    <w:rsid w:val="00F17C27"/>
    <w:rsid w:val="00F32995"/>
    <w:rsid w:val="00F4401A"/>
    <w:rsid w:val="00F45DE0"/>
    <w:rsid w:val="00F47A7B"/>
    <w:rsid w:val="00F63891"/>
    <w:rsid w:val="00F6420B"/>
    <w:rsid w:val="00F64D3E"/>
    <w:rsid w:val="00F7112F"/>
    <w:rsid w:val="00F74494"/>
    <w:rsid w:val="00F74A50"/>
    <w:rsid w:val="00F762B5"/>
    <w:rsid w:val="00F76405"/>
    <w:rsid w:val="00F812AE"/>
    <w:rsid w:val="00F8151F"/>
    <w:rsid w:val="00F81F04"/>
    <w:rsid w:val="00F821EE"/>
    <w:rsid w:val="00F85CB1"/>
    <w:rsid w:val="00F86463"/>
    <w:rsid w:val="00F8654B"/>
    <w:rsid w:val="00F91F1B"/>
    <w:rsid w:val="00F92AF2"/>
    <w:rsid w:val="00F92D76"/>
    <w:rsid w:val="00F93909"/>
    <w:rsid w:val="00F9403E"/>
    <w:rsid w:val="00F94C19"/>
    <w:rsid w:val="00F954C7"/>
    <w:rsid w:val="00FA0800"/>
    <w:rsid w:val="00FA0ACE"/>
    <w:rsid w:val="00FA392D"/>
    <w:rsid w:val="00FA4718"/>
    <w:rsid w:val="00FB0271"/>
    <w:rsid w:val="00FB07BE"/>
    <w:rsid w:val="00FB154B"/>
    <w:rsid w:val="00FB3B05"/>
    <w:rsid w:val="00FB5605"/>
    <w:rsid w:val="00FB5A65"/>
    <w:rsid w:val="00FB66E7"/>
    <w:rsid w:val="00FB6C5F"/>
    <w:rsid w:val="00FB777A"/>
    <w:rsid w:val="00FC0781"/>
    <w:rsid w:val="00FC0A22"/>
    <w:rsid w:val="00FC1B9E"/>
    <w:rsid w:val="00FC4907"/>
    <w:rsid w:val="00FD26F6"/>
    <w:rsid w:val="00FD2BBF"/>
    <w:rsid w:val="00FE0836"/>
    <w:rsid w:val="00FE6C50"/>
    <w:rsid w:val="00FF1220"/>
    <w:rsid w:val="00FF13B5"/>
    <w:rsid w:val="00FF21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771A2"/>
  <w15:chartTrackingRefBased/>
  <w15:docId w15:val="{0C53453A-58CA-4CF8-821E-585EE1EF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B2B"/>
    <w:pPr>
      <w:spacing w:after="0" w:line="240" w:lineRule="auto"/>
      <w:jc w:val="both"/>
    </w:pPr>
    <w:rPr>
      <w:rFonts w:ascii="Arial" w:eastAsia="Times New Roman" w:hAnsi="Arial" w:cs="Times New Roman"/>
      <w:szCs w:val="24"/>
      <w:lang w:val="es-ES" w:eastAsia="es-ES"/>
    </w:rPr>
  </w:style>
  <w:style w:type="paragraph" w:styleId="Ttulo3">
    <w:name w:val="heading 3"/>
    <w:basedOn w:val="Normal"/>
    <w:next w:val="Normal"/>
    <w:link w:val="Ttulo3Car"/>
    <w:uiPriority w:val="9"/>
    <w:unhideWhenUsed/>
    <w:qFormat/>
    <w:rsid w:val="00FF2169"/>
    <w:pPr>
      <w:keepNext/>
      <w:keepLines/>
      <w:spacing w:before="40"/>
      <w:jc w:val="left"/>
      <w:outlineLvl w:val="2"/>
    </w:pPr>
    <w:rPr>
      <w:rFonts w:asciiTheme="majorHAnsi" w:eastAsiaTheme="majorEastAsia" w:hAnsiTheme="majorHAnsi" w:cstheme="majorBidi"/>
      <w:color w:val="243F60"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315B2B"/>
    <w:rPr>
      <w:color w:val="0000FF"/>
      <w:u w:val="single"/>
    </w:rPr>
  </w:style>
  <w:style w:type="paragraph" w:styleId="Encabezado">
    <w:name w:val="header"/>
    <w:basedOn w:val="Normal"/>
    <w:link w:val="EncabezadoCar"/>
    <w:unhideWhenUsed/>
    <w:rsid w:val="00315B2B"/>
    <w:pPr>
      <w:tabs>
        <w:tab w:val="center" w:pos="4419"/>
        <w:tab w:val="right" w:pos="8838"/>
      </w:tabs>
    </w:pPr>
  </w:style>
  <w:style w:type="character" w:customStyle="1" w:styleId="EncabezadoCar">
    <w:name w:val="Encabezado Car"/>
    <w:basedOn w:val="Fuentedeprrafopredeter"/>
    <w:link w:val="Encabezado"/>
    <w:rsid w:val="00315B2B"/>
    <w:rPr>
      <w:rFonts w:ascii="Arial" w:eastAsia="Times New Roman" w:hAnsi="Arial" w:cs="Times New Roman"/>
      <w:szCs w:val="24"/>
      <w:lang w:val="es-ES" w:eastAsia="es-ES"/>
    </w:rPr>
  </w:style>
  <w:style w:type="paragraph" w:styleId="Piedepgina">
    <w:name w:val="footer"/>
    <w:basedOn w:val="Normal"/>
    <w:link w:val="PiedepginaCar"/>
    <w:uiPriority w:val="99"/>
    <w:unhideWhenUsed/>
    <w:rsid w:val="00315B2B"/>
    <w:pPr>
      <w:tabs>
        <w:tab w:val="center" w:pos="4419"/>
        <w:tab w:val="right" w:pos="8838"/>
      </w:tabs>
    </w:pPr>
  </w:style>
  <w:style w:type="character" w:customStyle="1" w:styleId="PiedepginaCar">
    <w:name w:val="Pie de página Car"/>
    <w:basedOn w:val="Fuentedeprrafopredeter"/>
    <w:link w:val="Piedepgina"/>
    <w:uiPriority w:val="99"/>
    <w:rsid w:val="00315B2B"/>
    <w:rPr>
      <w:rFonts w:ascii="Arial" w:eastAsia="Times New Roman" w:hAnsi="Arial" w:cs="Times New Roman"/>
      <w:szCs w:val="24"/>
      <w:lang w:val="es-ES" w:eastAsia="es-ES"/>
    </w:rPr>
  </w:style>
  <w:style w:type="paragraph" w:styleId="Prrafodelista">
    <w:name w:val="List Paragraph"/>
    <w:basedOn w:val="Normal"/>
    <w:uiPriority w:val="34"/>
    <w:qFormat/>
    <w:rsid w:val="00315B2B"/>
    <w:pPr>
      <w:ind w:left="720"/>
      <w:contextualSpacing/>
      <w:jc w:val="left"/>
    </w:pPr>
    <w:rPr>
      <w:rFonts w:ascii="Times New Roman" w:hAnsi="Times New Roman"/>
      <w:sz w:val="24"/>
    </w:rPr>
  </w:style>
  <w:style w:type="paragraph" w:styleId="Textoindependiente">
    <w:name w:val="Body Text"/>
    <w:basedOn w:val="Normal"/>
    <w:link w:val="TextoindependienteCar"/>
    <w:rsid w:val="00315B2B"/>
    <w:rPr>
      <w:rFonts w:cs="Arial"/>
    </w:rPr>
  </w:style>
  <w:style w:type="character" w:customStyle="1" w:styleId="TextoindependienteCar">
    <w:name w:val="Texto independiente Car"/>
    <w:basedOn w:val="Fuentedeprrafopredeter"/>
    <w:link w:val="Textoindependiente"/>
    <w:rsid w:val="00315B2B"/>
    <w:rPr>
      <w:rFonts w:ascii="Arial" w:eastAsia="Times New Roman" w:hAnsi="Arial" w:cs="Arial"/>
      <w:szCs w:val="24"/>
      <w:lang w:val="es-ES" w:eastAsia="es-ES"/>
    </w:rPr>
  </w:style>
  <w:style w:type="character" w:styleId="Refdecomentario">
    <w:name w:val="annotation reference"/>
    <w:basedOn w:val="Fuentedeprrafopredeter"/>
    <w:uiPriority w:val="99"/>
    <w:semiHidden/>
    <w:unhideWhenUsed/>
    <w:rsid w:val="0075695F"/>
    <w:rPr>
      <w:sz w:val="16"/>
      <w:szCs w:val="16"/>
    </w:rPr>
  </w:style>
  <w:style w:type="paragraph" w:styleId="Textocomentario">
    <w:name w:val="annotation text"/>
    <w:basedOn w:val="Normal"/>
    <w:link w:val="TextocomentarioCar"/>
    <w:uiPriority w:val="99"/>
    <w:unhideWhenUsed/>
    <w:rsid w:val="0075695F"/>
    <w:rPr>
      <w:sz w:val="20"/>
      <w:szCs w:val="20"/>
    </w:rPr>
  </w:style>
  <w:style w:type="character" w:customStyle="1" w:styleId="TextocomentarioCar">
    <w:name w:val="Texto comentario Car"/>
    <w:basedOn w:val="Fuentedeprrafopredeter"/>
    <w:link w:val="Textocomentario"/>
    <w:uiPriority w:val="99"/>
    <w:rsid w:val="0075695F"/>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5695F"/>
    <w:rPr>
      <w:b/>
      <w:bCs/>
    </w:rPr>
  </w:style>
  <w:style w:type="character" w:customStyle="1" w:styleId="AsuntodelcomentarioCar">
    <w:name w:val="Asunto del comentario Car"/>
    <w:basedOn w:val="TextocomentarioCar"/>
    <w:link w:val="Asuntodelcomentario"/>
    <w:uiPriority w:val="99"/>
    <w:semiHidden/>
    <w:rsid w:val="0075695F"/>
    <w:rPr>
      <w:rFonts w:ascii="Arial" w:eastAsia="Times New Roman" w:hAnsi="Arial" w:cs="Times New Roman"/>
      <w:b/>
      <w:bCs/>
      <w:sz w:val="20"/>
      <w:szCs w:val="20"/>
      <w:lang w:val="es-ES" w:eastAsia="es-ES"/>
    </w:rPr>
  </w:style>
  <w:style w:type="paragraph" w:styleId="Textodeglobo">
    <w:name w:val="Balloon Text"/>
    <w:basedOn w:val="Normal"/>
    <w:link w:val="TextodegloboCar"/>
    <w:uiPriority w:val="99"/>
    <w:semiHidden/>
    <w:unhideWhenUsed/>
    <w:rsid w:val="007569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695F"/>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FD2BBF"/>
    <w:rPr>
      <w:color w:val="800080" w:themeColor="followedHyperlink"/>
      <w:u w:val="single"/>
    </w:rPr>
  </w:style>
  <w:style w:type="paragraph" w:styleId="Textonotapie">
    <w:name w:val="footnote text"/>
    <w:aliases w:val="teques"/>
    <w:basedOn w:val="Normal"/>
    <w:link w:val="TextonotapieCar"/>
    <w:uiPriority w:val="99"/>
    <w:unhideWhenUsed/>
    <w:rsid w:val="00C81107"/>
    <w:rPr>
      <w:sz w:val="20"/>
      <w:szCs w:val="20"/>
    </w:rPr>
  </w:style>
  <w:style w:type="character" w:customStyle="1" w:styleId="TextonotapieCar">
    <w:name w:val="Texto nota pie Car"/>
    <w:aliases w:val="teques Car"/>
    <w:basedOn w:val="Fuentedeprrafopredeter"/>
    <w:link w:val="Textonotapie"/>
    <w:uiPriority w:val="99"/>
    <w:rsid w:val="00C81107"/>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C81107"/>
    <w:rPr>
      <w:vertAlign w:val="superscript"/>
    </w:rPr>
  </w:style>
  <w:style w:type="paragraph" w:styleId="NormalWeb">
    <w:name w:val="Normal (Web)"/>
    <w:basedOn w:val="Normal"/>
    <w:uiPriority w:val="99"/>
    <w:rsid w:val="00DA371B"/>
    <w:pPr>
      <w:spacing w:before="100" w:beforeAutospacing="1" w:after="100" w:afterAutospacing="1"/>
      <w:jc w:val="left"/>
    </w:pPr>
    <w:rPr>
      <w:rFonts w:ascii="Times New Roman" w:hAnsi="Times New Roman"/>
      <w:sz w:val="24"/>
    </w:rPr>
  </w:style>
  <w:style w:type="character" w:customStyle="1" w:styleId="Mencinsinresolver1">
    <w:name w:val="Mención sin resolver1"/>
    <w:basedOn w:val="Fuentedeprrafopredeter"/>
    <w:uiPriority w:val="99"/>
    <w:semiHidden/>
    <w:unhideWhenUsed/>
    <w:rsid w:val="00583CFA"/>
    <w:rPr>
      <w:color w:val="605E5C"/>
      <w:shd w:val="clear" w:color="auto" w:fill="E1DFDD"/>
    </w:rPr>
  </w:style>
  <w:style w:type="character" w:styleId="Textodelmarcadordeposicin">
    <w:name w:val="Placeholder Text"/>
    <w:basedOn w:val="Fuentedeprrafopredeter"/>
    <w:uiPriority w:val="99"/>
    <w:semiHidden/>
    <w:rsid w:val="00B05EE7"/>
    <w:rPr>
      <w:color w:val="808080"/>
    </w:rPr>
  </w:style>
  <w:style w:type="paragraph" w:styleId="Revisin">
    <w:name w:val="Revision"/>
    <w:hidden/>
    <w:uiPriority w:val="99"/>
    <w:semiHidden/>
    <w:rsid w:val="00A7610B"/>
    <w:pPr>
      <w:spacing w:after="0" w:line="240" w:lineRule="auto"/>
    </w:pPr>
    <w:rPr>
      <w:rFonts w:ascii="Arial" w:eastAsia="Times New Roman" w:hAnsi="Arial" w:cs="Times New Roman"/>
      <w:szCs w:val="24"/>
      <w:lang w:val="es-ES" w:eastAsia="es-ES"/>
    </w:rPr>
  </w:style>
  <w:style w:type="character" w:customStyle="1" w:styleId="Ttulo3Car">
    <w:name w:val="Título 3 Car"/>
    <w:basedOn w:val="Fuentedeprrafopredeter"/>
    <w:link w:val="Ttulo3"/>
    <w:uiPriority w:val="9"/>
    <w:rsid w:val="00FF2169"/>
    <w:rPr>
      <w:rFonts w:asciiTheme="majorHAnsi" w:eastAsiaTheme="majorEastAsia" w:hAnsiTheme="majorHAnsi" w:cstheme="majorBidi"/>
      <w:color w:val="243F60" w:themeColor="accent1" w:themeShade="7F"/>
      <w:sz w:val="24"/>
      <w:szCs w:val="24"/>
      <w:lang w:val="es-ES" w:eastAsia="es-ES"/>
    </w:rPr>
  </w:style>
  <w:style w:type="paragraph" w:styleId="Sangradetextonormal">
    <w:name w:val="Body Text Indent"/>
    <w:basedOn w:val="Normal"/>
    <w:link w:val="SangradetextonormalCar"/>
    <w:uiPriority w:val="99"/>
    <w:semiHidden/>
    <w:unhideWhenUsed/>
    <w:rsid w:val="009D257F"/>
    <w:pPr>
      <w:spacing w:after="120"/>
      <w:ind w:left="283"/>
    </w:pPr>
  </w:style>
  <w:style w:type="character" w:customStyle="1" w:styleId="SangradetextonormalCar">
    <w:name w:val="Sangría de texto normal Car"/>
    <w:basedOn w:val="Fuentedeprrafopredeter"/>
    <w:link w:val="Sangradetextonormal"/>
    <w:uiPriority w:val="99"/>
    <w:semiHidden/>
    <w:rsid w:val="009D257F"/>
    <w:rPr>
      <w:rFonts w:ascii="Arial" w:eastAsia="Times New Roman" w:hAnsi="Arial" w:cs="Times New Roman"/>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9D2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9D257F"/>
    <w:rPr>
      <w:rFonts w:ascii="Arial" w:eastAsia="Times New Roman" w:hAnsi="Arial"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6441">
      <w:bodyDiv w:val="1"/>
      <w:marLeft w:val="0"/>
      <w:marRight w:val="0"/>
      <w:marTop w:val="0"/>
      <w:marBottom w:val="0"/>
      <w:divBdr>
        <w:top w:val="none" w:sz="0" w:space="0" w:color="auto"/>
        <w:left w:val="none" w:sz="0" w:space="0" w:color="auto"/>
        <w:bottom w:val="none" w:sz="0" w:space="0" w:color="auto"/>
        <w:right w:val="none" w:sz="0" w:space="0" w:color="auto"/>
      </w:divBdr>
    </w:div>
    <w:div w:id="188420816">
      <w:bodyDiv w:val="1"/>
      <w:marLeft w:val="0"/>
      <w:marRight w:val="0"/>
      <w:marTop w:val="0"/>
      <w:marBottom w:val="0"/>
      <w:divBdr>
        <w:top w:val="none" w:sz="0" w:space="0" w:color="auto"/>
        <w:left w:val="none" w:sz="0" w:space="0" w:color="auto"/>
        <w:bottom w:val="none" w:sz="0" w:space="0" w:color="auto"/>
        <w:right w:val="none" w:sz="0" w:space="0" w:color="auto"/>
      </w:divBdr>
    </w:div>
    <w:div w:id="410470305">
      <w:bodyDiv w:val="1"/>
      <w:marLeft w:val="0"/>
      <w:marRight w:val="0"/>
      <w:marTop w:val="0"/>
      <w:marBottom w:val="0"/>
      <w:divBdr>
        <w:top w:val="none" w:sz="0" w:space="0" w:color="auto"/>
        <w:left w:val="none" w:sz="0" w:space="0" w:color="auto"/>
        <w:bottom w:val="none" w:sz="0" w:space="0" w:color="auto"/>
        <w:right w:val="none" w:sz="0" w:space="0" w:color="auto"/>
      </w:divBdr>
    </w:div>
    <w:div w:id="497498720">
      <w:bodyDiv w:val="1"/>
      <w:marLeft w:val="0"/>
      <w:marRight w:val="0"/>
      <w:marTop w:val="0"/>
      <w:marBottom w:val="0"/>
      <w:divBdr>
        <w:top w:val="none" w:sz="0" w:space="0" w:color="auto"/>
        <w:left w:val="none" w:sz="0" w:space="0" w:color="auto"/>
        <w:bottom w:val="none" w:sz="0" w:space="0" w:color="auto"/>
        <w:right w:val="none" w:sz="0" w:space="0" w:color="auto"/>
      </w:divBdr>
    </w:div>
    <w:div w:id="559171621">
      <w:bodyDiv w:val="1"/>
      <w:marLeft w:val="0"/>
      <w:marRight w:val="0"/>
      <w:marTop w:val="0"/>
      <w:marBottom w:val="0"/>
      <w:divBdr>
        <w:top w:val="none" w:sz="0" w:space="0" w:color="auto"/>
        <w:left w:val="none" w:sz="0" w:space="0" w:color="auto"/>
        <w:bottom w:val="none" w:sz="0" w:space="0" w:color="auto"/>
        <w:right w:val="none" w:sz="0" w:space="0" w:color="auto"/>
      </w:divBdr>
    </w:div>
    <w:div w:id="610093885">
      <w:bodyDiv w:val="1"/>
      <w:marLeft w:val="0"/>
      <w:marRight w:val="0"/>
      <w:marTop w:val="0"/>
      <w:marBottom w:val="0"/>
      <w:divBdr>
        <w:top w:val="none" w:sz="0" w:space="0" w:color="auto"/>
        <w:left w:val="none" w:sz="0" w:space="0" w:color="auto"/>
        <w:bottom w:val="none" w:sz="0" w:space="0" w:color="auto"/>
        <w:right w:val="none" w:sz="0" w:space="0" w:color="auto"/>
      </w:divBdr>
    </w:div>
    <w:div w:id="787815467">
      <w:bodyDiv w:val="1"/>
      <w:marLeft w:val="0"/>
      <w:marRight w:val="0"/>
      <w:marTop w:val="0"/>
      <w:marBottom w:val="0"/>
      <w:divBdr>
        <w:top w:val="none" w:sz="0" w:space="0" w:color="auto"/>
        <w:left w:val="none" w:sz="0" w:space="0" w:color="auto"/>
        <w:bottom w:val="none" w:sz="0" w:space="0" w:color="auto"/>
        <w:right w:val="none" w:sz="0" w:space="0" w:color="auto"/>
      </w:divBdr>
    </w:div>
    <w:div w:id="1036194264">
      <w:bodyDiv w:val="1"/>
      <w:marLeft w:val="0"/>
      <w:marRight w:val="0"/>
      <w:marTop w:val="0"/>
      <w:marBottom w:val="0"/>
      <w:divBdr>
        <w:top w:val="none" w:sz="0" w:space="0" w:color="auto"/>
        <w:left w:val="none" w:sz="0" w:space="0" w:color="auto"/>
        <w:bottom w:val="none" w:sz="0" w:space="0" w:color="auto"/>
        <w:right w:val="none" w:sz="0" w:space="0" w:color="auto"/>
      </w:divBdr>
    </w:div>
    <w:div w:id="1201014169">
      <w:bodyDiv w:val="1"/>
      <w:marLeft w:val="0"/>
      <w:marRight w:val="0"/>
      <w:marTop w:val="0"/>
      <w:marBottom w:val="0"/>
      <w:divBdr>
        <w:top w:val="none" w:sz="0" w:space="0" w:color="auto"/>
        <w:left w:val="none" w:sz="0" w:space="0" w:color="auto"/>
        <w:bottom w:val="none" w:sz="0" w:space="0" w:color="auto"/>
        <w:right w:val="none" w:sz="0" w:space="0" w:color="auto"/>
      </w:divBdr>
    </w:div>
    <w:div w:id="1211109002">
      <w:bodyDiv w:val="1"/>
      <w:marLeft w:val="0"/>
      <w:marRight w:val="0"/>
      <w:marTop w:val="0"/>
      <w:marBottom w:val="0"/>
      <w:divBdr>
        <w:top w:val="none" w:sz="0" w:space="0" w:color="auto"/>
        <w:left w:val="none" w:sz="0" w:space="0" w:color="auto"/>
        <w:bottom w:val="none" w:sz="0" w:space="0" w:color="auto"/>
        <w:right w:val="none" w:sz="0" w:space="0" w:color="auto"/>
      </w:divBdr>
    </w:div>
    <w:div w:id="19233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eader" Target="header2.xml"/><Relationship Id="rId26" Type="http://schemas.openxmlformats.org/officeDocument/2006/relationships/hyperlink" Target="https://www.inegi.org.mx/programas/enadid/2018/default.html"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s://www.un.org/en/development/desa/population/migration/publications/populationfacts/docs/MigrationStock2019_PopFacts_2019-04.pdf"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hyperlink" Target="https://nam04.safelinks.protection.outlook.com/?url=http%3A%2F%2Fwww.conapo.gob.mx%2Fwork%2Fmodels%2FCONAPO%2FResource%2F2441%2F1%2Fimages%2FENAPEA_V10.pdf&amp;data=01%7C01%7CVICENTE.NUNEZ%40inegi.org.mx%7C6239ce4b2a0a4b11a56f08d7e24fc37c%7Cca8f09f5335e4fc58041f5b472a02eef%7C1&amp;sdata=E6WA%2F8B6ZlR9KOw1KKWq5sLYr4w6%2BR2Teh0re3vQZHc%3D&amp;reserved=0" TargetMode="External"/><Relationship Id="rId33" Type="http://schemas.openxmlformats.org/officeDocument/2006/relationships/hyperlink" Target="https://documents-dds-ny.un.org/doc/UNDOC/LTD/N18/246/56/PDF/N1824656.pdf?OpenElemen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9.png"/><Relationship Id="rId29" Type="http://schemas.openxmlformats.org/officeDocument/2006/relationships/hyperlink" Target="https://population.un.org/wpp/Download/Standard/Popul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nam04.safelinks.protection.outlook.com/?url=https%3A%2F%2Fwww.cepal.org%2Fnotas%2F75%2FEnFoco_3.html&amp;data=01%7C01%7CVICENTE.NUNEZ%40inegi.org.mx%7C6239ce4b2a0a4b11a56f08d7e24fc37c%7Cca8f09f5335e4fc58041f5b472a02eef%7C1&amp;sdata=9TxVuQQCU1tIEp68h9GEWMobK%2B2uLnGqHB2Rv%2FNJ2q0%3D&amp;reserved=0" TargetMode="External"/><Relationship Id="rId32" Type="http://schemas.openxmlformats.org/officeDocument/2006/relationships/hyperlink" Target="http://hdr.undp.org/sites/default/files/hdr_2009_es_complete.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conapo.gob.mx/es/CONAPO/La_poblacion_de_Mexico_en_el_nuevo_siglo" TargetMode="External"/><Relationship Id="rId28" Type="http://schemas.openxmlformats.org/officeDocument/2006/relationships/hyperlink" Target="https://www.cepal.org/sites/default/files/courses/files/rlopez.pdf" TargetMode="External"/><Relationship Id="rId36" Type="http://schemas.openxmlformats.org/officeDocument/2006/relationships/header" Target="header4.xml"/><Relationship Id="rId10" Type="http://schemas.openxmlformats.org/officeDocument/2006/relationships/hyperlink" Target="about:blank" TargetMode="External"/><Relationship Id="rId19" Type="http://schemas.openxmlformats.org/officeDocument/2006/relationships/footer" Target="footer2.xml"/><Relationship Id="rId31" Type="http://schemas.openxmlformats.org/officeDocument/2006/relationships/hyperlink" Target="https://publications.iom.int/system/files/pdf/wmr_2020_e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1.png"/><Relationship Id="rId27" Type="http://schemas.openxmlformats.org/officeDocument/2006/relationships/hyperlink" Target="https://www.eustat.eus/documentos/opt_0/tema_159/elem_1443/definicion.html" TargetMode="External"/><Relationship Id="rId30" Type="http://schemas.openxmlformats.org/officeDocument/2006/relationships/hyperlink" Target="https://nam04.safelinks.protection.outlook.com/?url=https%3A%2F%2Fnews.un.org%2Fes%2Faudio%2F2011%2F07%2F1394231&amp;data=01%7C01%7CVICENTE.NUNEZ%40inegi.org.mx%7C6239ce4b2a0a4b11a56f08d7e24fc37c%7Cca8f09f5335e4fc58041f5b472a02eef%7C1&amp;sdata=RW7W7IeSrtI95QnFZ1y865OTeCz4hadKVLY5nHkd5NE%3D&amp;reserved=0"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F77A61-00CC-4B94-B07D-4949B27253DF}">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ECEEB-3085-41E7-9271-86034A94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3337</Words>
  <Characters>19026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Díaz</dc:creator>
  <cp:keywords/>
  <dc:description/>
  <cp:lastModifiedBy>MORONES RUIZ FABIOLA CRISTINA</cp:lastModifiedBy>
  <cp:revision>3</cp:revision>
  <cp:lastPrinted>2020-03-11T14:13:00Z</cp:lastPrinted>
  <dcterms:created xsi:type="dcterms:W3CDTF">2020-07-07T14:25:00Z</dcterms:created>
  <dcterms:modified xsi:type="dcterms:W3CDTF">2020-07-07T18:49:00Z</dcterms:modified>
</cp:coreProperties>
</file>