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646E9" w14:textId="77777777" w:rsidR="0016205E" w:rsidRDefault="0016205E" w:rsidP="00CE7FF1">
      <w:pPr>
        <w:spacing w:before="120" w:line="276" w:lineRule="auto"/>
        <w:jc w:val="center"/>
        <w:rPr>
          <w:rFonts w:cs="Arial"/>
          <w:b/>
          <w:bCs/>
          <w:color w:val="000000" w:themeColor="text1"/>
          <w:sz w:val="24"/>
          <w:lang w:val="es-MX"/>
        </w:rPr>
      </w:pPr>
    </w:p>
    <w:p w14:paraId="601B4F54" w14:textId="77777777" w:rsidR="00CE7FF1" w:rsidRPr="00CE7FF1" w:rsidRDefault="00CE7FF1" w:rsidP="0016205E">
      <w:pPr>
        <w:spacing w:before="120" w:line="276" w:lineRule="auto"/>
        <w:ind w:left="-567"/>
        <w:jc w:val="center"/>
        <w:rPr>
          <w:rFonts w:cs="Arial"/>
          <w:b/>
          <w:bCs/>
          <w:color w:val="000000" w:themeColor="text1"/>
          <w:sz w:val="24"/>
          <w:lang w:val="es-MX"/>
        </w:rPr>
      </w:pPr>
      <w:r w:rsidRPr="00CE7FF1">
        <w:rPr>
          <w:rFonts w:cs="Arial"/>
          <w:b/>
          <w:bCs/>
          <w:color w:val="000000" w:themeColor="text1"/>
          <w:sz w:val="24"/>
          <w:lang w:val="es-MX"/>
        </w:rPr>
        <w:t>ESTADÍSTICAS A PROPÓSITO DEL 14 DE FEBRERO</w:t>
      </w:r>
    </w:p>
    <w:p w14:paraId="12BF3EEE" w14:textId="77777777" w:rsidR="00CE7FF1" w:rsidRPr="0016205E" w:rsidRDefault="00CE7FF1" w:rsidP="0016205E">
      <w:pPr>
        <w:spacing w:before="120" w:after="120" w:line="276" w:lineRule="auto"/>
        <w:ind w:left="-567"/>
        <w:jc w:val="center"/>
        <w:rPr>
          <w:rFonts w:cs="Arial"/>
          <w:b/>
          <w:color w:val="000000" w:themeColor="text1"/>
          <w:sz w:val="24"/>
          <w:lang w:val="es-MX"/>
        </w:rPr>
      </w:pPr>
      <w:r w:rsidRPr="0016205E">
        <w:rPr>
          <w:rFonts w:cs="Arial"/>
          <w:b/>
          <w:color w:val="000000" w:themeColor="text1"/>
          <w:sz w:val="24"/>
          <w:lang w:val="es-MX"/>
        </w:rPr>
        <w:t>DATOS NACIONALES</w:t>
      </w:r>
    </w:p>
    <w:p w14:paraId="4DDDFC23" w14:textId="77777777" w:rsidR="00CE7FF1" w:rsidRPr="00082CA5" w:rsidRDefault="00CE7FF1" w:rsidP="00CE7FF1">
      <w:pPr>
        <w:spacing w:before="120" w:line="276" w:lineRule="auto"/>
        <w:jc w:val="center"/>
        <w:rPr>
          <w:rFonts w:cs="Arial"/>
          <w:bCs/>
          <w:color w:val="002060"/>
          <w:sz w:val="2"/>
          <w:szCs w:val="2"/>
        </w:rPr>
      </w:pPr>
    </w:p>
    <w:p w14:paraId="581EB616" w14:textId="3BB2DA6E" w:rsidR="00CE7FF1" w:rsidRPr="00FE55DE" w:rsidRDefault="00CE7FF1" w:rsidP="00FE55DE">
      <w:pPr>
        <w:pStyle w:val="Textoindependiente"/>
        <w:numPr>
          <w:ilvl w:val="0"/>
          <w:numId w:val="1"/>
        </w:numPr>
        <w:autoSpaceDE w:val="0"/>
        <w:autoSpaceDN w:val="0"/>
        <w:adjustRightInd w:val="0"/>
        <w:spacing w:after="120"/>
        <w:ind w:left="0" w:right="675" w:hanging="284"/>
        <w:rPr>
          <w:bCs/>
          <w:color w:val="000000" w:themeColor="text1"/>
          <w:szCs w:val="22"/>
        </w:rPr>
      </w:pPr>
      <w:r w:rsidRPr="00FE55DE">
        <w:rPr>
          <w:bCs/>
          <w:color w:val="000000" w:themeColor="text1"/>
          <w:szCs w:val="22"/>
        </w:rPr>
        <w:t xml:space="preserve">En 2018 se registraron </w:t>
      </w:r>
      <w:r w:rsidR="00FE55DE" w:rsidRPr="00FE55DE">
        <w:rPr>
          <w:bCs/>
          <w:color w:val="000000" w:themeColor="text1"/>
        </w:rPr>
        <w:t>501 298 matrimonios legales</w:t>
      </w:r>
      <w:r w:rsidR="00FE55DE" w:rsidRPr="00FE55DE">
        <w:rPr>
          <w:bCs/>
          <w:color w:val="000000" w:themeColor="text1"/>
          <w:szCs w:val="22"/>
        </w:rPr>
        <w:t>. De estos,</w:t>
      </w:r>
      <w:r w:rsidR="00FE55DE" w:rsidRPr="00FE55DE">
        <w:rPr>
          <w:bCs/>
          <w:color w:val="000000" w:themeColor="text1"/>
        </w:rPr>
        <w:t xml:space="preserve"> 497 939 fueron entre parejas de mujeres y hombres y</w:t>
      </w:r>
      <w:r w:rsidR="00FE55DE" w:rsidRPr="00FE55DE">
        <w:rPr>
          <w:bCs/>
          <w:color w:val="000000" w:themeColor="text1"/>
          <w:szCs w:val="22"/>
        </w:rPr>
        <w:t xml:space="preserve"> </w:t>
      </w:r>
      <w:r w:rsidRPr="00FE55DE">
        <w:rPr>
          <w:bCs/>
          <w:color w:val="000000" w:themeColor="text1"/>
          <w:szCs w:val="22"/>
        </w:rPr>
        <w:t xml:space="preserve">3 359 </w:t>
      </w:r>
      <w:r w:rsidR="00FE55DE" w:rsidRPr="00FE55DE">
        <w:rPr>
          <w:bCs/>
          <w:color w:val="000000" w:themeColor="text1"/>
          <w:szCs w:val="22"/>
        </w:rPr>
        <w:t>fueron</w:t>
      </w:r>
      <w:r w:rsidRPr="00FE55DE">
        <w:rPr>
          <w:bCs/>
          <w:color w:val="000000" w:themeColor="text1"/>
          <w:szCs w:val="22"/>
        </w:rPr>
        <w:t xml:space="preserve"> entre personas del mismo sexo</w:t>
      </w:r>
      <w:r w:rsidR="0016205E" w:rsidRPr="00FE55DE">
        <w:rPr>
          <w:bCs/>
          <w:color w:val="000000" w:themeColor="text1"/>
          <w:szCs w:val="22"/>
        </w:rPr>
        <w:t>.</w:t>
      </w:r>
      <w:r w:rsidRPr="00FE55DE">
        <w:rPr>
          <w:bCs/>
          <w:color w:val="000000" w:themeColor="text1"/>
          <w:szCs w:val="22"/>
        </w:rPr>
        <w:t xml:space="preserve"> </w:t>
      </w:r>
    </w:p>
    <w:p w14:paraId="0BC12A8F" w14:textId="77777777" w:rsidR="00FE55DE" w:rsidRPr="00FE55DE" w:rsidRDefault="00CE7FF1" w:rsidP="00FE55DE">
      <w:pPr>
        <w:pStyle w:val="Textoindependiente"/>
        <w:numPr>
          <w:ilvl w:val="0"/>
          <w:numId w:val="1"/>
        </w:numPr>
        <w:autoSpaceDE w:val="0"/>
        <w:autoSpaceDN w:val="0"/>
        <w:adjustRightInd w:val="0"/>
        <w:spacing w:after="120"/>
        <w:ind w:left="0" w:right="675" w:hanging="284"/>
        <w:rPr>
          <w:bCs/>
          <w:color w:val="000000" w:themeColor="text1"/>
          <w:szCs w:val="22"/>
        </w:rPr>
      </w:pPr>
      <w:r w:rsidRPr="00FE55DE">
        <w:rPr>
          <w:bCs/>
          <w:color w:val="000000" w:themeColor="text1"/>
          <w:szCs w:val="22"/>
        </w:rPr>
        <w:t>E</w:t>
      </w:r>
      <w:r w:rsidRPr="00FE55DE">
        <w:rPr>
          <w:bCs/>
          <w:color w:val="000000" w:themeColor="text1"/>
        </w:rPr>
        <w:t>n los matrimonios de contrayentes hombres el promedio de edad al momento de la unión en 2018 es de 35.2 años, mientras que en las contrayentes mujeres de 34 años.</w:t>
      </w:r>
    </w:p>
    <w:p w14:paraId="4C20B1D2" w14:textId="1CEBDBBA" w:rsidR="00CE7FF1" w:rsidRPr="00FE55DE" w:rsidRDefault="00FE55DE" w:rsidP="00FE55DE">
      <w:pPr>
        <w:pStyle w:val="Textoindependiente"/>
        <w:numPr>
          <w:ilvl w:val="0"/>
          <w:numId w:val="1"/>
        </w:numPr>
        <w:autoSpaceDE w:val="0"/>
        <w:autoSpaceDN w:val="0"/>
        <w:adjustRightInd w:val="0"/>
        <w:spacing w:after="120"/>
        <w:ind w:left="0" w:right="675" w:hanging="284"/>
        <w:rPr>
          <w:bCs/>
          <w:color w:val="000000" w:themeColor="text1"/>
          <w:szCs w:val="22"/>
        </w:rPr>
      </w:pPr>
      <w:r w:rsidRPr="00FE55DE">
        <w:rPr>
          <w:bCs/>
          <w:color w:val="000000" w:themeColor="text1"/>
          <w:szCs w:val="22"/>
        </w:rPr>
        <w:t>A</w:t>
      </w:r>
      <w:r w:rsidRPr="00FE55DE">
        <w:rPr>
          <w:bCs/>
          <w:color w:val="000000" w:themeColor="text1"/>
          <w:szCs w:val="22"/>
          <w:lang w:val="es-MX"/>
        </w:rPr>
        <w:t xml:space="preserve"> nivel nacional se registraron 156 556 separaciones legales de matrimonios; De estas, 156 283 sucedieron en parejas de hombres y mujeres; mientras que 273 fueron entre parejas de personas del mismo sexo.</w:t>
      </w:r>
    </w:p>
    <w:p w14:paraId="1F5937A1" w14:textId="77777777" w:rsidR="00FE55DE" w:rsidRPr="00FE55DE" w:rsidRDefault="00FE55DE" w:rsidP="00FE55DE">
      <w:pPr>
        <w:pStyle w:val="Textoindependiente"/>
        <w:autoSpaceDE w:val="0"/>
        <w:autoSpaceDN w:val="0"/>
        <w:adjustRightInd w:val="0"/>
        <w:spacing w:after="120"/>
        <w:ind w:right="675"/>
        <w:rPr>
          <w:bCs/>
          <w:color w:val="000000" w:themeColor="text1"/>
          <w:szCs w:val="22"/>
        </w:rPr>
      </w:pPr>
    </w:p>
    <w:p w14:paraId="1D52A520" w14:textId="77777777" w:rsidR="0016205E" w:rsidRDefault="0016205E" w:rsidP="0016205E">
      <w:pPr>
        <w:tabs>
          <w:tab w:val="left" w:pos="1418"/>
        </w:tabs>
        <w:adjustRightInd w:val="0"/>
        <w:ind w:left="-567" w:right="108"/>
        <w:rPr>
          <w:rFonts w:cs="Arial"/>
          <w:color w:val="000000" w:themeColor="text1"/>
        </w:rPr>
      </w:pPr>
      <w:r>
        <w:rPr>
          <w:rFonts w:cs="Arial"/>
          <w:color w:val="000000" w:themeColor="text1"/>
        </w:rPr>
        <w:t>E</w:t>
      </w:r>
      <w:r w:rsidRPr="00647874">
        <w:rPr>
          <w:rFonts w:eastAsia="Calibri"/>
          <w:color w:val="000000" w:themeColor="text1"/>
          <w:szCs w:val="22"/>
        </w:rPr>
        <w:t>l Instituto Nacional de Estadística y Geografía (INEGI) presenta indicadores de</w:t>
      </w:r>
      <w:r w:rsidRPr="00647874">
        <w:rPr>
          <w:rFonts w:cs="Arial"/>
          <w:color w:val="000000" w:themeColor="text1"/>
        </w:rPr>
        <w:t xml:space="preserve"> los matrimonios y divorcios celebrados entre personas del mismo sexo en México. </w:t>
      </w:r>
    </w:p>
    <w:p w14:paraId="06957C51" w14:textId="77777777" w:rsidR="0016205E" w:rsidRDefault="0016205E" w:rsidP="0016205E">
      <w:pPr>
        <w:tabs>
          <w:tab w:val="left" w:pos="1418"/>
        </w:tabs>
        <w:adjustRightInd w:val="0"/>
        <w:ind w:left="-567" w:right="108"/>
        <w:rPr>
          <w:rFonts w:cs="Arial"/>
          <w:color w:val="000000" w:themeColor="text1"/>
        </w:rPr>
      </w:pPr>
    </w:p>
    <w:p w14:paraId="2FCEF20A" w14:textId="1D65F808" w:rsidR="0016205E" w:rsidRPr="00FE55DE" w:rsidRDefault="0016205E" w:rsidP="0016205E">
      <w:pPr>
        <w:ind w:left="-567" w:right="108"/>
        <w:rPr>
          <w:rFonts w:cs="Arial"/>
          <w:color w:val="000000" w:themeColor="text1"/>
        </w:rPr>
      </w:pPr>
      <w:r w:rsidRPr="00FE55DE">
        <w:rPr>
          <w:rFonts w:cs="Arial"/>
          <w:color w:val="000000" w:themeColor="text1"/>
        </w:rPr>
        <w:t>Los registros administrativos en materia de nupcialidad indican que en 2018</w:t>
      </w:r>
      <w:r w:rsidR="00B115D5" w:rsidRPr="00FE55DE">
        <w:rPr>
          <w:rFonts w:cs="Arial"/>
          <w:color w:val="000000" w:themeColor="text1"/>
        </w:rPr>
        <w:t xml:space="preserve"> en México </w:t>
      </w:r>
      <w:r w:rsidRPr="00FE55DE">
        <w:rPr>
          <w:rFonts w:cs="Arial"/>
          <w:color w:val="000000" w:themeColor="text1"/>
        </w:rPr>
        <w:t xml:space="preserve">se realizaron </w:t>
      </w:r>
      <w:r w:rsidR="00997651" w:rsidRPr="00FE55DE">
        <w:rPr>
          <w:rFonts w:cs="Arial"/>
          <w:color w:val="000000" w:themeColor="text1"/>
        </w:rPr>
        <w:t>501 298 matrimonios</w:t>
      </w:r>
      <w:r w:rsidR="004323A4" w:rsidRPr="00FE55DE">
        <w:rPr>
          <w:rFonts w:cs="Arial"/>
          <w:color w:val="000000" w:themeColor="text1"/>
        </w:rPr>
        <w:t xml:space="preserve"> legales</w:t>
      </w:r>
      <w:r w:rsidR="00FE55DE" w:rsidRPr="00FE55DE">
        <w:rPr>
          <w:rFonts w:cs="Arial"/>
          <w:color w:val="000000" w:themeColor="text1"/>
        </w:rPr>
        <w:t>. D</w:t>
      </w:r>
      <w:r w:rsidR="004323A4" w:rsidRPr="00FE55DE">
        <w:rPr>
          <w:rFonts w:cs="Arial"/>
          <w:color w:val="000000" w:themeColor="text1"/>
        </w:rPr>
        <w:t>e estos</w:t>
      </w:r>
      <w:r w:rsidR="00B115D5" w:rsidRPr="00FE55DE">
        <w:rPr>
          <w:rFonts w:cs="Arial"/>
          <w:color w:val="000000" w:themeColor="text1"/>
        </w:rPr>
        <w:t>,</w:t>
      </w:r>
      <w:r w:rsidR="004323A4" w:rsidRPr="00FE55DE">
        <w:rPr>
          <w:rFonts w:cs="Arial"/>
          <w:color w:val="000000" w:themeColor="text1"/>
        </w:rPr>
        <w:t xml:space="preserve"> 497 939 fueron entre parejas de mujeres y hombres</w:t>
      </w:r>
      <w:r w:rsidR="00FE55DE" w:rsidRPr="00FE55DE">
        <w:rPr>
          <w:rFonts w:cs="Arial"/>
          <w:color w:val="000000" w:themeColor="text1"/>
        </w:rPr>
        <w:t>,</w:t>
      </w:r>
      <w:r w:rsidR="004323A4" w:rsidRPr="00FE55DE">
        <w:rPr>
          <w:rFonts w:cs="Arial"/>
          <w:color w:val="000000" w:themeColor="text1"/>
        </w:rPr>
        <w:t xml:space="preserve"> </w:t>
      </w:r>
      <w:r w:rsidR="00EE64DC" w:rsidRPr="00FE55DE">
        <w:rPr>
          <w:rFonts w:cs="Arial"/>
          <w:color w:val="000000" w:themeColor="text1"/>
        </w:rPr>
        <w:t>mientras que</w:t>
      </w:r>
      <w:r w:rsidR="004323A4" w:rsidRPr="00FE55DE">
        <w:rPr>
          <w:rFonts w:cs="Arial"/>
          <w:color w:val="000000" w:themeColor="text1"/>
        </w:rPr>
        <w:t xml:space="preserve"> </w:t>
      </w:r>
      <w:r w:rsidRPr="00FE55DE">
        <w:rPr>
          <w:rFonts w:cs="Arial"/>
          <w:color w:val="000000" w:themeColor="text1"/>
        </w:rPr>
        <w:t xml:space="preserve">3 359 </w:t>
      </w:r>
      <w:r w:rsidR="00EE64DC" w:rsidRPr="00FE55DE">
        <w:rPr>
          <w:rFonts w:cs="Arial"/>
          <w:color w:val="000000" w:themeColor="text1"/>
        </w:rPr>
        <w:t xml:space="preserve">fueron </w:t>
      </w:r>
      <w:r w:rsidRPr="00FE55DE">
        <w:rPr>
          <w:rFonts w:cs="Arial"/>
          <w:color w:val="000000" w:themeColor="text1"/>
        </w:rPr>
        <w:t>entre personas del mismo sexo</w:t>
      </w:r>
      <w:r w:rsidR="00FE55DE" w:rsidRPr="00FE55DE">
        <w:rPr>
          <w:rFonts w:cs="Arial"/>
          <w:color w:val="000000" w:themeColor="text1"/>
        </w:rPr>
        <w:t xml:space="preserve"> y</w:t>
      </w:r>
      <w:r w:rsidRPr="00FE55DE">
        <w:rPr>
          <w:color w:val="000000" w:themeColor="text1"/>
        </w:rPr>
        <w:t xml:space="preserve"> </w:t>
      </w:r>
      <w:r w:rsidRPr="00FE55DE">
        <w:rPr>
          <w:rFonts w:cs="Arial"/>
          <w:color w:val="000000" w:themeColor="text1"/>
        </w:rPr>
        <w:t xml:space="preserve">representan 0.7% del total de los matrimonios celebrados ese año. </w:t>
      </w:r>
    </w:p>
    <w:p w14:paraId="31282F78" w14:textId="77777777" w:rsidR="0016205E" w:rsidRDefault="0016205E" w:rsidP="0016205E">
      <w:pPr>
        <w:ind w:left="-567" w:right="108"/>
        <w:rPr>
          <w:rFonts w:cs="Arial"/>
        </w:rPr>
      </w:pPr>
    </w:p>
    <w:p w14:paraId="6DB1CD28" w14:textId="77777777" w:rsidR="0016205E" w:rsidRDefault="0016205E" w:rsidP="0016205E">
      <w:pPr>
        <w:ind w:left="-567" w:right="108"/>
        <w:rPr>
          <w:rFonts w:cs="Arial"/>
        </w:rPr>
      </w:pPr>
      <w:r w:rsidRPr="00E65EC4">
        <w:rPr>
          <w:rFonts w:cs="Arial"/>
          <w:color w:val="000000" w:themeColor="text1"/>
        </w:rPr>
        <w:t xml:space="preserve">A diez años de su aprobación </w:t>
      </w:r>
      <w:r>
        <w:rPr>
          <w:rFonts w:cs="Arial"/>
          <w:color w:val="000000" w:themeColor="text1"/>
        </w:rPr>
        <w:t>(</w:t>
      </w:r>
      <w:r w:rsidRPr="00E65EC4">
        <w:rPr>
          <w:rFonts w:cs="Arial"/>
          <w:color w:val="000000" w:themeColor="text1"/>
        </w:rPr>
        <w:t>a</w:t>
      </w:r>
      <w:r>
        <w:rPr>
          <w:rFonts w:cs="Arial"/>
          <w:color w:val="000000" w:themeColor="text1"/>
        </w:rPr>
        <w:t>unque</w:t>
      </w:r>
      <w:r w:rsidRPr="00E65EC4">
        <w:rPr>
          <w:rFonts w:cs="Arial"/>
          <w:color w:val="000000" w:themeColor="text1"/>
        </w:rPr>
        <w:t xml:space="preserve"> no se cuenta con </w:t>
      </w:r>
      <w:r>
        <w:rPr>
          <w:rFonts w:cs="Arial"/>
          <w:color w:val="000000" w:themeColor="text1"/>
        </w:rPr>
        <w:t xml:space="preserve">su </w:t>
      </w:r>
      <w:r w:rsidRPr="00E65EC4">
        <w:rPr>
          <w:rFonts w:cs="Arial"/>
          <w:color w:val="000000" w:themeColor="text1"/>
        </w:rPr>
        <w:t>reconocimiento legal a nivel nacional</w:t>
      </w:r>
      <w:r w:rsidRPr="00647874">
        <w:rPr>
          <w:rFonts w:cs="Arial"/>
          <w:color w:val="000000" w:themeColor="text1"/>
        </w:rPr>
        <w:t>, pues los códigos civiles de cada entidad deben resolver su aprobación en sus respectivas demarcaciones</w:t>
      </w:r>
      <w:r w:rsidR="00D929A9">
        <w:rPr>
          <w:rFonts w:cs="Arial"/>
          <w:color w:val="000000" w:themeColor="text1"/>
        </w:rPr>
        <w:t>)</w:t>
      </w:r>
      <w:r w:rsidRPr="005D3D0A">
        <w:rPr>
          <w:rFonts w:cs="Arial"/>
        </w:rPr>
        <w:t xml:space="preserve"> </w:t>
      </w:r>
      <w:r w:rsidR="00D929A9">
        <w:rPr>
          <w:rFonts w:cs="Arial"/>
        </w:rPr>
        <w:t>los</w:t>
      </w:r>
      <w:r w:rsidRPr="005D3D0A">
        <w:rPr>
          <w:rFonts w:cs="Arial"/>
        </w:rPr>
        <w:t xml:space="preserve"> matrimonios entre personas del mismo sexo </w:t>
      </w:r>
      <w:r w:rsidR="00D929A9">
        <w:rPr>
          <w:rFonts w:cs="Arial"/>
        </w:rPr>
        <w:t>se han</w:t>
      </w:r>
      <w:r w:rsidRPr="005D3D0A">
        <w:rPr>
          <w:rFonts w:cs="Arial"/>
        </w:rPr>
        <w:t xml:space="preserve"> quintuplica</w:t>
      </w:r>
      <w:r w:rsidR="00D929A9">
        <w:rPr>
          <w:rFonts w:cs="Arial"/>
        </w:rPr>
        <w:t>do.</w:t>
      </w:r>
    </w:p>
    <w:p w14:paraId="59186B12" w14:textId="77777777" w:rsidR="0016205E" w:rsidRDefault="0016205E" w:rsidP="0016205E">
      <w:pPr>
        <w:ind w:left="-567" w:right="108"/>
        <w:rPr>
          <w:rFonts w:cs="Arial"/>
        </w:rPr>
      </w:pPr>
    </w:p>
    <w:p w14:paraId="18D06EFA" w14:textId="77777777" w:rsidR="0016205E" w:rsidRPr="00647874" w:rsidRDefault="0016205E" w:rsidP="0016205E">
      <w:pPr>
        <w:tabs>
          <w:tab w:val="left" w:pos="1418"/>
        </w:tabs>
        <w:adjustRightInd w:val="0"/>
        <w:ind w:left="-567" w:right="108"/>
        <w:rPr>
          <w:rFonts w:cs="Arial"/>
          <w:color w:val="000000" w:themeColor="text1"/>
        </w:rPr>
      </w:pPr>
      <w:r w:rsidRPr="00647874">
        <w:rPr>
          <w:rFonts w:cs="Arial"/>
          <w:color w:val="000000" w:themeColor="text1"/>
        </w:rPr>
        <w:t xml:space="preserve"> </w:t>
      </w:r>
    </w:p>
    <w:p w14:paraId="0F3E33B5" w14:textId="77777777" w:rsidR="0016205E" w:rsidRPr="00D929A9" w:rsidRDefault="0016205E" w:rsidP="00D929A9">
      <w:pPr>
        <w:spacing w:line="276" w:lineRule="auto"/>
        <w:ind w:left="-567"/>
        <w:jc w:val="center"/>
        <w:rPr>
          <w:rFonts w:cs="Arial"/>
          <w:b/>
          <w:color w:val="000000" w:themeColor="text1"/>
          <w:szCs w:val="22"/>
        </w:rPr>
      </w:pPr>
      <w:r w:rsidRPr="00D929A9">
        <w:rPr>
          <w:rFonts w:cs="Arial"/>
          <w:b/>
          <w:szCs w:val="22"/>
        </w:rPr>
        <w:t xml:space="preserve">Matrimonios entre personas del mismo </w:t>
      </w:r>
      <w:r w:rsidRPr="00D929A9">
        <w:rPr>
          <w:rFonts w:cs="Arial"/>
          <w:b/>
          <w:color w:val="000000" w:themeColor="text1"/>
          <w:szCs w:val="22"/>
        </w:rPr>
        <w:t>sexo por año de registro</w:t>
      </w:r>
    </w:p>
    <w:p w14:paraId="605253C9" w14:textId="77777777" w:rsidR="007426F2" w:rsidRPr="0016205E" w:rsidRDefault="0016205E" w:rsidP="00D929A9">
      <w:pPr>
        <w:ind w:left="-567" w:right="108"/>
        <w:jc w:val="center"/>
        <w:rPr>
          <w:rFonts w:cs="Arial"/>
          <w:b/>
          <w:color w:val="000000" w:themeColor="text1"/>
          <w:sz w:val="20"/>
          <w:szCs w:val="20"/>
        </w:rPr>
      </w:pPr>
      <w:r w:rsidRPr="00647874">
        <w:rPr>
          <w:rFonts w:cs="Arial"/>
          <w:b/>
          <w:color w:val="000000" w:themeColor="text1"/>
          <w:sz w:val="20"/>
          <w:szCs w:val="20"/>
        </w:rPr>
        <w:t>2010-2018</w:t>
      </w:r>
    </w:p>
    <w:p w14:paraId="5165263A" w14:textId="77777777" w:rsidR="007426F2" w:rsidRDefault="00D929A9" w:rsidP="00315B2B">
      <w:pPr>
        <w:spacing w:before="120" w:line="276" w:lineRule="auto"/>
        <w:jc w:val="center"/>
        <w:rPr>
          <w:rFonts w:cs="Arial"/>
          <w:b/>
          <w:bCs/>
          <w:color w:val="002060"/>
          <w:sz w:val="28"/>
          <w:szCs w:val="28"/>
          <w:lang w:val="es-MX"/>
        </w:rPr>
      </w:pPr>
      <w:r w:rsidRPr="00647874">
        <w:rPr>
          <w:noProof/>
          <w:color w:val="000000" w:themeColor="text1"/>
          <w:lang w:val="es-MX" w:eastAsia="es-MX"/>
        </w:rPr>
        <w:drawing>
          <wp:anchor distT="0" distB="0" distL="114300" distR="114300" simplePos="0" relativeHeight="251667456" behindDoc="0" locked="0" layoutInCell="1" allowOverlap="1" wp14:anchorId="3B12B617" wp14:editId="57E06CE4">
            <wp:simplePos x="0" y="0"/>
            <wp:positionH relativeFrom="page">
              <wp:align>center</wp:align>
            </wp:positionH>
            <wp:positionV relativeFrom="paragraph">
              <wp:posOffset>91440</wp:posOffset>
            </wp:positionV>
            <wp:extent cx="4600575" cy="2187575"/>
            <wp:effectExtent l="0" t="0" r="9525" b="317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00575" cy="2187575"/>
                    </a:xfrm>
                    <a:prstGeom prst="rect">
                      <a:avLst/>
                    </a:prstGeom>
                  </pic:spPr>
                </pic:pic>
              </a:graphicData>
            </a:graphic>
            <wp14:sizeRelH relativeFrom="margin">
              <wp14:pctWidth>0</wp14:pctWidth>
            </wp14:sizeRelH>
            <wp14:sizeRelV relativeFrom="margin">
              <wp14:pctHeight>0</wp14:pctHeight>
            </wp14:sizeRelV>
          </wp:anchor>
        </w:drawing>
      </w:r>
    </w:p>
    <w:p w14:paraId="3078619A" w14:textId="77777777" w:rsidR="007426F2" w:rsidRDefault="007426F2" w:rsidP="00315B2B">
      <w:pPr>
        <w:spacing w:before="120" w:line="276" w:lineRule="auto"/>
        <w:jc w:val="center"/>
        <w:rPr>
          <w:rFonts w:cs="Arial"/>
          <w:b/>
          <w:bCs/>
          <w:color w:val="002060"/>
          <w:sz w:val="28"/>
          <w:szCs w:val="28"/>
          <w:lang w:val="es-MX"/>
        </w:rPr>
      </w:pPr>
    </w:p>
    <w:p w14:paraId="15452551" w14:textId="77777777" w:rsidR="007426F2" w:rsidRDefault="007426F2" w:rsidP="00315B2B">
      <w:pPr>
        <w:spacing w:before="120" w:line="276" w:lineRule="auto"/>
        <w:jc w:val="center"/>
        <w:rPr>
          <w:rFonts w:cs="Arial"/>
          <w:b/>
          <w:bCs/>
          <w:color w:val="002060"/>
          <w:sz w:val="28"/>
          <w:szCs w:val="28"/>
          <w:lang w:val="es-MX"/>
        </w:rPr>
      </w:pPr>
    </w:p>
    <w:p w14:paraId="18B55C23" w14:textId="77777777" w:rsidR="007426F2" w:rsidRDefault="007426F2" w:rsidP="00315B2B">
      <w:pPr>
        <w:spacing w:before="120" w:line="276" w:lineRule="auto"/>
        <w:jc w:val="center"/>
        <w:rPr>
          <w:rFonts w:cs="Arial"/>
          <w:b/>
          <w:bCs/>
          <w:color w:val="002060"/>
          <w:sz w:val="28"/>
          <w:szCs w:val="28"/>
          <w:lang w:val="es-MX"/>
        </w:rPr>
      </w:pPr>
    </w:p>
    <w:p w14:paraId="009C57AD" w14:textId="77777777" w:rsidR="007426F2" w:rsidRDefault="007426F2" w:rsidP="00315B2B">
      <w:pPr>
        <w:spacing w:before="120" w:line="276" w:lineRule="auto"/>
        <w:jc w:val="center"/>
        <w:rPr>
          <w:rFonts w:cs="Arial"/>
          <w:b/>
          <w:bCs/>
          <w:color w:val="002060"/>
          <w:sz w:val="28"/>
          <w:szCs w:val="28"/>
          <w:lang w:val="es-MX"/>
        </w:rPr>
      </w:pPr>
    </w:p>
    <w:p w14:paraId="08DC3ABA" w14:textId="77777777" w:rsidR="007426F2" w:rsidRDefault="007426F2" w:rsidP="00315B2B">
      <w:pPr>
        <w:spacing w:before="120" w:line="276" w:lineRule="auto"/>
        <w:jc w:val="center"/>
        <w:rPr>
          <w:rFonts w:cs="Arial"/>
          <w:b/>
          <w:bCs/>
          <w:color w:val="002060"/>
          <w:sz w:val="28"/>
          <w:szCs w:val="28"/>
          <w:lang w:val="es-MX"/>
        </w:rPr>
      </w:pPr>
    </w:p>
    <w:p w14:paraId="03C5B1DD" w14:textId="77777777" w:rsidR="007426F2" w:rsidRDefault="007426F2" w:rsidP="00315B2B">
      <w:pPr>
        <w:spacing w:before="120" w:line="276" w:lineRule="auto"/>
        <w:jc w:val="center"/>
        <w:rPr>
          <w:rFonts w:cs="Arial"/>
          <w:b/>
          <w:bCs/>
          <w:color w:val="002060"/>
          <w:sz w:val="28"/>
          <w:szCs w:val="28"/>
          <w:lang w:val="es-MX"/>
        </w:rPr>
      </w:pPr>
    </w:p>
    <w:p w14:paraId="5245246B" w14:textId="77777777" w:rsidR="0016205E" w:rsidRPr="00647874" w:rsidRDefault="0016205E" w:rsidP="0016205E">
      <w:pPr>
        <w:ind w:left="-142" w:right="108"/>
        <w:rPr>
          <w:b/>
          <w:bCs/>
          <w:color w:val="000000" w:themeColor="text1"/>
          <w:szCs w:val="22"/>
          <w:lang w:val="es-MX"/>
        </w:rPr>
      </w:pPr>
    </w:p>
    <w:p w14:paraId="4192F6BF" w14:textId="77777777" w:rsidR="0016205E" w:rsidRDefault="0016205E" w:rsidP="0016205E">
      <w:pPr>
        <w:ind w:left="1134" w:right="108"/>
        <w:rPr>
          <w:bCs/>
          <w:color w:val="000000" w:themeColor="text1"/>
          <w:sz w:val="16"/>
          <w:szCs w:val="16"/>
          <w:lang w:val="es-MX"/>
        </w:rPr>
      </w:pPr>
    </w:p>
    <w:p w14:paraId="3E10E5B0" w14:textId="77777777" w:rsidR="0016205E" w:rsidRDefault="0016205E" w:rsidP="0016205E">
      <w:pPr>
        <w:ind w:left="1134" w:right="108"/>
        <w:rPr>
          <w:bCs/>
          <w:color w:val="000000" w:themeColor="text1"/>
          <w:sz w:val="16"/>
          <w:szCs w:val="16"/>
          <w:lang w:val="es-MX"/>
        </w:rPr>
      </w:pPr>
      <w:r w:rsidRPr="00647874">
        <w:rPr>
          <w:bCs/>
          <w:color w:val="000000" w:themeColor="text1"/>
          <w:sz w:val="16"/>
          <w:szCs w:val="16"/>
          <w:lang w:val="es-MX"/>
        </w:rPr>
        <w:t>Fuente: INEGI. Estadísticas de nupcialidad 2010 a 2018</w:t>
      </w:r>
      <w:r w:rsidRPr="00647874">
        <w:rPr>
          <w:b/>
          <w:bCs/>
          <w:color w:val="000000" w:themeColor="text1"/>
          <w:szCs w:val="22"/>
          <w:lang w:val="es-MX"/>
        </w:rPr>
        <w:t xml:space="preserve">. </w:t>
      </w:r>
      <w:r w:rsidRPr="00647874">
        <w:rPr>
          <w:bCs/>
          <w:color w:val="000000" w:themeColor="text1"/>
          <w:sz w:val="16"/>
          <w:szCs w:val="16"/>
          <w:lang w:val="es-MX"/>
        </w:rPr>
        <w:t>Consulta interactiva de datos.</w:t>
      </w:r>
    </w:p>
    <w:p w14:paraId="294864C9" w14:textId="77777777" w:rsidR="00DA371B" w:rsidRDefault="00DA371B" w:rsidP="0016205E">
      <w:pPr>
        <w:ind w:left="1134" w:right="108"/>
        <w:rPr>
          <w:bCs/>
          <w:color w:val="000000" w:themeColor="text1"/>
          <w:sz w:val="16"/>
          <w:szCs w:val="16"/>
          <w:lang w:val="es-MX"/>
        </w:rPr>
      </w:pPr>
    </w:p>
    <w:p w14:paraId="594F304F" w14:textId="77777777" w:rsidR="00D929A9" w:rsidRPr="00647874" w:rsidRDefault="00D929A9" w:rsidP="0016205E">
      <w:pPr>
        <w:ind w:left="1134" w:right="108"/>
        <w:rPr>
          <w:bCs/>
          <w:color w:val="000000" w:themeColor="text1"/>
          <w:sz w:val="16"/>
          <w:szCs w:val="16"/>
          <w:lang w:val="es-MX"/>
        </w:rPr>
      </w:pPr>
    </w:p>
    <w:p w14:paraId="731E44CE" w14:textId="77777777" w:rsidR="00FE55DE" w:rsidRDefault="00FE55DE" w:rsidP="0016205E">
      <w:pPr>
        <w:pStyle w:val="Prrafodelista"/>
        <w:spacing w:line="264" w:lineRule="auto"/>
        <w:ind w:left="-567" w:right="108"/>
        <w:jc w:val="both"/>
        <w:rPr>
          <w:rFonts w:ascii="Arial" w:hAnsi="Arial" w:cs="Arial"/>
          <w:color w:val="000000" w:themeColor="text1"/>
          <w:sz w:val="22"/>
          <w:lang w:val="es-MX"/>
        </w:rPr>
      </w:pPr>
    </w:p>
    <w:p w14:paraId="4DFD36DE" w14:textId="07301000" w:rsidR="0016205E" w:rsidRPr="00647874" w:rsidRDefault="00D929A9" w:rsidP="0016205E">
      <w:pPr>
        <w:pStyle w:val="Prrafodelista"/>
        <w:spacing w:line="264" w:lineRule="auto"/>
        <w:ind w:left="-567" w:right="108"/>
        <w:jc w:val="both"/>
        <w:rPr>
          <w:rFonts w:ascii="Arial" w:hAnsi="Arial" w:cs="Arial"/>
          <w:color w:val="000000" w:themeColor="text1"/>
          <w:sz w:val="22"/>
        </w:rPr>
      </w:pPr>
      <w:r>
        <w:rPr>
          <w:rFonts w:ascii="Arial" w:hAnsi="Arial" w:cs="Arial"/>
          <w:color w:val="000000" w:themeColor="text1"/>
          <w:sz w:val="22"/>
          <w:lang w:val="es-MX"/>
        </w:rPr>
        <w:t>Entre</w:t>
      </w:r>
      <w:r w:rsidR="0016205E" w:rsidRPr="00647874">
        <w:rPr>
          <w:rFonts w:ascii="Arial" w:hAnsi="Arial" w:cs="Arial"/>
          <w:color w:val="000000" w:themeColor="text1"/>
          <w:sz w:val="22"/>
          <w:lang w:val="es-MX"/>
        </w:rPr>
        <w:t xml:space="preserve"> 2010 </w:t>
      </w:r>
      <w:r>
        <w:rPr>
          <w:rFonts w:ascii="Arial" w:hAnsi="Arial" w:cs="Arial"/>
          <w:color w:val="000000" w:themeColor="text1"/>
          <w:sz w:val="22"/>
          <w:lang w:val="es-MX"/>
        </w:rPr>
        <w:t>y</w:t>
      </w:r>
      <w:r w:rsidR="0016205E" w:rsidRPr="00647874">
        <w:rPr>
          <w:rFonts w:ascii="Arial" w:hAnsi="Arial" w:cs="Arial"/>
          <w:color w:val="000000" w:themeColor="text1"/>
          <w:sz w:val="22"/>
          <w:lang w:val="es-MX"/>
        </w:rPr>
        <w:t xml:space="preserve"> 2015, </w:t>
      </w:r>
      <w:r>
        <w:rPr>
          <w:rFonts w:ascii="Arial" w:hAnsi="Arial" w:cs="Arial"/>
          <w:color w:val="000000" w:themeColor="text1"/>
          <w:sz w:val="22"/>
        </w:rPr>
        <w:t>el porcentaje de</w:t>
      </w:r>
      <w:r w:rsidR="0016205E" w:rsidRPr="00647874">
        <w:rPr>
          <w:rFonts w:ascii="Arial" w:hAnsi="Arial" w:cs="Arial"/>
          <w:color w:val="000000" w:themeColor="text1"/>
          <w:sz w:val="22"/>
        </w:rPr>
        <w:t xml:space="preserve"> </w:t>
      </w:r>
      <w:r w:rsidR="0016205E" w:rsidRPr="005D3D0A">
        <w:rPr>
          <w:rFonts w:ascii="Arial" w:hAnsi="Arial" w:cs="Arial"/>
          <w:sz w:val="22"/>
        </w:rPr>
        <w:t>matrimonios entre</w:t>
      </w:r>
      <w:r>
        <w:rPr>
          <w:rFonts w:ascii="Arial" w:hAnsi="Arial" w:cs="Arial"/>
          <w:sz w:val="22"/>
        </w:rPr>
        <w:t xml:space="preserve"> </w:t>
      </w:r>
      <w:r w:rsidR="00883905">
        <w:rPr>
          <w:rFonts w:ascii="Arial" w:hAnsi="Arial" w:cs="Arial"/>
          <w:sz w:val="22"/>
        </w:rPr>
        <w:t>hombres</w:t>
      </w:r>
      <w:r>
        <w:rPr>
          <w:rFonts w:ascii="Arial" w:hAnsi="Arial" w:cs="Arial"/>
          <w:sz w:val="22"/>
        </w:rPr>
        <w:t xml:space="preserve"> fue mayor que el matrimonio entre mujeres.</w:t>
      </w:r>
      <w:r w:rsidR="0016205E" w:rsidRPr="0089578E">
        <w:rPr>
          <w:rFonts w:ascii="Arial" w:hAnsi="Arial" w:cs="Arial"/>
          <w:sz w:val="22"/>
        </w:rPr>
        <w:t xml:space="preserve"> </w:t>
      </w:r>
      <w:r>
        <w:rPr>
          <w:rFonts w:ascii="Arial" w:hAnsi="Arial" w:cs="Arial"/>
          <w:color w:val="000000" w:themeColor="text1"/>
          <w:sz w:val="22"/>
        </w:rPr>
        <w:t>A</w:t>
      </w:r>
      <w:r w:rsidR="0016205E" w:rsidRPr="00647874">
        <w:rPr>
          <w:rFonts w:ascii="Arial" w:hAnsi="Arial" w:cs="Arial"/>
          <w:color w:val="000000" w:themeColor="text1"/>
          <w:sz w:val="22"/>
        </w:rPr>
        <w:t xml:space="preserve"> partir de 2016 </w:t>
      </w:r>
      <w:r>
        <w:rPr>
          <w:rFonts w:ascii="Arial" w:hAnsi="Arial" w:cs="Arial"/>
          <w:color w:val="000000" w:themeColor="text1"/>
          <w:sz w:val="22"/>
        </w:rPr>
        <w:t>la</w:t>
      </w:r>
      <w:r w:rsidR="0016205E" w:rsidRPr="00647874">
        <w:rPr>
          <w:rFonts w:ascii="Arial" w:hAnsi="Arial" w:cs="Arial"/>
          <w:color w:val="000000" w:themeColor="text1"/>
          <w:sz w:val="22"/>
        </w:rPr>
        <w:t xml:space="preserve"> tendencia cambi</w:t>
      </w:r>
      <w:r w:rsidR="005C7E19">
        <w:rPr>
          <w:rFonts w:ascii="Arial" w:hAnsi="Arial" w:cs="Arial"/>
          <w:color w:val="000000" w:themeColor="text1"/>
          <w:sz w:val="22"/>
        </w:rPr>
        <w:t xml:space="preserve">a </w:t>
      </w:r>
      <w:r w:rsidR="0016205E" w:rsidRPr="00647874">
        <w:rPr>
          <w:rFonts w:ascii="Arial" w:hAnsi="Arial" w:cs="Arial"/>
          <w:color w:val="000000" w:themeColor="text1"/>
          <w:sz w:val="22"/>
        </w:rPr>
        <w:t>y</w:t>
      </w:r>
      <w:r>
        <w:rPr>
          <w:rFonts w:ascii="Arial" w:hAnsi="Arial" w:cs="Arial"/>
          <w:color w:val="000000" w:themeColor="text1"/>
          <w:sz w:val="22"/>
        </w:rPr>
        <w:t>,</w:t>
      </w:r>
      <w:r w:rsidR="0016205E" w:rsidRPr="00647874">
        <w:rPr>
          <w:rFonts w:ascii="Arial" w:hAnsi="Arial" w:cs="Arial"/>
          <w:color w:val="000000" w:themeColor="text1"/>
          <w:sz w:val="22"/>
        </w:rPr>
        <w:t xml:space="preserve"> </w:t>
      </w:r>
      <w:r>
        <w:rPr>
          <w:rFonts w:ascii="Arial" w:hAnsi="Arial" w:cs="Arial"/>
          <w:color w:val="000000" w:themeColor="text1"/>
          <w:sz w:val="22"/>
        </w:rPr>
        <w:t>en 2018, 56 de cada 100 matrimonios s</w:t>
      </w:r>
      <w:r w:rsidR="005C7E19">
        <w:rPr>
          <w:rFonts w:ascii="Arial" w:hAnsi="Arial" w:cs="Arial"/>
          <w:color w:val="000000" w:themeColor="text1"/>
          <w:sz w:val="22"/>
        </w:rPr>
        <w:t>on</w:t>
      </w:r>
      <w:r>
        <w:rPr>
          <w:rFonts w:ascii="Arial" w:hAnsi="Arial" w:cs="Arial"/>
          <w:color w:val="000000" w:themeColor="text1"/>
          <w:sz w:val="22"/>
        </w:rPr>
        <w:t xml:space="preserve"> entre mujeres. </w:t>
      </w:r>
    </w:p>
    <w:p w14:paraId="062EB945" w14:textId="77777777" w:rsidR="00D929A9" w:rsidRDefault="00D929A9" w:rsidP="0016205E">
      <w:pPr>
        <w:pStyle w:val="Prrafodelista"/>
        <w:spacing w:line="264" w:lineRule="auto"/>
        <w:ind w:left="-567" w:right="108"/>
        <w:jc w:val="both"/>
        <w:rPr>
          <w:rFonts w:ascii="Arial" w:hAnsi="Arial" w:cs="Arial"/>
          <w:color w:val="000000" w:themeColor="text1"/>
          <w:sz w:val="22"/>
        </w:rPr>
      </w:pPr>
    </w:p>
    <w:p w14:paraId="49863EA5" w14:textId="77777777" w:rsidR="0016205E" w:rsidRPr="00647874" w:rsidRDefault="00D929A9" w:rsidP="0016205E">
      <w:pPr>
        <w:pStyle w:val="Prrafodelista"/>
        <w:spacing w:line="264" w:lineRule="auto"/>
        <w:ind w:left="-567" w:right="108"/>
        <w:jc w:val="both"/>
        <w:rPr>
          <w:rFonts w:ascii="Arial" w:hAnsi="Arial" w:cs="Arial"/>
          <w:color w:val="000000" w:themeColor="text1"/>
          <w:sz w:val="22"/>
        </w:rPr>
      </w:pPr>
      <w:r>
        <w:rPr>
          <w:rFonts w:ascii="Arial" w:hAnsi="Arial" w:cs="Arial"/>
          <w:color w:val="000000" w:themeColor="text1"/>
          <w:sz w:val="22"/>
        </w:rPr>
        <w:t>En 2018,</w:t>
      </w:r>
      <w:r w:rsidR="0016205E" w:rsidRPr="00647874">
        <w:rPr>
          <w:rFonts w:ascii="Arial" w:hAnsi="Arial" w:cs="Arial"/>
          <w:color w:val="000000" w:themeColor="text1"/>
          <w:sz w:val="22"/>
        </w:rPr>
        <w:t xml:space="preserve"> </w:t>
      </w:r>
      <w:r w:rsidRPr="00647874">
        <w:rPr>
          <w:rFonts w:ascii="Arial" w:hAnsi="Arial" w:cs="Arial"/>
          <w:color w:val="000000" w:themeColor="text1"/>
          <w:sz w:val="22"/>
        </w:rPr>
        <w:t xml:space="preserve">el promedio de edad </w:t>
      </w:r>
      <w:r w:rsidR="005C7E19" w:rsidRPr="005C7E19">
        <w:rPr>
          <w:rFonts w:ascii="Arial" w:hAnsi="Arial" w:cs="Arial"/>
          <w:color w:val="000000" w:themeColor="text1"/>
          <w:sz w:val="22"/>
        </w:rPr>
        <w:t>al momento del ma</w:t>
      </w:r>
      <w:r w:rsidRPr="005C7E19">
        <w:rPr>
          <w:rFonts w:ascii="Arial" w:hAnsi="Arial" w:cs="Arial"/>
          <w:color w:val="000000" w:themeColor="text1"/>
          <w:sz w:val="22"/>
        </w:rPr>
        <w:t>trimonio</w:t>
      </w:r>
      <w:r>
        <w:rPr>
          <w:rFonts w:ascii="Arial" w:hAnsi="Arial" w:cs="Arial"/>
          <w:color w:val="000000" w:themeColor="text1"/>
          <w:sz w:val="22"/>
        </w:rPr>
        <w:t xml:space="preserve"> entre hombres es de </w:t>
      </w:r>
      <w:r w:rsidR="0016205E" w:rsidRPr="00647874">
        <w:rPr>
          <w:rFonts w:ascii="Arial" w:hAnsi="Arial" w:cs="Arial"/>
          <w:color w:val="000000" w:themeColor="text1"/>
          <w:sz w:val="22"/>
        </w:rPr>
        <w:t>35.2</w:t>
      </w:r>
      <w:r w:rsidR="0016205E">
        <w:rPr>
          <w:rFonts w:ascii="Arial" w:hAnsi="Arial" w:cs="Arial"/>
          <w:color w:val="000000" w:themeColor="text1"/>
          <w:sz w:val="22"/>
        </w:rPr>
        <w:t xml:space="preserve"> años</w:t>
      </w:r>
      <w:r>
        <w:rPr>
          <w:rFonts w:ascii="Arial" w:hAnsi="Arial" w:cs="Arial"/>
          <w:color w:val="000000" w:themeColor="text1"/>
          <w:sz w:val="22"/>
        </w:rPr>
        <w:t xml:space="preserve">. En </w:t>
      </w:r>
      <w:r w:rsidR="0016205E" w:rsidRPr="00647874">
        <w:rPr>
          <w:rFonts w:ascii="Arial" w:hAnsi="Arial" w:cs="Arial"/>
          <w:color w:val="000000" w:themeColor="text1"/>
          <w:sz w:val="22"/>
        </w:rPr>
        <w:t xml:space="preserve">las mujeres </w:t>
      </w:r>
      <w:r>
        <w:rPr>
          <w:rFonts w:ascii="Arial" w:hAnsi="Arial" w:cs="Arial"/>
          <w:color w:val="000000" w:themeColor="text1"/>
          <w:sz w:val="22"/>
        </w:rPr>
        <w:t>la edad promedio de las contrayentes es de</w:t>
      </w:r>
      <w:r w:rsidR="0016205E" w:rsidRPr="00647874">
        <w:rPr>
          <w:rFonts w:ascii="Arial" w:hAnsi="Arial" w:cs="Arial"/>
          <w:color w:val="000000" w:themeColor="text1"/>
          <w:sz w:val="22"/>
        </w:rPr>
        <w:t xml:space="preserve"> 34 años.  </w:t>
      </w:r>
    </w:p>
    <w:p w14:paraId="3E1E0AB8" w14:textId="77777777" w:rsidR="0016205E" w:rsidRPr="00DA371B" w:rsidRDefault="0016205E" w:rsidP="00DA371B">
      <w:pPr>
        <w:spacing w:line="264" w:lineRule="auto"/>
        <w:rPr>
          <w:rFonts w:cs="Arial"/>
          <w:color w:val="000000" w:themeColor="text1"/>
          <w:szCs w:val="22"/>
          <w:lang w:val="es-MX"/>
        </w:rPr>
      </w:pPr>
    </w:p>
    <w:p w14:paraId="218E1953" w14:textId="77777777" w:rsidR="007426F2" w:rsidRDefault="0016205E" w:rsidP="00DA371B">
      <w:pPr>
        <w:pStyle w:val="Prrafodelista"/>
        <w:spacing w:line="264" w:lineRule="auto"/>
        <w:ind w:left="-567" w:right="108"/>
        <w:jc w:val="both"/>
        <w:rPr>
          <w:rFonts w:ascii="Arial" w:hAnsi="Arial" w:cs="Arial"/>
          <w:color w:val="000000" w:themeColor="text1"/>
          <w:sz w:val="22"/>
          <w:szCs w:val="22"/>
          <w:lang w:val="es-MX"/>
        </w:rPr>
      </w:pPr>
      <w:r w:rsidRPr="00647874">
        <w:rPr>
          <w:rFonts w:ascii="Arial" w:hAnsi="Arial" w:cs="Arial"/>
          <w:color w:val="000000" w:themeColor="text1"/>
          <w:sz w:val="22"/>
          <w:szCs w:val="22"/>
          <w:lang w:val="es-MX"/>
        </w:rPr>
        <w:t xml:space="preserve">En 2018 </w:t>
      </w:r>
      <w:r>
        <w:rPr>
          <w:rFonts w:ascii="Arial" w:hAnsi="Arial" w:cs="Arial"/>
          <w:color w:val="000000" w:themeColor="text1"/>
          <w:sz w:val="22"/>
          <w:szCs w:val="22"/>
          <w:lang w:val="es-MX"/>
        </w:rPr>
        <w:t>aproximadamente</w:t>
      </w:r>
      <w:r w:rsidRPr="00647874">
        <w:rPr>
          <w:rFonts w:ascii="Arial" w:hAnsi="Arial" w:cs="Arial"/>
          <w:color w:val="000000" w:themeColor="text1"/>
          <w:sz w:val="22"/>
          <w:szCs w:val="22"/>
          <w:lang w:val="es-MX"/>
        </w:rPr>
        <w:t xml:space="preserve"> la mitad (45.9%) de contrayentes del mismo sexo tienen algún grado de estudios profesionales y 27.1%</w:t>
      </w:r>
      <w:r>
        <w:rPr>
          <w:rFonts w:ascii="Arial" w:hAnsi="Arial" w:cs="Arial"/>
          <w:color w:val="000000" w:themeColor="text1"/>
          <w:sz w:val="22"/>
          <w:szCs w:val="22"/>
          <w:lang w:val="es-MX"/>
        </w:rPr>
        <w:t>,</w:t>
      </w:r>
      <w:r w:rsidRPr="00647874">
        <w:rPr>
          <w:rFonts w:ascii="Arial" w:hAnsi="Arial" w:cs="Arial"/>
          <w:color w:val="000000" w:themeColor="text1"/>
          <w:sz w:val="22"/>
          <w:szCs w:val="22"/>
          <w:lang w:val="es-MX"/>
        </w:rPr>
        <w:t xml:space="preserve"> cuentan con algún grado en preparatoria o equivalente. </w:t>
      </w:r>
    </w:p>
    <w:p w14:paraId="636E4EE1" w14:textId="77777777" w:rsidR="00DA371B" w:rsidRPr="00DA1F49" w:rsidRDefault="00DA371B" w:rsidP="00DA1F49">
      <w:pPr>
        <w:spacing w:line="264" w:lineRule="auto"/>
        <w:rPr>
          <w:rFonts w:cs="Arial"/>
          <w:color w:val="000000" w:themeColor="text1"/>
          <w:szCs w:val="22"/>
          <w:lang w:val="es-MX"/>
        </w:rPr>
      </w:pPr>
    </w:p>
    <w:p w14:paraId="19D503C1" w14:textId="77777777" w:rsidR="0016205E" w:rsidRDefault="0016205E" w:rsidP="0016205E">
      <w:pPr>
        <w:ind w:left="-567" w:right="108"/>
        <w:rPr>
          <w:rFonts w:cs="Arial"/>
        </w:rPr>
      </w:pPr>
      <w:r w:rsidRPr="005D3D0A">
        <w:rPr>
          <w:rFonts w:cs="Arial"/>
        </w:rPr>
        <w:t>Por entidad federativa, las mayores tasas de nupcialidad entre personas del mismo sexo se ubican en la Ciudad de México</w:t>
      </w:r>
      <w:r w:rsidR="00DA371B">
        <w:rPr>
          <w:rFonts w:cs="Arial"/>
        </w:rPr>
        <w:t xml:space="preserve"> (209.97 </w:t>
      </w:r>
      <w:r w:rsidR="005C7E19" w:rsidRPr="00767A68">
        <w:rPr>
          <w:rFonts w:cs="Arial"/>
        </w:rPr>
        <w:t xml:space="preserve">matrimonios por cada millón de habitantes </w:t>
      </w:r>
      <w:r w:rsidR="005C7E19" w:rsidRPr="005D3D0A">
        <w:rPr>
          <w:rFonts w:cs="Arial"/>
        </w:rPr>
        <w:t>de 18 años o más</w:t>
      </w:r>
      <w:r w:rsidR="00DA371B">
        <w:rPr>
          <w:rFonts w:cs="Arial"/>
        </w:rPr>
        <w:t>)</w:t>
      </w:r>
      <w:r w:rsidRPr="005D3D0A">
        <w:rPr>
          <w:rFonts w:cs="Arial"/>
        </w:rPr>
        <w:t>, Coahuila</w:t>
      </w:r>
      <w:r w:rsidR="00DA371B">
        <w:rPr>
          <w:rFonts w:cs="Arial"/>
        </w:rPr>
        <w:t xml:space="preserve"> (146.04</w:t>
      </w:r>
      <w:r w:rsidR="005C7E19">
        <w:rPr>
          <w:rFonts w:cs="Arial"/>
        </w:rPr>
        <w:t>)</w:t>
      </w:r>
      <w:r w:rsidR="00DA371B">
        <w:rPr>
          <w:rFonts w:cs="Arial"/>
        </w:rPr>
        <w:t xml:space="preserve"> y </w:t>
      </w:r>
      <w:r w:rsidRPr="005D3D0A">
        <w:rPr>
          <w:rFonts w:cs="Arial"/>
        </w:rPr>
        <w:t>Quintana Roo</w:t>
      </w:r>
      <w:r w:rsidR="00DA371B">
        <w:rPr>
          <w:rFonts w:cs="Arial"/>
        </w:rPr>
        <w:t xml:space="preserve"> (145.61</w:t>
      </w:r>
      <w:r w:rsidR="005C7E19">
        <w:rPr>
          <w:rFonts w:cs="Arial"/>
        </w:rPr>
        <w:t>)</w:t>
      </w:r>
      <w:r w:rsidR="00DA371B">
        <w:rPr>
          <w:rFonts w:cs="Arial"/>
        </w:rPr>
        <w:t>.</w:t>
      </w:r>
      <w:r w:rsidRPr="005D3D0A">
        <w:rPr>
          <w:rFonts w:cs="Arial"/>
        </w:rPr>
        <w:t xml:space="preserve"> En seis entidades no hay registros de estos eventos </w:t>
      </w:r>
      <w:r w:rsidR="00DA371B">
        <w:rPr>
          <w:rFonts w:cs="Arial"/>
        </w:rPr>
        <w:t>mientras que</w:t>
      </w:r>
      <w:r w:rsidRPr="005D3D0A">
        <w:rPr>
          <w:rFonts w:cs="Arial"/>
        </w:rPr>
        <w:t xml:space="preserve"> Tabasco, San Luis Potosí, Sinaloa y México </w:t>
      </w:r>
      <w:r>
        <w:rPr>
          <w:rFonts w:cs="Arial"/>
        </w:rPr>
        <w:t>reportan</w:t>
      </w:r>
      <w:r w:rsidRPr="005D3D0A">
        <w:rPr>
          <w:rFonts w:cs="Arial"/>
        </w:rPr>
        <w:t xml:space="preserve"> las tasas más bajas.</w:t>
      </w:r>
    </w:p>
    <w:p w14:paraId="1BFDB9D0" w14:textId="77777777" w:rsidR="0016205E" w:rsidRPr="00DA1F49" w:rsidRDefault="0016205E" w:rsidP="00DA1F49">
      <w:pPr>
        <w:spacing w:line="264" w:lineRule="auto"/>
        <w:rPr>
          <w:rFonts w:cs="Arial"/>
          <w:color w:val="000000" w:themeColor="text1"/>
          <w:szCs w:val="22"/>
          <w:lang w:val="es-MX"/>
        </w:rPr>
      </w:pPr>
    </w:p>
    <w:p w14:paraId="6FCE2AF7" w14:textId="77777777" w:rsidR="00DA371B" w:rsidRDefault="0016205E" w:rsidP="0016205E">
      <w:pPr>
        <w:ind w:left="-567" w:right="108"/>
        <w:rPr>
          <w:bCs/>
          <w:szCs w:val="22"/>
          <w:lang w:val="es-MX"/>
        </w:rPr>
      </w:pPr>
      <w:r w:rsidRPr="005D3D0A">
        <w:rPr>
          <w:bCs/>
          <w:szCs w:val="22"/>
          <w:lang w:val="es-MX"/>
        </w:rPr>
        <w:t>En 2018</w:t>
      </w:r>
      <w:r w:rsidR="00DA371B">
        <w:rPr>
          <w:bCs/>
          <w:szCs w:val="22"/>
          <w:lang w:val="es-MX"/>
        </w:rPr>
        <w:t xml:space="preserve"> se registraron 273</w:t>
      </w:r>
      <w:r>
        <w:rPr>
          <w:bCs/>
          <w:szCs w:val="22"/>
          <w:lang w:val="es-MX"/>
        </w:rPr>
        <w:t xml:space="preserve"> </w:t>
      </w:r>
      <w:r w:rsidRPr="005D3D0A">
        <w:rPr>
          <w:bCs/>
          <w:szCs w:val="22"/>
          <w:lang w:val="es-MX"/>
        </w:rPr>
        <w:t>separaciones legales de matrimonios entre personas del mismo sexo</w:t>
      </w:r>
      <w:r w:rsidR="00DA371B">
        <w:rPr>
          <w:bCs/>
          <w:szCs w:val="22"/>
          <w:lang w:val="es-MX"/>
        </w:rPr>
        <w:t xml:space="preserve"> </w:t>
      </w:r>
      <w:r w:rsidRPr="005D3D0A">
        <w:rPr>
          <w:bCs/>
          <w:szCs w:val="22"/>
          <w:lang w:val="es-MX"/>
        </w:rPr>
        <w:t xml:space="preserve">de los cuales, 60.1% son divorcios de parejas de mujeres y 39.9% de hombres. </w:t>
      </w:r>
    </w:p>
    <w:p w14:paraId="53532DBB" w14:textId="77777777" w:rsidR="00DA371B" w:rsidRPr="00DA1F49" w:rsidRDefault="00DA371B" w:rsidP="00DA1F49">
      <w:pPr>
        <w:spacing w:line="264" w:lineRule="auto"/>
        <w:rPr>
          <w:rFonts w:cs="Arial"/>
          <w:color w:val="000000" w:themeColor="text1"/>
          <w:szCs w:val="22"/>
          <w:lang w:val="es-MX"/>
        </w:rPr>
      </w:pPr>
    </w:p>
    <w:p w14:paraId="390E3D45" w14:textId="77777777" w:rsidR="00DA371B" w:rsidRDefault="0016205E" w:rsidP="0016205E">
      <w:pPr>
        <w:ind w:left="-567" w:right="108"/>
        <w:rPr>
          <w:bCs/>
          <w:szCs w:val="22"/>
          <w:lang w:val="es-MX"/>
        </w:rPr>
      </w:pPr>
      <w:r w:rsidRPr="005D3D0A">
        <w:rPr>
          <w:bCs/>
          <w:szCs w:val="22"/>
          <w:lang w:val="es-MX"/>
        </w:rPr>
        <w:t>La relación divorcios-matrimonios entre las personas del mismo sexo, muestra una tendencia ascendente de 2014 a 2018</w:t>
      </w:r>
      <w:r w:rsidR="00DA371B" w:rsidRPr="001616AE">
        <w:rPr>
          <w:bCs/>
          <w:szCs w:val="22"/>
          <w:lang w:val="es-MX"/>
        </w:rPr>
        <w:t>:</w:t>
      </w:r>
      <w:r w:rsidRPr="001616AE">
        <w:rPr>
          <w:bCs/>
          <w:szCs w:val="22"/>
          <w:lang w:val="es-MX"/>
        </w:rPr>
        <w:t xml:space="preserve"> pasa</w:t>
      </w:r>
      <w:r w:rsidR="005C7E19" w:rsidRPr="001616AE">
        <w:rPr>
          <w:bCs/>
          <w:szCs w:val="22"/>
          <w:lang w:val="es-MX"/>
        </w:rPr>
        <w:t>n</w:t>
      </w:r>
      <w:r w:rsidR="001616AE" w:rsidRPr="001616AE">
        <w:rPr>
          <w:bCs/>
          <w:szCs w:val="22"/>
          <w:lang w:val="es-MX"/>
        </w:rPr>
        <w:t xml:space="preserve"> </w:t>
      </w:r>
      <w:r w:rsidRPr="001616AE">
        <w:rPr>
          <w:bCs/>
          <w:szCs w:val="22"/>
          <w:lang w:val="es-MX"/>
        </w:rPr>
        <w:t>de 2.4</w:t>
      </w:r>
      <w:r w:rsidRPr="005D3D0A">
        <w:rPr>
          <w:bCs/>
          <w:szCs w:val="22"/>
          <w:lang w:val="es-MX"/>
        </w:rPr>
        <w:t xml:space="preserve"> a 8.1 divorcios por cada 100 matrimonios. </w:t>
      </w:r>
    </w:p>
    <w:p w14:paraId="72514DD7" w14:textId="77777777" w:rsidR="00DA371B" w:rsidRDefault="00DA371B" w:rsidP="0016205E">
      <w:pPr>
        <w:ind w:left="-567" w:right="108"/>
        <w:rPr>
          <w:bCs/>
          <w:szCs w:val="22"/>
          <w:lang w:val="es-MX"/>
        </w:rPr>
      </w:pPr>
    </w:p>
    <w:p w14:paraId="34241FC7" w14:textId="77777777" w:rsidR="007426F2" w:rsidRPr="00DA371B" w:rsidRDefault="00DA371B" w:rsidP="00DA371B">
      <w:pPr>
        <w:spacing w:before="120" w:line="276" w:lineRule="auto"/>
        <w:ind w:left="-567"/>
        <w:jc w:val="center"/>
        <w:rPr>
          <w:rFonts w:cs="Arial"/>
          <w:b/>
          <w:color w:val="002060"/>
          <w:sz w:val="28"/>
          <w:szCs w:val="28"/>
          <w:lang w:val="es-MX"/>
        </w:rPr>
      </w:pPr>
      <w:r w:rsidRPr="00DA371B">
        <w:rPr>
          <w:b/>
          <w:szCs w:val="22"/>
          <w:lang w:val="es-MX"/>
        </w:rPr>
        <w:t>Se anexa Nota técnica</w:t>
      </w:r>
    </w:p>
    <w:p w14:paraId="68E3D3B5" w14:textId="77777777" w:rsidR="007426F2" w:rsidRDefault="007426F2" w:rsidP="00315B2B">
      <w:pPr>
        <w:spacing w:before="120" w:line="276" w:lineRule="auto"/>
        <w:jc w:val="center"/>
        <w:rPr>
          <w:rFonts w:cs="Arial"/>
          <w:b/>
          <w:bCs/>
          <w:color w:val="002060"/>
          <w:sz w:val="28"/>
          <w:szCs w:val="28"/>
          <w:lang w:val="es-MX"/>
        </w:rPr>
      </w:pPr>
    </w:p>
    <w:p w14:paraId="073DAC5C" w14:textId="77777777" w:rsidR="007426F2" w:rsidRDefault="007426F2" w:rsidP="00315B2B">
      <w:pPr>
        <w:spacing w:before="120" w:line="276" w:lineRule="auto"/>
        <w:jc w:val="center"/>
        <w:rPr>
          <w:rFonts w:cs="Arial"/>
          <w:b/>
          <w:bCs/>
          <w:color w:val="002060"/>
          <w:sz w:val="28"/>
          <w:szCs w:val="28"/>
          <w:lang w:val="es-MX"/>
        </w:rPr>
      </w:pPr>
    </w:p>
    <w:p w14:paraId="640A0496" w14:textId="77777777" w:rsidR="00E8233E" w:rsidRDefault="00E8233E" w:rsidP="00315B2B">
      <w:pPr>
        <w:spacing w:before="120" w:line="276" w:lineRule="auto"/>
        <w:jc w:val="center"/>
        <w:rPr>
          <w:rFonts w:cs="Arial"/>
          <w:b/>
          <w:bCs/>
          <w:color w:val="002060"/>
          <w:sz w:val="28"/>
          <w:szCs w:val="28"/>
          <w:lang w:val="es-MX"/>
        </w:rPr>
      </w:pPr>
    </w:p>
    <w:p w14:paraId="6F5ECD0D" w14:textId="77777777" w:rsidR="00E8233E" w:rsidRDefault="00E8233E" w:rsidP="00315B2B">
      <w:pPr>
        <w:spacing w:before="120" w:line="276" w:lineRule="auto"/>
        <w:jc w:val="center"/>
        <w:rPr>
          <w:rFonts w:cs="Arial"/>
          <w:b/>
          <w:bCs/>
          <w:color w:val="002060"/>
          <w:sz w:val="28"/>
          <w:szCs w:val="28"/>
          <w:lang w:val="es-MX"/>
        </w:rPr>
      </w:pPr>
    </w:p>
    <w:p w14:paraId="796329E7" w14:textId="77777777" w:rsidR="00E8233E" w:rsidRDefault="00E8233E" w:rsidP="00315B2B">
      <w:pPr>
        <w:spacing w:before="120" w:line="276" w:lineRule="auto"/>
        <w:jc w:val="center"/>
        <w:rPr>
          <w:rFonts w:cs="Arial"/>
          <w:b/>
          <w:bCs/>
          <w:color w:val="002060"/>
          <w:sz w:val="28"/>
          <w:szCs w:val="28"/>
          <w:lang w:val="es-MX"/>
        </w:rPr>
      </w:pPr>
    </w:p>
    <w:p w14:paraId="6C4B793A" w14:textId="77777777" w:rsidR="00DA371B" w:rsidRDefault="00DA371B" w:rsidP="00DA371B">
      <w:pPr>
        <w:jc w:val="center"/>
        <w:rPr>
          <w:rFonts w:cs="Arial"/>
          <w:b/>
        </w:rPr>
      </w:pPr>
    </w:p>
    <w:p w14:paraId="26769F15" w14:textId="77777777" w:rsidR="00DA371B" w:rsidRDefault="00DA371B" w:rsidP="00DA371B">
      <w:pPr>
        <w:jc w:val="center"/>
        <w:rPr>
          <w:rFonts w:cs="Arial"/>
          <w:b/>
        </w:rPr>
      </w:pPr>
    </w:p>
    <w:p w14:paraId="2FC1A998" w14:textId="77777777" w:rsidR="00DA371B" w:rsidRPr="00DA371B" w:rsidRDefault="00DA371B" w:rsidP="00DA371B">
      <w:pPr>
        <w:pStyle w:val="NormalWeb"/>
        <w:spacing w:before="0" w:beforeAutospacing="0" w:after="0" w:afterAutospacing="0"/>
        <w:ind w:left="-426" w:right="-518"/>
        <w:contextualSpacing/>
        <w:jc w:val="center"/>
        <w:rPr>
          <w:rFonts w:ascii="Arial" w:hAnsi="Arial" w:cs="Arial"/>
          <w:sz w:val="22"/>
          <w:szCs w:val="22"/>
        </w:rPr>
      </w:pPr>
      <w:r w:rsidRPr="00DA371B">
        <w:rPr>
          <w:rFonts w:ascii="Arial" w:hAnsi="Arial" w:cs="Arial"/>
          <w:sz w:val="22"/>
          <w:szCs w:val="22"/>
        </w:rPr>
        <w:t xml:space="preserve">Para consultas de medios y periodistas, contactar a: </w:t>
      </w:r>
      <w:hyperlink r:id="rId9" w:history="1">
        <w:r w:rsidRPr="00DA371B">
          <w:rPr>
            <w:rStyle w:val="Hipervnculo"/>
            <w:rFonts w:ascii="Arial" w:hAnsi="Arial" w:cs="Arial"/>
            <w:sz w:val="22"/>
            <w:szCs w:val="22"/>
          </w:rPr>
          <w:t>comunicacionsocial@inegi.org.mx</w:t>
        </w:r>
      </w:hyperlink>
      <w:r w:rsidRPr="00DA371B">
        <w:rPr>
          <w:rFonts w:ascii="Arial" w:hAnsi="Arial" w:cs="Arial"/>
          <w:sz w:val="22"/>
          <w:szCs w:val="22"/>
        </w:rPr>
        <w:t xml:space="preserve"> </w:t>
      </w:r>
    </w:p>
    <w:p w14:paraId="3393F234" w14:textId="77777777" w:rsidR="00DA371B" w:rsidRPr="00DA371B" w:rsidRDefault="00DA371B" w:rsidP="00DA371B">
      <w:pPr>
        <w:pStyle w:val="NormalWeb"/>
        <w:spacing w:before="0" w:beforeAutospacing="0" w:after="0" w:afterAutospacing="0"/>
        <w:ind w:left="-426" w:right="-518"/>
        <w:contextualSpacing/>
        <w:jc w:val="center"/>
        <w:rPr>
          <w:rFonts w:ascii="Arial" w:hAnsi="Arial" w:cs="Arial"/>
          <w:sz w:val="22"/>
          <w:szCs w:val="22"/>
        </w:rPr>
      </w:pPr>
    </w:p>
    <w:p w14:paraId="4DBF8164" w14:textId="77777777" w:rsidR="00DA371B" w:rsidRPr="00DA371B" w:rsidRDefault="00DA371B" w:rsidP="00DA371B">
      <w:pPr>
        <w:pStyle w:val="NormalWeb"/>
        <w:spacing w:before="0" w:beforeAutospacing="0" w:after="0" w:afterAutospacing="0"/>
        <w:ind w:left="-426" w:right="-518"/>
        <w:contextualSpacing/>
        <w:jc w:val="center"/>
        <w:rPr>
          <w:rFonts w:ascii="Arial" w:hAnsi="Arial" w:cs="Arial"/>
          <w:sz w:val="22"/>
          <w:szCs w:val="22"/>
        </w:rPr>
      </w:pPr>
      <w:r w:rsidRPr="00DA371B">
        <w:rPr>
          <w:rFonts w:ascii="Arial" w:hAnsi="Arial" w:cs="Arial"/>
          <w:sz w:val="22"/>
          <w:szCs w:val="22"/>
        </w:rPr>
        <w:t xml:space="preserve">o llamar al teléfono (55) 52-78-10-00, </w:t>
      </w:r>
      <w:proofErr w:type="spellStart"/>
      <w:r w:rsidRPr="00DA371B">
        <w:rPr>
          <w:rFonts w:ascii="Arial" w:hAnsi="Arial" w:cs="Arial"/>
          <w:sz w:val="22"/>
          <w:szCs w:val="22"/>
        </w:rPr>
        <w:t>exts</w:t>
      </w:r>
      <w:proofErr w:type="spellEnd"/>
      <w:r w:rsidRPr="00DA371B">
        <w:rPr>
          <w:rFonts w:ascii="Arial" w:hAnsi="Arial" w:cs="Arial"/>
          <w:sz w:val="22"/>
          <w:szCs w:val="22"/>
        </w:rPr>
        <w:t>. 1134, 1260 y 1241.</w:t>
      </w:r>
    </w:p>
    <w:p w14:paraId="46D3C4A0" w14:textId="77777777" w:rsidR="00DA371B" w:rsidRPr="00DA371B" w:rsidRDefault="00DA371B" w:rsidP="00DA371B">
      <w:pPr>
        <w:pStyle w:val="NormalWeb"/>
        <w:spacing w:before="0" w:beforeAutospacing="0" w:after="0" w:afterAutospacing="0"/>
        <w:ind w:left="-426" w:right="-518"/>
        <w:contextualSpacing/>
        <w:jc w:val="center"/>
        <w:rPr>
          <w:rFonts w:ascii="Arial" w:hAnsi="Arial" w:cs="Arial"/>
          <w:sz w:val="22"/>
          <w:szCs w:val="22"/>
        </w:rPr>
      </w:pPr>
    </w:p>
    <w:p w14:paraId="452B0C29" w14:textId="77777777" w:rsidR="00DA371B" w:rsidRPr="00DA371B" w:rsidRDefault="00DA371B" w:rsidP="00DA371B">
      <w:pPr>
        <w:ind w:left="-426" w:right="-518"/>
        <w:contextualSpacing/>
        <w:jc w:val="center"/>
        <w:rPr>
          <w:rFonts w:cs="Arial"/>
          <w:szCs w:val="22"/>
        </w:rPr>
      </w:pPr>
      <w:r w:rsidRPr="00DA371B">
        <w:rPr>
          <w:rFonts w:cs="Arial"/>
          <w:szCs w:val="22"/>
        </w:rPr>
        <w:t>Dirección de Atención a Medios / Dirección General Adjunta de Comunicación</w:t>
      </w:r>
    </w:p>
    <w:p w14:paraId="1F7E592A" w14:textId="77777777" w:rsidR="00DA371B" w:rsidRPr="009C506D" w:rsidRDefault="00DA371B" w:rsidP="00DA371B">
      <w:pPr>
        <w:ind w:left="-426" w:right="-518"/>
        <w:contextualSpacing/>
        <w:jc w:val="center"/>
        <w:rPr>
          <w:rFonts w:cs="Arial"/>
          <w:szCs w:val="22"/>
        </w:rPr>
      </w:pPr>
    </w:p>
    <w:p w14:paraId="4D2F52AF" w14:textId="77777777" w:rsidR="00DA371B" w:rsidRPr="00BA1ADF" w:rsidRDefault="00DA371B" w:rsidP="00DA371B">
      <w:pPr>
        <w:ind w:left="-426" w:right="-518"/>
        <w:contextualSpacing/>
        <w:jc w:val="center"/>
        <w:rPr>
          <w:sz w:val="20"/>
          <w:szCs w:val="20"/>
        </w:rPr>
      </w:pPr>
    </w:p>
    <w:p w14:paraId="2B83E6C8" w14:textId="77777777" w:rsidR="00DA371B" w:rsidRPr="009C506D" w:rsidRDefault="00DA371B" w:rsidP="00DA371B">
      <w:pPr>
        <w:ind w:firstLine="1418"/>
        <w:rPr>
          <w:rFonts w:eastAsia="Calibri" w:cs="Arial"/>
          <w:b/>
          <w:sz w:val="28"/>
          <w:szCs w:val="28"/>
          <w:lang w:eastAsia="en-US"/>
        </w:rPr>
      </w:pPr>
      <w:r w:rsidRPr="008F0992">
        <w:rPr>
          <w:noProof/>
          <w:sz w:val="20"/>
          <w:lang w:val="es-MX" w:eastAsia="es-MX"/>
        </w:rPr>
        <w:drawing>
          <wp:inline distT="0" distB="0" distL="0" distR="0" wp14:anchorId="57BE4D2E" wp14:editId="3AA3BC32">
            <wp:extent cx="318472" cy="322419"/>
            <wp:effectExtent l="0" t="0" r="5715" b="1905"/>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rPr>
        <w:t xml:space="preserve"> </w:t>
      </w:r>
      <w:r w:rsidRPr="008F0992">
        <w:rPr>
          <w:noProof/>
          <w:sz w:val="20"/>
          <w:lang w:val="es-MX" w:eastAsia="es-MX"/>
        </w:rPr>
        <w:drawing>
          <wp:inline distT="0" distB="0" distL="0" distR="0" wp14:anchorId="3677A5E1" wp14:editId="272368CE">
            <wp:extent cx="327704" cy="325467"/>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rPr>
        <w:t xml:space="preserve"> </w:t>
      </w:r>
      <w:r w:rsidRPr="008F0992">
        <w:rPr>
          <w:noProof/>
          <w:sz w:val="20"/>
          <w:lang w:val="es-MX" w:eastAsia="es-MX"/>
        </w:rPr>
        <w:drawing>
          <wp:inline distT="0" distB="0" distL="0" distR="0" wp14:anchorId="147865EE" wp14:editId="69EB0CB0">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rPr>
        <w:t xml:space="preserve"> </w:t>
      </w:r>
      <w:r w:rsidRPr="008F0992">
        <w:rPr>
          <w:noProof/>
          <w:sz w:val="20"/>
          <w:lang w:val="es-MX" w:eastAsia="es-MX"/>
        </w:rPr>
        <w:drawing>
          <wp:inline distT="0" distB="0" distL="0" distR="0" wp14:anchorId="7952A2BC" wp14:editId="723A0E97">
            <wp:extent cx="321276" cy="326574"/>
            <wp:effectExtent l="0" t="0" r="3175" b="0"/>
            <wp:docPr id="32" name="Imagen 3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rPr>
        <w:t xml:space="preserve">  </w:t>
      </w:r>
      <w:r w:rsidRPr="008F0992">
        <w:rPr>
          <w:noProof/>
          <w:sz w:val="14"/>
          <w:szCs w:val="18"/>
          <w:lang w:val="es-MX" w:eastAsia="es-MX"/>
        </w:rPr>
        <w:drawing>
          <wp:inline distT="0" distB="0" distL="0" distR="0" wp14:anchorId="384EA048" wp14:editId="3B67B383">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E394D03" w14:textId="77777777" w:rsidR="00A36C24" w:rsidRDefault="00A36C24" w:rsidP="00315B2B">
      <w:pPr>
        <w:spacing w:before="120" w:line="276" w:lineRule="auto"/>
        <w:jc w:val="center"/>
        <w:rPr>
          <w:rFonts w:cs="Arial"/>
          <w:b/>
          <w:bCs/>
          <w:color w:val="002060"/>
          <w:sz w:val="28"/>
          <w:szCs w:val="28"/>
          <w:lang w:val="es-MX"/>
        </w:rPr>
      </w:pPr>
      <w:r>
        <w:rPr>
          <w:rFonts w:cs="Arial"/>
          <w:b/>
          <w:bCs/>
          <w:color w:val="002060"/>
          <w:sz w:val="28"/>
          <w:szCs w:val="28"/>
          <w:lang w:val="es-MX"/>
        </w:rPr>
        <w:br w:type="page"/>
      </w:r>
    </w:p>
    <w:p w14:paraId="774C5B6E" w14:textId="77777777" w:rsidR="00A36C24" w:rsidRDefault="00A36C24" w:rsidP="00315B2B">
      <w:pPr>
        <w:spacing w:before="120" w:line="276" w:lineRule="auto"/>
        <w:jc w:val="center"/>
        <w:rPr>
          <w:rFonts w:cs="Arial"/>
          <w:b/>
          <w:bCs/>
          <w:color w:val="002060"/>
          <w:sz w:val="28"/>
          <w:szCs w:val="28"/>
          <w:lang w:val="es-MX"/>
        </w:rPr>
        <w:sectPr w:rsidR="00A36C24" w:rsidSect="008D5214">
          <w:headerReference w:type="default" r:id="rId20"/>
          <w:footerReference w:type="default" r:id="rId21"/>
          <w:headerReference w:type="first" r:id="rId22"/>
          <w:footerReference w:type="first" r:id="rId23"/>
          <w:pgSz w:w="12242" w:h="15842" w:code="1"/>
          <w:pgMar w:top="1418" w:right="1077" w:bottom="1559" w:left="1701" w:header="567" w:footer="629" w:gutter="0"/>
          <w:cols w:space="708"/>
          <w:titlePg/>
          <w:docGrid w:linePitch="360"/>
        </w:sectPr>
      </w:pPr>
    </w:p>
    <w:p w14:paraId="475C882A" w14:textId="77777777" w:rsidR="00CE7FF1" w:rsidRDefault="00CE7FF1" w:rsidP="00315B2B">
      <w:pPr>
        <w:spacing w:before="120" w:line="276" w:lineRule="auto"/>
        <w:jc w:val="center"/>
        <w:rPr>
          <w:rFonts w:cs="Arial"/>
          <w:b/>
          <w:bCs/>
          <w:color w:val="002060"/>
          <w:sz w:val="28"/>
          <w:szCs w:val="28"/>
          <w:lang w:val="es-MX"/>
        </w:rPr>
      </w:pPr>
    </w:p>
    <w:p w14:paraId="43E0A12D" w14:textId="77777777" w:rsidR="007426F2" w:rsidRDefault="00CE7FF1" w:rsidP="00CE7FF1">
      <w:pPr>
        <w:spacing w:before="120" w:line="276" w:lineRule="auto"/>
        <w:ind w:left="-567"/>
        <w:jc w:val="center"/>
        <w:rPr>
          <w:rFonts w:cs="Arial"/>
          <w:b/>
          <w:bCs/>
          <w:color w:val="000000" w:themeColor="text1"/>
          <w:sz w:val="24"/>
          <w:lang w:val="es-MX"/>
        </w:rPr>
      </w:pPr>
      <w:r w:rsidRPr="00CE7FF1">
        <w:rPr>
          <w:rFonts w:cs="Arial"/>
          <w:b/>
          <w:bCs/>
          <w:color w:val="000000" w:themeColor="text1"/>
          <w:sz w:val="24"/>
          <w:lang w:val="es-MX"/>
        </w:rPr>
        <w:t>NOTA TÉCNICA</w:t>
      </w:r>
    </w:p>
    <w:p w14:paraId="1B942719" w14:textId="77777777" w:rsidR="00CE7FF1" w:rsidRPr="00CE7FF1" w:rsidRDefault="00CE7FF1" w:rsidP="00CE7FF1">
      <w:pPr>
        <w:spacing w:before="120" w:line="276" w:lineRule="auto"/>
        <w:ind w:left="-567"/>
        <w:jc w:val="center"/>
        <w:rPr>
          <w:rFonts w:cs="Arial"/>
          <w:b/>
          <w:bCs/>
          <w:color w:val="000000" w:themeColor="text1"/>
          <w:sz w:val="24"/>
          <w:lang w:val="es-MX"/>
        </w:rPr>
      </w:pPr>
    </w:p>
    <w:p w14:paraId="1DACA534" w14:textId="77777777" w:rsidR="00315B2B" w:rsidRDefault="00315B2B" w:rsidP="00CE7FF1">
      <w:pPr>
        <w:spacing w:before="120" w:line="276" w:lineRule="auto"/>
        <w:ind w:left="-567"/>
        <w:jc w:val="center"/>
        <w:rPr>
          <w:rFonts w:cs="Arial"/>
          <w:b/>
          <w:bCs/>
          <w:color w:val="000000" w:themeColor="text1"/>
          <w:sz w:val="24"/>
          <w:lang w:val="es-MX"/>
        </w:rPr>
      </w:pPr>
      <w:bookmarkStart w:id="0" w:name="OLE_LINK1"/>
      <w:bookmarkStart w:id="1" w:name="OLE_LINK2"/>
      <w:bookmarkStart w:id="2" w:name="_Hlk296948821"/>
      <w:r w:rsidRPr="00CE7FF1">
        <w:rPr>
          <w:rFonts w:cs="Arial"/>
          <w:b/>
          <w:bCs/>
          <w:color w:val="000000" w:themeColor="text1"/>
          <w:sz w:val="24"/>
          <w:lang w:val="es-MX"/>
        </w:rPr>
        <w:t>ESTADÍSTICAS A PROPÓSITO DEL 14 DE FEBRERO</w:t>
      </w:r>
      <w:bookmarkEnd w:id="0"/>
      <w:bookmarkEnd w:id="1"/>
      <w:bookmarkEnd w:id="2"/>
    </w:p>
    <w:p w14:paraId="034A7B6F" w14:textId="77777777" w:rsidR="00315B2B" w:rsidRPr="00647874" w:rsidRDefault="00315B2B" w:rsidP="00315B2B">
      <w:pPr>
        <w:tabs>
          <w:tab w:val="left" w:pos="1418"/>
        </w:tabs>
        <w:adjustRightInd w:val="0"/>
        <w:ind w:right="108"/>
        <w:rPr>
          <w:b/>
          <w:bCs/>
          <w:color w:val="000000" w:themeColor="text1"/>
          <w:sz w:val="10"/>
          <w:szCs w:val="10"/>
        </w:rPr>
      </w:pPr>
    </w:p>
    <w:p w14:paraId="5B6E05FF" w14:textId="77777777" w:rsidR="00CE7FF1" w:rsidRPr="005D3D0A" w:rsidRDefault="00CE7FF1" w:rsidP="00CE7FF1">
      <w:pPr>
        <w:tabs>
          <w:tab w:val="left" w:pos="1418"/>
        </w:tabs>
        <w:adjustRightInd w:val="0"/>
        <w:ind w:left="-567" w:right="108"/>
        <w:rPr>
          <w:rFonts w:cs="Arial"/>
        </w:rPr>
      </w:pPr>
      <w:r w:rsidRPr="005D3D0A">
        <w:rPr>
          <w:rFonts w:cs="Arial"/>
        </w:rPr>
        <w:t>La primera región del mundo donde se reconoció el matrimonio legal entre personas del mismo sexo fue en los Países Bajos. El 1 de abril de 2001 en Ámsterdam, contrajo matrimonio una pareja de hombres. A este reconocimiento se fueron sumando otros países, entre ellos México, cuando en 2009 se aprueba en el Distrito Federal (hoy Ciudad de México) el matrimonio legal entre personas del mismo sexo.</w:t>
      </w:r>
    </w:p>
    <w:p w14:paraId="26E8FC14" w14:textId="77777777" w:rsidR="00CE7FF1" w:rsidRDefault="00CE7FF1" w:rsidP="00CE7FF1">
      <w:pPr>
        <w:tabs>
          <w:tab w:val="left" w:pos="1418"/>
        </w:tabs>
        <w:adjustRightInd w:val="0"/>
        <w:ind w:left="-567" w:right="108"/>
        <w:rPr>
          <w:rFonts w:cs="Arial"/>
          <w:color w:val="000000" w:themeColor="text1"/>
        </w:rPr>
      </w:pPr>
    </w:p>
    <w:p w14:paraId="531B6015" w14:textId="77777777" w:rsidR="00CE7FF1" w:rsidRPr="00647874" w:rsidRDefault="00CE7FF1" w:rsidP="00CE7FF1">
      <w:pPr>
        <w:tabs>
          <w:tab w:val="left" w:pos="1418"/>
        </w:tabs>
        <w:adjustRightInd w:val="0"/>
        <w:ind w:left="-567" w:right="108"/>
        <w:rPr>
          <w:rFonts w:cs="Arial"/>
          <w:color w:val="000000" w:themeColor="text1"/>
        </w:rPr>
      </w:pPr>
      <w:r w:rsidRPr="00647874">
        <w:rPr>
          <w:rFonts w:cs="Arial"/>
          <w:color w:val="000000" w:themeColor="text1"/>
        </w:rPr>
        <w:t xml:space="preserve">Por lo anterior y con el propósito de conmemorar el 14 de febrero, </w:t>
      </w:r>
      <w:r w:rsidRPr="00647874">
        <w:rPr>
          <w:rFonts w:eastAsia="Calibri"/>
          <w:color w:val="000000" w:themeColor="text1"/>
          <w:szCs w:val="22"/>
        </w:rPr>
        <w:t>el Instituto Nacional de Estadística y Geografía (INEGI) presenta indicadores de</w:t>
      </w:r>
      <w:r w:rsidRPr="00647874">
        <w:rPr>
          <w:rFonts w:cs="Arial"/>
          <w:color w:val="000000" w:themeColor="text1"/>
        </w:rPr>
        <w:t xml:space="preserve"> los matrimonios y divorcios celebrados entre personas del mismo sexo en México.  </w:t>
      </w:r>
    </w:p>
    <w:p w14:paraId="5C41F725" w14:textId="77777777" w:rsidR="00CE7FF1" w:rsidRDefault="00CE7FF1" w:rsidP="00CE7FF1">
      <w:pPr>
        <w:ind w:left="-567" w:right="108"/>
        <w:rPr>
          <w:rFonts w:cs="Arial"/>
          <w:color w:val="000000" w:themeColor="text1"/>
        </w:rPr>
      </w:pPr>
    </w:p>
    <w:p w14:paraId="69B32765" w14:textId="77777777" w:rsidR="00CE7FF1" w:rsidRPr="00CE7FF1" w:rsidRDefault="00CE7FF1" w:rsidP="00CE7FF1">
      <w:pPr>
        <w:ind w:left="-567" w:right="108"/>
        <w:rPr>
          <w:rFonts w:cs="Arial"/>
          <w:b/>
          <w:bCs/>
          <w:color w:val="000000" w:themeColor="text1"/>
        </w:rPr>
      </w:pPr>
      <w:r w:rsidRPr="00CE7FF1">
        <w:rPr>
          <w:rFonts w:cs="Arial"/>
          <w:b/>
          <w:bCs/>
          <w:color w:val="000000" w:themeColor="text1"/>
        </w:rPr>
        <w:t>MATRIMONIOS</w:t>
      </w:r>
    </w:p>
    <w:p w14:paraId="18FB4F8B" w14:textId="77777777" w:rsidR="00CE7FF1" w:rsidRDefault="00CE7FF1" w:rsidP="00CE7FF1">
      <w:pPr>
        <w:ind w:left="-567" w:right="108"/>
        <w:rPr>
          <w:rFonts w:cs="Arial"/>
          <w:color w:val="000000" w:themeColor="text1"/>
        </w:rPr>
      </w:pPr>
    </w:p>
    <w:p w14:paraId="7C275904" w14:textId="77777777" w:rsidR="00315B2B" w:rsidRPr="00647874" w:rsidRDefault="00315B2B" w:rsidP="00CE7FF1">
      <w:pPr>
        <w:ind w:left="-567" w:right="108"/>
        <w:rPr>
          <w:rFonts w:cs="Arial"/>
          <w:color w:val="000000" w:themeColor="text1"/>
        </w:rPr>
      </w:pPr>
      <w:r w:rsidRPr="00647874">
        <w:rPr>
          <w:rFonts w:cs="Arial"/>
          <w:color w:val="000000" w:themeColor="text1"/>
        </w:rPr>
        <w:t xml:space="preserve">La Declaración Universal de los Derechos Humanos establece preceptos relacionados con los derechos de igualdad de las personas ante la ley y a la no </w:t>
      </w:r>
      <w:r w:rsidRPr="008B4B97">
        <w:rPr>
          <w:rFonts w:cs="Arial"/>
        </w:rPr>
        <w:t>discriminación (</w:t>
      </w:r>
      <w:r w:rsidR="00B34558" w:rsidRPr="008B4B97">
        <w:rPr>
          <w:rFonts w:cs="Arial"/>
        </w:rPr>
        <w:t>ONU</w:t>
      </w:r>
      <w:r w:rsidRPr="008B4B97">
        <w:rPr>
          <w:rFonts w:cs="Arial"/>
        </w:rPr>
        <w:t xml:space="preserve">, 1948). En </w:t>
      </w:r>
      <w:r w:rsidRPr="00647874">
        <w:rPr>
          <w:rFonts w:cs="Arial"/>
          <w:color w:val="000000" w:themeColor="text1"/>
        </w:rPr>
        <w:t xml:space="preserve">este contexto, el </w:t>
      </w:r>
      <w:hyperlink r:id="rId24" w:tooltip="21 de diciembre" w:history="1">
        <w:r w:rsidRPr="00647874">
          <w:rPr>
            <w:rFonts w:cs="Arial"/>
            <w:color w:val="000000" w:themeColor="text1"/>
          </w:rPr>
          <w:t>21 de diciembre</w:t>
        </w:r>
      </w:hyperlink>
      <w:r w:rsidR="001A5892">
        <w:rPr>
          <w:rFonts w:cs="Arial"/>
          <w:color w:val="000000" w:themeColor="text1"/>
        </w:rPr>
        <w:t xml:space="preserve"> de </w:t>
      </w:r>
      <w:hyperlink r:id="rId25" w:tooltip="2009" w:history="1">
        <w:r w:rsidRPr="00647874">
          <w:rPr>
            <w:rFonts w:cs="Arial"/>
            <w:color w:val="000000" w:themeColor="text1"/>
          </w:rPr>
          <w:t>2009</w:t>
        </w:r>
      </w:hyperlink>
      <w:r w:rsidR="001A5892">
        <w:rPr>
          <w:rFonts w:cs="Arial"/>
          <w:color w:val="000000" w:themeColor="text1"/>
        </w:rPr>
        <w:t xml:space="preserve"> </w:t>
      </w:r>
      <w:r w:rsidRPr="007B3B69">
        <w:rPr>
          <w:rFonts w:cs="Arial"/>
        </w:rPr>
        <w:t xml:space="preserve">se aprobó la </w:t>
      </w:r>
      <w:r w:rsidRPr="00647874">
        <w:rPr>
          <w:rFonts w:cs="Arial"/>
          <w:color w:val="000000" w:themeColor="text1"/>
        </w:rPr>
        <w:t>legalización del matrimonio entre personas del mismo sexo en el Distrito Federal</w:t>
      </w:r>
      <w:r>
        <w:rPr>
          <w:rFonts w:cs="Arial"/>
          <w:color w:val="000000" w:themeColor="text1"/>
        </w:rPr>
        <w:t xml:space="preserve"> y </w:t>
      </w:r>
      <w:r w:rsidRPr="00647874">
        <w:rPr>
          <w:rFonts w:cs="Arial"/>
          <w:color w:val="000000" w:themeColor="text1"/>
        </w:rPr>
        <w:t>entr</w:t>
      </w:r>
      <w:r>
        <w:rPr>
          <w:rFonts w:cs="Arial"/>
          <w:color w:val="000000" w:themeColor="text1"/>
        </w:rPr>
        <w:t>ó</w:t>
      </w:r>
      <w:r w:rsidRPr="00647874">
        <w:rPr>
          <w:rFonts w:cs="Arial"/>
          <w:color w:val="000000" w:themeColor="text1"/>
        </w:rPr>
        <w:t xml:space="preserve"> en vigor en marzo </w:t>
      </w:r>
      <w:r w:rsidR="0075695F">
        <w:rPr>
          <w:rFonts w:cs="Arial"/>
          <w:color w:val="000000" w:themeColor="text1"/>
        </w:rPr>
        <w:t xml:space="preserve">de </w:t>
      </w:r>
      <w:r w:rsidRPr="00647874">
        <w:rPr>
          <w:rFonts w:cs="Arial"/>
          <w:color w:val="000000" w:themeColor="text1"/>
        </w:rPr>
        <w:t>2010 (</w:t>
      </w:r>
      <w:r w:rsidRPr="008741AD">
        <w:rPr>
          <w:rFonts w:cs="Arial"/>
        </w:rPr>
        <w:t xml:space="preserve">Altamirano, G., </w:t>
      </w:r>
      <w:r w:rsidRPr="00647874">
        <w:rPr>
          <w:rFonts w:cs="Arial"/>
          <w:color w:val="000000" w:themeColor="text1"/>
        </w:rPr>
        <w:t xml:space="preserve">2017). </w:t>
      </w:r>
    </w:p>
    <w:p w14:paraId="0C8EE046" w14:textId="77777777" w:rsidR="00315B2B" w:rsidRPr="00647874" w:rsidRDefault="00315B2B" w:rsidP="00CE7FF1">
      <w:pPr>
        <w:ind w:left="-567" w:right="108"/>
        <w:rPr>
          <w:rFonts w:cs="Arial"/>
          <w:color w:val="000000" w:themeColor="text1"/>
        </w:rPr>
      </w:pPr>
    </w:p>
    <w:p w14:paraId="603E8D9B" w14:textId="77777777" w:rsidR="00315B2B" w:rsidRPr="00647874" w:rsidRDefault="00315B2B" w:rsidP="00CE7FF1">
      <w:pPr>
        <w:ind w:left="-567" w:right="108"/>
        <w:rPr>
          <w:rFonts w:cs="Arial"/>
          <w:color w:val="000000" w:themeColor="text1"/>
        </w:rPr>
      </w:pPr>
      <w:r w:rsidRPr="00E65EC4">
        <w:rPr>
          <w:rFonts w:cs="Arial"/>
          <w:color w:val="000000" w:themeColor="text1"/>
        </w:rPr>
        <w:t xml:space="preserve">A diez años de su aprobación aún no se cuenta con </w:t>
      </w:r>
      <w:r w:rsidR="00AA1643">
        <w:rPr>
          <w:rFonts w:cs="Arial"/>
          <w:color w:val="000000" w:themeColor="text1"/>
        </w:rPr>
        <w:t xml:space="preserve">su </w:t>
      </w:r>
      <w:r w:rsidRPr="00E65EC4">
        <w:rPr>
          <w:rFonts w:cs="Arial"/>
          <w:color w:val="000000" w:themeColor="text1"/>
        </w:rPr>
        <w:t>reconocimiento legal a nivel nacional</w:t>
      </w:r>
      <w:r w:rsidRPr="00647874">
        <w:rPr>
          <w:rFonts w:cs="Arial"/>
          <w:color w:val="000000" w:themeColor="text1"/>
        </w:rPr>
        <w:t>, pues los códigos civiles de cada entidad deben resolver su aprobación en sus respectivas demarcaciones</w:t>
      </w:r>
      <w:r w:rsidR="00C81107">
        <w:rPr>
          <w:rStyle w:val="Refdenotaalpie"/>
          <w:rFonts w:cs="Arial"/>
          <w:color w:val="000000" w:themeColor="text1"/>
        </w:rPr>
        <w:footnoteReference w:id="1"/>
      </w:r>
      <w:r w:rsidRPr="00647874">
        <w:rPr>
          <w:rFonts w:cs="Arial"/>
          <w:color w:val="000000" w:themeColor="text1"/>
        </w:rPr>
        <w:t xml:space="preserve">. No obstante, la Suprema Corte de Justicia de la Nación en 2015 ha resuelto una jurisprudencia que </w:t>
      </w:r>
      <w:r w:rsidR="00C72225" w:rsidRPr="003D6208">
        <w:rPr>
          <w:rFonts w:cs="Arial"/>
        </w:rPr>
        <w:t>instruye</w:t>
      </w:r>
      <w:r w:rsidRPr="00647874">
        <w:rPr>
          <w:rFonts w:cs="Arial"/>
          <w:color w:val="000000" w:themeColor="text1"/>
        </w:rPr>
        <w:t xml:space="preserve"> a los jueces a fallar a favor de las parejas que presenten un juicio de amparo para poder casarse (</w:t>
      </w:r>
      <w:r w:rsidRPr="00647874">
        <w:rPr>
          <w:rFonts w:cs="Arial"/>
          <w:color w:val="000000" w:themeColor="text1"/>
          <w:szCs w:val="22"/>
        </w:rPr>
        <w:t>SCJN</w:t>
      </w:r>
      <w:r w:rsidRPr="00647874">
        <w:rPr>
          <w:rFonts w:cs="Arial"/>
          <w:color w:val="000000" w:themeColor="text1"/>
        </w:rPr>
        <w:t xml:space="preserve">, 2015). </w:t>
      </w:r>
    </w:p>
    <w:p w14:paraId="5ACB6BA4" w14:textId="77777777" w:rsidR="00315B2B" w:rsidRPr="00647874" w:rsidRDefault="00315B2B" w:rsidP="00CE7FF1">
      <w:pPr>
        <w:ind w:left="-567" w:right="108"/>
        <w:rPr>
          <w:rFonts w:cs="Arial"/>
          <w:color w:val="000000" w:themeColor="text1"/>
        </w:rPr>
      </w:pPr>
    </w:p>
    <w:p w14:paraId="48ED67D7" w14:textId="77777777" w:rsidR="00315B2B" w:rsidRDefault="00315B2B" w:rsidP="00CE7FF1">
      <w:pPr>
        <w:ind w:left="-567" w:right="108"/>
        <w:rPr>
          <w:rFonts w:cs="Arial"/>
        </w:rPr>
      </w:pPr>
      <w:r w:rsidRPr="00647874">
        <w:rPr>
          <w:rFonts w:cs="Arial"/>
          <w:color w:val="000000" w:themeColor="text1"/>
        </w:rPr>
        <w:t xml:space="preserve">En México, los registros administrativos en </w:t>
      </w:r>
      <w:r w:rsidRPr="005D3D0A">
        <w:rPr>
          <w:rFonts w:cs="Arial"/>
        </w:rPr>
        <w:t xml:space="preserve">materia de nupcialidad indican que </w:t>
      </w:r>
      <w:r w:rsidR="004323A4" w:rsidRPr="005D3D0A">
        <w:rPr>
          <w:rFonts w:cs="Arial"/>
        </w:rPr>
        <w:t xml:space="preserve">en 2018 se </w:t>
      </w:r>
      <w:r w:rsidR="004323A4">
        <w:rPr>
          <w:rFonts w:cs="Arial"/>
        </w:rPr>
        <w:t>realizaron</w:t>
      </w:r>
      <w:r w:rsidR="004323A4" w:rsidRPr="005D3D0A">
        <w:rPr>
          <w:rFonts w:cs="Arial"/>
        </w:rPr>
        <w:t xml:space="preserve"> </w:t>
      </w:r>
      <w:r w:rsidR="004323A4" w:rsidRPr="00482C5E">
        <w:rPr>
          <w:rFonts w:cs="Arial"/>
          <w:color w:val="000000" w:themeColor="text1"/>
        </w:rPr>
        <w:t>501 298 matrimonios legales, de estos, 497 939 fueron entre parejas de mujeres y hombres</w:t>
      </w:r>
      <w:r w:rsidR="00EE64DC" w:rsidRPr="00482C5E">
        <w:rPr>
          <w:rFonts w:cs="Arial"/>
          <w:color w:val="000000" w:themeColor="text1"/>
        </w:rPr>
        <w:t>;</w:t>
      </w:r>
      <w:r w:rsidR="004323A4" w:rsidRPr="00482C5E">
        <w:rPr>
          <w:rFonts w:cs="Arial"/>
          <w:color w:val="000000" w:themeColor="text1"/>
        </w:rPr>
        <w:t xml:space="preserve"> </w:t>
      </w:r>
      <w:r w:rsidR="00EE64DC" w:rsidRPr="00482C5E">
        <w:rPr>
          <w:rFonts w:cs="Arial"/>
          <w:color w:val="000000" w:themeColor="text1"/>
        </w:rPr>
        <w:t>mientras que</w:t>
      </w:r>
      <w:r w:rsidR="004323A4" w:rsidRPr="00482C5E">
        <w:rPr>
          <w:rFonts w:cs="Arial"/>
          <w:color w:val="000000" w:themeColor="text1"/>
        </w:rPr>
        <w:t xml:space="preserve"> 3 359 </w:t>
      </w:r>
      <w:r w:rsidR="00EE64DC" w:rsidRPr="00482C5E">
        <w:rPr>
          <w:rFonts w:cs="Arial"/>
          <w:color w:val="000000" w:themeColor="text1"/>
        </w:rPr>
        <w:t xml:space="preserve">fueron </w:t>
      </w:r>
      <w:r w:rsidR="004323A4" w:rsidRPr="005D3D0A">
        <w:rPr>
          <w:rFonts w:cs="Arial"/>
        </w:rPr>
        <w:t>entre personas del mismo sexo</w:t>
      </w:r>
      <w:r w:rsidRPr="005D3D0A">
        <w:rPr>
          <w:rFonts w:cs="Arial"/>
        </w:rPr>
        <w:t>,</w:t>
      </w:r>
      <w:r w:rsidRPr="005D3D0A">
        <w:t xml:space="preserve"> los cuales </w:t>
      </w:r>
      <w:r w:rsidRPr="005D3D0A">
        <w:rPr>
          <w:rFonts w:cs="Arial"/>
        </w:rPr>
        <w:t>representan 0.7% del total de los matrimonios celebrados en ese año. Aunque su participación porcentual es baja, se observa un incremento notorio en su monto</w:t>
      </w:r>
      <w:r w:rsidR="00446F4E" w:rsidRPr="005D3D0A">
        <w:rPr>
          <w:rFonts w:cs="Arial"/>
        </w:rPr>
        <w:t>:</w:t>
      </w:r>
      <w:r w:rsidRPr="005D3D0A">
        <w:rPr>
          <w:rFonts w:cs="Arial"/>
        </w:rPr>
        <w:t xml:space="preserve"> </w:t>
      </w:r>
      <w:r w:rsidR="00446F4E" w:rsidRPr="005D3D0A">
        <w:rPr>
          <w:rFonts w:cs="Arial"/>
        </w:rPr>
        <w:t>e</w:t>
      </w:r>
      <w:r w:rsidRPr="005D3D0A">
        <w:rPr>
          <w:rFonts w:cs="Arial"/>
        </w:rPr>
        <w:t xml:space="preserve">n 2010 se registraron 689 matrimonios </w:t>
      </w:r>
      <w:r w:rsidR="00A55174" w:rsidRPr="005D3D0A">
        <w:rPr>
          <w:rFonts w:cs="Arial"/>
        </w:rPr>
        <w:t>entre</w:t>
      </w:r>
      <w:r w:rsidR="005D3D0A" w:rsidRPr="005D3D0A">
        <w:rPr>
          <w:rFonts w:cs="Arial"/>
        </w:rPr>
        <w:t xml:space="preserve"> </w:t>
      </w:r>
      <w:r w:rsidR="00A55174" w:rsidRPr="005D3D0A">
        <w:rPr>
          <w:rFonts w:cs="Arial"/>
        </w:rPr>
        <w:t xml:space="preserve">personas </w:t>
      </w:r>
      <w:r w:rsidRPr="005D3D0A">
        <w:rPr>
          <w:rFonts w:cs="Arial"/>
        </w:rPr>
        <w:t>del mismo sexo y ocho años</w:t>
      </w:r>
      <w:r w:rsidR="005D3D0A" w:rsidRPr="005D3D0A">
        <w:rPr>
          <w:rFonts w:cs="Arial"/>
        </w:rPr>
        <w:t xml:space="preserve"> </w:t>
      </w:r>
      <w:r w:rsidRPr="005D3D0A">
        <w:rPr>
          <w:rFonts w:cs="Arial"/>
        </w:rPr>
        <w:t>más tarde</w:t>
      </w:r>
      <w:r w:rsidR="008B4B97">
        <w:rPr>
          <w:rFonts w:cs="Arial"/>
        </w:rPr>
        <w:t>,</w:t>
      </w:r>
      <w:r w:rsidRPr="005D3D0A">
        <w:rPr>
          <w:rFonts w:cs="Arial"/>
        </w:rPr>
        <w:t xml:space="preserve"> este valor se quintuplica</w:t>
      </w:r>
      <w:r w:rsidR="005D3D0A" w:rsidRPr="005D3D0A">
        <w:rPr>
          <w:rFonts w:cs="Arial"/>
        </w:rPr>
        <w:t xml:space="preserve"> </w:t>
      </w:r>
      <w:r w:rsidRPr="005D3D0A">
        <w:rPr>
          <w:rFonts w:cs="Arial"/>
        </w:rPr>
        <w:t xml:space="preserve">(3 359). </w:t>
      </w:r>
    </w:p>
    <w:p w14:paraId="56B58735" w14:textId="77777777" w:rsidR="00CE7FF1" w:rsidRDefault="00CE7FF1" w:rsidP="00CE7FF1">
      <w:pPr>
        <w:ind w:left="-567" w:right="108"/>
        <w:rPr>
          <w:rFonts w:cs="Arial"/>
        </w:rPr>
      </w:pPr>
    </w:p>
    <w:p w14:paraId="0D10EFDF" w14:textId="77777777" w:rsidR="00CE7FF1" w:rsidRDefault="00CE7FF1" w:rsidP="00CE7FF1">
      <w:pPr>
        <w:ind w:left="-567" w:right="108"/>
        <w:rPr>
          <w:rFonts w:cs="Arial"/>
        </w:rPr>
      </w:pPr>
    </w:p>
    <w:p w14:paraId="5DCEFBE7" w14:textId="77777777" w:rsidR="00CE7FF1" w:rsidRDefault="00CE7FF1" w:rsidP="00CE7FF1">
      <w:pPr>
        <w:ind w:left="-567" w:right="108"/>
        <w:rPr>
          <w:rFonts w:cs="Arial"/>
        </w:rPr>
      </w:pPr>
    </w:p>
    <w:p w14:paraId="68A2A81B" w14:textId="208D9893" w:rsidR="00CE7FF1" w:rsidRDefault="00CE7FF1" w:rsidP="00CE7FF1">
      <w:pPr>
        <w:ind w:left="-567" w:right="108"/>
        <w:rPr>
          <w:rFonts w:cs="Arial"/>
        </w:rPr>
      </w:pPr>
    </w:p>
    <w:p w14:paraId="732303CF" w14:textId="77777777" w:rsidR="004506F1" w:rsidRDefault="004506F1" w:rsidP="00CE7FF1">
      <w:pPr>
        <w:ind w:left="-567" w:right="108"/>
        <w:rPr>
          <w:rFonts w:cs="Arial"/>
        </w:rPr>
      </w:pPr>
      <w:bookmarkStart w:id="3" w:name="_GoBack"/>
      <w:bookmarkEnd w:id="3"/>
    </w:p>
    <w:p w14:paraId="4317EFD2" w14:textId="77777777" w:rsidR="00CE7FF1" w:rsidRDefault="00CE7FF1" w:rsidP="00CE7FF1">
      <w:pPr>
        <w:ind w:left="-567" w:right="108"/>
        <w:rPr>
          <w:rFonts w:cs="Arial"/>
        </w:rPr>
      </w:pPr>
    </w:p>
    <w:p w14:paraId="0858273B" w14:textId="77777777" w:rsidR="00CE7FF1" w:rsidRDefault="00CE7FF1" w:rsidP="00CE7FF1">
      <w:pPr>
        <w:ind w:left="-567" w:right="108"/>
        <w:rPr>
          <w:rFonts w:cs="Arial"/>
        </w:rPr>
      </w:pPr>
    </w:p>
    <w:p w14:paraId="38E5B10A" w14:textId="77777777" w:rsidR="00CE7FF1" w:rsidRDefault="00CE7FF1" w:rsidP="00CE7FF1">
      <w:pPr>
        <w:ind w:left="-567" w:right="108"/>
        <w:rPr>
          <w:rFonts w:cs="Arial"/>
        </w:rPr>
      </w:pPr>
    </w:p>
    <w:p w14:paraId="5EC5A5B9" w14:textId="77777777" w:rsidR="00CE7FF1" w:rsidRDefault="00CE7FF1" w:rsidP="00CE7FF1">
      <w:pPr>
        <w:ind w:right="108"/>
        <w:rPr>
          <w:rFonts w:cs="Arial"/>
        </w:rPr>
      </w:pPr>
    </w:p>
    <w:p w14:paraId="5F7382EC" w14:textId="77777777" w:rsidR="00CE7FF1" w:rsidRPr="005D3D0A" w:rsidRDefault="00CE7FF1" w:rsidP="00DA371B">
      <w:pPr>
        <w:ind w:left="-284" w:right="108" w:firstLine="426"/>
        <w:rPr>
          <w:rFonts w:cs="Arial"/>
        </w:rPr>
      </w:pPr>
    </w:p>
    <w:p w14:paraId="6D7273F8" w14:textId="77777777" w:rsidR="00315B2B" w:rsidRPr="00157D68" w:rsidRDefault="00315B2B" w:rsidP="00157D68">
      <w:pPr>
        <w:pStyle w:val="Prrafodelista"/>
        <w:spacing w:line="264" w:lineRule="auto"/>
        <w:ind w:left="993" w:right="108"/>
        <w:jc w:val="both"/>
        <w:rPr>
          <w:rFonts w:ascii="Arial" w:hAnsi="Arial" w:cs="Arial"/>
          <w:b/>
          <w:sz w:val="20"/>
          <w:szCs w:val="20"/>
        </w:rPr>
      </w:pPr>
      <w:r w:rsidRPr="00157D68">
        <w:rPr>
          <w:rFonts w:ascii="Arial" w:hAnsi="Arial" w:cs="Arial"/>
          <w:b/>
          <w:sz w:val="20"/>
          <w:szCs w:val="20"/>
        </w:rPr>
        <w:lastRenderedPageBreak/>
        <w:t xml:space="preserve">Matrimonios </w:t>
      </w:r>
      <w:r w:rsidR="00692E7A" w:rsidRPr="00157D68">
        <w:rPr>
          <w:rFonts w:ascii="Arial" w:hAnsi="Arial" w:cs="Arial"/>
          <w:b/>
          <w:sz w:val="20"/>
          <w:szCs w:val="20"/>
        </w:rPr>
        <w:t xml:space="preserve">entre personas </w:t>
      </w:r>
      <w:r w:rsidRPr="00157D68">
        <w:rPr>
          <w:rFonts w:ascii="Arial" w:hAnsi="Arial" w:cs="Arial"/>
          <w:b/>
          <w:sz w:val="20"/>
          <w:szCs w:val="20"/>
        </w:rPr>
        <w:t>del mismo sexo por año de registro</w:t>
      </w:r>
    </w:p>
    <w:p w14:paraId="5AD7E1EF" w14:textId="77777777" w:rsidR="00315B2B" w:rsidRPr="00647874" w:rsidRDefault="00315B2B" w:rsidP="00157D68">
      <w:pPr>
        <w:pStyle w:val="Prrafodelista"/>
        <w:spacing w:line="264" w:lineRule="auto"/>
        <w:ind w:left="993" w:right="108"/>
        <w:jc w:val="both"/>
        <w:rPr>
          <w:rFonts w:cs="Arial"/>
          <w:b/>
          <w:color w:val="000000" w:themeColor="text1"/>
          <w:sz w:val="20"/>
          <w:szCs w:val="20"/>
        </w:rPr>
      </w:pPr>
      <w:r w:rsidRPr="00157D68">
        <w:rPr>
          <w:rFonts w:ascii="Arial" w:hAnsi="Arial" w:cs="Arial"/>
          <w:b/>
          <w:sz w:val="20"/>
          <w:szCs w:val="20"/>
        </w:rPr>
        <w:t>2010-2018</w:t>
      </w:r>
    </w:p>
    <w:p w14:paraId="27037CF2" w14:textId="77777777" w:rsidR="00315B2B" w:rsidRPr="00647874" w:rsidRDefault="00315B2B" w:rsidP="00315B2B">
      <w:pPr>
        <w:ind w:left="-142" w:right="108"/>
        <w:rPr>
          <w:b/>
          <w:bCs/>
          <w:color w:val="000000" w:themeColor="text1"/>
          <w:szCs w:val="22"/>
        </w:rPr>
      </w:pPr>
      <w:r w:rsidRPr="00647874">
        <w:rPr>
          <w:noProof/>
          <w:color w:val="000000" w:themeColor="text1"/>
          <w:lang w:val="es-MX" w:eastAsia="es-MX"/>
        </w:rPr>
        <w:drawing>
          <wp:anchor distT="0" distB="0" distL="114300" distR="114300" simplePos="0" relativeHeight="251659264" behindDoc="0" locked="0" layoutInCell="1" allowOverlap="1" wp14:anchorId="145E7BC3" wp14:editId="07BEB326">
            <wp:simplePos x="0" y="0"/>
            <wp:positionH relativeFrom="column">
              <wp:posOffset>702945</wp:posOffset>
            </wp:positionH>
            <wp:positionV relativeFrom="paragraph">
              <wp:posOffset>87630</wp:posOffset>
            </wp:positionV>
            <wp:extent cx="4600575" cy="2187575"/>
            <wp:effectExtent l="0" t="0" r="952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00575" cy="2187575"/>
                    </a:xfrm>
                    <a:prstGeom prst="rect">
                      <a:avLst/>
                    </a:prstGeom>
                  </pic:spPr>
                </pic:pic>
              </a:graphicData>
            </a:graphic>
            <wp14:sizeRelH relativeFrom="margin">
              <wp14:pctWidth>0</wp14:pctWidth>
            </wp14:sizeRelH>
            <wp14:sizeRelV relativeFrom="margin">
              <wp14:pctHeight>0</wp14:pctHeight>
            </wp14:sizeRelV>
          </wp:anchor>
        </w:drawing>
      </w:r>
    </w:p>
    <w:p w14:paraId="4BDD11B3" w14:textId="77777777" w:rsidR="00315B2B" w:rsidRPr="00647874" w:rsidRDefault="00315B2B" w:rsidP="00315B2B">
      <w:pPr>
        <w:ind w:left="-142" w:right="108"/>
        <w:rPr>
          <w:b/>
          <w:bCs/>
          <w:color w:val="000000" w:themeColor="text1"/>
          <w:szCs w:val="22"/>
        </w:rPr>
      </w:pPr>
    </w:p>
    <w:p w14:paraId="7AFCEC4C" w14:textId="77777777" w:rsidR="00315B2B" w:rsidRPr="00647874" w:rsidRDefault="00315B2B" w:rsidP="00315B2B">
      <w:pPr>
        <w:ind w:left="-142" w:right="108"/>
        <w:rPr>
          <w:b/>
          <w:bCs/>
          <w:color w:val="000000" w:themeColor="text1"/>
          <w:szCs w:val="22"/>
        </w:rPr>
      </w:pPr>
    </w:p>
    <w:p w14:paraId="54020B81" w14:textId="77777777" w:rsidR="00315B2B" w:rsidRPr="00647874" w:rsidRDefault="00315B2B" w:rsidP="00315B2B">
      <w:pPr>
        <w:ind w:left="-142" w:right="108"/>
        <w:rPr>
          <w:b/>
          <w:bCs/>
          <w:color w:val="000000" w:themeColor="text1"/>
          <w:szCs w:val="22"/>
        </w:rPr>
      </w:pPr>
    </w:p>
    <w:p w14:paraId="6D804347" w14:textId="77777777" w:rsidR="00315B2B" w:rsidRPr="00647874" w:rsidRDefault="00315B2B" w:rsidP="00315B2B">
      <w:pPr>
        <w:ind w:left="-142" w:right="108"/>
        <w:rPr>
          <w:b/>
          <w:bCs/>
          <w:color w:val="000000" w:themeColor="text1"/>
          <w:szCs w:val="22"/>
        </w:rPr>
      </w:pPr>
    </w:p>
    <w:p w14:paraId="6CA1FED0" w14:textId="77777777" w:rsidR="00315B2B" w:rsidRPr="00647874" w:rsidRDefault="00315B2B" w:rsidP="00315B2B">
      <w:pPr>
        <w:ind w:left="-142" w:right="108"/>
        <w:rPr>
          <w:b/>
          <w:bCs/>
          <w:color w:val="000000" w:themeColor="text1"/>
          <w:szCs w:val="22"/>
        </w:rPr>
      </w:pPr>
    </w:p>
    <w:p w14:paraId="1DB973DD" w14:textId="77777777" w:rsidR="00315B2B" w:rsidRPr="00647874" w:rsidRDefault="00315B2B" w:rsidP="00315B2B">
      <w:pPr>
        <w:ind w:left="-142" w:right="108"/>
        <w:rPr>
          <w:b/>
          <w:bCs/>
          <w:color w:val="000000" w:themeColor="text1"/>
          <w:szCs w:val="22"/>
        </w:rPr>
      </w:pPr>
    </w:p>
    <w:p w14:paraId="6E9EBA54" w14:textId="77777777" w:rsidR="00315B2B" w:rsidRPr="00647874" w:rsidRDefault="00315B2B" w:rsidP="00315B2B">
      <w:pPr>
        <w:ind w:left="-142" w:right="108"/>
        <w:rPr>
          <w:b/>
          <w:bCs/>
          <w:color w:val="000000" w:themeColor="text1"/>
          <w:szCs w:val="22"/>
          <w:lang w:val="es-MX"/>
        </w:rPr>
      </w:pPr>
    </w:p>
    <w:p w14:paraId="5A5F0893" w14:textId="77777777" w:rsidR="00315B2B" w:rsidRPr="00647874" w:rsidRDefault="00315B2B" w:rsidP="00315B2B">
      <w:pPr>
        <w:ind w:left="-142" w:right="108"/>
        <w:rPr>
          <w:b/>
          <w:bCs/>
          <w:color w:val="000000" w:themeColor="text1"/>
          <w:szCs w:val="22"/>
          <w:lang w:val="es-MX"/>
        </w:rPr>
      </w:pPr>
    </w:p>
    <w:p w14:paraId="0AD8C426" w14:textId="77777777" w:rsidR="00315B2B" w:rsidRPr="00647874" w:rsidRDefault="00315B2B" w:rsidP="00315B2B">
      <w:pPr>
        <w:ind w:left="-142" w:right="108"/>
        <w:rPr>
          <w:b/>
          <w:bCs/>
          <w:color w:val="000000" w:themeColor="text1"/>
          <w:szCs w:val="22"/>
          <w:lang w:val="es-MX"/>
        </w:rPr>
      </w:pPr>
    </w:p>
    <w:p w14:paraId="38E9A9FD" w14:textId="77777777" w:rsidR="00315B2B" w:rsidRPr="00647874" w:rsidRDefault="00315B2B" w:rsidP="00315B2B">
      <w:pPr>
        <w:ind w:left="-142" w:right="108"/>
        <w:rPr>
          <w:b/>
          <w:bCs/>
          <w:color w:val="000000" w:themeColor="text1"/>
          <w:szCs w:val="22"/>
          <w:lang w:val="es-MX"/>
        </w:rPr>
      </w:pPr>
    </w:p>
    <w:p w14:paraId="772B33FC" w14:textId="77777777" w:rsidR="00315B2B" w:rsidRPr="00647874" w:rsidRDefault="00315B2B" w:rsidP="00315B2B">
      <w:pPr>
        <w:ind w:left="-142" w:right="108"/>
        <w:rPr>
          <w:b/>
          <w:bCs/>
          <w:color w:val="000000" w:themeColor="text1"/>
          <w:szCs w:val="22"/>
          <w:lang w:val="es-MX"/>
        </w:rPr>
      </w:pPr>
    </w:p>
    <w:p w14:paraId="4F764C06" w14:textId="77777777" w:rsidR="00315B2B" w:rsidRPr="00647874" w:rsidRDefault="00315B2B" w:rsidP="00315B2B">
      <w:pPr>
        <w:ind w:left="-142" w:right="108"/>
        <w:rPr>
          <w:b/>
          <w:bCs/>
          <w:color w:val="000000" w:themeColor="text1"/>
          <w:szCs w:val="22"/>
          <w:lang w:val="es-MX"/>
        </w:rPr>
      </w:pPr>
    </w:p>
    <w:p w14:paraId="084F573A" w14:textId="77777777" w:rsidR="00315B2B" w:rsidRPr="00647874" w:rsidRDefault="00315B2B" w:rsidP="00315B2B">
      <w:pPr>
        <w:ind w:left="-142" w:right="108"/>
        <w:rPr>
          <w:b/>
          <w:bCs/>
          <w:color w:val="000000" w:themeColor="text1"/>
          <w:szCs w:val="22"/>
          <w:lang w:val="es-MX"/>
        </w:rPr>
      </w:pPr>
    </w:p>
    <w:p w14:paraId="66D205C3" w14:textId="77777777" w:rsidR="00315B2B" w:rsidRPr="00647874" w:rsidRDefault="00315B2B" w:rsidP="00315B2B">
      <w:pPr>
        <w:ind w:left="-142" w:right="108"/>
        <w:rPr>
          <w:b/>
          <w:bCs/>
          <w:color w:val="000000" w:themeColor="text1"/>
          <w:szCs w:val="22"/>
          <w:lang w:val="es-MX"/>
        </w:rPr>
      </w:pPr>
    </w:p>
    <w:p w14:paraId="223404CD" w14:textId="77777777" w:rsidR="00315B2B" w:rsidRPr="00647874" w:rsidRDefault="00315B2B" w:rsidP="00157D68">
      <w:pPr>
        <w:ind w:left="993" w:right="108"/>
        <w:rPr>
          <w:bCs/>
          <w:color w:val="000000" w:themeColor="text1"/>
          <w:sz w:val="16"/>
          <w:szCs w:val="16"/>
          <w:lang w:val="es-MX"/>
        </w:rPr>
      </w:pPr>
      <w:r w:rsidRPr="00647874">
        <w:rPr>
          <w:bCs/>
          <w:color w:val="000000" w:themeColor="text1"/>
          <w:sz w:val="16"/>
          <w:szCs w:val="16"/>
          <w:lang w:val="es-MX"/>
        </w:rPr>
        <w:t>Fuente: INEGI. Estadísticas de nupcialidad 2010 a 2018</w:t>
      </w:r>
      <w:r w:rsidRPr="00647874">
        <w:rPr>
          <w:b/>
          <w:bCs/>
          <w:color w:val="000000" w:themeColor="text1"/>
          <w:szCs w:val="22"/>
          <w:lang w:val="es-MX"/>
        </w:rPr>
        <w:t xml:space="preserve">. </w:t>
      </w:r>
      <w:r w:rsidRPr="00647874">
        <w:rPr>
          <w:bCs/>
          <w:color w:val="000000" w:themeColor="text1"/>
          <w:sz w:val="16"/>
          <w:szCs w:val="16"/>
          <w:lang w:val="es-MX"/>
        </w:rPr>
        <w:t>Consulta interactiva de datos.</w:t>
      </w:r>
    </w:p>
    <w:p w14:paraId="40A8E2B9" w14:textId="77777777" w:rsidR="00315B2B" w:rsidRPr="00647874" w:rsidRDefault="00315B2B" w:rsidP="00315B2B">
      <w:pPr>
        <w:ind w:left="-142" w:right="108"/>
        <w:rPr>
          <w:color w:val="000000" w:themeColor="text1"/>
          <w:sz w:val="16"/>
          <w:szCs w:val="16"/>
        </w:rPr>
      </w:pPr>
    </w:p>
    <w:p w14:paraId="2A0E9A2A" w14:textId="77777777" w:rsidR="00315B2B" w:rsidRPr="00647874" w:rsidRDefault="00315B2B" w:rsidP="00315B2B">
      <w:pPr>
        <w:pStyle w:val="Prrafodelista"/>
        <w:spacing w:line="264" w:lineRule="auto"/>
        <w:ind w:left="-142" w:right="108"/>
        <w:jc w:val="center"/>
        <w:rPr>
          <w:rFonts w:ascii="Arial" w:hAnsi="Arial" w:cs="Arial"/>
          <w:b/>
          <w:color w:val="000000" w:themeColor="text1"/>
          <w:sz w:val="22"/>
          <w:szCs w:val="22"/>
          <w:lang w:val="es-MX"/>
        </w:rPr>
      </w:pPr>
    </w:p>
    <w:p w14:paraId="0D3D17A0" w14:textId="36B605CB" w:rsidR="00315B2B" w:rsidRPr="00647874" w:rsidRDefault="00315B2B" w:rsidP="00CE7FF1">
      <w:pPr>
        <w:pStyle w:val="Prrafodelista"/>
        <w:spacing w:line="264" w:lineRule="auto"/>
        <w:ind w:left="-567" w:right="108"/>
        <w:jc w:val="both"/>
        <w:rPr>
          <w:rFonts w:ascii="Arial" w:hAnsi="Arial" w:cs="Arial"/>
          <w:color w:val="000000" w:themeColor="text1"/>
          <w:sz w:val="22"/>
        </w:rPr>
      </w:pPr>
      <w:r w:rsidRPr="00647874">
        <w:rPr>
          <w:rFonts w:ascii="Arial" w:hAnsi="Arial" w:cs="Arial"/>
          <w:color w:val="000000" w:themeColor="text1"/>
          <w:sz w:val="22"/>
          <w:lang w:val="es-MX"/>
        </w:rPr>
        <w:t xml:space="preserve">De 2010 a 2015, </w:t>
      </w:r>
      <w:r w:rsidRPr="00647874">
        <w:rPr>
          <w:rFonts w:ascii="Arial" w:hAnsi="Arial" w:cs="Arial"/>
          <w:color w:val="000000" w:themeColor="text1"/>
          <w:sz w:val="22"/>
        </w:rPr>
        <w:t xml:space="preserve">la estructura porcentual de los </w:t>
      </w:r>
      <w:r w:rsidRPr="005D3D0A">
        <w:rPr>
          <w:rFonts w:ascii="Arial" w:hAnsi="Arial" w:cs="Arial"/>
          <w:sz w:val="22"/>
        </w:rPr>
        <w:t>matrimonios</w:t>
      </w:r>
      <w:r w:rsidR="00692E7A" w:rsidRPr="005D3D0A">
        <w:rPr>
          <w:rFonts w:ascii="Arial" w:hAnsi="Arial" w:cs="Arial"/>
          <w:sz w:val="22"/>
        </w:rPr>
        <w:t xml:space="preserve"> entre personas</w:t>
      </w:r>
      <w:r w:rsidRPr="005D3D0A">
        <w:rPr>
          <w:rFonts w:ascii="Arial" w:hAnsi="Arial" w:cs="Arial"/>
          <w:sz w:val="22"/>
        </w:rPr>
        <w:t xml:space="preserve"> del </w:t>
      </w:r>
      <w:r w:rsidRPr="00647874">
        <w:rPr>
          <w:rFonts w:ascii="Arial" w:hAnsi="Arial" w:cs="Arial"/>
          <w:color w:val="000000" w:themeColor="text1"/>
          <w:sz w:val="22"/>
        </w:rPr>
        <w:t xml:space="preserve">mismo sexo muestra un ligero predominio de los </w:t>
      </w:r>
      <w:r w:rsidRPr="0089578E">
        <w:rPr>
          <w:rFonts w:ascii="Arial" w:hAnsi="Arial" w:cs="Arial"/>
          <w:sz w:val="22"/>
        </w:rPr>
        <w:t xml:space="preserve">matrimonios entre hombres; </w:t>
      </w:r>
      <w:r w:rsidRPr="00647874">
        <w:rPr>
          <w:rFonts w:ascii="Arial" w:hAnsi="Arial" w:cs="Arial"/>
          <w:color w:val="000000" w:themeColor="text1"/>
          <w:sz w:val="22"/>
        </w:rPr>
        <w:t xml:space="preserve">a partir de 2016 esta tendencia cambia y actualmente el porcentaje de matrimonios entre mujeres </w:t>
      </w:r>
      <w:r>
        <w:rPr>
          <w:rFonts w:ascii="Arial" w:hAnsi="Arial" w:cs="Arial"/>
          <w:color w:val="000000" w:themeColor="text1"/>
          <w:sz w:val="22"/>
        </w:rPr>
        <w:t xml:space="preserve">supera al de </w:t>
      </w:r>
      <w:r w:rsidR="00883905">
        <w:rPr>
          <w:rFonts w:ascii="Arial" w:hAnsi="Arial" w:cs="Arial"/>
          <w:color w:val="000000" w:themeColor="text1"/>
          <w:sz w:val="22"/>
        </w:rPr>
        <w:t>hombr</w:t>
      </w:r>
      <w:r>
        <w:rPr>
          <w:rFonts w:ascii="Arial" w:hAnsi="Arial" w:cs="Arial"/>
          <w:color w:val="000000" w:themeColor="text1"/>
          <w:sz w:val="22"/>
        </w:rPr>
        <w:t>es</w:t>
      </w:r>
      <w:r w:rsidRPr="00647874">
        <w:rPr>
          <w:rFonts w:ascii="Arial" w:hAnsi="Arial" w:cs="Arial"/>
          <w:color w:val="000000" w:themeColor="text1"/>
          <w:sz w:val="22"/>
        </w:rPr>
        <w:t xml:space="preserve"> (55.7% en 2018).</w:t>
      </w:r>
    </w:p>
    <w:p w14:paraId="7BC00AD8" w14:textId="77777777" w:rsidR="00315B2B" w:rsidRPr="005D3D0A" w:rsidRDefault="00315B2B" w:rsidP="00315B2B">
      <w:pPr>
        <w:pStyle w:val="Prrafodelista"/>
        <w:spacing w:line="264" w:lineRule="auto"/>
        <w:ind w:left="0" w:right="108"/>
        <w:jc w:val="both"/>
        <w:rPr>
          <w:rFonts w:ascii="Arial" w:hAnsi="Arial" w:cs="Arial"/>
          <w:sz w:val="22"/>
        </w:rPr>
      </w:pPr>
    </w:p>
    <w:p w14:paraId="116D09BE" w14:textId="77777777" w:rsidR="00315B2B" w:rsidRPr="00647874" w:rsidRDefault="00315B2B" w:rsidP="00315B2B">
      <w:pPr>
        <w:pStyle w:val="Prrafodelista"/>
        <w:spacing w:line="264" w:lineRule="auto"/>
        <w:ind w:left="993" w:right="108"/>
        <w:jc w:val="both"/>
        <w:rPr>
          <w:rFonts w:ascii="Arial" w:hAnsi="Arial" w:cs="Arial"/>
          <w:b/>
          <w:color w:val="000000" w:themeColor="text1"/>
          <w:sz w:val="20"/>
          <w:szCs w:val="20"/>
        </w:rPr>
      </w:pPr>
      <w:r w:rsidRPr="005D3D0A">
        <w:rPr>
          <w:rFonts w:ascii="Arial" w:hAnsi="Arial" w:cs="Arial"/>
          <w:b/>
          <w:sz w:val="20"/>
          <w:szCs w:val="20"/>
        </w:rPr>
        <w:t>Distribución porcentual de matrimonios</w:t>
      </w:r>
      <w:r w:rsidR="003B3796" w:rsidRPr="005D3D0A">
        <w:rPr>
          <w:rFonts w:ascii="Arial" w:hAnsi="Arial" w:cs="Arial"/>
          <w:b/>
          <w:sz w:val="20"/>
          <w:szCs w:val="20"/>
        </w:rPr>
        <w:t xml:space="preserve"> entre personas</w:t>
      </w:r>
      <w:r w:rsidRPr="005D3D0A">
        <w:rPr>
          <w:rFonts w:ascii="Arial" w:hAnsi="Arial" w:cs="Arial"/>
          <w:b/>
          <w:sz w:val="20"/>
          <w:szCs w:val="20"/>
        </w:rPr>
        <w:t xml:space="preserve"> del </w:t>
      </w:r>
      <w:r w:rsidRPr="00647874">
        <w:rPr>
          <w:rFonts w:ascii="Arial" w:hAnsi="Arial" w:cs="Arial"/>
          <w:b/>
          <w:color w:val="000000" w:themeColor="text1"/>
          <w:sz w:val="20"/>
          <w:szCs w:val="20"/>
        </w:rPr>
        <w:t>mismo sexo por año de registro según sexo de los contrayentes</w:t>
      </w:r>
    </w:p>
    <w:p w14:paraId="1F1B6883" w14:textId="77777777" w:rsidR="00315B2B" w:rsidRPr="00647874" w:rsidRDefault="00315B2B" w:rsidP="00315B2B">
      <w:pPr>
        <w:pStyle w:val="Prrafodelista"/>
        <w:spacing w:line="264" w:lineRule="auto"/>
        <w:ind w:left="993" w:right="108"/>
        <w:jc w:val="both"/>
        <w:rPr>
          <w:rFonts w:ascii="Arial" w:hAnsi="Arial" w:cs="Arial"/>
          <w:b/>
          <w:color w:val="000000" w:themeColor="text1"/>
          <w:sz w:val="20"/>
          <w:szCs w:val="20"/>
        </w:rPr>
      </w:pPr>
      <w:r w:rsidRPr="00647874">
        <w:rPr>
          <w:rFonts w:ascii="Arial" w:hAnsi="Arial" w:cs="Arial"/>
          <w:b/>
          <w:color w:val="000000" w:themeColor="text1"/>
          <w:sz w:val="20"/>
          <w:szCs w:val="20"/>
        </w:rPr>
        <w:t>2010 a 2018</w:t>
      </w:r>
    </w:p>
    <w:p w14:paraId="79851CB0" w14:textId="77777777" w:rsidR="00315B2B" w:rsidRPr="00647874" w:rsidRDefault="00315B2B" w:rsidP="00315B2B">
      <w:pPr>
        <w:pStyle w:val="Prrafodelista"/>
        <w:spacing w:line="264" w:lineRule="auto"/>
        <w:ind w:left="0" w:right="108"/>
        <w:jc w:val="center"/>
        <w:rPr>
          <w:rFonts w:ascii="Arial" w:hAnsi="Arial" w:cs="Arial"/>
          <w:color w:val="000000" w:themeColor="text1"/>
          <w:sz w:val="22"/>
        </w:rPr>
      </w:pPr>
      <w:r w:rsidRPr="002B777A">
        <w:rPr>
          <w:noProof/>
          <w:lang w:val="es-MX" w:eastAsia="es-MX"/>
        </w:rPr>
        <w:drawing>
          <wp:inline distT="0" distB="0" distL="0" distR="0" wp14:anchorId="39EB5AF9" wp14:editId="150DD5B5">
            <wp:extent cx="4105275" cy="24239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17129" cy="2430904"/>
                    </a:xfrm>
                    <a:prstGeom prst="rect">
                      <a:avLst/>
                    </a:prstGeom>
                  </pic:spPr>
                </pic:pic>
              </a:graphicData>
            </a:graphic>
          </wp:inline>
        </w:drawing>
      </w:r>
    </w:p>
    <w:p w14:paraId="02AA8780" w14:textId="77777777" w:rsidR="00315B2B" w:rsidRPr="00647874" w:rsidRDefault="00315B2B" w:rsidP="00315B2B">
      <w:pPr>
        <w:ind w:left="993" w:right="108"/>
        <w:rPr>
          <w:bCs/>
          <w:color w:val="000000" w:themeColor="text1"/>
          <w:sz w:val="16"/>
          <w:szCs w:val="16"/>
          <w:lang w:val="es-MX"/>
        </w:rPr>
      </w:pPr>
      <w:r w:rsidRPr="00647874">
        <w:rPr>
          <w:bCs/>
          <w:color w:val="000000" w:themeColor="text1"/>
          <w:sz w:val="16"/>
          <w:szCs w:val="16"/>
          <w:lang w:val="es-MX"/>
        </w:rPr>
        <w:t>Fuente: INEGI. Estadísticas de nupcialidad 2010 a 2018</w:t>
      </w:r>
      <w:r w:rsidRPr="00647874">
        <w:rPr>
          <w:b/>
          <w:bCs/>
          <w:color w:val="000000" w:themeColor="text1"/>
          <w:szCs w:val="22"/>
          <w:lang w:val="es-MX"/>
        </w:rPr>
        <w:t xml:space="preserve">. </w:t>
      </w:r>
      <w:r w:rsidRPr="00647874">
        <w:rPr>
          <w:bCs/>
          <w:color w:val="000000" w:themeColor="text1"/>
          <w:sz w:val="16"/>
          <w:szCs w:val="16"/>
          <w:lang w:val="es-MX"/>
        </w:rPr>
        <w:t>Consulta interactiva de datos.</w:t>
      </w:r>
    </w:p>
    <w:p w14:paraId="631CDAD7" w14:textId="77777777" w:rsidR="00315B2B" w:rsidRPr="00647874" w:rsidRDefault="00315B2B" w:rsidP="00315B2B">
      <w:pPr>
        <w:ind w:left="-142" w:right="108"/>
        <w:rPr>
          <w:color w:val="000000" w:themeColor="text1"/>
        </w:rPr>
      </w:pPr>
    </w:p>
    <w:p w14:paraId="650463CA" w14:textId="77777777" w:rsidR="00315B2B" w:rsidRPr="00647874" w:rsidRDefault="00315B2B" w:rsidP="00315B2B">
      <w:pPr>
        <w:ind w:left="-142" w:right="108"/>
        <w:rPr>
          <w:color w:val="000000" w:themeColor="text1"/>
        </w:rPr>
      </w:pPr>
    </w:p>
    <w:p w14:paraId="74752C9F" w14:textId="77777777" w:rsidR="00CE7FF1" w:rsidRDefault="00315B2B" w:rsidP="00CE7FF1">
      <w:pPr>
        <w:pStyle w:val="Prrafodelista"/>
        <w:spacing w:line="264" w:lineRule="auto"/>
        <w:ind w:left="-567" w:right="108"/>
        <w:jc w:val="both"/>
        <w:rPr>
          <w:rFonts w:ascii="Arial" w:hAnsi="Arial" w:cs="Arial"/>
          <w:color w:val="000000" w:themeColor="text1"/>
          <w:sz w:val="22"/>
        </w:rPr>
      </w:pPr>
      <w:r w:rsidRPr="00647874">
        <w:rPr>
          <w:rFonts w:ascii="Arial" w:hAnsi="Arial" w:cs="Arial"/>
          <w:color w:val="000000" w:themeColor="text1"/>
          <w:sz w:val="22"/>
        </w:rPr>
        <w:t xml:space="preserve">Experiencias de otros países plantean que las uniones </w:t>
      </w:r>
      <w:r w:rsidR="001F1B98">
        <w:rPr>
          <w:rFonts w:ascii="Arial" w:hAnsi="Arial" w:cs="Arial"/>
          <w:color w:val="000000" w:themeColor="text1"/>
          <w:sz w:val="22"/>
        </w:rPr>
        <w:t xml:space="preserve">legales </w:t>
      </w:r>
      <w:r w:rsidRPr="00647874">
        <w:rPr>
          <w:rFonts w:ascii="Arial" w:hAnsi="Arial" w:cs="Arial"/>
          <w:color w:val="000000" w:themeColor="text1"/>
          <w:sz w:val="22"/>
        </w:rPr>
        <w:t xml:space="preserve">formadas por personas del mismo sexo </w:t>
      </w:r>
      <w:r w:rsidRPr="008B4B97">
        <w:rPr>
          <w:rFonts w:ascii="Arial" w:hAnsi="Arial" w:cs="Arial"/>
          <w:sz w:val="22"/>
        </w:rPr>
        <w:t>se da</w:t>
      </w:r>
      <w:r w:rsidR="001F1B98" w:rsidRPr="008B4B97">
        <w:rPr>
          <w:rFonts w:ascii="Arial" w:hAnsi="Arial" w:cs="Arial"/>
          <w:sz w:val="22"/>
        </w:rPr>
        <w:t>n</w:t>
      </w:r>
      <w:r w:rsidRPr="008B4B97">
        <w:rPr>
          <w:rFonts w:ascii="Arial" w:hAnsi="Arial" w:cs="Arial"/>
          <w:sz w:val="22"/>
        </w:rPr>
        <w:t xml:space="preserve"> en </w:t>
      </w:r>
      <w:r w:rsidR="00E13776" w:rsidRPr="008B4B97">
        <w:rPr>
          <w:rFonts w:ascii="Arial" w:hAnsi="Arial" w:cs="Arial"/>
          <w:sz w:val="22"/>
        </w:rPr>
        <w:t xml:space="preserve">la </w:t>
      </w:r>
      <w:r w:rsidRPr="008B4B97">
        <w:rPr>
          <w:rFonts w:ascii="Arial" w:hAnsi="Arial" w:cs="Arial"/>
          <w:sz w:val="22"/>
        </w:rPr>
        <w:t xml:space="preserve">población más joven conforme </w:t>
      </w:r>
      <w:r w:rsidR="001F1B98" w:rsidRPr="008B4B97">
        <w:rPr>
          <w:rFonts w:ascii="Arial" w:hAnsi="Arial" w:cs="Arial"/>
          <w:sz w:val="22"/>
        </w:rPr>
        <w:t xml:space="preserve">aumenta </w:t>
      </w:r>
      <w:r w:rsidRPr="008B4B97">
        <w:rPr>
          <w:rFonts w:ascii="Arial" w:hAnsi="Arial" w:cs="Arial"/>
          <w:sz w:val="22"/>
        </w:rPr>
        <w:t xml:space="preserve">la antigüedad de la ley, esto se explica porque en los primeros años de aprobación, contraen matrimonio </w:t>
      </w:r>
      <w:r>
        <w:rPr>
          <w:rFonts w:ascii="Arial" w:hAnsi="Arial" w:cs="Arial"/>
          <w:color w:val="000000" w:themeColor="text1"/>
          <w:sz w:val="22"/>
        </w:rPr>
        <w:t>las</w:t>
      </w:r>
      <w:r w:rsidRPr="00647874">
        <w:rPr>
          <w:rFonts w:ascii="Arial" w:hAnsi="Arial" w:cs="Arial"/>
          <w:color w:val="000000" w:themeColor="text1"/>
          <w:sz w:val="22"/>
        </w:rPr>
        <w:t xml:space="preserve"> parejas </w:t>
      </w:r>
      <w:r>
        <w:rPr>
          <w:rFonts w:ascii="Arial" w:hAnsi="Arial" w:cs="Arial"/>
          <w:color w:val="000000" w:themeColor="text1"/>
          <w:sz w:val="22"/>
        </w:rPr>
        <w:t xml:space="preserve">que tienen </w:t>
      </w:r>
      <w:r w:rsidRPr="00647874">
        <w:rPr>
          <w:rFonts w:ascii="Arial" w:hAnsi="Arial" w:cs="Arial"/>
          <w:color w:val="000000" w:themeColor="text1"/>
          <w:sz w:val="22"/>
        </w:rPr>
        <w:t>una larga trayectoria de convivencia</w:t>
      </w:r>
      <w:r>
        <w:rPr>
          <w:rFonts w:ascii="Arial" w:hAnsi="Arial" w:cs="Arial"/>
          <w:color w:val="000000" w:themeColor="text1"/>
          <w:sz w:val="22"/>
        </w:rPr>
        <w:t>,</w:t>
      </w:r>
      <w:r w:rsidRPr="00647874">
        <w:rPr>
          <w:rFonts w:ascii="Arial" w:hAnsi="Arial" w:cs="Arial"/>
          <w:color w:val="000000" w:themeColor="text1"/>
          <w:sz w:val="22"/>
        </w:rPr>
        <w:t xml:space="preserve"> que antes de la ley</w:t>
      </w:r>
      <w:r>
        <w:rPr>
          <w:rFonts w:ascii="Arial" w:hAnsi="Arial" w:cs="Arial"/>
          <w:color w:val="000000" w:themeColor="text1"/>
          <w:sz w:val="22"/>
        </w:rPr>
        <w:t>,</w:t>
      </w:r>
      <w:r w:rsidRPr="00647874">
        <w:rPr>
          <w:rFonts w:ascii="Arial" w:hAnsi="Arial" w:cs="Arial"/>
          <w:color w:val="000000" w:themeColor="text1"/>
          <w:sz w:val="22"/>
        </w:rPr>
        <w:t xml:space="preserve"> no tenían la posibilidad de casarse (Capote, 2018, p.: 373, 387). </w:t>
      </w:r>
    </w:p>
    <w:p w14:paraId="4E3DD3B6" w14:textId="77777777" w:rsidR="00CE7FF1" w:rsidRDefault="00CE7FF1" w:rsidP="00CE7FF1">
      <w:pPr>
        <w:pStyle w:val="Prrafodelista"/>
        <w:spacing w:line="264" w:lineRule="auto"/>
        <w:ind w:left="-567" w:right="108"/>
        <w:jc w:val="both"/>
        <w:rPr>
          <w:rFonts w:ascii="Arial" w:hAnsi="Arial" w:cs="Arial"/>
          <w:color w:val="000000" w:themeColor="text1"/>
          <w:sz w:val="22"/>
        </w:rPr>
      </w:pPr>
    </w:p>
    <w:p w14:paraId="34EFC203" w14:textId="77777777" w:rsidR="00315B2B" w:rsidRPr="00647874" w:rsidRDefault="00315B2B" w:rsidP="00CE7FF1">
      <w:pPr>
        <w:pStyle w:val="Prrafodelista"/>
        <w:spacing w:line="264" w:lineRule="auto"/>
        <w:ind w:left="-567" w:right="108"/>
        <w:jc w:val="both"/>
        <w:rPr>
          <w:rFonts w:ascii="Arial" w:hAnsi="Arial" w:cs="Arial"/>
          <w:color w:val="000000" w:themeColor="text1"/>
          <w:sz w:val="22"/>
        </w:rPr>
      </w:pPr>
      <w:r w:rsidRPr="00647874">
        <w:rPr>
          <w:rFonts w:ascii="Arial" w:hAnsi="Arial" w:cs="Arial"/>
          <w:color w:val="000000" w:themeColor="text1"/>
          <w:sz w:val="22"/>
        </w:rPr>
        <w:lastRenderedPageBreak/>
        <w:t xml:space="preserve">En México, esta tendencia </w:t>
      </w:r>
      <w:r>
        <w:rPr>
          <w:rFonts w:ascii="Arial" w:hAnsi="Arial" w:cs="Arial"/>
          <w:color w:val="000000" w:themeColor="text1"/>
          <w:sz w:val="22"/>
        </w:rPr>
        <w:t>no es</w:t>
      </w:r>
      <w:r w:rsidRPr="00647874">
        <w:rPr>
          <w:rFonts w:ascii="Arial" w:hAnsi="Arial" w:cs="Arial"/>
          <w:color w:val="000000" w:themeColor="text1"/>
          <w:sz w:val="22"/>
        </w:rPr>
        <w:t xml:space="preserve"> tan marcada</w:t>
      </w:r>
      <w:r>
        <w:rPr>
          <w:rFonts w:ascii="Arial" w:hAnsi="Arial" w:cs="Arial"/>
          <w:color w:val="000000" w:themeColor="text1"/>
          <w:sz w:val="22"/>
        </w:rPr>
        <w:t>,</w:t>
      </w:r>
      <w:r w:rsidRPr="00647874">
        <w:rPr>
          <w:rFonts w:ascii="Arial" w:hAnsi="Arial" w:cs="Arial"/>
          <w:color w:val="000000" w:themeColor="text1"/>
          <w:sz w:val="22"/>
        </w:rPr>
        <w:t xml:space="preserve"> en los matrimonios </w:t>
      </w:r>
      <w:r>
        <w:rPr>
          <w:rFonts w:ascii="Arial" w:hAnsi="Arial" w:cs="Arial"/>
          <w:color w:val="000000" w:themeColor="text1"/>
          <w:sz w:val="22"/>
        </w:rPr>
        <w:t>de contrayentes</w:t>
      </w:r>
      <w:r w:rsidRPr="00647874">
        <w:rPr>
          <w:rFonts w:ascii="Arial" w:hAnsi="Arial" w:cs="Arial"/>
          <w:color w:val="000000" w:themeColor="text1"/>
          <w:sz w:val="22"/>
        </w:rPr>
        <w:t xml:space="preserve"> hombres el promedio de edad </w:t>
      </w:r>
      <w:r w:rsidR="00157D68">
        <w:rPr>
          <w:rFonts w:ascii="Arial" w:hAnsi="Arial" w:cs="Arial"/>
          <w:color w:val="000000" w:themeColor="text1"/>
          <w:sz w:val="22"/>
        </w:rPr>
        <w:t xml:space="preserve">al momento de la unión </w:t>
      </w:r>
      <w:r w:rsidRPr="00647874">
        <w:rPr>
          <w:rFonts w:ascii="Arial" w:hAnsi="Arial" w:cs="Arial"/>
          <w:color w:val="000000" w:themeColor="text1"/>
          <w:sz w:val="22"/>
        </w:rPr>
        <w:t>en 2010 es de 36.5 y disminuye a 35.2</w:t>
      </w:r>
      <w:r>
        <w:rPr>
          <w:rFonts w:ascii="Arial" w:hAnsi="Arial" w:cs="Arial"/>
          <w:color w:val="000000" w:themeColor="text1"/>
          <w:sz w:val="22"/>
        </w:rPr>
        <w:t xml:space="preserve"> años</w:t>
      </w:r>
      <w:r w:rsidRPr="00647874">
        <w:rPr>
          <w:rFonts w:ascii="Arial" w:hAnsi="Arial" w:cs="Arial"/>
          <w:color w:val="000000" w:themeColor="text1"/>
          <w:sz w:val="22"/>
        </w:rPr>
        <w:t xml:space="preserve"> en 2018; mientras que en las mujeres baja de 34.7 a 34 años en el mis</w:t>
      </w:r>
      <w:r>
        <w:rPr>
          <w:rFonts w:ascii="Arial" w:hAnsi="Arial" w:cs="Arial"/>
          <w:color w:val="000000" w:themeColor="text1"/>
          <w:sz w:val="22"/>
        </w:rPr>
        <w:t>mo</w:t>
      </w:r>
      <w:r w:rsidRPr="00647874">
        <w:rPr>
          <w:rFonts w:ascii="Arial" w:hAnsi="Arial" w:cs="Arial"/>
          <w:color w:val="000000" w:themeColor="text1"/>
          <w:sz w:val="22"/>
        </w:rPr>
        <w:t xml:space="preserve"> periodo.  </w:t>
      </w:r>
    </w:p>
    <w:p w14:paraId="6CF2BF35" w14:textId="77777777" w:rsidR="00315B2B" w:rsidRPr="00647874" w:rsidRDefault="00315B2B" w:rsidP="00315B2B">
      <w:pPr>
        <w:pStyle w:val="Prrafodelista"/>
        <w:spacing w:line="264" w:lineRule="auto"/>
        <w:ind w:left="0" w:right="108"/>
        <w:jc w:val="both"/>
        <w:rPr>
          <w:rFonts w:ascii="Arial" w:hAnsi="Arial" w:cs="Arial"/>
          <w:color w:val="000000" w:themeColor="text1"/>
          <w:sz w:val="22"/>
        </w:rPr>
      </w:pPr>
    </w:p>
    <w:p w14:paraId="379E5774" w14:textId="77777777" w:rsidR="00315B2B" w:rsidRPr="00647874" w:rsidRDefault="00315B2B" w:rsidP="00CE7FF1">
      <w:pPr>
        <w:pStyle w:val="Prrafodelista"/>
        <w:spacing w:line="264" w:lineRule="auto"/>
        <w:ind w:left="-567"/>
        <w:jc w:val="both"/>
        <w:rPr>
          <w:rFonts w:ascii="Arial" w:hAnsi="Arial" w:cs="Arial"/>
          <w:color w:val="000000" w:themeColor="text1"/>
          <w:sz w:val="22"/>
          <w:szCs w:val="22"/>
          <w:lang w:val="es-MX"/>
        </w:rPr>
      </w:pPr>
      <w:r>
        <w:rPr>
          <w:rFonts w:ascii="Arial" w:hAnsi="Arial" w:cs="Arial"/>
          <w:color w:val="000000" w:themeColor="text1"/>
          <w:sz w:val="22"/>
          <w:szCs w:val="22"/>
          <w:lang w:val="es-MX"/>
        </w:rPr>
        <w:t xml:space="preserve">En relación </w:t>
      </w:r>
      <w:r w:rsidR="0075695F">
        <w:rPr>
          <w:rFonts w:ascii="Arial" w:hAnsi="Arial" w:cs="Arial"/>
          <w:color w:val="000000" w:themeColor="text1"/>
          <w:sz w:val="22"/>
          <w:szCs w:val="22"/>
          <w:lang w:val="es-MX"/>
        </w:rPr>
        <w:t>con</w:t>
      </w:r>
      <w:r>
        <w:rPr>
          <w:rFonts w:ascii="Arial" w:hAnsi="Arial" w:cs="Arial"/>
          <w:color w:val="000000" w:themeColor="text1"/>
          <w:sz w:val="22"/>
          <w:szCs w:val="22"/>
          <w:lang w:val="es-MX"/>
        </w:rPr>
        <w:t xml:space="preserve"> la edad de los contrayentes</w:t>
      </w:r>
      <w:r w:rsidR="00AA1643">
        <w:rPr>
          <w:rFonts w:ascii="Arial" w:hAnsi="Arial" w:cs="Arial"/>
          <w:color w:val="000000" w:themeColor="text1"/>
          <w:sz w:val="22"/>
          <w:szCs w:val="22"/>
          <w:lang w:val="es-MX"/>
        </w:rPr>
        <w:t xml:space="preserve"> al momento de la unión</w:t>
      </w:r>
      <w:r>
        <w:rPr>
          <w:rFonts w:ascii="Arial" w:hAnsi="Arial" w:cs="Arial"/>
          <w:color w:val="000000" w:themeColor="text1"/>
          <w:sz w:val="22"/>
          <w:szCs w:val="22"/>
          <w:lang w:val="es-MX"/>
        </w:rPr>
        <w:t>, e</w:t>
      </w:r>
      <w:r w:rsidRPr="00647874">
        <w:rPr>
          <w:rFonts w:ascii="Arial" w:hAnsi="Arial" w:cs="Arial"/>
          <w:color w:val="000000" w:themeColor="text1"/>
          <w:sz w:val="22"/>
          <w:szCs w:val="22"/>
          <w:lang w:val="es-MX"/>
        </w:rPr>
        <w:t xml:space="preserve">s más frecuente </w:t>
      </w:r>
      <w:r>
        <w:rPr>
          <w:rFonts w:ascii="Arial" w:hAnsi="Arial" w:cs="Arial"/>
          <w:color w:val="000000" w:themeColor="text1"/>
          <w:sz w:val="22"/>
          <w:szCs w:val="22"/>
          <w:lang w:val="es-MX"/>
        </w:rPr>
        <w:t xml:space="preserve">observar una </w:t>
      </w:r>
      <w:r w:rsidRPr="00647874">
        <w:rPr>
          <w:rFonts w:ascii="Arial" w:hAnsi="Arial" w:cs="Arial"/>
          <w:color w:val="000000" w:themeColor="text1"/>
          <w:sz w:val="22"/>
          <w:szCs w:val="22"/>
          <w:lang w:val="es-MX"/>
        </w:rPr>
        <w:t xml:space="preserve">diferencia más amplia entre </w:t>
      </w:r>
      <w:r>
        <w:rPr>
          <w:rFonts w:ascii="Arial" w:hAnsi="Arial" w:cs="Arial"/>
          <w:color w:val="000000" w:themeColor="text1"/>
          <w:sz w:val="22"/>
          <w:szCs w:val="22"/>
          <w:lang w:val="es-MX"/>
        </w:rPr>
        <w:t xml:space="preserve">las parejas de </w:t>
      </w:r>
      <w:r w:rsidRPr="00647874">
        <w:rPr>
          <w:rFonts w:ascii="Arial" w:hAnsi="Arial" w:cs="Arial"/>
          <w:color w:val="000000" w:themeColor="text1"/>
          <w:sz w:val="22"/>
          <w:szCs w:val="22"/>
          <w:lang w:val="es-MX"/>
        </w:rPr>
        <w:t xml:space="preserve">hombres que entre las </w:t>
      </w:r>
      <w:r>
        <w:rPr>
          <w:rFonts w:ascii="Arial" w:hAnsi="Arial" w:cs="Arial"/>
          <w:color w:val="000000" w:themeColor="text1"/>
          <w:sz w:val="22"/>
          <w:szCs w:val="22"/>
          <w:lang w:val="es-MX"/>
        </w:rPr>
        <w:t xml:space="preserve">de </w:t>
      </w:r>
      <w:r w:rsidRPr="00647874">
        <w:rPr>
          <w:rFonts w:ascii="Arial" w:hAnsi="Arial" w:cs="Arial"/>
          <w:color w:val="000000" w:themeColor="text1"/>
          <w:sz w:val="22"/>
          <w:szCs w:val="22"/>
          <w:lang w:val="es-MX"/>
        </w:rPr>
        <w:t>mujeres; en los primeros</w:t>
      </w:r>
      <w:r>
        <w:rPr>
          <w:rFonts w:ascii="Arial" w:hAnsi="Arial" w:cs="Arial"/>
          <w:color w:val="000000" w:themeColor="text1"/>
          <w:sz w:val="22"/>
          <w:szCs w:val="22"/>
          <w:lang w:val="es-MX"/>
        </w:rPr>
        <w:t>,</w:t>
      </w:r>
      <w:r w:rsidRPr="00647874">
        <w:rPr>
          <w:rFonts w:ascii="Arial" w:hAnsi="Arial" w:cs="Arial"/>
          <w:color w:val="000000" w:themeColor="text1"/>
          <w:sz w:val="22"/>
          <w:szCs w:val="22"/>
          <w:lang w:val="es-MX"/>
        </w:rPr>
        <w:t xml:space="preserve"> la diferencia en 2018 es de 8 años en promedio, mientras que en las mujeres es de 5.7 años. </w:t>
      </w:r>
    </w:p>
    <w:p w14:paraId="508DD914" w14:textId="77777777" w:rsidR="00315B2B" w:rsidRPr="00647874" w:rsidRDefault="00315B2B" w:rsidP="00CE7FF1">
      <w:pPr>
        <w:pStyle w:val="Prrafodelista"/>
        <w:spacing w:line="264" w:lineRule="auto"/>
        <w:ind w:left="-567"/>
        <w:jc w:val="both"/>
        <w:rPr>
          <w:rFonts w:ascii="Arial" w:hAnsi="Arial" w:cs="Arial"/>
          <w:color w:val="000000" w:themeColor="text1"/>
          <w:sz w:val="22"/>
          <w:szCs w:val="22"/>
          <w:lang w:val="es-MX"/>
        </w:rPr>
      </w:pPr>
    </w:p>
    <w:p w14:paraId="6CCDA93B" w14:textId="77777777" w:rsidR="00315B2B" w:rsidRPr="00647874" w:rsidRDefault="00315B2B" w:rsidP="00CE7FF1">
      <w:pPr>
        <w:pStyle w:val="Prrafodelista"/>
        <w:spacing w:line="264" w:lineRule="auto"/>
        <w:ind w:left="-567" w:right="108"/>
        <w:jc w:val="both"/>
        <w:rPr>
          <w:rFonts w:ascii="Arial" w:hAnsi="Arial" w:cs="Arial"/>
          <w:color w:val="000000" w:themeColor="text1"/>
          <w:sz w:val="22"/>
          <w:szCs w:val="22"/>
          <w:lang w:val="es-MX"/>
        </w:rPr>
      </w:pPr>
      <w:r w:rsidRPr="00647874">
        <w:rPr>
          <w:rFonts w:ascii="Arial" w:hAnsi="Arial" w:cs="Arial"/>
          <w:color w:val="000000" w:themeColor="text1"/>
          <w:sz w:val="22"/>
          <w:szCs w:val="22"/>
          <w:lang w:val="es-MX"/>
        </w:rPr>
        <w:t>En cuanto al nivel de instrucción, los registros de nupcialidad informan</w:t>
      </w:r>
      <w:r w:rsidR="00AA1643">
        <w:rPr>
          <w:rFonts w:ascii="Arial" w:hAnsi="Arial" w:cs="Arial"/>
          <w:color w:val="000000" w:themeColor="text1"/>
          <w:sz w:val="22"/>
          <w:szCs w:val="22"/>
          <w:lang w:val="es-MX"/>
        </w:rPr>
        <w:t>,</w:t>
      </w:r>
      <w:r w:rsidRPr="00647874">
        <w:rPr>
          <w:rFonts w:ascii="Arial" w:hAnsi="Arial" w:cs="Arial"/>
          <w:color w:val="000000" w:themeColor="text1"/>
          <w:sz w:val="22"/>
          <w:szCs w:val="22"/>
          <w:lang w:val="es-MX"/>
        </w:rPr>
        <w:t xml:space="preserve"> que en 2018 </w:t>
      </w:r>
      <w:r w:rsidR="0075695F">
        <w:rPr>
          <w:rFonts w:ascii="Arial" w:hAnsi="Arial" w:cs="Arial"/>
          <w:color w:val="000000" w:themeColor="text1"/>
          <w:sz w:val="22"/>
          <w:szCs w:val="22"/>
          <w:lang w:val="es-MX"/>
        </w:rPr>
        <w:t>aproximadamente</w:t>
      </w:r>
      <w:r w:rsidRPr="00647874">
        <w:rPr>
          <w:rFonts w:ascii="Arial" w:hAnsi="Arial" w:cs="Arial"/>
          <w:color w:val="000000" w:themeColor="text1"/>
          <w:sz w:val="22"/>
          <w:szCs w:val="22"/>
          <w:lang w:val="es-MX"/>
        </w:rPr>
        <w:t xml:space="preserve"> la mitad (45.9%) de contrayentes del mismo sexo tienen algún grado de estudios profesionales y 27.1%</w:t>
      </w:r>
      <w:r w:rsidR="00AA1643">
        <w:rPr>
          <w:rFonts w:ascii="Arial" w:hAnsi="Arial" w:cs="Arial"/>
          <w:color w:val="000000" w:themeColor="text1"/>
          <w:sz w:val="22"/>
          <w:szCs w:val="22"/>
          <w:lang w:val="es-MX"/>
        </w:rPr>
        <w:t>,</w:t>
      </w:r>
      <w:r w:rsidRPr="00647874">
        <w:rPr>
          <w:rFonts w:ascii="Arial" w:hAnsi="Arial" w:cs="Arial"/>
          <w:color w:val="000000" w:themeColor="text1"/>
          <w:sz w:val="22"/>
          <w:szCs w:val="22"/>
          <w:lang w:val="es-MX"/>
        </w:rPr>
        <w:t xml:space="preserve"> cuentan con algún grado en preparatoria o equivalente. Cabe destacar que</w:t>
      </w:r>
      <w:r w:rsidR="009D56C1">
        <w:rPr>
          <w:rFonts w:ascii="Arial" w:hAnsi="Arial" w:cs="Arial"/>
          <w:color w:val="000000" w:themeColor="text1"/>
          <w:sz w:val="22"/>
          <w:szCs w:val="22"/>
          <w:lang w:val="es-MX"/>
        </w:rPr>
        <w:t>,</w:t>
      </w:r>
      <w:r w:rsidRPr="00647874">
        <w:rPr>
          <w:rFonts w:ascii="Arial" w:hAnsi="Arial" w:cs="Arial"/>
          <w:color w:val="000000" w:themeColor="text1"/>
          <w:sz w:val="22"/>
          <w:szCs w:val="22"/>
          <w:lang w:val="es-MX"/>
        </w:rPr>
        <w:t xml:space="preserve"> en los contrayentes hombres</w:t>
      </w:r>
      <w:r w:rsidR="009D56C1">
        <w:rPr>
          <w:rFonts w:ascii="Arial" w:hAnsi="Arial" w:cs="Arial"/>
          <w:color w:val="000000" w:themeColor="text1"/>
          <w:sz w:val="22"/>
          <w:szCs w:val="22"/>
          <w:lang w:val="es-MX"/>
        </w:rPr>
        <w:t>,</w:t>
      </w:r>
      <w:r w:rsidRPr="00647874">
        <w:rPr>
          <w:rFonts w:ascii="Arial" w:hAnsi="Arial" w:cs="Arial"/>
          <w:color w:val="000000" w:themeColor="text1"/>
          <w:sz w:val="22"/>
          <w:szCs w:val="22"/>
          <w:lang w:val="es-MX"/>
        </w:rPr>
        <w:t xml:space="preserve"> el grado de escolaridad a nivel profesional es mayor (51.3%) que </w:t>
      </w:r>
      <w:r>
        <w:rPr>
          <w:rFonts w:ascii="Arial" w:hAnsi="Arial" w:cs="Arial"/>
          <w:color w:val="000000" w:themeColor="text1"/>
          <w:sz w:val="22"/>
          <w:szCs w:val="22"/>
          <w:lang w:val="es-MX"/>
        </w:rPr>
        <w:t xml:space="preserve">en el caso de las parejas </w:t>
      </w:r>
      <w:r w:rsidRPr="00647874">
        <w:rPr>
          <w:rFonts w:ascii="Arial" w:hAnsi="Arial" w:cs="Arial"/>
          <w:color w:val="000000" w:themeColor="text1"/>
          <w:sz w:val="22"/>
          <w:szCs w:val="22"/>
          <w:lang w:val="es-MX"/>
        </w:rPr>
        <w:t>de mujeres (41.6 por ciento).</w:t>
      </w:r>
    </w:p>
    <w:p w14:paraId="28E23BE3" w14:textId="77777777" w:rsidR="00315B2B" w:rsidRPr="00647874" w:rsidRDefault="00315B2B" w:rsidP="00CE7FF1">
      <w:pPr>
        <w:pStyle w:val="Prrafodelista"/>
        <w:spacing w:line="264" w:lineRule="auto"/>
        <w:ind w:left="-567" w:right="108"/>
        <w:jc w:val="both"/>
        <w:rPr>
          <w:rFonts w:ascii="Arial" w:hAnsi="Arial" w:cs="Arial"/>
          <w:color w:val="000000" w:themeColor="text1"/>
          <w:sz w:val="22"/>
          <w:szCs w:val="22"/>
          <w:lang w:val="es-MX"/>
        </w:rPr>
      </w:pPr>
    </w:p>
    <w:p w14:paraId="0A204C42" w14:textId="77777777" w:rsidR="00315B2B" w:rsidRPr="00647874" w:rsidRDefault="00315B2B" w:rsidP="00315B2B">
      <w:pPr>
        <w:pStyle w:val="Prrafodelista"/>
        <w:spacing w:line="264" w:lineRule="auto"/>
        <w:ind w:left="709" w:right="108"/>
        <w:jc w:val="both"/>
        <w:rPr>
          <w:rFonts w:ascii="Arial" w:hAnsi="Arial" w:cs="Arial"/>
          <w:b/>
          <w:color w:val="000000" w:themeColor="text1"/>
          <w:sz w:val="20"/>
          <w:szCs w:val="20"/>
        </w:rPr>
      </w:pPr>
      <w:r w:rsidRPr="00647874">
        <w:rPr>
          <w:rFonts w:ascii="Arial" w:hAnsi="Arial" w:cs="Arial"/>
          <w:b/>
          <w:color w:val="000000" w:themeColor="text1"/>
          <w:sz w:val="20"/>
          <w:szCs w:val="20"/>
        </w:rPr>
        <w:t>Distribución porcentual de contrayentes del mismo sexo por nivel escolar</w:t>
      </w:r>
      <w:r w:rsidRPr="00647874">
        <w:rPr>
          <w:rFonts w:ascii="Arial" w:hAnsi="Arial" w:cs="Arial"/>
          <w:b/>
          <w:color w:val="000000" w:themeColor="text1"/>
          <w:sz w:val="20"/>
          <w:szCs w:val="20"/>
          <w:vertAlign w:val="superscript"/>
        </w:rPr>
        <w:t xml:space="preserve"> </w:t>
      </w:r>
    </w:p>
    <w:p w14:paraId="141A3CD2" w14:textId="77777777" w:rsidR="00315B2B" w:rsidRPr="00647874" w:rsidRDefault="00315B2B" w:rsidP="00315B2B">
      <w:pPr>
        <w:pStyle w:val="Prrafodelista"/>
        <w:spacing w:line="264" w:lineRule="auto"/>
        <w:ind w:left="709" w:right="108"/>
        <w:jc w:val="both"/>
        <w:rPr>
          <w:rFonts w:ascii="Arial" w:hAnsi="Arial" w:cs="Arial"/>
          <w:b/>
          <w:color w:val="000000" w:themeColor="text1"/>
          <w:sz w:val="20"/>
          <w:szCs w:val="20"/>
        </w:rPr>
      </w:pPr>
      <w:r w:rsidRPr="00647874">
        <w:rPr>
          <w:rFonts w:ascii="Arial" w:hAnsi="Arial" w:cs="Arial"/>
          <w:b/>
          <w:color w:val="000000" w:themeColor="text1"/>
          <w:sz w:val="20"/>
          <w:szCs w:val="20"/>
        </w:rPr>
        <w:t>2018</w:t>
      </w:r>
    </w:p>
    <w:p w14:paraId="4D9C0AA5" w14:textId="77777777" w:rsidR="00315B2B" w:rsidRPr="00647874" w:rsidRDefault="008F6885" w:rsidP="00315B2B">
      <w:pPr>
        <w:pStyle w:val="Prrafodelista"/>
        <w:spacing w:line="264" w:lineRule="auto"/>
        <w:ind w:left="0" w:right="108"/>
        <w:jc w:val="center"/>
        <w:rPr>
          <w:rFonts w:ascii="Arial" w:hAnsi="Arial" w:cs="Arial"/>
          <w:b/>
          <w:color w:val="000000" w:themeColor="text1"/>
          <w:sz w:val="22"/>
        </w:rPr>
      </w:pPr>
      <w:r w:rsidRPr="003973B5">
        <w:rPr>
          <w:noProof/>
          <w:lang w:val="es-MX" w:eastAsia="es-MX"/>
        </w:rPr>
        <w:drawing>
          <wp:anchor distT="0" distB="0" distL="114300" distR="114300" simplePos="0" relativeHeight="251660288" behindDoc="0" locked="0" layoutInCell="1" allowOverlap="1" wp14:anchorId="4ECC2CA9" wp14:editId="09DA3A2C">
            <wp:simplePos x="0" y="0"/>
            <wp:positionH relativeFrom="column">
              <wp:posOffset>500380</wp:posOffset>
            </wp:positionH>
            <wp:positionV relativeFrom="paragraph">
              <wp:posOffset>76835</wp:posOffset>
            </wp:positionV>
            <wp:extent cx="4433570" cy="2581275"/>
            <wp:effectExtent l="0" t="0" r="508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4433570" cy="2581275"/>
                    </a:xfrm>
                    <a:prstGeom prst="rect">
                      <a:avLst/>
                    </a:prstGeom>
                  </pic:spPr>
                </pic:pic>
              </a:graphicData>
            </a:graphic>
            <wp14:sizeRelH relativeFrom="page">
              <wp14:pctWidth>0</wp14:pctWidth>
            </wp14:sizeRelH>
            <wp14:sizeRelV relativeFrom="page">
              <wp14:pctHeight>0</wp14:pctHeight>
            </wp14:sizeRelV>
          </wp:anchor>
        </w:drawing>
      </w:r>
    </w:p>
    <w:p w14:paraId="76514B48"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27C20637"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59752599"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7E305291"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1EDC8BC6"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0DEAF197"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0942EC59"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6771D88A"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158D078B"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5E671811"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34132356"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5D3F67F1"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64837040"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21763014"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4E1F2729"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1C2E3D11" w14:textId="77777777" w:rsidR="00315B2B" w:rsidRDefault="00315B2B" w:rsidP="00315B2B">
      <w:pPr>
        <w:pStyle w:val="Prrafodelista"/>
        <w:spacing w:line="264" w:lineRule="auto"/>
        <w:ind w:left="709" w:right="108"/>
        <w:jc w:val="both"/>
        <w:rPr>
          <w:rFonts w:ascii="Arial" w:hAnsi="Arial" w:cs="Arial"/>
          <w:bCs/>
          <w:color w:val="000000" w:themeColor="text1"/>
          <w:sz w:val="16"/>
          <w:szCs w:val="16"/>
          <w:lang w:val="es-MX"/>
        </w:rPr>
      </w:pPr>
    </w:p>
    <w:p w14:paraId="34E9819B" w14:textId="77777777" w:rsidR="008F6885" w:rsidRDefault="008F6885" w:rsidP="00315B2B">
      <w:pPr>
        <w:pStyle w:val="Prrafodelista"/>
        <w:spacing w:line="264" w:lineRule="auto"/>
        <w:ind w:left="709" w:right="108"/>
        <w:jc w:val="both"/>
        <w:rPr>
          <w:rFonts w:ascii="Arial" w:hAnsi="Arial" w:cs="Arial"/>
          <w:bCs/>
          <w:color w:val="000000" w:themeColor="text1"/>
          <w:sz w:val="16"/>
          <w:szCs w:val="16"/>
          <w:lang w:val="es-MX"/>
        </w:rPr>
      </w:pPr>
    </w:p>
    <w:p w14:paraId="7D1DD545" w14:textId="77777777" w:rsidR="008F6885" w:rsidRDefault="008F6885" w:rsidP="00315B2B">
      <w:pPr>
        <w:pStyle w:val="Prrafodelista"/>
        <w:spacing w:line="264" w:lineRule="auto"/>
        <w:ind w:left="709" w:right="108"/>
        <w:jc w:val="both"/>
        <w:rPr>
          <w:rFonts w:ascii="Arial" w:hAnsi="Arial" w:cs="Arial"/>
          <w:bCs/>
          <w:color w:val="000000" w:themeColor="text1"/>
          <w:sz w:val="16"/>
          <w:szCs w:val="16"/>
          <w:lang w:val="es-MX"/>
        </w:rPr>
      </w:pPr>
    </w:p>
    <w:p w14:paraId="7C8BC095" w14:textId="77777777" w:rsidR="008F6885" w:rsidRDefault="008F6885" w:rsidP="00315B2B">
      <w:pPr>
        <w:pStyle w:val="Prrafodelista"/>
        <w:spacing w:line="264" w:lineRule="auto"/>
        <w:ind w:left="709" w:right="108"/>
        <w:jc w:val="both"/>
        <w:rPr>
          <w:rFonts w:ascii="Arial" w:hAnsi="Arial" w:cs="Arial"/>
          <w:bCs/>
          <w:color w:val="000000" w:themeColor="text1"/>
          <w:sz w:val="16"/>
          <w:szCs w:val="16"/>
          <w:lang w:val="es-MX"/>
        </w:rPr>
      </w:pPr>
    </w:p>
    <w:p w14:paraId="18681289" w14:textId="77777777" w:rsidR="008F6885" w:rsidRDefault="008F6885" w:rsidP="00315B2B">
      <w:pPr>
        <w:pStyle w:val="Prrafodelista"/>
        <w:spacing w:line="264" w:lineRule="auto"/>
        <w:ind w:left="709" w:right="108"/>
        <w:jc w:val="both"/>
        <w:rPr>
          <w:rFonts w:ascii="Arial" w:hAnsi="Arial" w:cs="Arial"/>
          <w:bCs/>
          <w:color w:val="000000" w:themeColor="text1"/>
          <w:sz w:val="16"/>
          <w:szCs w:val="16"/>
          <w:lang w:val="es-MX"/>
        </w:rPr>
      </w:pPr>
    </w:p>
    <w:p w14:paraId="6B9BD5BA" w14:textId="77777777" w:rsidR="008F6885" w:rsidRDefault="008F6885" w:rsidP="00315B2B">
      <w:pPr>
        <w:pStyle w:val="Prrafodelista"/>
        <w:spacing w:line="264" w:lineRule="auto"/>
        <w:ind w:left="709" w:right="108"/>
        <w:jc w:val="both"/>
        <w:rPr>
          <w:rFonts w:ascii="Arial" w:hAnsi="Arial" w:cs="Arial"/>
          <w:bCs/>
          <w:color w:val="000000" w:themeColor="text1"/>
          <w:sz w:val="16"/>
          <w:szCs w:val="16"/>
          <w:lang w:val="es-MX"/>
        </w:rPr>
      </w:pPr>
    </w:p>
    <w:p w14:paraId="5463371B" w14:textId="77777777" w:rsidR="00315B2B" w:rsidRPr="00647874" w:rsidRDefault="00315B2B" w:rsidP="00315B2B">
      <w:pPr>
        <w:pStyle w:val="Prrafodelista"/>
        <w:spacing w:line="264" w:lineRule="auto"/>
        <w:ind w:left="709" w:right="108"/>
        <w:jc w:val="both"/>
        <w:rPr>
          <w:rFonts w:ascii="Arial" w:hAnsi="Arial" w:cs="Arial"/>
          <w:bCs/>
          <w:color w:val="000000" w:themeColor="text1"/>
          <w:sz w:val="16"/>
          <w:szCs w:val="16"/>
          <w:lang w:val="es-MX"/>
        </w:rPr>
      </w:pPr>
      <w:r w:rsidRPr="00647874">
        <w:rPr>
          <w:rFonts w:ascii="Arial" w:hAnsi="Arial" w:cs="Arial"/>
          <w:bCs/>
          <w:color w:val="000000" w:themeColor="text1"/>
          <w:sz w:val="16"/>
          <w:szCs w:val="16"/>
          <w:lang w:val="es-MX"/>
        </w:rPr>
        <w:t xml:space="preserve">Nota: La distribución no </w:t>
      </w:r>
      <w:r w:rsidR="00AA1643">
        <w:rPr>
          <w:rFonts w:ascii="Arial" w:hAnsi="Arial" w:cs="Arial"/>
          <w:bCs/>
          <w:color w:val="000000" w:themeColor="text1"/>
          <w:sz w:val="16"/>
          <w:szCs w:val="16"/>
          <w:lang w:val="es-MX"/>
        </w:rPr>
        <w:t>suma</w:t>
      </w:r>
      <w:r w:rsidRPr="00647874">
        <w:rPr>
          <w:rFonts w:ascii="Arial" w:hAnsi="Arial" w:cs="Arial"/>
          <w:bCs/>
          <w:color w:val="000000" w:themeColor="text1"/>
          <w:sz w:val="16"/>
          <w:szCs w:val="16"/>
          <w:lang w:val="es-MX"/>
        </w:rPr>
        <w:t xml:space="preserve"> 100% porque no se grafica</w:t>
      </w:r>
      <w:r>
        <w:rPr>
          <w:rFonts w:ascii="Arial" w:hAnsi="Arial" w:cs="Arial"/>
          <w:bCs/>
          <w:color w:val="000000" w:themeColor="text1"/>
          <w:sz w:val="16"/>
          <w:szCs w:val="16"/>
          <w:lang w:val="es-MX"/>
        </w:rPr>
        <w:t>n</w:t>
      </w:r>
      <w:r w:rsidRPr="00647874">
        <w:rPr>
          <w:rFonts w:ascii="Arial" w:hAnsi="Arial" w:cs="Arial"/>
          <w:bCs/>
          <w:color w:val="000000" w:themeColor="text1"/>
          <w:sz w:val="16"/>
          <w:szCs w:val="16"/>
          <w:lang w:val="es-MX"/>
        </w:rPr>
        <w:t xml:space="preserve"> las categorías otros estudios y no especificado.</w:t>
      </w:r>
    </w:p>
    <w:p w14:paraId="7D45EE6E" w14:textId="77777777" w:rsidR="00315B2B" w:rsidRPr="00647874" w:rsidRDefault="00315B2B" w:rsidP="00315B2B">
      <w:pPr>
        <w:pStyle w:val="Prrafodelista"/>
        <w:spacing w:line="264" w:lineRule="auto"/>
        <w:ind w:left="709" w:right="108"/>
        <w:jc w:val="both"/>
        <w:rPr>
          <w:rFonts w:ascii="Arial" w:hAnsi="Arial" w:cs="Arial"/>
          <w:bCs/>
          <w:color w:val="000000" w:themeColor="text1"/>
          <w:sz w:val="16"/>
          <w:szCs w:val="16"/>
          <w:lang w:val="es-MX"/>
        </w:rPr>
      </w:pPr>
      <w:r w:rsidRPr="00647874">
        <w:rPr>
          <w:rFonts w:ascii="Arial" w:hAnsi="Arial" w:cs="Arial"/>
          <w:bCs/>
          <w:color w:val="000000" w:themeColor="text1"/>
          <w:sz w:val="16"/>
          <w:szCs w:val="16"/>
          <w:lang w:val="es-MX"/>
        </w:rPr>
        <w:t>Fuente: INEGI. Estadísticas de nupcialidad 2018. Base de datos.</w:t>
      </w:r>
    </w:p>
    <w:p w14:paraId="7ED8FA2D" w14:textId="77777777" w:rsidR="00315B2B" w:rsidRPr="00647874" w:rsidRDefault="00315B2B" w:rsidP="00315B2B">
      <w:pPr>
        <w:pStyle w:val="Prrafodelista"/>
        <w:spacing w:line="264" w:lineRule="auto"/>
        <w:ind w:left="0" w:right="108"/>
        <w:rPr>
          <w:rFonts w:ascii="Arial" w:hAnsi="Arial" w:cs="Arial"/>
          <w:color w:val="000000" w:themeColor="text1"/>
          <w:sz w:val="22"/>
          <w:szCs w:val="22"/>
          <w:lang w:val="es-MX"/>
        </w:rPr>
      </w:pPr>
    </w:p>
    <w:p w14:paraId="6502993D" w14:textId="77777777" w:rsidR="00940AF6" w:rsidRDefault="005D4EA9" w:rsidP="00CE7FF1">
      <w:pPr>
        <w:ind w:left="-567" w:right="108"/>
        <w:rPr>
          <w:rFonts w:cs="Arial"/>
        </w:rPr>
      </w:pPr>
      <w:r w:rsidRPr="005D3D0A">
        <w:rPr>
          <w:rFonts w:cs="Arial"/>
        </w:rPr>
        <w:t>Por entidad federativa, las mayores tasas de nupcialidad entre</w:t>
      </w:r>
      <w:r w:rsidR="00315B2B" w:rsidRPr="005D3D0A">
        <w:rPr>
          <w:rFonts w:cs="Arial"/>
        </w:rPr>
        <w:t xml:space="preserve"> </w:t>
      </w:r>
      <w:r w:rsidRPr="005D3D0A">
        <w:rPr>
          <w:rFonts w:cs="Arial"/>
        </w:rPr>
        <w:t xml:space="preserve">personas </w:t>
      </w:r>
      <w:r w:rsidR="00315B2B" w:rsidRPr="005D3D0A">
        <w:rPr>
          <w:rFonts w:cs="Arial"/>
        </w:rPr>
        <w:t>del mismo sexo</w:t>
      </w:r>
      <w:r w:rsidRPr="005D3D0A">
        <w:rPr>
          <w:rFonts w:cs="Arial"/>
        </w:rPr>
        <w:t xml:space="preserve"> se ubican en la Ciudad de México, Coahuila, Quintana Roo, Nayarit y Morelos con tasas superiores a los </w:t>
      </w:r>
      <w:r w:rsidR="007C47D0" w:rsidRPr="00767A68">
        <w:rPr>
          <w:rFonts w:cs="Arial"/>
        </w:rPr>
        <w:t>cien</w:t>
      </w:r>
      <w:r w:rsidRPr="00767A68">
        <w:rPr>
          <w:rFonts w:cs="Arial"/>
        </w:rPr>
        <w:t xml:space="preserve"> matrimonios por cada mill</w:t>
      </w:r>
      <w:r w:rsidR="007C47D0" w:rsidRPr="00767A68">
        <w:rPr>
          <w:rFonts w:cs="Arial"/>
        </w:rPr>
        <w:t>ón</w:t>
      </w:r>
      <w:r w:rsidRPr="00767A68">
        <w:rPr>
          <w:rFonts w:cs="Arial"/>
        </w:rPr>
        <w:t xml:space="preserve"> de habitantes </w:t>
      </w:r>
      <w:r w:rsidRPr="005D3D0A">
        <w:rPr>
          <w:rFonts w:cs="Arial"/>
        </w:rPr>
        <w:t>de 18 años o más. En seis entidades no hay registros de estos eventos y Tabasco, San Luis Potosí, Sinaloa y Mé</w:t>
      </w:r>
      <w:r w:rsidR="005D3D0A" w:rsidRPr="005D3D0A">
        <w:rPr>
          <w:rFonts w:cs="Arial"/>
        </w:rPr>
        <w:t xml:space="preserve">xico </w:t>
      </w:r>
      <w:r w:rsidR="00AA1643">
        <w:rPr>
          <w:rFonts w:cs="Arial"/>
        </w:rPr>
        <w:t>reportan</w:t>
      </w:r>
      <w:r w:rsidR="005D3D0A" w:rsidRPr="005D3D0A">
        <w:rPr>
          <w:rFonts w:cs="Arial"/>
        </w:rPr>
        <w:t xml:space="preserve"> las </w:t>
      </w:r>
      <w:r w:rsidRPr="005D3D0A">
        <w:rPr>
          <w:rFonts w:cs="Arial"/>
        </w:rPr>
        <w:t xml:space="preserve">tasas </w:t>
      </w:r>
      <w:r w:rsidR="005D3D0A" w:rsidRPr="005D3D0A">
        <w:rPr>
          <w:rFonts w:cs="Arial"/>
        </w:rPr>
        <w:t>más bajas</w:t>
      </w:r>
      <w:r w:rsidRPr="005D3D0A">
        <w:rPr>
          <w:rFonts w:cs="Arial"/>
        </w:rPr>
        <w:t>.</w:t>
      </w:r>
    </w:p>
    <w:p w14:paraId="2FBDB3F8" w14:textId="77777777" w:rsidR="001853D1" w:rsidRDefault="001853D1" w:rsidP="008F6885">
      <w:pPr>
        <w:ind w:left="-142" w:right="108"/>
        <w:rPr>
          <w:rFonts w:cs="Arial"/>
          <w:b/>
          <w:sz w:val="20"/>
          <w:szCs w:val="20"/>
        </w:rPr>
      </w:pPr>
    </w:p>
    <w:p w14:paraId="1BADFFC5" w14:textId="77777777" w:rsidR="00CE7FF1" w:rsidRDefault="00CE7FF1" w:rsidP="008F6885">
      <w:pPr>
        <w:ind w:left="-142" w:right="108"/>
        <w:rPr>
          <w:rFonts w:cs="Arial"/>
          <w:b/>
          <w:sz w:val="20"/>
          <w:szCs w:val="20"/>
        </w:rPr>
      </w:pPr>
    </w:p>
    <w:p w14:paraId="7D39F7C3" w14:textId="77777777" w:rsidR="00CE7FF1" w:rsidRDefault="00CE7FF1" w:rsidP="008F6885">
      <w:pPr>
        <w:ind w:left="-142" w:right="108"/>
        <w:rPr>
          <w:rFonts w:cs="Arial"/>
          <w:b/>
          <w:sz w:val="20"/>
          <w:szCs w:val="20"/>
        </w:rPr>
      </w:pPr>
    </w:p>
    <w:p w14:paraId="33E2F3D2" w14:textId="77777777" w:rsidR="00CE7FF1" w:rsidRDefault="00CE7FF1" w:rsidP="008F6885">
      <w:pPr>
        <w:ind w:left="-142" w:right="108"/>
        <w:rPr>
          <w:rFonts w:cs="Arial"/>
          <w:b/>
          <w:sz w:val="20"/>
          <w:szCs w:val="20"/>
        </w:rPr>
      </w:pPr>
    </w:p>
    <w:p w14:paraId="24B07C0F" w14:textId="77777777" w:rsidR="00CE7FF1" w:rsidRDefault="00CE7FF1" w:rsidP="008F6885">
      <w:pPr>
        <w:ind w:left="-142" w:right="108"/>
        <w:rPr>
          <w:rFonts w:cs="Arial"/>
          <w:b/>
          <w:sz w:val="20"/>
          <w:szCs w:val="20"/>
        </w:rPr>
      </w:pPr>
    </w:p>
    <w:p w14:paraId="21940AD7" w14:textId="77777777" w:rsidR="00CE7FF1" w:rsidRDefault="00CE7FF1" w:rsidP="008F6885">
      <w:pPr>
        <w:ind w:left="-142" w:right="108"/>
        <w:rPr>
          <w:rFonts w:cs="Arial"/>
          <w:b/>
          <w:sz w:val="20"/>
          <w:szCs w:val="20"/>
        </w:rPr>
      </w:pPr>
    </w:p>
    <w:p w14:paraId="4770A735" w14:textId="77777777" w:rsidR="00CE7FF1" w:rsidRDefault="00CE7FF1" w:rsidP="008F6885">
      <w:pPr>
        <w:ind w:left="-142" w:right="108"/>
        <w:rPr>
          <w:rFonts w:cs="Arial"/>
          <w:b/>
          <w:sz w:val="20"/>
          <w:szCs w:val="20"/>
        </w:rPr>
      </w:pPr>
    </w:p>
    <w:p w14:paraId="47CB7292" w14:textId="77777777" w:rsidR="00CE7FF1" w:rsidRDefault="00CE7FF1" w:rsidP="008F6885">
      <w:pPr>
        <w:ind w:left="-142" w:right="108"/>
        <w:rPr>
          <w:rFonts w:cs="Arial"/>
          <w:b/>
          <w:sz w:val="20"/>
          <w:szCs w:val="20"/>
        </w:rPr>
      </w:pPr>
    </w:p>
    <w:p w14:paraId="62F72E78" w14:textId="77777777" w:rsidR="00CE7FF1" w:rsidRDefault="00CE7FF1" w:rsidP="008F6885">
      <w:pPr>
        <w:ind w:left="-142" w:right="108"/>
        <w:rPr>
          <w:rFonts w:cs="Arial"/>
          <w:b/>
          <w:sz w:val="20"/>
          <w:szCs w:val="20"/>
        </w:rPr>
      </w:pPr>
    </w:p>
    <w:p w14:paraId="3FBE8CDB" w14:textId="77777777" w:rsidR="00CE7FF1" w:rsidRDefault="00CE7FF1" w:rsidP="008F6885">
      <w:pPr>
        <w:ind w:left="-142" w:right="108"/>
        <w:rPr>
          <w:rFonts w:cs="Arial"/>
          <w:b/>
          <w:sz w:val="20"/>
          <w:szCs w:val="20"/>
        </w:rPr>
      </w:pPr>
    </w:p>
    <w:p w14:paraId="0C2E908B" w14:textId="77777777" w:rsidR="00CE7FF1" w:rsidRDefault="00CE7FF1" w:rsidP="008F6885">
      <w:pPr>
        <w:ind w:left="-142" w:right="108"/>
        <w:rPr>
          <w:rFonts w:cs="Arial"/>
          <w:b/>
          <w:sz w:val="20"/>
          <w:szCs w:val="20"/>
        </w:rPr>
      </w:pPr>
    </w:p>
    <w:p w14:paraId="716BD5F2" w14:textId="77777777" w:rsidR="00CE7FF1" w:rsidRDefault="00CE7FF1" w:rsidP="008F6885">
      <w:pPr>
        <w:ind w:left="-142" w:right="108"/>
        <w:rPr>
          <w:rFonts w:cs="Arial"/>
          <w:b/>
          <w:sz w:val="20"/>
          <w:szCs w:val="20"/>
        </w:rPr>
      </w:pPr>
    </w:p>
    <w:p w14:paraId="50FBA09F" w14:textId="77777777" w:rsidR="008F6885" w:rsidRDefault="00C56E33" w:rsidP="008F6885">
      <w:pPr>
        <w:ind w:left="-142" w:right="108"/>
        <w:rPr>
          <w:rFonts w:cs="Arial"/>
        </w:rPr>
      </w:pPr>
      <w:r w:rsidRPr="00940AF6">
        <w:rPr>
          <w:rFonts w:cs="Arial"/>
          <w:b/>
          <w:sz w:val="20"/>
          <w:szCs w:val="20"/>
        </w:rPr>
        <w:t>Tasa de nupcialidad y número de matrimonios entre personas del mismo sexo</w:t>
      </w:r>
    </w:p>
    <w:p w14:paraId="604DC967" w14:textId="77777777" w:rsidR="008F6885" w:rsidRDefault="00315B2B" w:rsidP="008F6885">
      <w:pPr>
        <w:ind w:left="-142" w:right="108"/>
        <w:rPr>
          <w:rFonts w:cs="Arial"/>
        </w:rPr>
      </w:pPr>
      <w:r w:rsidRPr="00940AF6">
        <w:rPr>
          <w:rFonts w:cs="Arial"/>
          <w:b/>
          <w:sz w:val="20"/>
          <w:szCs w:val="20"/>
        </w:rPr>
        <w:t>2018</w:t>
      </w:r>
    </w:p>
    <w:p w14:paraId="233465DD" w14:textId="77777777" w:rsidR="008F6885" w:rsidRPr="008F6885" w:rsidRDefault="008F6885" w:rsidP="008F6885">
      <w:pPr>
        <w:ind w:left="-142" w:right="108"/>
        <w:rPr>
          <w:rFonts w:cs="Arial"/>
          <w:sz w:val="6"/>
          <w:szCs w:val="6"/>
        </w:rPr>
      </w:pPr>
    </w:p>
    <w:p w14:paraId="2C3482EA" w14:textId="77777777" w:rsidR="002D662C" w:rsidRPr="008F6885" w:rsidRDefault="00940AF6" w:rsidP="008F6885">
      <w:pPr>
        <w:ind w:left="-142" w:right="108"/>
        <w:rPr>
          <w:rFonts w:cs="Arial"/>
        </w:rPr>
      </w:pPr>
      <w:r w:rsidRPr="00940AF6">
        <w:rPr>
          <w:rFonts w:cs="Arial"/>
          <w:sz w:val="18"/>
          <w:szCs w:val="18"/>
        </w:rPr>
        <w:t xml:space="preserve">La </w:t>
      </w:r>
      <w:r w:rsidR="007C47D0" w:rsidRPr="00940AF6">
        <w:rPr>
          <w:rFonts w:cs="Arial"/>
          <w:sz w:val="18"/>
          <w:szCs w:val="18"/>
        </w:rPr>
        <w:t>tasa es p</w:t>
      </w:r>
      <w:r w:rsidR="002D662C" w:rsidRPr="00940AF6">
        <w:rPr>
          <w:rFonts w:cs="Arial"/>
          <w:sz w:val="18"/>
          <w:szCs w:val="18"/>
        </w:rPr>
        <w:t>or cada mill</w:t>
      </w:r>
      <w:r w:rsidR="00C56E33" w:rsidRPr="00940AF6">
        <w:rPr>
          <w:rFonts w:cs="Arial"/>
          <w:sz w:val="18"/>
          <w:szCs w:val="18"/>
        </w:rPr>
        <w:t>ón</w:t>
      </w:r>
      <w:r w:rsidR="002D662C" w:rsidRPr="00940AF6">
        <w:rPr>
          <w:rFonts w:cs="Arial"/>
          <w:sz w:val="18"/>
          <w:szCs w:val="18"/>
        </w:rPr>
        <w:t xml:space="preserve"> de habitantes de 18 años o más</w:t>
      </w:r>
      <w:r w:rsidRPr="00940AF6">
        <w:rPr>
          <w:rFonts w:cs="Arial"/>
          <w:sz w:val="18"/>
          <w:szCs w:val="18"/>
        </w:rPr>
        <w:t xml:space="preserve"> en la entidad</w:t>
      </w:r>
    </w:p>
    <w:p w14:paraId="758F0440" w14:textId="77777777" w:rsidR="007C47D0" w:rsidRDefault="001853D1" w:rsidP="002D662C">
      <w:pPr>
        <w:ind w:left="1276" w:right="108" w:hanging="425"/>
        <w:rPr>
          <w:bCs/>
          <w:sz w:val="16"/>
          <w:szCs w:val="16"/>
          <w:lang w:val="es-MX"/>
        </w:rPr>
      </w:pPr>
      <w:r w:rsidRPr="004D183D">
        <w:rPr>
          <w:noProof/>
          <w:color w:val="FF0000"/>
          <w:lang w:val="es-MX" w:eastAsia="es-MX"/>
        </w:rPr>
        <w:drawing>
          <wp:anchor distT="0" distB="0" distL="114300" distR="114300" simplePos="0" relativeHeight="251665408" behindDoc="0" locked="0" layoutInCell="1" allowOverlap="1" wp14:anchorId="13F6573E" wp14:editId="6C7DB445">
            <wp:simplePos x="0" y="0"/>
            <wp:positionH relativeFrom="column">
              <wp:posOffset>529590</wp:posOffset>
            </wp:positionH>
            <wp:positionV relativeFrom="paragraph">
              <wp:posOffset>74930</wp:posOffset>
            </wp:positionV>
            <wp:extent cx="4524375" cy="1974850"/>
            <wp:effectExtent l="0" t="0" r="9525" b="635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4524375" cy="1974850"/>
                    </a:xfrm>
                    <a:prstGeom prst="rect">
                      <a:avLst/>
                    </a:prstGeom>
                  </pic:spPr>
                </pic:pic>
              </a:graphicData>
            </a:graphic>
            <wp14:sizeRelH relativeFrom="page">
              <wp14:pctWidth>0</wp14:pctWidth>
            </wp14:sizeRelH>
            <wp14:sizeRelV relativeFrom="page">
              <wp14:pctHeight>0</wp14:pctHeight>
            </wp14:sizeRelV>
          </wp:anchor>
        </w:drawing>
      </w:r>
    </w:p>
    <w:p w14:paraId="0AA302C4" w14:textId="77777777" w:rsidR="008F6885" w:rsidRDefault="007C47D0" w:rsidP="007C47D0">
      <w:pPr>
        <w:ind w:right="108"/>
        <w:rPr>
          <w:bCs/>
          <w:sz w:val="16"/>
          <w:szCs w:val="16"/>
          <w:lang w:val="es-MX"/>
        </w:rPr>
      </w:pPr>
      <w:r>
        <w:rPr>
          <w:bCs/>
          <w:sz w:val="16"/>
          <w:szCs w:val="16"/>
          <w:lang w:val="es-MX"/>
        </w:rPr>
        <w:t xml:space="preserve">        </w:t>
      </w:r>
    </w:p>
    <w:p w14:paraId="2AADC1E4" w14:textId="77777777" w:rsidR="001853D1" w:rsidRDefault="001853D1" w:rsidP="008F6885">
      <w:pPr>
        <w:ind w:right="108"/>
        <w:rPr>
          <w:bCs/>
          <w:sz w:val="16"/>
          <w:szCs w:val="16"/>
          <w:lang w:val="es-MX"/>
        </w:rPr>
      </w:pPr>
    </w:p>
    <w:p w14:paraId="66F41381" w14:textId="77777777" w:rsidR="001853D1" w:rsidRDefault="001853D1" w:rsidP="008F6885">
      <w:pPr>
        <w:ind w:right="108"/>
        <w:rPr>
          <w:bCs/>
          <w:sz w:val="16"/>
          <w:szCs w:val="16"/>
          <w:lang w:val="es-MX"/>
        </w:rPr>
      </w:pPr>
    </w:p>
    <w:p w14:paraId="3C9D273C" w14:textId="77777777" w:rsidR="001853D1" w:rsidRDefault="001853D1" w:rsidP="008F6885">
      <w:pPr>
        <w:ind w:right="108"/>
        <w:rPr>
          <w:bCs/>
          <w:sz w:val="16"/>
          <w:szCs w:val="16"/>
          <w:lang w:val="es-MX"/>
        </w:rPr>
      </w:pPr>
    </w:p>
    <w:p w14:paraId="73F70DCC" w14:textId="77777777" w:rsidR="001853D1" w:rsidRDefault="001853D1" w:rsidP="008F6885">
      <w:pPr>
        <w:ind w:right="108"/>
        <w:rPr>
          <w:bCs/>
          <w:sz w:val="16"/>
          <w:szCs w:val="16"/>
          <w:lang w:val="es-MX"/>
        </w:rPr>
      </w:pPr>
    </w:p>
    <w:p w14:paraId="67D9459D" w14:textId="77777777" w:rsidR="001853D1" w:rsidRDefault="001853D1" w:rsidP="008F6885">
      <w:pPr>
        <w:ind w:right="108"/>
        <w:rPr>
          <w:bCs/>
          <w:sz w:val="16"/>
          <w:szCs w:val="16"/>
          <w:lang w:val="es-MX"/>
        </w:rPr>
      </w:pPr>
    </w:p>
    <w:p w14:paraId="155097A4" w14:textId="77777777" w:rsidR="001853D1" w:rsidRDefault="001853D1" w:rsidP="008F6885">
      <w:pPr>
        <w:ind w:right="108"/>
        <w:rPr>
          <w:bCs/>
          <w:sz w:val="16"/>
          <w:szCs w:val="16"/>
          <w:lang w:val="es-MX"/>
        </w:rPr>
      </w:pPr>
    </w:p>
    <w:p w14:paraId="4FD62EDE" w14:textId="77777777" w:rsidR="001853D1" w:rsidRDefault="001853D1" w:rsidP="008F6885">
      <w:pPr>
        <w:ind w:right="108"/>
        <w:rPr>
          <w:bCs/>
          <w:sz w:val="16"/>
          <w:szCs w:val="16"/>
          <w:lang w:val="es-MX"/>
        </w:rPr>
      </w:pPr>
    </w:p>
    <w:p w14:paraId="66D0CEA4" w14:textId="77777777" w:rsidR="001853D1" w:rsidRDefault="001853D1" w:rsidP="008F6885">
      <w:pPr>
        <w:ind w:right="108"/>
        <w:rPr>
          <w:bCs/>
          <w:sz w:val="16"/>
          <w:szCs w:val="16"/>
          <w:lang w:val="es-MX"/>
        </w:rPr>
      </w:pPr>
    </w:p>
    <w:p w14:paraId="73945B2B" w14:textId="77777777" w:rsidR="001853D1" w:rsidRDefault="001853D1" w:rsidP="008F6885">
      <w:pPr>
        <w:ind w:right="108"/>
        <w:rPr>
          <w:bCs/>
          <w:sz w:val="16"/>
          <w:szCs w:val="16"/>
          <w:lang w:val="es-MX"/>
        </w:rPr>
      </w:pPr>
    </w:p>
    <w:p w14:paraId="1D7A688D" w14:textId="77777777" w:rsidR="001853D1" w:rsidRDefault="001853D1" w:rsidP="008F6885">
      <w:pPr>
        <w:ind w:right="108"/>
        <w:rPr>
          <w:bCs/>
          <w:sz w:val="16"/>
          <w:szCs w:val="16"/>
          <w:lang w:val="es-MX"/>
        </w:rPr>
      </w:pPr>
    </w:p>
    <w:p w14:paraId="7C099A4C" w14:textId="77777777" w:rsidR="001853D1" w:rsidRDefault="001853D1" w:rsidP="008F6885">
      <w:pPr>
        <w:ind w:right="108"/>
        <w:rPr>
          <w:bCs/>
          <w:sz w:val="16"/>
          <w:szCs w:val="16"/>
          <w:lang w:val="es-MX"/>
        </w:rPr>
      </w:pPr>
    </w:p>
    <w:p w14:paraId="177154D7" w14:textId="77777777" w:rsidR="001853D1" w:rsidRDefault="001853D1" w:rsidP="008F6885">
      <w:pPr>
        <w:ind w:right="108"/>
        <w:rPr>
          <w:bCs/>
          <w:sz w:val="16"/>
          <w:szCs w:val="16"/>
          <w:lang w:val="es-MX"/>
        </w:rPr>
      </w:pPr>
    </w:p>
    <w:p w14:paraId="71D08010" w14:textId="77777777" w:rsidR="001853D1" w:rsidRDefault="001853D1" w:rsidP="008F6885">
      <w:pPr>
        <w:ind w:right="108"/>
        <w:rPr>
          <w:bCs/>
          <w:sz w:val="16"/>
          <w:szCs w:val="16"/>
          <w:lang w:val="es-MX"/>
        </w:rPr>
      </w:pPr>
    </w:p>
    <w:p w14:paraId="66CDDC59" w14:textId="77777777" w:rsidR="001853D1" w:rsidRDefault="001853D1" w:rsidP="008F6885">
      <w:pPr>
        <w:ind w:right="108"/>
        <w:rPr>
          <w:bCs/>
          <w:sz w:val="16"/>
          <w:szCs w:val="16"/>
          <w:lang w:val="es-MX"/>
        </w:rPr>
      </w:pPr>
    </w:p>
    <w:p w14:paraId="028B29F6" w14:textId="77777777" w:rsidR="001853D1" w:rsidRDefault="001853D1" w:rsidP="008F6885">
      <w:pPr>
        <w:ind w:right="108"/>
        <w:rPr>
          <w:bCs/>
          <w:sz w:val="16"/>
          <w:szCs w:val="16"/>
          <w:lang w:val="es-MX"/>
        </w:rPr>
      </w:pPr>
    </w:p>
    <w:p w14:paraId="2FD57DDD" w14:textId="77777777" w:rsidR="001853D1" w:rsidRPr="003D6208" w:rsidRDefault="001853D1" w:rsidP="008F6885">
      <w:pPr>
        <w:ind w:right="108"/>
        <w:rPr>
          <w:bCs/>
          <w:sz w:val="16"/>
          <w:szCs w:val="16"/>
          <w:lang w:val="es-MX"/>
        </w:rPr>
      </w:pPr>
    </w:p>
    <w:p w14:paraId="2C4A434E" w14:textId="77777777" w:rsidR="002155F1" w:rsidRPr="003D6208" w:rsidRDefault="002155F1" w:rsidP="007C47D0">
      <w:pPr>
        <w:ind w:right="108"/>
        <w:rPr>
          <w:bCs/>
          <w:sz w:val="16"/>
          <w:szCs w:val="16"/>
          <w:lang w:val="es-MX"/>
        </w:rPr>
      </w:pPr>
    </w:p>
    <w:p w14:paraId="3804E4C6" w14:textId="77777777" w:rsidR="00AA1643" w:rsidRPr="003D6208" w:rsidRDefault="00D54EDF" w:rsidP="002155F1">
      <w:pPr>
        <w:ind w:right="108"/>
        <w:rPr>
          <w:bCs/>
          <w:sz w:val="16"/>
          <w:szCs w:val="16"/>
          <w:lang w:val="es-MX"/>
        </w:rPr>
      </w:pPr>
      <w:r w:rsidRPr="003D6208">
        <w:rPr>
          <w:bCs/>
          <w:sz w:val="16"/>
          <w:szCs w:val="16"/>
          <w:lang w:val="es-MX"/>
        </w:rPr>
        <w:t>Nota</w:t>
      </w:r>
      <w:r w:rsidR="002155F1" w:rsidRPr="003D6208">
        <w:rPr>
          <w:bCs/>
          <w:sz w:val="16"/>
          <w:szCs w:val="16"/>
          <w:lang w:val="es-MX"/>
        </w:rPr>
        <w:t>:</w:t>
      </w:r>
      <w:r w:rsidRPr="003D6208">
        <w:rPr>
          <w:bCs/>
          <w:sz w:val="16"/>
          <w:szCs w:val="16"/>
          <w:lang w:val="es-MX"/>
        </w:rPr>
        <w:t xml:space="preserve"> En 2018 no hu</w:t>
      </w:r>
      <w:r w:rsidR="00104D2F" w:rsidRPr="003D6208">
        <w:rPr>
          <w:bCs/>
          <w:sz w:val="16"/>
          <w:szCs w:val="16"/>
          <w:lang w:val="es-MX"/>
        </w:rPr>
        <w:t>bo registro de matrimonios</w:t>
      </w:r>
      <w:r w:rsidR="00AA1643" w:rsidRPr="003D6208">
        <w:rPr>
          <w:bCs/>
          <w:sz w:val="16"/>
          <w:szCs w:val="16"/>
          <w:lang w:val="es-MX"/>
        </w:rPr>
        <w:t xml:space="preserve"> entre personas </w:t>
      </w:r>
      <w:r w:rsidR="00104D2F" w:rsidRPr="003D6208">
        <w:rPr>
          <w:bCs/>
          <w:sz w:val="16"/>
          <w:szCs w:val="16"/>
          <w:lang w:val="es-MX"/>
        </w:rPr>
        <w:t>del mismo sexo en Durango, Guerrero, Hidalgo, Nuevo León,</w:t>
      </w:r>
    </w:p>
    <w:p w14:paraId="2EC946D0" w14:textId="77777777" w:rsidR="00D54EDF" w:rsidRPr="003D6208" w:rsidRDefault="00104D2F" w:rsidP="00AA1643">
      <w:pPr>
        <w:ind w:left="284" w:right="108"/>
        <w:rPr>
          <w:bCs/>
          <w:sz w:val="16"/>
          <w:szCs w:val="16"/>
          <w:lang w:val="es-MX"/>
        </w:rPr>
      </w:pPr>
      <w:r w:rsidRPr="003D6208">
        <w:rPr>
          <w:bCs/>
          <w:sz w:val="16"/>
          <w:szCs w:val="16"/>
          <w:lang w:val="es-MX"/>
        </w:rPr>
        <w:t xml:space="preserve">   Oaxaca y </w:t>
      </w:r>
      <w:r w:rsidR="008F6885" w:rsidRPr="003D6208">
        <w:rPr>
          <w:bCs/>
          <w:sz w:val="16"/>
          <w:szCs w:val="16"/>
          <w:lang w:val="es-MX"/>
        </w:rPr>
        <w:t>Veracruz.</w:t>
      </w:r>
      <w:r w:rsidRPr="003D6208">
        <w:rPr>
          <w:bCs/>
          <w:sz w:val="16"/>
          <w:szCs w:val="16"/>
          <w:lang w:val="es-MX"/>
        </w:rPr>
        <w:t xml:space="preserve"> </w:t>
      </w:r>
    </w:p>
    <w:p w14:paraId="7AAE6CF4" w14:textId="77777777" w:rsidR="00D54EDF" w:rsidRPr="00104D2F" w:rsidRDefault="00D54EDF" w:rsidP="007C47D0">
      <w:pPr>
        <w:ind w:right="108"/>
        <w:rPr>
          <w:bCs/>
          <w:color w:val="000000" w:themeColor="text1"/>
          <w:sz w:val="8"/>
          <w:szCs w:val="8"/>
          <w:lang w:val="es-MX"/>
        </w:rPr>
      </w:pPr>
    </w:p>
    <w:p w14:paraId="1096D337" w14:textId="77777777" w:rsidR="00104D2F" w:rsidRDefault="00315B2B" w:rsidP="00104D2F">
      <w:pPr>
        <w:ind w:right="108"/>
        <w:rPr>
          <w:bCs/>
          <w:color w:val="000000" w:themeColor="text1"/>
          <w:sz w:val="16"/>
          <w:szCs w:val="16"/>
          <w:lang w:val="es-MX"/>
        </w:rPr>
      </w:pPr>
      <w:r w:rsidRPr="00647874">
        <w:rPr>
          <w:bCs/>
          <w:color w:val="000000" w:themeColor="text1"/>
          <w:sz w:val="16"/>
          <w:szCs w:val="16"/>
          <w:lang w:val="es-MX"/>
        </w:rPr>
        <w:t>Fuente</w:t>
      </w:r>
      <w:r w:rsidR="004C007C">
        <w:rPr>
          <w:bCs/>
          <w:color w:val="000000" w:themeColor="text1"/>
          <w:sz w:val="16"/>
          <w:szCs w:val="16"/>
          <w:lang w:val="es-MX"/>
        </w:rPr>
        <w:t>s</w:t>
      </w:r>
      <w:r w:rsidRPr="00647874">
        <w:rPr>
          <w:bCs/>
          <w:color w:val="000000" w:themeColor="text1"/>
          <w:sz w:val="16"/>
          <w:szCs w:val="16"/>
          <w:lang w:val="es-MX"/>
        </w:rPr>
        <w:t>: INEGI. Estadísticas de nupcialidad 201</w:t>
      </w:r>
      <w:r>
        <w:rPr>
          <w:bCs/>
          <w:color w:val="000000" w:themeColor="text1"/>
          <w:sz w:val="16"/>
          <w:szCs w:val="16"/>
          <w:lang w:val="es-MX"/>
        </w:rPr>
        <w:t>8.</w:t>
      </w:r>
      <w:r w:rsidRPr="00647874">
        <w:rPr>
          <w:b/>
          <w:bCs/>
          <w:color w:val="000000" w:themeColor="text1"/>
          <w:szCs w:val="22"/>
          <w:lang w:val="es-MX"/>
        </w:rPr>
        <w:t xml:space="preserve"> </w:t>
      </w:r>
      <w:r w:rsidRPr="00647874">
        <w:rPr>
          <w:bCs/>
          <w:color w:val="000000" w:themeColor="text1"/>
          <w:sz w:val="16"/>
          <w:szCs w:val="16"/>
          <w:lang w:val="es-MX"/>
        </w:rPr>
        <w:t>Base de datos.</w:t>
      </w:r>
    </w:p>
    <w:p w14:paraId="0531A127" w14:textId="77777777" w:rsidR="004C007C" w:rsidRPr="008F6885" w:rsidRDefault="008F6885" w:rsidP="00104D2F">
      <w:pPr>
        <w:ind w:right="108"/>
        <w:rPr>
          <w:iCs/>
          <w:sz w:val="16"/>
          <w:szCs w:val="16"/>
        </w:rPr>
      </w:pPr>
      <w:r>
        <w:rPr>
          <w:bCs/>
          <w:color w:val="000000" w:themeColor="text1"/>
          <w:sz w:val="16"/>
          <w:szCs w:val="16"/>
          <w:lang w:val="es-MX"/>
        </w:rPr>
        <w:t xml:space="preserve">               </w:t>
      </w:r>
      <w:r w:rsidR="004C007C" w:rsidRPr="00EC427D">
        <w:rPr>
          <w:bCs/>
          <w:color w:val="000000" w:themeColor="text1"/>
          <w:sz w:val="16"/>
          <w:szCs w:val="16"/>
          <w:lang w:val="es-MX"/>
        </w:rPr>
        <w:t xml:space="preserve">CONAPO. </w:t>
      </w:r>
      <w:r w:rsidR="00EC427D" w:rsidRPr="00EC427D">
        <w:rPr>
          <w:iCs/>
          <w:sz w:val="16"/>
          <w:szCs w:val="16"/>
        </w:rPr>
        <w:t>Proyecciones de la Población de México y de las Entidades Federativas, 2016-2050. Población a mitad</w:t>
      </w:r>
      <w:r>
        <w:rPr>
          <w:iCs/>
          <w:sz w:val="16"/>
          <w:szCs w:val="16"/>
        </w:rPr>
        <w:t xml:space="preserve"> </w:t>
      </w:r>
      <w:r w:rsidR="00EC427D" w:rsidRPr="00EC427D">
        <w:rPr>
          <w:iCs/>
          <w:sz w:val="16"/>
          <w:szCs w:val="16"/>
        </w:rPr>
        <w:t>de año</w:t>
      </w:r>
      <w:r>
        <w:rPr>
          <w:iCs/>
          <w:sz w:val="16"/>
          <w:szCs w:val="16"/>
        </w:rPr>
        <w:t>.</w:t>
      </w:r>
    </w:p>
    <w:p w14:paraId="5C00032C" w14:textId="77777777" w:rsidR="00315B2B" w:rsidRPr="00647874" w:rsidRDefault="00315B2B" w:rsidP="00315B2B">
      <w:pPr>
        <w:ind w:left="-567" w:right="108" w:firstLine="567"/>
        <w:rPr>
          <w:b/>
          <w:bCs/>
          <w:color w:val="000000" w:themeColor="text1"/>
          <w:szCs w:val="22"/>
          <w:lang w:val="es-MX"/>
        </w:rPr>
      </w:pPr>
    </w:p>
    <w:p w14:paraId="07869D0F" w14:textId="77777777" w:rsidR="00315B2B" w:rsidRPr="00647874" w:rsidRDefault="00315B2B" w:rsidP="00CE7FF1">
      <w:pPr>
        <w:ind w:left="-567" w:right="108"/>
        <w:rPr>
          <w:b/>
          <w:bCs/>
          <w:color w:val="000000" w:themeColor="text1"/>
          <w:szCs w:val="22"/>
          <w:lang w:val="es-MX"/>
        </w:rPr>
      </w:pPr>
      <w:r w:rsidRPr="00647874">
        <w:rPr>
          <w:b/>
          <w:bCs/>
          <w:color w:val="000000" w:themeColor="text1"/>
          <w:szCs w:val="22"/>
          <w:lang w:val="es-MX"/>
        </w:rPr>
        <w:t>DIVORCIOS</w:t>
      </w:r>
    </w:p>
    <w:p w14:paraId="5243F568" w14:textId="77777777" w:rsidR="00315B2B" w:rsidRDefault="00315B2B" w:rsidP="00CE7FF1">
      <w:pPr>
        <w:ind w:left="-567" w:right="108"/>
        <w:rPr>
          <w:b/>
          <w:bCs/>
          <w:color w:val="000000" w:themeColor="text1"/>
          <w:szCs w:val="22"/>
          <w:lang w:val="es-MX"/>
        </w:rPr>
      </w:pPr>
    </w:p>
    <w:p w14:paraId="142A7006" w14:textId="77777777" w:rsidR="00315B2B" w:rsidRPr="005D3D0A" w:rsidRDefault="00315B2B" w:rsidP="00CE7FF1">
      <w:pPr>
        <w:ind w:left="-567" w:right="108"/>
        <w:rPr>
          <w:bCs/>
          <w:szCs w:val="22"/>
          <w:lang w:val="es-MX"/>
        </w:rPr>
      </w:pPr>
      <w:r w:rsidRPr="00482C5E">
        <w:rPr>
          <w:bCs/>
          <w:color w:val="000000" w:themeColor="text1"/>
          <w:szCs w:val="22"/>
          <w:lang w:val="es-MX"/>
        </w:rPr>
        <w:t xml:space="preserve">En </w:t>
      </w:r>
      <w:r w:rsidR="007C245C" w:rsidRPr="00482C5E">
        <w:rPr>
          <w:bCs/>
          <w:color w:val="000000" w:themeColor="text1"/>
          <w:szCs w:val="22"/>
          <w:lang w:val="es-MX"/>
        </w:rPr>
        <w:t>2018</w:t>
      </w:r>
      <w:r w:rsidR="00FB154B" w:rsidRPr="00482C5E">
        <w:rPr>
          <w:bCs/>
          <w:color w:val="000000" w:themeColor="text1"/>
          <w:szCs w:val="22"/>
          <w:lang w:val="es-MX"/>
        </w:rPr>
        <w:t>,</w:t>
      </w:r>
      <w:r w:rsidR="003D6208" w:rsidRPr="00482C5E">
        <w:rPr>
          <w:bCs/>
          <w:color w:val="000000" w:themeColor="text1"/>
          <w:szCs w:val="22"/>
          <w:lang w:val="es-MX"/>
        </w:rPr>
        <w:t xml:space="preserve"> </w:t>
      </w:r>
      <w:r w:rsidR="001616AE" w:rsidRPr="00482C5E">
        <w:rPr>
          <w:bCs/>
          <w:color w:val="000000" w:themeColor="text1"/>
          <w:szCs w:val="22"/>
          <w:lang w:val="es-MX"/>
        </w:rPr>
        <w:t xml:space="preserve">a nivel nacional </w:t>
      </w:r>
      <w:r w:rsidR="007C245C" w:rsidRPr="00482C5E">
        <w:rPr>
          <w:bCs/>
          <w:color w:val="000000" w:themeColor="text1"/>
          <w:szCs w:val="22"/>
          <w:lang w:val="es-MX"/>
        </w:rPr>
        <w:t xml:space="preserve">el </w:t>
      </w:r>
      <w:r w:rsidR="001616AE" w:rsidRPr="00482C5E">
        <w:rPr>
          <w:bCs/>
          <w:color w:val="000000" w:themeColor="text1"/>
          <w:szCs w:val="22"/>
          <w:lang w:val="es-MX"/>
        </w:rPr>
        <w:t xml:space="preserve">total de </w:t>
      </w:r>
      <w:r w:rsidR="007C245C" w:rsidRPr="00482C5E">
        <w:rPr>
          <w:bCs/>
          <w:color w:val="000000" w:themeColor="text1"/>
          <w:szCs w:val="22"/>
          <w:lang w:val="es-MX"/>
        </w:rPr>
        <w:t>número de</w:t>
      </w:r>
      <w:r w:rsidRPr="00482C5E">
        <w:rPr>
          <w:bCs/>
          <w:color w:val="000000" w:themeColor="text1"/>
          <w:szCs w:val="22"/>
          <w:lang w:val="es-MX"/>
        </w:rPr>
        <w:t xml:space="preserve"> separaciones legales de matrimonios</w:t>
      </w:r>
      <w:r w:rsidR="002B3663" w:rsidRPr="00482C5E">
        <w:rPr>
          <w:bCs/>
          <w:color w:val="000000" w:themeColor="text1"/>
          <w:szCs w:val="22"/>
          <w:lang w:val="es-MX"/>
        </w:rPr>
        <w:t xml:space="preserve"> es de 156 556</w:t>
      </w:r>
      <w:r w:rsidR="00B115D5" w:rsidRPr="00482C5E">
        <w:rPr>
          <w:bCs/>
          <w:color w:val="000000" w:themeColor="text1"/>
          <w:szCs w:val="22"/>
          <w:lang w:val="es-MX"/>
        </w:rPr>
        <w:t>,</w:t>
      </w:r>
      <w:r w:rsidR="002B3663" w:rsidRPr="00482C5E">
        <w:rPr>
          <w:bCs/>
          <w:color w:val="000000" w:themeColor="text1"/>
          <w:szCs w:val="22"/>
          <w:lang w:val="es-MX"/>
        </w:rPr>
        <w:t xml:space="preserve"> de estos</w:t>
      </w:r>
      <w:r w:rsidR="00B115D5" w:rsidRPr="00482C5E">
        <w:rPr>
          <w:bCs/>
          <w:color w:val="000000" w:themeColor="text1"/>
          <w:szCs w:val="22"/>
          <w:lang w:val="es-MX"/>
        </w:rPr>
        <w:t>,</w:t>
      </w:r>
      <w:r w:rsidR="002B3663" w:rsidRPr="00482C5E">
        <w:rPr>
          <w:bCs/>
          <w:color w:val="000000" w:themeColor="text1"/>
          <w:szCs w:val="22"/>
          <w:lang w:val="es-MX"/>
        </w:rPr>
        <w:t xml:space="preserve"> 156 283 </w:t>
      </w:r>
      <w:r w:rsidR="001616AE" w:rsidRPr="00482C5E">
        <w:rPr>
          <w:bCs/>
          <w:color w:val="000000" w:themeColor="text1"/>
          <w:szCs w:val="22"/>
          <w:lang w:val="es-MX"/>
        </w:rPr>
        <w:t>sucedieron en parejas de hombres y mujeres</w:t>
      </w:r>
      <w:r w:rsidR="00EE64DC" w:rsidRPr="00482C5E">
        <w:rPr>
          <w:bCs/>
          <w:color w:val="000000" w:themeColor="text1"/>
          <w:szCs w:val="22"/>
          <w:lang w:val="es-MX"/>
        </w:rPr>
        <w:t>;</w:t>
      </w:r>
      <w:r w:rsidR="001616AE" w:rsidRPr="00482C5E">
        <w:rPr>
          <w:bCs/>
          <w:color w:val="000000" w:themeColor="text1"/>
          <w:szCs w:val="22"/>
          <w:lang w:val="es-MX"/>
        </w:rPr>
        <w:t xml:space="preserve"> </w:t>
      </w:r>
      <w:r w:rsidR="00EE64DC" w:rsidRPr="00482C5E">
        <w:rPr>
          <w:bCs/>
          <w:color w:val="000000" w:themeColor="text1"/>
          <w:szCs w:val="22"/>
          <w:lang w:val="es-MX"/>
        </w:rPr>
        <w:t>mientras que</w:t>
      </w:r>
      <w:r w:rsidR="001616AE" w:rsidRPr="00482C5E">
        <w:rPr>
          <w:bCs/>
          <w:color w:val="000000" w:themeColor="text1"/>
          <w:szCs w:val="22"/>
          <w:lang w:val="es-MX"/>
        </w:rPr>
        <w:t xml:space="preserve"> 27</w:t>
      </w:r>
      <w:r w:rsidR="002B3663" w:rsidRPr="00482C5E">
        <w:rPr>
          <w:bCs/>
          <w:color w:val="000000" w:themeColor="text1"/>
          <w:szCs w:val="22"/>
          <w:lang w:val="es-MX"/>
        </w:rPr>
        <w:t>3</w:t>
      </w:r>
      <w:r w:rsidR="00EE64DC" w:rsidRPr="00482C5E">
        <w:rPr>
          <w:bCs/>
          <w:color w:val="000000" w:themeColor="text1"/>
          <w:szCs w:val="22"/>
          <w:lang w:val="es-MX"/>
        </w:rPr>
        <w:t xml:space="preserve"> fueron</w:t>
      </w:r>
      <w:r w:rsidRPr="00482C5E">
        <w:rPr>
          <w:bCs/>
          <w:color w:val="000000" w:themeColor="text1"/>
          <w:szCs w:val="22"/>
          <w:lang w:val="es-MX"/>
        </w:rPr>
        <w:t xml:space="preserve"> entre p</w:t>
      </w:r>
      <w:r w:rsidR="00B115D5" w:rsidRPr="00482C5E">
        <w:rPr>
          <w:bCs/>
          <w:color w:val="000000" w:themeColor="text1"/>
          <w:szCs w:val="22"/>
          <w:lang w:val="es-MX"/>
        </w:rPr>
        <w:t>arejas de p</w:t>
      </w:r>
      <w:r w:rsidRPr="00482C5E">
        <w:rPr>
          <w:bCs/>
          <w:color w:val="000000" w:themeColor="text1"/>
          <w:szCs w:val="22"/>
          <w:lang w:val="es-MX"/>
        </w:rPr>
        <w:t>ersonas del mismo sexo</w:t>
      </w:r>
      <w:r w:rsidR="00B115D5" w:rsidRPr="00482C5E">
        <w:rPr>
          <w:bCs/>
          <w:color w:val="000000" w:themeColor="text1"/>
          <w:szCs w:val="22"/>
          <w:lang w:val="es-MX"/>
        </w:rPr>
        <w:t>;</w:t>
      </w:r>
      <w:r w:rsidRPr="00482C5E">
        <w:rPr>
          <w:bCs/>
          <w:color w:val="000000" w:themeColor="text1"/>
          <w:szCs w:val="22"/>
          <w:lang w:val="es-MX"/>
        </w:rPr>
        <w:t xml:space="preserve"> </w:t>
      </w:r>
      <w:r w:rsidR="007C245C" w:rsidRPr="00482C5E">
        <w:rPr>
          <w:bCs/>
          <w:color w:val="000000" w:themeColor="text1"/>
          <w:szCs w:val="22"/>
          <w:lang w:val="es-MX"/>
        </w:rPr>
        <w:t xml:space="preserve">de </w:t>
      </w:r>
      <w:r w:rsidR="00EE64DC" w:rsidRPr="00482C5E">
        <w:rPr>
          <w:bCs/>
          <w:color w:val="000000" w:themeColor="text1"/>
          <w:szCs w:val="22"/>
          <w:lang w:val="es-MX"/>
        </w:rPr>
        <w:t>estos últimos</w:t>
      </w:r>
      <w:r w:rsidR="007C245C" w:rsidRPr="00482C5E">
        <w:rPr>
          <w:bCs/>
          <w:color w:val="000000" w:themeColor="text1"/>
          <w:szCs w:val="22"/>
          <w:lang w:val="es-MX"/>
        </w:rPr>
        <w:t xml:space="preserve">, </w:t>
      </w:r>
      <w:r w:rsidR="007C245C" w:rsidRPr="005D3D0A">
        <w:rPr>
          <w:bCs/>
          <w:szCs w:val="22"/>
          <w:lang w:val="es-MX"/>
        </w:rPr>
        <w:t xml:space="preserve">60.1% son divorcios </w:t>
      </w:r>
      <w:r w:rsidR="005D3D0A" w:rsidRPr="005D3D0A">
        <w:rPr>
          <w:bCs/>
          <w:szCs w:val="22"/>
          <w:lang w:val="es-MX"/>
        </w:rPr>
        <w:t xml:space="preserve">de parejas </w:t>
      </w:r>
      <w:r w:rsidR="004B4FBA" w:rsidRPr="005D3D0A">
        <w:rPr>
          <w:bCs/>
          <w:szCs w:val="22"/>
          <w:lang w:val="es-MX"/>
        </w:rPr>
        <w:t>de</w:t>
      </w:r>
      <w:r w:rsidR="007C245C" w:rsidRPr="005D3D0A">
        <w:rPr>
          <w:bCs/>
          <w:szCs w:val="22"/>
          <w:lang w:val="es-MX"/>
        </w:rPr>
        <w:t xml:space="preserve"> mujeres y 39.9% </w:t>
      </w:r>
      <w:r w:rsidR="004B4FBA" w:rsidRPr="005D3D0A">
        <w:rPr>
          <w:bCs/>
          <w:szCs w:val="22"/>
          <w:lang w:val="es-MX"/>
        </w:rPr>
        <w:t>de</w:t>
      </w:r>
      <w:r w:rsidR="007C245C" w:rsidRPr="005D3D0A">
        <w:rPr>
          <w:bCs/>
          <w:szCs w:val="22"/>
          <w:lang w:val="es-MX"/>
        </w:rPr>
        <w:t xml:space="preserve"> hombres</w:t>
      </w:r>
      <w:r w:rsidRPr="005D3D0A">
        <w:rPr>
          <w:bCs/>
          <w:szCs w:val="22"/>
          <w:lang w:val="es-MX"/>
        </w:rPr>
        <w:t xml:space="preserve">. </w:t>
      </w:r>
      <w:r w:rsidR="00506FC5" w:rsidRPr="005D3D0A">
        <w:rPr>
          <w:bCs/>
          <w:szCs w:val="22"/>
          <w:lang w:val="es-MX"/>
        </w:rPr>
        <w:t>L</w:t>
      </w:r>
      <w:r w:rsidR="00E057DB" w:rsidRPr="005D3D0A">
        <w:rPr>
          <w:bCs/>
          <w:szCs w:val="22"/>
          <w:lang w:val="es-MX"/>
        </w:rPr>
        <w:t xml:space="preserve">a relación divorcios-matrimonios </w:t>
      </w:r>
      <w:r w:rsidR="009C7B8A" w:rsidRPr="005D3D0A">
        <w:rPr>
          <w:bCs/>
          <w:szCs w:val="22"/>
          <w:lang w:val="es-MX"/>
        </w:rPr>
        <w:t>entre las personas del mismo sexo</w:t>
      </w:r>
      <w:r w:rsidR="00834CC2" w:rsidRPr="005D3D0A">
        <w:rPr>
          <w:bCs/>
          <w:szCs w:val="22"/>
          <w:lang w:val="es-MX"/>
        </w:rPr>
        <w:t>,</w:t>
      </w:r>
      <w:r w:rsidR="009C7B8A" w:rsidRPr="005D3D0A">
        <w:rPr>
          <w:bCs/>
          <w:szCs w:val="22"/>
          <w:lang w:val="es-MX"/>
        </w:rPr>
        <w:t xml:space="preserve"> </w:t>
      </w:r>
      <w:r w:rsidR="00506FC5" w:rsidRPr="005D3D0A">
        <w:rPr>
          <w:bCs/>
          <w:szCs w:val="22"/>
          <w:lang w:val="es-MX"/>
        </w:rPr>
        <w:t xml:space="preserve">muestra una tendencia ascendente de 2014 a 2018, </w:t>
      </w:r>
      <w:r w:rsidR="00834CC2" w:rsidRPr="005D3D0A">
        <w:rPr>
          <w:bCs/>
          <w:szCs w:val="22"/>
          <w:lang w:val="es-MX"/>
        </w:rPr>
        <w:t>pasa de 2.4 a 8.1 divorcios por cada 100 matrimonios</w:t>
      </w:r>
      <w:r w:rsidR="00165038" w:rsidRPr="005D3D0A">
        <w:rPr>
          <w:bCs/>
          <w:szCs w:val="22"/>
          <w:lang w:val="es-MX"/>
        </w:rPr>
        <w:t xml:space="preserve">. </w:t>
      </w:r>
      <w:r w:rsidR="00834CC2" w:rsidRPr="005D3D0A">
        <w:rPr>
          <w:bCs/>
          <w:szCs w:val="22"/>
          <w:lang w:val="es-MX"/>
        </w:rPr>
        <w:t xml:space="preserve">Cabe señalar que </w:t>
      </w:r>
      <w:r w:rsidR="00165038" w:rsidRPr="005D3D0A">
        <w:rPr>
          <w:bCs/>
          <w:szCs w:val="22"/>
          <w:lang w:val="es-MX"/>
        </w:rPr>
        <w:t xml:space="preserve">en los últimos años </w:t>
      </w:r>
      <w:r w:rsidR="00834CC2" w:rsidRPr="005D3D0A">
        <w:rPr>
          <w:bCs/>
          <w:szCs w:val="22"/>
          <w:lang w:val="es-MX"/>
        </w:rPr>
        <w:t>este incremento se hace menos pronunciad</w:t>
      </w:r>
      <w:r w:rsidR="00506FC5" w:rsidRPr="005D3D0A">
        <w:rPr>
          <w:bCs/>
          <w:szCs w:val="22"/>
          <w:lang w:val="es-MX"/>
        </w:rPr>
        <w:t>o</w:t>
      </w:r>
      <w:r w:rsidR="009C7B8A" w:rsidRPr="005D3D0A">
        <w:rPr>
          <w:bCs/>
          <w:szCs w:val="22"/>
          <w:lang w:val="es-MX"/>
        </w:rPr>
        <w:t>.</w:t>
      </w:r>
      <w:r w:rsidRPr="005D3D0A">
        <w:rPr>
          <w:bCs/>
          <w:szCs w:val="22"/>
          <w:lang w:val="es-MX"/>
        </w:rPr>
        <w:t xml:space="preserve"> </w:t>
      </w:r>
    </w:p>
    <w:p w14:paraId="3B185678" w14:textId="77777777" w:rsidR="008F6885" w:rsidRPr="00647874" w:rsidRDefault="008F6885" w:rsidP="00315B2B">
      <w:pPr>
        <w:ind w:right="108"/>
        <w:rPr>
          <w:bCs/>
          <w:color w:val="000000" w:themeColor="text1"/>
          <w:szCs w:val="22"/>
          <w:lang w:val="es-MX"/>
        </w:rPr>
      </w:pPr>
    </w:p>
    <w:p w14:paraId="2FBA0D97" w14:textId="77777777" w:rsidR="00E057DB" w:rsidRDefault="00E057DB" w:rsidP="00315B2B">
      <w:pPr>
        <w:ind w:left="1134" w:right="108"/>
        <w:rPr>
          <w:b/>
          <w:bCs/>
          <w:color w:val="000000" w:themeColor="text1"/>
          <w:sz w:val="20"/>
          <w:szCs w:val="20"/>
          <w:lang w:val="es-MX"/>
        </w:rPr>
      </w:pPr>
      <w:r w:rsidRPr="00E057DB">
        <w:rPr>
          <w:b/>
          <w:bCs/>
          <w:color w:val="000000" w:themeColor="text1"/>
          <w:sz w:val="20"/>
          <w:szCs w:val="20"/>
          <w:lang w:val="es-MX"/>
        </w:rPr>
        <w:t>Relación divorcios - matrimonios entre personas del mismo sexo</w:t>
      </w:r>
    </w:p>
    <w:p w14:paraId="0FA82516" w14:textId="77777777" w:rsidR="00315B2B" w:rsidRPr="00647874" w:rsidRDefault="008436E0" w:rsidP="00315B2B">
      <w:pPr>
        <w:ind w:left="1134" w:right="108"/>
        <w:rPr>
          <w:b/>
          <w:bCs/>
          <w:color w:val="000000" w:themeColor="text1"/>
          <w:sz w:val="20"/>
          <w:szCs w:val="20"/>
          <w:lang w:val="es-MX"/>
        </w:rPr>
      </w:pPr>
      <w:r>
        <w:rPr>
          <w:b/>
          <w:bCs/>
          <w:color w:val="000000" w:themeColor="text1"/>
          <w:sz w:val="20"/>
          <w:szCs w:val="20"/>
          <w:lang w:val="es-MX"/>
        </w:rPr>
        <w:t>2014</w:t>
      </w:r>
      <w:r w:rsidR="00315B2B" w:rsidRPr="00647874">
        <w:rPr>
          <w:b/>
          <w:bCs/>
          <w:color w:val="000000" w:themeColor="text1"/>
          <w:sz w:val="20"/>
          <w:szCs w:val="20"/>
          <w:lang w:val="es-MX"/>
        </w:rPr>
        <w:t xml:space="preserve"> a 2018</w:t>
      </w:r>
    </w:p>
    <w:p w14:paraId="40A37E8E" w14:textId="77777777" w:rsidR="00315B2B" w:rsidRPr="00165038" w:rsidRDefault="00E057DB" w:rsidP="00315B2B">
      <w:pPr>
        <w:ind w:right="108"/>
        <w:rPr>
          <w:bCs/>
          <w:color w:val="000000" w:themeColor="text1"/>
          <w:sz w:val="18"/>
          <w:szCs w:val="18"/>
          <w:lang w:val="es-MX"/>
        </w:rPr>
      </w:pPr>
      <w:r w:rsidRPr="00E057DB">
        <w:rPr>
          <w:bCs/>
          <w:color w:val="000000" w:themeColor="text1"/>
          <w:sz w:val="20"/>
          <w:szCs w:val="20"/>
          <w:lang w:val="es-MX"/>
        </w:rPr>
        <w:t xml:space="preserve">                  </w:t>
      </w:r>
      <w:r w:rsidR="00165038">
        <w:rPr>
          <w:bCs/>
          <w:color w:val="000000" w:themeColor="text1"/>
          <w:sz w:val="20"/>
          <w:szCs w:val="20"/>
          <w:lang w:val="es-MX"/>
        </w:rPr>
        <w:t xml:space="preserve"> </w:t>
      </w:r>
      <w:r w:rsidRPr="00165038">
        <w:rPr>
          <w:bCs/>
          <w:color w:val="000000" w:themeColor="text1"/>
          <w:sz w:val="18"/>
          <w:szCs w:val="18"/>
          <w:lang w:val="es-MX"/>
        </w:rPr>
        <w:t xml:space="preserve"> Divorcios por cada 100 matrimonios</w:t>
      </w:r>
    </w:p>
    <w:p w14:paraId="5B3AE4F3" w14:textId="77777777" w:rsidR="00315B2B" w:rsidRPr="00647874" w:rsidRDefault="00E057DB" w:rsidP="00315B2B">
      <w:pPr>
        <w:ind w:right="108"/>
        <w:rPr>
          <w:bCs/>
          <w:color w:val="000000" w:themeColor="text1"/>
          <w:szCs w:val="22"/>
          <w:lang w:val="es-MX"/>
        </w:rPr>
      </w:pPr>
      <w:r w:rsidRPr="00E057DB">
        <w:rPr>
          <w:noProof/>
          <w:lang w:val="es-MX" w:eastAsia="es-MX"/>
        </w:rPr>
        <w:drawing>
          <wp:anchor distT="0" distB="0" distL="114300" distR="114300" simplePos="0" relativeHeight="251664384" behindDoc="0" locked="0" layoutInCell="1" allowOverlap="1" wp14:anchorId="2D79B799" wp14:editId="31853E3A">
            <wp:simplePos x="0" y="0"/>
            <wp:positionH relativeFrom="column">
              <wp:posOffset>853440</wp:posOffset>
            </wp:positionH>
            <wp:positionV relativeFrom="paragraph">
              <wp:posOffset>14605</wp:posOffset>
            </wp:positionV>
            <wp:extent cx="3797300" cy="21621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3797300" cy="2162175"/>
                    </a:xfrm>
                    <a:prstGeom prst="rect">
                      <a:avLst/>
                    </a:prstGeom>
                  </pic:spPr>
                </pic:pic>
              </a:graphicData>
            </a:graphic>
            <wp14:sizeRelH relativeFrom="page">
              <wp14:pctWidth>0</wp14:pctWidth>
            </wp14:sizeRelH>
            <wp14:sizeRelV relativeFrom="page">
              <wp14:pctHeight>0</wp14:pctHeight>
            </wp14:sizeRelV>
          </wp:anchor>
        </w:drawing>
      </w:r>
    </w:p>
    <w:p w14:paraId="7D6E3689" w14:textId="77777777" w:rsidR="00315B2B" w:rsidRPr="00647874" w:rsidRDefault="00315B2B" w:rsidP="00315B2B">
      <w:pPr>
        <w:ind w:right="108"/>
        <w:rPr>
          <w:bCs/>
          <w:color w:val="000000" w:themeColor="text1"/>
          <w:szCs w:val="22"/>
          <w:lang w:val="es-MX"/>
        </w:rPr>
      </w:pPr>
    </w:p>
    <w:p w14:paraId="082F1411" w14:textId="77777777" w:rsidR="00315B2B" w:rsidRPr="00647874" w:rsidRDefault="00315B2B" w:rsidP="00315B2B">
      <w:pPr>
        <w:ind w:right="108"/>
        <w:rPr>
          <w:bCs/>
          <w:color w:val="000000" w:themeColor="text1"/>
          <w:szCs w:val="22"/>
          <w:lang w:val="es-MX"/>
        </w:rPr>
      </w:pPr>
    </w:p>
    <w:p w14:paraId="1121920A" w14:textId="77777777" w:rsidR="00315B2B" w:rsidRPr="00647874" w:rsidRDefault="00315B2B" w:rsidP="00315B2B">
      <w:pPr>
        <w:ind w:right="108"/>
        <w:rPr>
          <w:bCs/>
          <w:color w:val="000000" w:themeColor="text1"/>
          <w:szCs w:val="22"/>
          <w:lang w:val="es-MX"/>
        </w:rPr>
      </w:pPr>
    </w:p>
    <w:p w14:paraId="4FEC5682" w14:textId="77777777" w:rsidR="00315B2B" w:rsidRPr="00647874" w:rsidRDefault="00315B2B" w:rsidP="00315B2B">
      <w:pPr>
        <w:ind w:right="108"/>
        <w:rPr>
          <w:bCs/>
          <w:color w:val="000000" w:themeColor="text1"/>
          <w:szCs w:val="22"/>
          <w:lang w:val="es-MX"/>
        </w:rPr>
      </w:pPr>
    </w:p>
    <w:p w14:paraId="38BFA101" w14:textId="77777777" w:rsidR="00315B2B" w:rsidRPr="00647874" w:rsidRDefault="00315B2B" w:rsidP="00315B2B">
      <w:pPr>
        <w:ind w:right="108"/>
        <w:rPr>
          <w:bCs/>
          <w:color w:val="000000" w:themeColor="text1"/>
          <w:szCs w:val="22"/>
          <w:lang w:val="es-MX"/>
        </w:rPr>
      </w:pPr>
    </w:p>
    <w:p w14:paraId="2A906CCB" w14:textId="77777777" w:rsidR="00315B2B" w:rsidRPr="00647874" w:rsidRDefault="00315B2B" w:rsidP="00315B2B">
      <w:pPr>
        <w:ind w:right="108"/>
        <w:rPr>
          <w:bCs/>
          <w:color w:val="000000" w:themeColor="text1"/>
          <w:szCs w:val="22"/>
          <w:lang w:val="es-MX"/>
        </w:rPr>
      </w:pPr>
    </w:p>
    <w:p w14:paraId="01AA81E4" w14:textId="77777777" w:rsidR="00315B2B" w:rsidRPr="00647874" w:rsidRDefault="00315B2B" w:rsidP="00315B2B">
      <w:pPr>
        <w:ind w:right="108"/>
        <w:rPr>
          <w:bCs/>
          <w:color w:val="000000" w:themeColor="text1"/>
          <w:szCs w:val="22"/>
          <w:lang w:val="es-MX"/>
        </w:rPr>
      </w:pPr>
    </w:p>
    <w:p w14:paraId="0545A8A7" w14:textId="77777777" w:rsidR="00315B2B" w:rsidRPr="00647874" w:rsidRDefault="00315B2B" w:rsidP="00315B2B">
      <w:pPr>
        <w:ind w:right="108"/>
        <w:rPr>
          <w:bCs/>
          <w:color w:val="000000" w:themeColor="text1"/>
          <w:szCs w:val="22"/>
          <w:lang w:val="es-MX"/>
        </w:rPr>
      </w:pPr>
    </w:p>
    <w:p w14:paraId="5C63B136" w14:textId="77777777" w:rsidR="00315B2B" w:rsidRPr="00647874" w:rsidRDefault="00315B2B" w:rsidP="00315B2B">
      <w:pPr>
        <w:ind w:right="108"/>
        <w:rPr>
          <w:bCs/>
          <w:color w:val="000000" w:themeColor="text1"/>
          <w:szCs w:val="22"/>
          <w:lang w:val="es-MX"/>
        </w:rPr>
      </w:pPr>
    </w:p>
    <w:p w14:paraId="77924B55" w14:textId="77777777" w:rsidR="00315B2B" w:rsidRPr="00647874" w:rsidRDefault="00315B2B" w:rsidP="00315B2B">
      <w:pPr>
        <w:ind w:right="108"/>
        <w:rPr>
          <w:bCs/>
          <w:color w:val="000000" w:themeColor="text1"/>
          <w:szCs w:val="22"/>
          <w:lang w:val="es-MX"/>
        </w:rPr>
      </w:pPr>
    </w:p>
    <w:p w14:paraId="4260EDEC" w14:textId="77777777" w:rsidR="00315B2B" w:rsidRPr="00647874" w:rsidRDefault="00315B2B" w:rsidP="00315B2B">
      <w:pPr>
        <w:ind w:right="108"/>
        <w:rPr>
          <w:bCs/>
          <w:color w:val="000000" w:themeColor="text1"/>
          <w:szCs w:val="22"/>
          <w:lang w:val="es-MX"/>
        </w:rPr>
      </w:pPr>
    </w:p>
    <w:p w14:paraId="1B943BE5" w14:textId="77777777" w:rsidR="00315B2B" w:rsidRPr="00647874" w:rsidRDefault="00315B2B" w:rsidP="00315B2B">
      <w:pPr>
        <w:ind w:right="108"/>
        <w:rPr>
          <w:bCs/>
          <w:color w:val="000000" w:themeColor="text1"/>
          <w:szCs w:val="22"/>
          <w:lang w:val="es-MX"/>
        </w:rPr>
      </w:pPr>
    </w:p>
    <w:p w14:paraId="20CA8CC5" w14:textId="77777777" w:rsidR="00315B2B" w:rsidRDefault="00315B2B" w:rsidP="00315B2B">
      <w:pPr>
        <w:pStyle w:val="Prrafodelista"/>
        <w:spacing w:line="264" w:lineRule="auto"/>
        <w:ind w:left="1134" w:right="108"/>
        <w:jc w:val="both"/>
        <w:rPr>
          <w:rFonts w:ascii="Arial" w:hAnsi="Arial" w:cs="Arial"/>
          <w:bCs/>
          <w:color w:val="000000" w:themeColor="text1"/>
          <w:sz w:val="16"/>
          <w:szCs w:val="16"/>
          <w:lang w:val="es-MX"/>
        </w:rPr>
      </w:pPr>
    </w:p>
    <w:p w14:paraId="15872D79" w14:textId="77777777" w:rsidR="00315B2B" w:rsidRPr="00647874" w:rsidRDefault="00315B2B" w:rsidP="00315B2B">
      <w:pPr>
        <w:pStyle w:val="Prrafodelista"/>
        <w:spacing w:line="264" w:lineRule="auto"/>
        <w:ind w:left="1134" w:right="108"/>
        <w:jc w:val="both"/>
        <w:rPr>
          <w:rFonts w:ascii="Arial" w:hAnsi="Arial" w:cs="Arial"/>
          <w:bCs/>
          <w:color w:val="000000" w:themeColor="text1"/>
          <w:sz w:val="16"/>
          <w:szCs w:val="16"/>
          <w:lang w:val="es-MX"/>
        </w:rPr>
      </w:pPr>
      <w:r w:rsidRPr="00647874">
        <w:rPr>
          <w:rFonts w:ascii="Arial" w:hAnsi="Arial" w:cs="Arial"/>
          <w:bCs/>
          <w:color w:val="000000" w:themeColor="text1"/>
          <w:sz w:val="16"/>
          <w:szCs w:val="16"/>
          <w:lang w:val="es-MX"/>
        </w:rPr>
        <w:t xml:space="preserve">Fuente: INEGI. Estadísticas de nupcialidad </w:t>
      </w:r>
      <w:r>
        <w:rPr>
          <w:rFonts w:ascii="Arial" w:hAnsi="Arial" w:cs="Arial"/>
          <w:bCs/>
          <w:color w:val="000000" w:themeColor="text1"/>
          <w:sz w:val="16"/>
          <w:szCs w:val="16"/>
          <w:lang w:val="es-MX"/>
        </w:rPr>
        <w:t xml:space="preserve">2014 a </w:t>
      </w:r>
      <w:r w:rsidRPr="00647874">
        <w:rPr>
          <w:rFonts w:ascii="Arial" w:hAnsi="Arial" w:cs="Arial"/>
          <w:bCs/>
          <w:color w:val="000000" w:themeColor="text1"/>
          <w:sz w:val="16"/>
          <w:szCs w:val="16"/>
          <w:lang w:val="es-MX"/>
        </w:rPr>
        <w:t>2018. Base de datos.</w:t>
      </w:r>
    </w:p>
    <w:p w14:paraId="7DE82E81" w14:textId="77777777" w:rsidR="003E03D2" w:rsidRDefault="003E03D2" w:rsidP="00315B2B">
      <w:pPr>
        <w:pStyle w:val="Prrafodelista"/>
        <w:spacing w:line="264" w:lineRule="auto"/>
        <w:ind w:left="0" w:right="108"/>
        <w:jc w:val="center"/>
        <w:rPr>
          <w:rFonts w:ascii="Arial" w:hAnsi="Arial" w:cs="Arial"/>
          <w:b/>
          <w:color w:val="000000" w:themeColor="text1"/>
          <w:sz w:val="22"/>
          <w:szCs w:val="22"/>
          <w:lang w:val="es-MX"/>
        </w:rPr>
      </w:pPr>
    </w:p>
    <w:p w14:paraId="4F4D09DE" w14:textId="77777777" w:rsidR="00315B2B" w:rsidRPr="00647874" w:rsidRDefault="00315B2B" w:rsidP="00315B2B">
      <w:pPr>
        <w:pStyle w:val="Prrafodelista"/>
        <w:spacing w:line="264" w:lineRule="auto"/>
        <w:ind w:left="0" w:right="108"/>
        <w:jc w:val="center"/>
        <w:rPr>
          <w:rFonts w:ascii="Arial" w:hAnsi="Arial" w:cs="Arial"/>
          <w:b/>
          <w:color w:val="000000" w:themeColor="text1"/>
          <w:sz w:val="22"/>
          <w:szCs w:val="22"/>
          <w:lang w:val="es-MX"/>
        </w:rPr>
      </w:pPr>
      <w:r w:rsidRPr="00647874">
        <w:rPr>
          <w:rFonts w:ascii="Arial" w:hAnsi="Arial" w:cs="Arial"/>
          <w:b/>
          <w:color w:val="000000" w:themeColor="text1"/>
          <w:sz w:val="22"/>
          <w:szCs w:val="22"/>
          <w:lang w:val="es-MX"/>
        </w:rPr>
        <w:t>-</w:t>
      </w:r>
      <w:proofErr w:type="spellStart"/>
      <w:r w:rsidRPr="00647874">
        <w:rPr>
          <w:rFonts w:ascii="Arial" w:hAnsi="Arial" w:cs="Arial"/>
          <w:b/>
          <w:color w:val="000000" w:themeColor="text1"/>
          <w:sz w:val="22"/>
          <w:szCs w:val="22"/>
          <w:lang w:val="es-MX"/>
        </w:rPr>
        <w:t>oOo</w:t>
      </w:r>
      <w:proofErr w:type="spellEnd"/>
      <w:r w:rsidRPr="00647874">
        <w:rPr>
          <w:rFonts w:ascii="Arial" w:hAnsi="Arial" w:cs="Arial"/>
          <w:b/>
          <w:color w:val="000000" w:themeColor="text1"/>
          <w:sz w:val="22"/>
          <w:szCs w:val="22"/>
          <w:lang w:val="es-MX"/>
        </w:rPr>
        <w:t>-</w:t>
      </w:r>
    </w:p>
    <w:p w14:paraId="59805EFE" w14:textId="77777777" w:rsidR="003E03D2" w:rsidRDefault="003E03D2" w:rsidP="00315B2B">
      <w:pPr>
        <w:pStyle w:val="Prrafodelista"/>
        <w:spacing w:before="120" w:after="200"/>
        <w:ind w:left="0" w:right="108"/>
        <w:jc w:val="both"/>
        <w:rPr>
          <w:rFonts w:ascii="Arial" w:hAnsi="Arial" w:cs="Arial"/>
          <w:b/>
          <w:color w:val="000000" w:themeColor="text1"/>
          <w:sz w:val="20"/>
          <w:szCs w:val="20"/>
          <w:lang w:val="es-MX"/>
        </w:rPr>
      </w:pPr>
    </w:p>
    <w:p w14:paraId="2CC90BD8" w14:textId="77777777" w:rsidR="00CE7FF1" w:rsidRDefault="00CE7FF1" w:rsidP="00315B2B">
      <w:pPr>
        <w:pStyle w:val="Prrafodelista"/>
        <w:spacing w:before="120" w:after="200"/>
        <w:ind w:left="0" w:right="108"/>
        <w:jc w:val="both"/>
        <w:rPr>
          <w:rFonts w:ascii="Arial" w:hAnsi="Arial" w:cs="Arial"/>
          <w:b/>
          <w:color w:val="000000" w:themeColor="text1"/>
          <w:sz w:val="20"/>
          <w:szCs w:val="20"/>
          <w:lang w:val="es-MX"/>
        </w:rPr>
      </w:pPr>
    </w:p>
    <w:p w14:paraId="37D82194" w14:textId="77777777" w:rsidR="00CE7FF1" w:rsidRDefault="00CE7FF1" w:rsidP="00315B2B">
      <w:pPr>
        <w:pStyle w:val="Prrafodelista"/>
        <w:spacing w:before="120" w:after="200"/>
        <w:ind w:left="0" w:right="108"/>
        <w:jc w:val="both"/>
        <w:rPr>
          <w:rFonts w:ascii="Arial" w:hAnsi="Arial" w:cs="Arial"/>
          <w:b/>
          <w:color w:val="000000" w:themeColor="text1"/>
          <w:sz w:val="20"/>
          <w:szCs w:val="20"/>
          <w:lang w:val="es-MX"/>
        </w:rPr>
      </w:pPr>
    </w:p>
    <w:p w14:paraId="798D08DF" w14:textId="77777777" w:rsidR="00315B2B" w:rsidRPr="00647874" w:rsidRDefault="00315B2B" w:rsidP="00883905">
      <w:pPr>
        <w:pStyle w:val="Prrafodelista"/>
        <w:spacing w:before="120" w:after="200"/>
        <w:ind w:left="-567" w:right="108"/>
        <w:jc w:val="both"/>
        <w:rPr>
          <w:rFonts w:ascii="Arial" w:hAnsi="Arial" w:cs="Arial"/>
          <w:b/>
          <w:color w:val="000000" w:themeColor="text1"/>
          <w:sz w:val="20"/>
          <w:szCs w:val="20"/>
          <w:lang w:val="es-MX"/>
        </w:rPr>
      </w:pPr>
      <w:r w:rsidRPr="00647874">
        <w:rPr>
          <w:rFonts w:ascii="Arial" w:hAnsi="Arial" w:cs="Arial"/>
          <w:b/>
          <w:color w:val="000000" w:themeColor="text1"/>
          <w:sz w:val="20"/>
          <w:szCs w:val="20"/>
          <w:lang w:val="es-MX"/>
        </w:rPr>
        <w:t>REFERENCIAS</w:t>
      </w:r>
    </w:p>
    <w:p w14:paraId="329A589C" w14:textId="77777777" w:rsidR="00315B2B" w:rsidRPr="00647874" w:rsidRDefault="00315B2B" w:rsidP="00883905">
      <w:pPr>
        <w:pStyle w:val="Prrafodelista"/>
        <w:spacing w:before="120" w:after="200"/>
        <w:ind w:left="-567" w:right="108"/>
        <w:jc w:val="both"/>
        <w:rPr>
          <w:rFonts w:ascii="Arial" w:hAnsi="Arial" w:cs="Arial"/>
          <w:b/>
          <w:color w:val="000000" w:themeColor="text1"/>
          <w:sz w:val="20"/>
          <w:szCs w:val="20"/>
          <w:lang w:val="es-MX"/>
        </w:rPr>
      </w:pPr>
    </w:p>
    <w:p w14:paraId="66462D6A" w14:textId="77777777" w:rsidR="00315B2B" w:rsidRPr="0089578E" w:rsidRDefault="00315B2B" w:rsidP="00883905">
      <w:pPr>
        <w:pStyle w:val="Prrafodelista"/>
        <w:spacing w:before="120" w:after="200"/>
        <w:ind w:left="-567" w:right="108"/>
        <w:jc w:val="both"/>
        <w:rPr>
          <w:rFonts w:ascii="Arial" w:hAnsi="Arial" w:cs="Arial"/>
          <w:sz w:val="22"/>
          <w:szCs w:val="22"/>
        </w:rPr>
      </w:pPr>
      <w:r w:rsidRPr="0089578E">
        <w:rPr>
          <w:rFonts w:ascii="Arial" w:hAnsi="Arial" w:cs="Arial"/>
          <w:sz w:val="22"/>
          <w:szCs w:val="22"/>
        </w:rPr>
        <w:t xml:space="preserve">Altamirano, G. (2017). </w:t>
      </w:r>
      <w:r w:rsidRPr="0089578E">
        <w:rPr>
          <w:rFonts w:ascii="Arial" w:hAnsi="Arial" w:cs="Arial"/>
          <w:i/>
          <w:sz w:val="22"/>
          <w:szCs w:val="22"/>
        </w:rPr>
        <w:t>El matrimonio igualitario. Una lucha jurídica.</w:t>
      </w:r>
      <w:r w:rsidRPr="0089578E">
        <w:rPr>
          <w:rFonts w:ascii="Arial" w:hAnsi="Arial" w:cs="Arial"/>
          <w:sz w:val="22"/>
          <w:szCs w:val="22"/>
        </w:rPr>
        <w:t xml:space="preserve"> Información que fortalece el quehacer legislativo. Estudio. Cámara de Diputados del Honorable Congreso de la Unión y Centro de Estudios Sociales y de Opinión Pública [CDHCU y CESOP]</w:t>
      </w:r>
    </w:p>
    <w:p w14:paraId="2D49260F" w14:textId="77777777" w:rsidR="00315B2B" w:rsidRPr="0089578E" w:rsidRDefault="00315B2B" w:rsidP="00883905">
      <w:pPr>
        <w:pStyle w:val="Prrafodelista"/>
        <w:spacing w:before="120" w:after="200"/>
        <w:ind w:left="-567" w:right="108"/>
        <w:jc w:val="both"/>
        <w:rPr>
          <w:rFonts w:ascii="Arial" w:hAnsi="Arial"/>
          <w:sz w:val="22"/>
        </w:rPr>
      </w:pPr>
    </w:p>
    <w:p w14:paraId="6A45CC29" w14:textId="77777777" w:rsidR="00EC427D" w:rsidRDefault="00EC427D" w:rsidP="00883905">
      <w:pPr>
        <w:ind w:left="-567"/>
        <w:rPr>
          <w:rFonts w:ascii="Calibri" w:hAnsi="Calibri"/>
          <w:szCs w:val="22"/>
          <w:lang w:val="es-MX" w:eastAsia="en-US"/>
        </w:rPr>
      </w:pPr>
      <w:r>
        <w:t xml:space="preserve">Consejo Nacional de Población [CONAPO] (s/f). </w:t>
      </w:r>
      <w:r>
        <w:rPr>
          <w:i/>
          <w:iCs/>
        </w:rPr>
        <w:t xml:space="preserve">Proyecciones de la Población de México y de las Entidades Federativas, 2016-2050. Población a mitad de año. </w:t>
      </w:r>
      <w:r>
        <w:t xml:space="preserve">Recuperado el 1 de enero de 2020, de: </w:t>
      </w:r>
      <w:hyperlink r:id="rId30" w:history="1">
        <w:r>
          <w:rPr>
            <w:rStyle w:val="Hipervnculo"/>
          </w:rPr>
          <w:t>https://datos.gob.mx/busca/dataset/proyecciones-de-la-poblacion-de-mexico-y-de-las-entidades-federativas-2016-2050</w:t>
        </w:r>
      </w:hyperlink>
      <w:r>
        <w:t>.</w:t>
      </w:r>
    </w:p>
    <w:p w14:paraId="12B64260" w14:textId="77777777" w:rsidR="00EC427D" w:rsidRDefault="00EC427D" w:rsidP="00883905">
      <w:pPr>
        <w:pStyle w:val="Prrafodelista"/>
        <w:spacing w:before="120" w:after="200"/>
        <w:ind w:left="-567" w:right="108"/>
        <w:jc w:val="both"/>
        <w:rPr>
          <w:rFonts w:ascii="Arial" w:hAnsi="Arial"/>
          <w:sz w:val="22"/>
        </w:rPr>
      </w:pPr>
    </w:p>
    <w:p w14:paraId="751D0B8D" w14:textId="77777777" w:rsidR="00315B2B" w:rsidRPr="0089578E" w:rsidRDefault="00315B2B" w:rsidP="00883905">
      <w:pPr>
        <w:pStyle w:val="Prrafodelista"/>
        <w:spacing w:before="120" w:after="200"/>
        <w:ind w:left="-567" w:right="108"/>
        <w:jc w:val="both"/>
        <w:rPr>
          <w:rFonts w:ascii="Arial" w:hAnsi="Arial"/>
          <w:sz w:val="22"/>
        </w:rPr>
      </w:pPr>
      <w:r w:rsidRPr="005D3D0A">
        <w:rPr>
          <w:rFonts w:ascii="Arial" w:hAnsi="Arial"/>
          <w:sz w:val="22"/>
        </w:rPr>
        <w:t>Capote</w:t>
      </w:r>
      <w:r w:rsidR="00692E7A" w:rsidRPr="005D3D0A">
        <w:rPr>
          <w:rFonts w:ascii="Arial" w:hAnsi="Arial"/>
          <w:sz w:val="22"/>
        </w:rPr>
        <w:t>,</w:t>
      </w:r>
      <w:r w:rsidRPr="005D3D0A">
        <w:rPr>
          <w:rFonts w:ascii="Arial" w:hAnsi="Arial"/>
          <w:sz w:val="22"/>
        </w:rPr>
        <w:t xml:space="preserve"> A</w:t>
      </w:r>
      <w:r w:rsidR="00692E7A" w:rsidRPr="005D3D0A">
        <w:rPr>
          <w:rFonts w:ascii="Arial" w:hAnsi="Arial"/>
          <w:sz w:val="22"/>
        </w:rPr>
        <w:t>.</w:t>
      </w:r>
      <w:r w:rsidRPr="005D3D0A">
        <w:rPr>
          <w:rFonts w:ascii="Arial" w:hAnsi="Arial"/>
          <w:sz w:val="22"/>
        </w:rPr>
        <w:t xml:space="preserve"> y Nieto</w:t>
      </w:r>
      <w:r w:rsidR="00692E7A" w:rsidRPr="005D3D0A">
        <w:rPr>
          <w:rFonts w:ascii="Arial" w:hAnsi="Arial"/>
          <w:sz w:val="22"/>
        </w:rPr>
        <w:t>,</w:t>
      </w:r>
      <w:r w:rsidRPr="005D3D0A">
        <w:rPr>
          <w:rFonts w:ascii="Arial" w:hAnsi="Arial"/>
          <w:sz w:val="22"/>
        </w:rPr>
        <w:t xml:space="preserve"> J</w:t>
      </w:r>
      <w:r w:rsidR="00692E7A" w:rsidRPr="005D3D0A">
        <w:rPr>
          <w:rFonts w:ascii="Arial" w:hAnsi="Arial"/>
          <w:sz w:val="22"/>
        </w:rPr>
        <w:t>.</w:t>
      </w:r>
      <w:r w:rsidRPr="005D3D0A">
        <w:rPr>
          <w:rFonts w:ascii="Arial" w:hAnsi="Arial"/>
          <w:sz w:val="22"/>
        </w:rPr>
        <w:t xml:space="preserve"> (2018). </w:t>
      </w:r>
      <w:r w:rsidRPr="005D3D0A">
        <w:rPr>
          <w:rFonts w:ascii="Arial" w:hAnsi="Arial"/>
          <w:i/>
          <w:sz w:val="22"/>
        </w:rPr>
        <w:t>Análisis geográfico del matrimonio entre personas del mismo sexo en España: evolución, distribución y perfiles tras una década de legalidad. Boletín de la Asociación Española de Geografía.</w:t>
      </w:r>
      <w:r w:rsidRPr="005D3D0A">
        <w:rPr>
          <w:rFonts w:ascii="Arial" w:hAnsi="Arial"/>
          <w:sz w:val="22"/>
        </w:rPr>
        <w:t xml:space="preserve"> Recuperado </w:t>
      </w:r>
      <w:r w:rsidRPr="0089578E">
        <w:rPr>
          <w:rFonts w:ascii="Arial" w:hAnsi="Arial"/>
          <w:sz w:val="22"/>
        </w:rPr>
        <w:t xml:space="preserve">el 20 de octubre de </w:t>
      </w:r>
      <w:r w:rsidRPr="005D3D0A">
        <w:rPr>
          <w:rFonts w:ascii="Arial" w:hAnsi="Arial"/>
          <w:sz w:val="22"/>
        </w:rPr>
        <w:t>2019</w:t>
      </w:r>
      <w:r w:rsidR="00E65EC4" w:rsidRPr="005D3D0A">
        <w:rPr>
          <w:rFonts w:ascii="Arial" w:hAnsi="Arial"/>
          <w:sz w:val="22"/>
        </w:rPr>
        <w:t>,</w:t>
      </w:r>
      <w:r w:rsidRPr="005D3D0A">
        <w:rPr>
          <w:rFonts w:ascii="Arial" w:hAnsi="Arial"/>
          <w:sz w:val="22"/>
        </w:rPr>
        <w:t xml:space="preserve"> </w:t>
      </w:r>
      <w:r w:rsidR="00692E7A" w:rsidRPr="005D3D0A">
        <w:rPr>
          <w:rFonts w:ascii="Arial" w:hAnsi="Arial"/>
          <w:sz w:val="22"/>
        </w:rPr>
        <w:t>de</w:t>
      </w:r>
      <w:r w:rsidR="00E65EC4" w:rsidRPr="005D3D0A">
        <w:rPr>
          <w:rFonts w:ascii="Arial" w:hAnsi="Arial"/>
          <w:sz w:val="22"/>
        </w:rPr>
        <w:t>:</w:t>
      </w:r>
      <w:r w:rsidRPr="005D3D0A">
        <w:rPr>
          <w:rFonts w:ascii="Arial" w:hAnsi="Arial"/>
          <w:sz w:val="22"/>
        </w:rPr>
        <w:t xml:space="preserve"> </w:t>
      </w:r>
      <w:hyperlink r:id="rId31" w:history="1">
        <w:r w:rsidRPr="0089578E">
          <w:rPr>
            <w:rStyle w:val="Hipervnculo"/>
            <w:rFonts w:ascii="Arial" w:hAnsi="Arial"/>
            <w:sz w:val="22"/>
          </w:rPr>
          <w:t>https://bage.age-geografia.es/ojs//index.php/bage/article/view/2641</w:t>
        </w:r>
      </w:hyperlink>
      <w:r w:rsidRPr="0089578E">
        <w:rPr>
          <w:rFonts w:ascii="Arial" w:hAnsi="Arial"/>
          <w:sz w:val="22"/>
        </w:rPr>
        <w:t>.</w:t>
      </w:r>
    </w:p>
    <w:p w14:paraId="765126A4" w14:textId="77777777" w:rsidR="00315B2B" w:rsidRPr="0089578E" w:rsidRDefault="00315B2B" w:rsidP="00883905">
      <w:pPr>
        <w:pStyle w:val="Prrafodelista"/>
        <w:spacing w:before="120" w:after="200"/>
        <w:ind w:left="-567" w:right="108"/>
        <w:jc w:val="both"/>
        <w:rPr>
          <w:rFonts w:ascii="Arial" w:hAnsi="Arial"/>
          <w:sz w:val="22"/>
        </w:rPr>
      </w:pPr>
    </w:p>
    <w:p w14:paraId="22445CB0" w14:textId="77777777" w:rsidR="00315B2B" w:rsidRPr="0089578E" w:rsidRDefault="00FD2BBF" w:rsidP="00883905">
      <w:pPr>
        <w:pStyle w:val="Prrafodelista"/>
        <w:spacing w:before="120" w:after="200"/>
        <w:ind w:left="-567"/>
        <w:jc w:val="both"/>
        <w:rPr>
          <w:rFonts w:ascii="Arial" w:hAnsi="Arial"/>
          <w:sz w:val="22"/>
          <w:szCs w:val="22"/>
        </w:rPr>
      </w:pPr>
      <w:r w:rsidRPr="005D3D0A">
        <w:rPr>
          <w:rFonts w:ascii="Arial" w:hAnsi="Arial"/>
          <w:sz w:val="22"/>
          <w:szCs w:val="22"/>
        </w:rPr>
        <w:t xml:space="preserve">Organización de las Naciones Unidas </w:t>
      </w:r>
      <w:r w:rsidRPr="005D3D0A">
        <w:rPr>
          <w:rFonts w:ascii="Arial" w:hAnsi="Arial" w:cs="Arial"/>
          <w:sz w:val="22"/>
          <w:szCs w:val="22"/>
        </w:rPr>
        <w:t>[</w:t>
      </w:r>
      <w:r w:rsidRPr="005D3D0A">
        <w:rPr>
          <w:rFonts w:ascii="Arial" w:hAnsi="Arial"/>
          <w:sz w:val="22"/>
          <w:szCs w:val="22"/>
        </w:rPr>
        <w:t>ONU</w:t>
      </w:r>
      <w:r w:rsidRPr="005D3D0A">
        <w:rPr>
          <w:rFonts w:ascii="Arial" w:hAnsi="Arial" w:cs="Arial"/>
          <w:sz w:val="22"/>
          <w:szCs w:val="22"/>
        </w:rPr>
        <w:t>]</w:t>
      </w:r>
      <w:r w:rsidRPr="005D3D0A">
        <w:rPr>
          <w:rFonts w:ascii="Arial" w:hAnsi="Arial"/>
          <w:sz w:val="22"/>
          <w:szCs w:val="22"/>
        </w:rPr>
        <w:t xml:space="preserve"> </w:t>
      </w:r>
      <w:r w:rsidR="00315B2B" w:rsidRPr="005D3D0A">
        <w:rPr>
          <w:rFonts w:ascii="Arial" w:hAnsi="Arial"/>
          <w:sz w:val="22"/>
          <w:szCs w:val="22"/>
        </w:rPr>
        <w:t xml:space="preserve">(1948). </w:t>
      </w:r>
      <w:r w:rsidR="00315B2B" w:rsidRPr="005D3D0A">
        <w:rPr>
          <w:rFonts w:ascii="Arial" w:hAnsi="Arial"/>
          <w:i/>
          <w:sz w:val="22"/>
          <w:szCs w:val="22"/>
        </w:rPr>
        <w:t xml:space="preserve">Declaración </w:t>
      </w:r>
      <w:r w:rsidR="00315B2B" w:rsidRPr="0089578E">
        <w:rPr>
          <w:rFonts w:ascii="Arial" w:hAnsi="Arial"/>
          <w:i/>
          <w:sz w:val="22"/>
          <w:szCs w:val="22"/>
        </w:rPr>
        <w:t>Universal de derechos humanos</w:t>
      </w:r>
      <w:r w:rsidR="00315B2B" w:rsidRPr="0089578E">
        <w:rPr>
          <w:rFonts w:ascii="Arial" w:hAnsi="Arial"/>
          <w:sz w:val="22"/>
          <w:szCs w:val="22"/>
        </w:rPr>
        <w:t>. Recuperado el 17 de octubre de 2019</w:t>
      </w:r>
      <w:r w:rsidR="00692E7A">
        <w:rPr>
          <w:rFonts w:ascii="Arial" w:hAnsi="Arial"/>
          <w:sz w:val="22"/>
          <w:szCs w:val="22"/>
        </w:rPr>
        <w:t>,</w:t>
      </w:r>
      <w:r w:rsidR="00315B2B" w:rsidRPr="0089578E">
        <w:rPr>
          <w:rFonts w:ascii="Arial" w:hAnsi="Arial"/>
          <w:sz w:val="22"/>
          <w:szCs w:val="22"/>
        </w:rPr>
        <w:t xml:space="preserve"> </w:t>
      </w:r>
      <w:r w:rsidR="00315B2B" w:rsidRPr="0089578E">
        <w:rPr>
          <w:rFonts w:ascii="Arial" w:hAnsi="Arial" w:cs="Arial"/>
          <w:sz w:val="22"/>
          <w:szCs w:val="22"/>
        </w:rPr>
        <w:t xml:space="preserve">de: </w:t>
      </w:r>
      <w:hyperlink r:id="rId32" w:history="1">
        <w:r w:rsidR="00315B2B" w:rsidRPr="0089578E">
          <w:rPr>
            <w:rStyle w:val="Hipervnculo"/>
            <w:rFonts w:ascii="Arial" w:hAnsi="Arial" w:cs="Arial"/>
            <w:sz w:val="22"/>
            <w:szCs w:val="22"/>
          </w:rPr>
          <w:t>https://www.un.org/es/universal-declaration-human-rights/</w:t>
        </w:r>
      </w:hyperlink>
    </w:p>
    <w:p w14:paraId="33A49033" w14:textId="77777777" w:rsidR="00315B2B" w:rsidRPr="0089578E" w:rsidRDefault="00315B2B" w:rsidP="00883905">
      <w:pPr>
        <w:pStyle w:val="Prrafodelista"/>
        <w:spacing w:before="120" w:after="200"/>
        <w:ind w:left="-567" w:right="108"/>
        <w:jc w:val="both"/>
        <w:rPr>
          <w:rFonts w:ascii="Arial" w:hAnsi="Arial" w:cs="Arial"/>
          <w:sz w:val="22"/>
          <w:szCs w:val="22"/>
        </w:rPr>
      </w:pPr>
    </w:p>
    <w:p w14:paraId="4B3CBA36" w14:textId="77777777" w:rsidR="00315B2B" w:rsidRPr="00647874" w:rsidRDefault="00315B2B" w:rsidP="00883905">
      <w:pPr>
        <w:pStyle w:val="Prrafodelista"/>
        <w:spacing w:before="120" w:after="200"/>
        <w:ind w:left="-567" w:right="108"/>
        <w:jc w:val="both"/>
        <w:rPr>
          <w:rFonts w:ascii="Arial" w:hAnsi="Arial" w:cs="Arial"/>
          <w:color w:val="000000" w:themeColor="text1"/>
          <w:sz w:val="22"/>
          <w:szCs w:val="22"/>
        </w:rPr>
      </w:pPr>
      <w:r w:rsidRPr="00647874">
        <w:rPr>
          <w:rFonts w:ascii="Arial" w:hAnsi="Arial" w:cs="Arial"/>
          <w:color w:val="000000" w:themeColor="text1"/>
          <w:sz w:val="22"/>
          <w:szCs w:val="22"/>
        </w:rPr>
        <w:t xml:space="preserve">Suprema Corte de la Justicia de la Nación [SCJN] (2015). </w:t>
      </w:r>
      <w:r w:rsidRPr="00647874">
        <w:rPr>
          <w:rFonts w:ascii="Arial" w:hAnsi="Arial" w:cs="Arial"/>
          <w:i/>
          <w:color w:val="000000" w:themeColor="text1"/>
          <w:sz w:val="22"/>
          <w:szCs w:val="22"/>
        </w:rPr>
        <w:t xml:space="preserve">Matrimonio. La ley de cualquier entidad federativa que, por un lado, considere que la finalidad de aquél es la procreación y/o que lo defina como el que se celebra entre un hombre y una mujer, es inconstitucional. </w:t>
      </w:r>
      <w:r w:rsidRPr="00647874">
        <w:rPr>
          <w:rFonts w:ascii="Arial" w:hAnsi="Arial" w:cs="Arial"/>
          <w:color w:val="000000" w:themeColor="text1"/>
          <w:sz w:val="22"/>
          <w:szCs w:val="22"/>
        </w:rPr>
        <w:t xml:space="preserve"> Recuperado el 10 de diciembre de 2019, de: </w:t>
      </w:r>
      <w:hyperlink r:id="rId33" w:history="1">
        <w:r w:rsidRPr="00647874">
          <w:rPr>
            <w:rStyle w:val="Hipervnculo"/>
            <w:rFonts w:ascii="Arial" w:hAnsi="Arial" w:cs="Arial"/>
            <w:color w:val="000000" w:themeColor="text1"/>
            <w:sz w:val="22"/>
            <w:szCs w:val="22"/>
          </w:rPr>
          <w:t>https://sjf.scjn.gob.mx/sjfsist/paginas/DetalleGeneralV2.aspx?ID=2009407&amp;Clase=DetalleTesisBL</w:t>
        </w:r>
      </w:hyperlink>
      <w:r w:rsidRPr="00647874">
        <w:rPr>
          <w:rFonts w:ascii="Arial" w:hAnsi="Arial" w:cs="Arial"/>
          <w:color w:val="000000" w:themeColor="text1"/>
          <w:sz w:val="22"/>
          <w:szCs w:val="22"/>
        </w:rPr>
        <w:tab/>
      </w:r>
    </w:p>
    <w:p w14:paraId="73C0809B" w14:textId="77777777" w:rsidR="00315B2B" w:rsidRDefault="00315B2B" w:rsidP="00315B2B">
      <w:pPr>
        <w:rPr>
          <w:rFonts w:cs="Arial"/>
        </w:rPr>
      </w:pPr>
    </w:p>
    <w:sectPr w:rsidR="00315B2B" w:rsidSect="00883905">
      <w:headerReference w:type="first" r:id="rId34"/>
      <w:type w:val="continuous"/>
      <w:pgSz w:w="12242" w:h="15842" w:code="1"/>
      <w:pgMar w:top="1418" w:right="1327" w:bottom="851" w:left="1701" w:header="567"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8BA3C" w14:textId="77777777" w:rsidR="004E4F56" w:rsidRDefault="004E4F56">
      <w:r>
        <w:separator/>
      </w:r>
    </w:p>
  </w:endnote>
  <w:endnote w:type="continuationSeparator" w:id="0">
    <w:p w14:paraId="566E0CC1" w14:textId="77777777" w:rsidR="004E4F56" w:rsidRDefault="004E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FC20" w14:textId="77777777" w:rsidR="002365B1" w:rsidRPr="00CE7FF1" w:rsidRDefault="009D56C1" w:rsidP="00CE7FF1">
    <w:pPr>
      <w:pStyle w:val="Piedepgina"/>
      <w:ind w:hanging="567"/>
      <w:jc w:val="center"/>
      <w:rPr>
        <w:b/>
        <w:color w:val="002060"/>
        <w:sz w:val="20"/>
        <w:szCs w:val="20"/>
      </w:rPr>
    </w:pPr>
    <w:r w:rsidRPr="00CE7FF1">
      <w:rPr>
        <w:b/>
        <w:noProof/>
        <w:color w:val="002060"/>
        <w:sz w:val="20"/>
        <w:szCs w:val="20"/>
        <w:lang w:val="es-MX" w:eastAsia="es-MX"/>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D055B" w14:textId="77777777" w:rsidR="002365B1" w:rsidRPr="00CE7FF1" w:rsidRDefault="009D56C1" w:rsidP="00CE7FF1">
    <w:pPr>
      <w:pStyle w:val="Piedepgina"/>
      <w:ind w:hanging="567"/>
      <w:jc w:val="center"/>
      <w:rPr>
        <w:b/>
        <w:color w:val="002060"/>
        <w:sz w:val="20"/>
        <w:szCs w:val="20"/>
      </w:rPr>
    </w:pPr>
    <w:r w:rsidRPr="00CE7FF1">
      <w:rPr>
        <w:b/>
        <w:noProof/>
        <w:color w:val="002060"/>
        <w:sz w:val="20"/>
        <w:szCs w:val="20"/>
        <w:lang w:val="es-MX" w:eastAsia="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691A1" w14:textId="77777777" w:rsidR="004E4F56" w:rsidRDefault="004E4F56">
      <w:r>
        <w:separator/>
      </w:r>
    </w:p>
  </w:footnote>
  <w:footnote w:type="continuationSeparator" w:id="0">
    <w:p w14:paraId="173F2E34" w14:textId="77777777" w:rsidR="004E4F56" w:rsidRDefault="004E4F56">
      <w:r>
        <w:continuationSeparator/>
      </w:r>
    </w:p>
  </w:footnote>
  <w:footnote w:id="1">
    <w:p w14:paraId="2C98F88D" w14:textId="77777777" w:rsidR="00C81107" w:rsidRPr="00912F2E" w:rsidRDefault="00C81107" w:rsidP="00CE7FF1">
      <w:pPr>
        <w:pStyle w:val="Textonotapie"/>
        <w:ind w:left="-426" w:hanging="141"/>
        <w:rPr>
          <w:color w:val="FF0000"/>
          <w:lang w:val="es-MX"/>
        </w:rPr>
      </w:pPr>
      <w:r w:rsidRPr="00BE012C">
        <w:rPr>
          <w:rStyle w:val="Refdenotaalpie"/>
        </w:rPr>
        <w:footnoteRef/>
      </w:r>
      <w:r w:rsidRPr="00BE012C">
        <w:t xml:space="preserve"> </w:t>
      </w:r>
      <w:r w:rsidRPr="00BE012C">
        <w:rPr>
          <w:rFonts w:cs="Arial"/>
          <w:sz w:val="18"/>
          <w:szCs w:val="18"/>
        </w:rPr>
        <w:t xml:space="preserve">Las entidades que </w:t>
      </w:r>
      <w:r w:rsidR="00912F2E" w:rsidRPr="00BE012C">
        <w:rPr>
          <w:rFonts w:cs="Arial"/>
          <w:sz w:val="18"/>
          <w:szCs w:val="18"/>
        </w:rPr>
        <w:t xml:space="preserve">han </w:t>
      </w:r>
      <w:r w:rsidR="000C3BFC" w:rsidRPr="00BE012C">
        <w:rPr>
          <w:rFonts w:cs="Arial"/>
          <w:sz w:val="18"/>
          <w:szCs w:val="18"/>
        </w:rPr>
        <w:t>cambiado su Código Civil</w:t>
      </w:r>
      <w:r w:rsidR="00AA1643" w:rsidRPr="00BE012C">
        <w:rPr>
          <w:rFonts w:cs="Arial"/>
          <w:sz w:val="18"/>
          <w:szCs w:val="18"/>
        </w:rPr>
        <w:t xml:space="preserve"> y</w:t>
      </w:r>
      <w:r w:rsidR="000C3BFC" w:rsidRPr="00BE012C">
        <w:rPr>
          <w:rFonts w:cs="Arial"/>
          <w:sz w:val="18"/>
          <w:szCs w:val="18"/>
        </w:rPr>
        <w:t xml:space="preserve"> sus legislaturas han aceptado propuestas de ley para </w:t>
      </w:r>
      <w:r w:rsidR="00912F2E" w:rsidRPr="00BE012C">
        <w:rPr>
          <w:rFonts w:cs="Arial"/>
          <w:sz w:val="18"/>
          <w:szCs w:val="18"/>
        </w:rPr>
        <w:t>legaliza</w:t>
      </w:r>
      <w:r w:rsidR="000C3BFC" w:rsidRPr="00BE012C">
        <w:rPr>
          <w:rFonts w:cs="Arial"/>
          <w:sz w:val="18"/>
          <w:szCs w:val="18"/>
        </w:rPr>
        <w:t>r</w:t>
      </w:r>
      <w:r w:rsidRPr="00BE012C">
        <w:rPr>
          <w:rFonts w:cs="Arial"/>
          <w:sz w:val="18"/>
          <w:szCs w:val="18"/>
        </w:rPr>
        <w:t xml:space="preserve"> el matrimonio entre per</w:t>
      </w:r>
      <w:r w:rsidR="000B6880" w:rsidRPr="00BE012C">
        <w:rPr>
          <w:rFonts w:cs="Arial"/>
          <w:sz w:val="18"/>
          <w:szCs w:val="18"/>
        </w:rPr>
        <w:t>sonas del mismo sexo</w:t>
      </w:r>
      <w:r w:rsidR="004556F8" w:rsidRPr="00BE012C">
        <w:rPr>
          <w:rFonts w:cs="Arial"/>
          <w:sz w:val="18"/>
          <w:szCs w:val="18"/>
        </w:rPr>
        <w:t xml:space="preserve">, o bien, existe un mandato de la Suprema Corte de Justicia de la Nación o del Gobierno del Estado para </w:t>
      </w:r>
      <w:r w:rsidR="006739CE" w:rsidRPr="00BE012C">
        <w:rPr>
          <w:rFonts w:cs="Arial"/>
          <w:sz w:val="18"/>
          <w:szCs w:val="18"/>
        </w:rPr>
        <w:t xml:space="preserve">que </w:t>
      </w:r>
      <w:r w:rsidR="004556F8" w:rsidRPr="00BE012C">
        <w:rPr>
          <w:rFonts w:cs="Arial"/>
          <w:sz w:val="18"/>
          <w:szCs w:val="18"/>
        </w:rPr>
        <w:t xml:space="preserve">estos eventos </w:t>
      </w:r>
      <w:r w:rsidR="000C3BFC" w:rsidRPr="00BE012C">
        <w:rPr>
          <w:rFonts w:cs="Arial"/>
          <w:sz w:val="18"/>
          <w:szCs w:val="18"/>
        </w:rPr>
        <w:t xml:space="preserve">se realicen </w:t>
      </w:r>
      <w:r w:rsidR="004556F8" w:rsidRPr="00BE012C">
        <w:rPr>
          <w:rFonts w:cs="Arial"/>
          <w:sz w:val="18"/>
          <w:szCs w:val="18"/>
        </w:rPr>
        <w:t>sin amparos son: Aguascalientes, Baja California Sur</w:t>
      </w:r>
      <w:r w:rsidR="000C3BFC" w:rsidRPr="00BE012C">
        <w:rPr>
          <w:rFonts w:cs="Arial"/>
          <w:sz w:val="18"/>
          <w:szCs w:val="18"/>
        </w:rPr>
        <w:t>, Campeche, Coahuila</w:t>
      </w:r>
      <w:r w:rsidR="004556F8" w:rsidRPr="00BE012C">
        <w:rPr>
          <w:rFonts w:cs="Arial"/>
          <w:sz w:val="18"/>
          <w:szCs w:val="18"/>
        </w:rPr>
        <w:t>, Colima, Chiapas, Ciudad de México, Guerrero, Hidalgo, Jalisco, Michoacán, Morelos, Nayarit, Nuevo León, Puebla y Quintana Roo.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E006" w14:textId="77777777" w:rsidR="002365B1" w:rsidRPr="003F5C96" w:rsidRDefault="000A4347">
    <w:pPr>
      <w:pStyle w:val="Encabezado"/>
      <w:rPr>
        <w:sz w:val="2"/>
        <w:szCs w:val="2"/>
      </w:rPr>
    </w:pPr>
    <w:r>
      <w:rPr>
        <w:noProof/>
        <w:lang w:val="es-MX" w:eastAsia="es-MX"/>
      </w:rPr>
      <w:drawing>
        <wp:anchor distT="0" distB="0" distL="114300" distR="114300" simplePos="0" relativeHeight="251658240" behindDoc="0" locked="0" layoutInCell="1" allowOverlap="1" wp14:anchorId="19DD2878" wp14:editId="546630A0">
          <wp:simplePos x="0" y="0"/>
          <wp:positionH relativeFrom="margin">
            <wp:posOffset>-352425</wp:posOffset>
          </wp:positionH>
          <wp:positionV relativeFrom="margin">
            <wp:posOffset>-819150</wp:posOffset>
          </wp:positionV>
          <wp:extent cx="775278" cy="805260"/>
          <wp:effectExtent l="0" t="0" r="635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78" cy="805260"/>
                  </a:xfrm>
                  <a:prstGeom prst="rect">
                    <a:avLst/>
                  </a:prstGeom>
                  <a:noFill/>
                  <a:ln>
                    <a:noFill/>
                  </a:ln>
                </pic:spPr>
              </pic:pic>
            </a:graphicData>
          </a:graphic>
        </wp:anchor>
      </w:drawing>
    </w:r>
  </w:p>
  <w:p w14:paraId="71E94195" w14:textId="386980BA" w:rsidR="000A4347" w:rsidRPr="00A36C24" w:rsidRDefault="000A4347" w:rsidP="000A4347">
    <w:pPr>
      <w:spacing w:line="265" w:lineRule="exact"/>
      <w:ind w:right="353"/>
      <w:jc w:val="right"/>
      <w:rPr>
        <w:rFonts w:eastAsia="Arial" w:cs="Arial"/>
        <w:sz w:val="24"/>
      </w:rPr>
    </w:pPr>
    <w:r>
      <w:tab/>
    </w:r>
    <w:r>
      <w:tab/>
    </w:r>
    <w:r w:rsidRPr="00A36C24">
      <w:rPr>
        <w:b/>
        <w:color w:val="002060"/>
        <w:sz w:val="24"/>
      </w:rPr>
      <w:t>COMUNICADO</w:t>
    </w:r>
    <w:r w:rsidRPr="00A36C24">
      <w:rPr>
        <w:b/>
        <w:color w:val="002060"/>
        <w:spacing w:val="-11"/>
        <w:sz w:val="24"/>
      </w:rPr>
      <w:t xml:space="preserve"> </w:t>
    </w:r>
    <w:r w:rsidRPr="00A36C24">
      <w:rPr>
        <w:b/>
        <w:color w:val="002060"/>
        <w:sz w:val="24"/>
      </w:rPr>
      <w:t>DE</w:t>
    </w:r>
    <w:r w:rsidRPr="00A36C24">
      <w:rPr>
        <w:b/>
        <w:color w:val="002060"/>
        <w:spacing w:val="-11"/>
        <w:sz w:val="24"/>
      </w:rPr>
      <w:t xml:space="preserve"> P</w:t>
    </w:r>
    <w:r w:rsidRPr="00A36C24">
      <w:rPr>
        <w:b/>
        <w:color w:val="002060"/>
        <w:spacing w:val="-1"/>
        <w:sz w:val="24"/>
      </w:rPr>
      <w:t>RENSA</w:t>
    </w:r>
    <w:r w:rsidRPr="00A36C24">
      <w:rPr>
        <w:b/>
        <w:color w:val="002060"/>
        <w:spacing w:val="-11"/>
        <w:sz w:val="24"/>
      </w:rPr>
      <w:t xml:space="preserve"> </w:t>
    </w:r>
    <w:r w:rsidRPr="00A36C24">
      <w:rPr>
        <w:b/>
        <w:color w:val="002060"/>
        <w:sz w:val="24"/>
      </w:rPr>
      <w:t xml:space="preserve">NÚM. </w:t>
    </w:r>
    <w:r w:rsidR="004506F1">
      <w:rPr>
        <w:b/>
        <w:color w:val="002060"/>
        <w:sz w:val="24"/>
      </w:rPr>
      <w:t>94</w:t>
    </w:r>
    <w:r w:rsidRPr="00A36C24">
      <w:rPr>
        <w:b/>
        <w:color w:val="002060"/>
        <w:sz w:val="24"/>
      </w:rPr>
      <w:t>/</w:t>
    </w:r>
    <w:r>
      <w:rPr>
        <w:b/>
        <w:color w:val="002060"/>
        <w:sz w:val="24"/>
      </w:rPr>
      <w:t>20</w:t>
    </w:r>
    <w:r w:rsidRPr="00A36C24">
      <w:rPr>
        <w:b/>
        <w:color w:val="002060"/>
        <w:spacing w:val="-11"/>
        <w:sz w:val="24"/>
      </w:rPr>
      <w:t xml:space="preserve"> </w:t>
    </w:r>
  </w:p>
  <w:p w14:paraId="1C85F78E" w14:textId="301B40B1" w:rsidR="000A4347" w:rsidRPr="00A36C24" w:rsidRDefault="000A4347" w:rsidP="000A4347">
    <w:pPr>
      <w:ind w:right="353"/>
      <w:jc w:val="right"/>
      <w:rPr>
        <w:rFonts w:eastAsia="Arial" w:cs="Arial"/>
        <w:sz w:val="24"/>
      </w:rPr>
    </w:pPr>
    <w:r>
      <w:rPr>
        <w:b/>
        <w:color w:val="002060"/>
        <w:sz w:val="24"/>
      </w:rPr>
      <w:t>1</w:t>
    </w:r>
    <w:r w:rsidR="004506F1">
      <w:rPr>
        <w:b/>
        <w:color w:val="002060"/>
        <w:sz w:val="24"/>
      </w:rPr>
      <w:t>3</w:t>
    </w:r>
    <w:r w:rsidRPr="00A36C24">
      <w:rPr>
        <w:b/>
        <w:color w:val="002060"/>
        <w:sz w:val="24"/>
      </w:rPr>
      <w:t xml:space="preserve"> DE FEBRERO</w:t>
    </w:r>
    <w:r w:rsidRPr="00A36C24">
      <w:rPr>
        <w:b/>
        <w:color w:val="002060"/>
        <w:spacing w:val="-6"/>
        <w:sz w:val="24"/>
      </w:rPr>
      <w:t xml:space="preserve"> </w:t>
    </w:r>
    <w:r w:rsidRPr="00A36C24">
      <w:rPr>
        <w:b/>
        <w:color w:val="002060"/>
        <w:sz w:val="24"/>
      </w:rPr>
      <w:t>DE</w:t>
    </w:r>
    <w:r w:rsidRPr="00A36C24">
      <w:rPr>
        <w:b/>
        <w:color w:val="002060"/>
        <w:spacing w:val="-5"/>
        <w:sz w:val="24"/>
      </w:rPr>
      <w:t xml:space="preserve"> </w:t>
    </w:r>
    <w:r w:rsidRPr="00A36C24">
      <w:rPr>
        <w:b/>
        <w:color w:val="002060"/>
        <w:sz w:val="24"/>
      </w:rPr>
      <w:t>20</w:t>
    </w:r>
    <w:r>
      <w:rPr>
        <w:b/>
        <w:color w:val="002060"/>
        <w:sz w:val="24"/>
      </w:rPr>
      <w:t>20</w:t>
    </w:r>
  </w:p>
  <w:p w14:paraId="5A76B0F7" w14:textId="77777777" w:rsidR="000A4347" w:rsidRPr="00A36C24" w:rsidRDefault="000A4347" w:rsidP="000A4347">
    <w:pPr>
      <w:ind w:right="353"/>
      <w:jc w:val="right"/>
      <w:rPr>
        <w:rFonts w:eastAsia="Arial" w:cs="Arial"/>
        <w:sz w:val="24"/>
      </w:rPr>
    </w:pPr>
    <w:r w:rsidRPr="00A36C24">
      <w:rPr>
        <w:b/>
        <w:color w:val="002060"/>
        <w:sz w:val="24"/>
      </w:rPr>
      <w:t>PÁGINA</w:t>
    </w:r>
    <w:r w:rsidRPr="00A36C24">
      <w:rPr>
        <w:b/>
        <w:color w:val="002060"/>
        <w:spacing w:val="-13"/>
        <w:sz w:val="24"/>
      </w:rPr>
      <w:t xml:space="preserve"> </w:t>
    </w:r>
    <w:r w:rsidRPr="00A36C24">
      <w:rPr>
        <w:sz w:val="24"/>
      </w:rPr>
      <w:fldChar w:fldCharType="begin"/>
    </w:r>
    <w:r w:rsidRPr="00A36C24">
      <w:rPr>
        <w:b/>
        <w:color w:val="002060"/>
        <w:sz w:val="24"/>
      </w:rPr>
      <w:instrText xml:space="preserve"> PAGE </w:instrText>
    </w:r>
    <w:r w:rsidRPr="00A36C24">
      <w:rPr>
        <w:sz w:val="24"/>
      </w:rPr>
      <w:fldChar w:fldCharType="separate"/>
    </w:r>
    <w:r w:rsidR="00B115D5">
      <w:rPr>
        <w:b/>
        <w:noProof/>
        <w:color w:val="002060"/>
        <w:sz w:val="24"/>
      </w:rPr>
      <w:t>7</w:t>
    </w:r>
    <w:r w:rsidRPr="00A36C24">
      <w:rPr>
        <w:sz w:val="24"/>
      </w:rPr>
      <w:fldChar w:fldCharType="end"/>
    </w:r>
    <w:r w:rsidRPr="00A36C24">
      <w:rPr>
        <w:b/>
        <w:color w:val="002060"/>
        <w:sz w:val="24"/>
      </w:rPr>
      <w:t>/2</w:t>
    </w:r>
  </w:p>
  <w:p w14:paraId="166FDE48" w14:textId="77777777" w:rsidR="002365B1" w:rsidRDefault="004E4F56" w:rsidP="000A4347">
    <w:pPr>
      <w:pStyle w:val="Encabezado"/>
      <w:tabs>
        <w:tab w:val="center" w:pos="4448"/>
        <w:tab w:val="left" w:pos="6540"/>
      </w:tabs>
      <w:ind w:left="-567"/>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C7C2D" w14:textId="77777777" w:rsidR="00A36C24" w:rsidRDefault="00A36C24" w:rsidP="00CE7FF1">
    <w:pPr>
      <w:framePr w:w="6178" w:hSpace="141" w:vSpace="141" w:wrap="auto" w:vAnchor="page" w:hAnchor="page" w:x="5335" w:y="256"/>
      <w:spacing w:line="265" w:lineRule="exact"/>
      <w:ind w:right="353"/>
      <w:jc w:val="right"/>
      <w:rPr>
        <w:b/>
        <w:color w:val="002060"/>
      </w:rPr>
    </w:pPr>
    <w:r>
      <w:rPr>
        <w:b/>
        <w:color w:val="002060"/>
      </w:rPr>
      <w:tab/>
    </w:r>
    <w:r>
      <w:rPr>
        <w:b/>
        <w:color w:val="002060"/>
      </w:rPr>
      <w:tab/>
    </w:r>
  </w:p>
  <w:p w14:paraId="1A24C54F" w14:textId="77777777" w:rsidR="00A36C24" w:rsidRDefault="00A36C24" w:rsidP="00CE7FF1">
    <w:pPr>
      <w:framePr w:w="6178" w:hSpace="141" w:vSpace="141" w:wrap="auto" w:vAnchor="page" w:hAnchor="page" w:x="5335" w:y="256"/>
      <w:spacing w:line="265" w:lineRule="exact"/>
      <w:ind w:right="353"/>
      <w:jc w:val="right"/>
      <w:rPr>
        <w:b/>
        <w:color w:val="002060"/>
      </w:rPr>
    </w:pPr>
  </w:p>
  <w:p w14:paraId="0FB21DF3" w14:textId="53BF9E61" w:rsidR="00A36C24" w:rsidRPr="00A36C24" w:rsidRDefault="00A36C24" w:rsidP="00CE7FF1">
    <w:pPr>
      <w:framePr w:w="6178" w:hSpace="141" w:vSpace="141" w:wrap="auto" w:vAnchor="page" w:hAnchor="page" w:x="5335" w:y="256"/>
      <w:spacing w:line="265" w:lineRule="exact"/>
      <w:ind w:right="353"/>
      <w:jc w:val="right"/>
      <w:rPr>
        <w:rFonts w:eastAsia="Arial" w:cs="Arial"/>
        <w:sz w:val="24"/>
      </w:rPr>
    </w:pPr>
    <w:r w:rsidRPr="00A36C24">
      <w:rPr>
        <w:b/>
        <w:color w:val="002060"/>
        <w:sz w:val="24"/>
      </w:rPr>
      <w:t>COMUNICADO</w:t>
    </w:r>
    <w:r w:rsidRPr="00A36C24">
      <w:rPr>
        <w:b/>
        <w:color w:val="002060"/>
        <w:spacing w:val="-11"/>
        <w:sz w:val="24"/>
      </w:rPr>
      <w:t xml:space="preserve"> </w:t>
    </w:r>
    <w:r w:rsidRPr="00A36C24">
      <w:rPr>
        <w:b/>
        <w:color w:val="002060"/>
        <w:sz w:val="24"/>
      </w:rPr>
      <w:t>DE</w:t>
    </w:r>
    <w:r w:rsidRPr="00A36C24">
      <w:rPr>
        <w:b/>
        <w:color w:val="002060"/>
        <w:spacing w:val="-11"/>
        <w:sz w:val="24"/>
      </w:rPr>
      <w:t xml:space="preserve"> P</w:t>
    </w:r>
    <w:r w:rsidRPr="00A36C24">
      <w:rPr>
        <w:b/>
        <w:color w:val="002060"/>
        <w:spacing w:val="-1"/>
        <w:sz w:val="24"/>
      </w:rPr>
      <w:t>RENSA</w:t>
    </w:r>
    <w:r w:rsidRPr="00A36C24">
      <w:rPr>
        <w:b/>
        <w:color w:val="002060"/>
        <w:spacing w:val="-11"/>
        <w:sz w:val="24"/>
      </w:rPr>
      <w:t xml:space="preserve"> </w:t>
    </w:r>
    <w:r w:rsidRPr="00A36C24">
      <w:rPr>
        <w:b/>
        <w:color w:val="002060"/>
        <w:sz w:val="24"/>
      </w:rPr>
      <w:t xml:space="preserve">NÚM. </w:t>
    </w:r>
    <w:r w:rsidR="004506F1">
      <w:rPr>
        <w:b/>
        <w:color w:val="002060"/>
        <w:sz w:val="24"/>
      </w:rPr>
      <w:t>92</w:t>
    </w:r>
    <w:r w:rsidRPr="00A36C24">
      <w:rPr>
        <w:b/>
        <w:color w:val="002060"/>
        <w:sz w:val="24"/>
      </w:rPr>
      <w:t>/</w:t>
    </w:r>
    <w:r w:rsidR="00CE7FF1">
      <w:rPr>
        <w:b/>
        <w:color w:val="002060"/>
        <w:sz w:val="24"/>
      </w:rPr>
      <w:t>20</w:t>
    </w:r>
    <w:r w:rsidRPr="00A36C24">
      <w:rPr>
        <w:b/>
        <w:color w:val="002060"/>
        <w:spacing w:val="-11"/>
        <w:sz w:val="24"/>
      </w:rPr>
      <w:t xml:space="preserve"> </w:t>
    </w:r>
  </w:p>
  <w:p w14:paraId="3F33BA3C" w14:textId="22B094B4" w:rsidR="00A36C24" w:rsidRPr="00A36C24" w:rsidRDefault="00CE7FF1" w:rsidP="00CE7FF1">
    <w:pPr>
      <w:framePr w:w="6178" w:hSpace="141" w:vSpace="141" w:wrap="auto" w:vAnchor="page" w:hAnchor="page" w:x="5335" w:y="256"/>
      <w:ind w:right="353"/>
      <w:jc w:val="right"/>
      <w:rPr>
        <w:rFonts w:eastAsia="Arial" w:cs="Arial"/>
        <w:sz w:val="24"/>
      </w:rPr>
    </w:pPr>
    <w:r>
      <w:rPr>
        <w:b/>
        <w:color w:val="002060"/>
        <w:sz w:val="24"/>
      </w:rPr>
      <w:t>1</w:t>
    </w:r>
    <w:r w:rsidR="004506F1">
      <w:rPr>
        <w:b/>
        <w:color w:val="002060"/>
        <w:sz w:val="24"/>
      </w:rPr>
      <w:t>3</w:t>
    </w:r>
    <w:r w:rsidR="00A36C24" w:rsidRPr="00A36C24">
      <w:rPr>
        <w:b/>
        <w:color w:val="002060"/>
        <w:sz w:val="24"/>
      </w:rPr>
      <w:t xml:space="preserve"> DE FEBRERO</w:t>
    </w:r>
    <w:r w:rsidR="00A36C24" w:rsidRPr="00A36C24">
      <w:rPr>
        <w:b/>
        <w:color w:val="002060"/>
        <w:spacing w:val="-6"/>
        <w:sz w:val="24"/>
      </w:rPr>
      <w:t xml:space="preserve"> </w:t>
    </w:r>
    <w:r w:rsidR="00A36C24" w:rsidRPr="00A36C24">
      <w:rPr>
        <w:b/>
        <w:color w:val="002060"/>
        <w:sz w:val="24"/>
      </w:rPr>
      <w:t>DE</w:t>
    </w:r>
    <w:r w:rsidR="00A36C24" w:rsidRPr="00A36C24">
      <w:rPr>
        <w:b/>
        <w:color w:val="002060"/>
        <w:spacing w:val="-5"/>
        <w:sz w:val="24"/>
      </w:rPr>
      <w:t xml:space="preserve"> </w:t>
    </w:r>
    <w:r w:rsidR="00A36C24" w:rsidRPr="00A36C24">
      <w:rPr>
        <w:b/>
        <w:color w:val="002060"/>
        <w:sz w:val="24"/>
      </w:rPr>
      <w:t>20</w:t>
    </w:r>
    <w:r>
      <w:rPr>
        <w:b/>
        <w:color w:val="002060"/>
        <w:sz w:val="24"/>
      </w:rPr>
      <w:t>20</w:t>
    </w:r>
  </w:p>
  <w:p w14:paraId="3E7C6A29" w14:textId="77777777" w:rsidR="00A36C24" w:rsidRPr="00A36C24" w:rsidRDefault="00A36C24" w:rsidP="00CE7FF1">
    <w:pPr>
      <w:framePr w:w="6178" w:hSpace="141" w:vSpace="141" w:wrap="auto" w:vAnchor="page" w:hAnchor="page" w:x="5335" w:y="256"/>
      <w:ind w:right="353"/>
      <w:jc w:val="right"/>
      <w:rPr>
        <w:rFonts w:eastAsia="Arial" w:cs="Arial"/>
        <w:sz w:val="24"/>
      </w:rPr>
    </w:pPr>
    <w:r w:rsidRPr="00A36C24">
      <w:rPr>
        <w:b/>
        <w:color w:val="002060"/>
        <w:sz w:val="24"/>
      </w:rPr>
      <w:t>PÁGINA</w:t>
    </w:r>
    <w:r w:rsidRPr="00A36C24">
      <w:rPr>
        <w:b/>
        <w:color w:val="002060"/>
        <w:spacing w:val="-13"/>
        <w:sz w:val="24"/>
      </w:rPr>
      <w:t xml:space="preserve"> </w:t>
    </w:r>
    <w:r w:rsidRPr="00A36C24">
      <w:rPr>
        <w:sz w:val="24"/>
      </w:rPr>
      <w:fldChar w:fldCharType="begin"/>
    </w:r>
    <w:r w:rsidRPr="00A36C24">
      <w:rPr>
        <w:b/>
        <w:color w:val="002060"/>
        <w:sz w:val="24"/>
      </w:rPr>
      <w:instrText xml:space="preserve"> PAGE </w:instrText>
    </w:r>
    <w:r w:rsidRPr="00A36C24">
      <w:rPr>
        <w:sz w:val="24"/>
      </w:rPr>
      <w:fldChar w:fldCharType="separate"/>
    </w:r>
    <w:r w:rsidR="00B115D5">
      <w:rPr>
        <w:b/>
        <w:noProof/>
        <w:color w:val="002060"/>
        <w:sz w:val="24"/>
      </w:rPr>
      <w:t>1</w:t>
    </w:r>
    <w:r w:rsidRPr="00A36C24">
      <w:rPr>
        <w:sz w:val="24"/>
      </w:rPr>
      <w:fldChar w:fldCharType="end"/>
    </w:r>
    <w:r w:rsidRPr="00A36C24">
      <w:rPr>
        <w:b/>
        <w:color w:val="002060"/>
        <w:sz w:val="24"/>
      </w:rPr>
      <w:t>/2</w:t>
    </w:r>
  </w:p>
  <w:p w14:paraId="460182FB" w14:textId="77777777" w:rsidR="00A36C24" w:rsidRPr="00A36C24" w:rsidRDefault="00A36C24" w:rsidP="00CE7FF1">
    <w:pPr>
      <w:framePr w:w="6178" w:hSpace="141" w:vSpace="141" w:wrap="auto" w:vAnchor="page" w:hAnchor="page" w:x="5335" w:y="256"/>
      <w:tabs>
        <w:tab w:val="left" w:pos="6447"/>
      </w:tabs>
      <w:spacing w:line="265" w:lineRule="exact"/>
      <w:ind w:right="353"/>
      <w:rPr>
        <w:rFonts w:eastAsia="Arial" w:cs="Arial"/>
        <w:sz w:val="24"/>
      </w:rPr>
    </w:pPr>
    <w:r w:rsidRPr="00A36C24">
      <w:rPr>
        <w:rFonts w:eastAsia="Arial" w:cs="Arial"/>
        <w:sz w:val="24"/>
      </w:rPr>
      <w:tab/>
    </w:r>
  </w:p>
  <w:p w14:paraId="430ABA17" w14:textId="77777777" w:rsidR="002365B1" w:rsidRDefault="00CE7FF1" w:rsidP="00CE7FF1">
    <w:pPr>
      <w:pStyle w:val="Encabezado"/>
      <w:ind w:hanging="567"/>
      <w:rPr>
        <w:noProof/>
      </w:rPr>
    </w:pPr>
    <w:r>
      <w:rPr>
        <w:noProof/>
        <w:lang w:val="es-MX" w:eastAsia="es-MX"/>
      </w:rPr>
      <w:drawing>
        <wp:inline distT="0" distB="0" distL="0" distR="0" wp14:anchorId="6F644A55" wp14:editId="75848168">
          <wp:extent cx="775278" cy="805260"/>
          <wp:effectExtent l="0" t="0" r="635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99" cy="8123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0A3E" w14:textId="77777777" w:rsidR="00A36C24" w:rsidRDefault="00A36C24" w:rsidP="00CE7FF1">
    <w:pPr>
      <w:pStyle w:val="Encabezado"/>
      <w:ind w:hanging="426"/>
      <w:jc w:val="center"/>
      <w:rPr>
        <w:noProof/>
      </w:rPr>
    </w:pPr>
    <w:r>
      <w:rPr>
        <w:noProof/>
        <w:lang w:val="es-MX" w:eastAsia="es-MX"/>
      </w:rPr>
      <w:drawing>
        <wp:inline distT="0" distB="0" distL="0" distR="0" wp14:anchorId="77656D96" wp14:editId="092A089C">
          <wp:extent cx="775278" cy="80526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99" cy="812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6798A"/>
    <w:multiLevelType w:val="hybridMultilevel"/>
    <w:tmpl w:val="E01C1990"/>
    <w:lvl w:ilvl="0" w:tplc="080A0001">
      <w:start w:val="1"/>
      <w:numFmt w:val="bullet"/>
      <w:lvlText w:val=""/>
      <w:lvlJc w:val="left"/>
      <w:pPr>
        <w:ind w:left="5541" w:hanging="360"/>
      </w:pPr>
      <w:rPr>
        <w:rFonts w:ascii="Symbol" w:hAnsi="Symbol" w:hint="default"/>
      </w:rPr>
    </w:lvl>
    <w:lvl w:ilvl="1" w:tplc="080A0003" w:tentative="1">
      <w:start w:val="1"/>
      <w:numFmt w:val="bullet"/>
      <w:lvlText w:val="o"/>
      <w:lvlJc w:val="left"/>
      <w:pPr>
        <w:ind w:left="6261" w:hanging="360"/>
      </w:pPr>
      <w:rPr>
        <w:rFonts w:ascii="Courier New" w:hAnsi="Courier New" w:cs="Courier New" w:hint="default"/>
      </w:rPr>
    </w:lvl>
    <w:lvl w:ilvl="2" w:tplc="080A0005" w:tentative="1">
      <w:start w:val="1"/>
      <w:numFmt w:val="bullet"/>
      <w:lvlText w:val=""/>
      <w:lvlJc w:val="left"/>
      <w:pPr>
        <w:ind w:left="6981" w:hanging="360"/>
      </w:pPr>
      <w:rPr>
        <w:rFonts w:ascii="Wingdings" w:hAnsi="Wingdings" w:hint="default"/>
      </w:rPr>
    </w:lvl>
    <w:lvl w:ilvl="3" w:tplc="080A0001" w:tentative="1">
      <w:start w:val="1"/>
      <w:numFmt w:val="bullet"/>
      <w:lvlText w:val=""/>
      <w:lvlJc w:val="left"/>
      <w:pPr>
        <w:ind w:left="7701" w:hanging="360"/>
      </w:pPr>
      <w:rPr>
        <w:rFonts w:ascii="Symbol" w:hAnsi="Symbol" w:hint="default"/>
      </w:rPr>
    </w:lvl>
    <w:lvl w:ilvl="4" w:tplc="080A0003" w:tentative="1">
      <w:start w:val="1"/>
      <w:numFmt w:val="bullet"/>
      <w:lvlText w:val="o"/>
      <w:lvlJc w:val="left"/>
      <w:pPr>
        <w:ind w:left="8421" w:hanging="360"/>
      </w:pPr>
      <w:rPr>
        <w:rFonts w:ascii="Courier New" w:hAnsi="Courier New" w:cs="Courier New" w:hint="default"/>
      </w:rPr>
    </w:lvl>
    <w:lvl w:ilvl="5" w:tplc="080A0005" w:tentative="1">
      <w:start w:val="1"/>
      <w:numFmt w:val="bullet"/>
      <w:lvlText w:val=""/>
      <w:lvlJc w:val="left"/>
      <w:pPr>
        <w:ind w:left="9141" w:hanging="360"/>
      </w:pPr>
      <w:rPr>
        <w:rFonts w:ascii="Wingdings" w:hAnsi="Wingdings" w:hint="default"/>
      </w:rPr>
    </w:lvl>
    <w:lvl w:ilvl="6" w:tplc="080A0001" w:tentative="1">
      <w:start w:val="1"/>
      <w:numFmt w:val="bullet"/>
      <w:lvlText w:val=""/>
      <w:lvlJc w:val="left"/>
      <w:pPr>
        <w:ind w:left="9861" w:hanging="360"/>
      </w:pPr>
      <w:rPr>
        <w:rFonts w:ascii="Symbol" w:hAnsi="Symbol" w:hint="default"/>
      </w:rPr>
    </w:lvl>
    <w:lvl w:ilvl="7" w:tplc="080A0003" w:tentative="1">
      <w:start w:val="1"/>
      <w:numFmt w:val="bullet"/>
      <w:lvlText w:val="o"/>
      <w:lvlJc w:val="left"/>
      <w:pPr>
        <w:ind w:left="10581" w:hanging="360"/>
      </w:pPr>
      <w:rPr>
        <w:rFonts w:ascii="Courier New" w:hAnsi="Courier New" w:cs="Courier New" w:hint="default"/>
      </w:rPr>
    </w:lvl>
    <w:lvl w:ilvl="8" w:tplc="080A0005" w:tentative="1">
      <w:start w:val="1"/>
      <w:numFmt w:val="bullet"/>
      <w:lvlText w:val=""/>
      <w:lvlJc w:val="left"/>
      <w:pPr>
        <w:ind w:left="1130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B2B"/>
    <w:rsid w:val="00003FE8"/>
    <w:rsid w:val="000067D8"/>
    <w:rsid w:val="0001376D"/>
    <w:rsid w:val="000608E5"/>
    <w:rsid w:val="00092B91"/>
    <w:rsid w:val="000935CD"/>
    <w:rsid w:val="000A4347"/>
    <w:rsid w:val="000B6880"/>
    <w:rsid w:val="000C3BFC"/>
    <w:rsid w:val="000F2D36"/>
    <w:rsid w:val="000F72A4"/>
    <w:rsid w:val="00104D2F"/>
    <w:rsid w:val="00157D68"/>
    <w:rsid w:val="001616AE"/>
    <w:rsid w:val="0016205E"/>
    <w:rsid w:val="00165038"/>
    <w:rsid w:val="001853D1"/>
    <w:rsid w:val="0019582A"/>
    <w:rsid w:val="001A5892"/>
    <w:rsid w:val="001D00DA"/>
    <w:rsid w:val="001E11CF"/>
    <w:rsid w:val="001F1B98"/>
    <w:rsid w:val="002155F1"/>
    <w:rsid w:val="00257AEF"/>
    <w:rsid w:val="00280C65"/>
    <w:rsid w:val="002B1D80"/>
    <w:rsid w:val="002B3663"/>
    <w:rsid w:val="002D662C"/>
    <w:rsid w:val="00303BDA"/>
    <w:rsid w:val="00315B2B"/>
    <w:rsid w:val="00340FDE"/>
    <w:rsid w:val="003623A1"/>
    <w:rsid w:val="003736AA"/>
    <w:rsid w:val="003755E0"/>
    <w:rsid w:val="003768C2"/>
    <w:rsid w:val="003822D9"/>
    <w:rsid w:val="003A70E1"/>
    <w:rsid w:val="003B3796"/>
    <w:rsid w:val="003B4F59"/>
    <w:rsid w:val="003C7A8F"/>
    <w:rsid w:val="003D6208"/>
    <w:rsid w:val="003E03D2"/>
    <w:rsid w:val="003E5357"/>
    <w:rsid w:val="003E60BF"/>
    <w:rsid w:val="004323A4"/>
    <w:rsid w:val="00446F4E"/>
    <w:rsid w:val="004506F1"/>
    <w:rsid w:val="004556F8"/>
    <w:rsid w:val="00482C5E"/>
    <w:rsid w:val="00495CFC"/>
    <w:rsid w:val="004B204F"/>
    <w:rsid w:val="004B4FBA"/>
    <w:rsid w:val="004C007C"/>
    <w:rsid w:val="004D183D"/>
    <w:rsid w:val="004D6BC4"/>
    <w:rsid w:val="004E4F56"/>
    <w:rsid w:val="00506FC5"/>
    <w:rsid w:val="00517EAE"/>
    <w:rsid w:val="00525F2F"/>
    <w:rsid w:val="00526FE8"/>
    <w:rsid w:val="005345AB"/>
    <w:rsid w:val="00550FE4"/>
    <w:rsid w:val="00571A22"/>
    <w:rsid w:val="00581402"/>
    <w:rsid w:val="005B18A1"/>
    <w:rsid w:val="005C7E19"/>
    <w:rsid w:val="005D3D0A"/>
    <w:rsid w:val="005D4EA9"/>
    <w:rsid w:val="006739CE"/>
    <w:rsid w:val="00692E7A"/>
    <w:rsid w:val="006D4832"/>
    <w:rsid w:val="006D6916"/>
    <w:rsid w:val="006E409F"/>
    <w:rsid w:val="007219E5"/>
    <w:rsid w:val="007426F2"/>
    <w:rsid w:val="0075695F"/>
    <w:rsid w:val="00767A68"/>
    <w:rsid w:val="0077473B"/>
    <w:rsid w:val="00785634"/>
    <w:rsid w:val="007B3B69"/>
    <w:rsid w:val="007C245C"/>
    <w:rsid w:val="007C47D0"/>
    <w:rsid w:val="00834CC2"/>
    <w:rsid w:val="008436E0"/>
    <w:rsid w:val="00850E0A"/>
    <w:rsid w:val="00851C89"/>
    <w:rsid w:val="00883905"/>
    <w:rsid w:val="008B1EB9"/>
    <w:rsid w:val="008B4B97"/>
    <w:rsid w:val="008B5189"/>
    <w:rsid w:val="008B7D56"/>
    <w:rsid w:val="008F0E6E"/>
    <w:rsid w:val="008F6885"/>
    <w:rsid w:val="00902721"/>
    <w:rsid w:val="00904F6D"/>
    <w:rsid w:val="00912F2E"/>
    <w:rsid w:val="0091345E"/>
    <w:rsid w:val="00940AF6"/>
    <w:rsid w:val="00956861"/>
    <w:rsid w:val="00971EE6"/>
    <w:rsid w:val="00977834"/>
    <w:rsid w:val="00991287"/>
    <w:rsid w:val="00997651"/>
    <w:rsid w:val="009C3354"/>
    <w:rsid w:val="009C7B8A"/>
    <w:rsid w:val="009D56C1"/>
    <w:rsid w:val="00A02C7A"/>
    <w:rsid w:val="00A12C3B"/>
    <w:rsid w:val="00A2388F"/>
    <w:rsid w:val="00A36C24"/>
    <w:rsid w:val="00A55174"/>
    <w:rsid w:val="00A63E16"/>
    <w:rsid w:val="00A703CA"/>
    <w:rsid w:val="00A70D07"/>
    <w:rsid w:val="00A92484"/>
    <w:rsid w:val="00A926A9"/>
    <w:rsid w:val="00A9454B"/>
    <w:rsid w:val="00AA1643"/>
    <w:rsid w:val="00AF606A"/>
    <w:rsid w:val="00B115D5"/>
    <w:rsid w:val="00B34558"/>
    <w:rsid w:val="00B45820"/>
    <w:rsid w:val="00B90ABA"/>
    <w:rsid w:val="00BA5E7F"/>
    <w:rsid w:val="00BC638F"/>
    <w:rsid w:val="00BE012C"/>
    <w:rsid w:val="00BE5A42"/>
    <w:rsid w:val="00C027F5"/>
    <w:rsid w:val="00C27C08"/>
    <w:rsid w:val="00C44F26"/>
    <w:rsid w:val="00C567B8"/>
    <w:rsid w:val="00C56E33"/>
    <w:rsid w:val="00C72225"/>
    <w:rsid w:val="00C81107"/>
    <w:rsid w:val="00C82402"/>
    <w:rsid w:val="00CC2F6F"/>
    <w:rsid w:val="00CE7FF1"/>
    <w:rsid w:val="00D41D2C"/>
    <w:rsid w:val="00D4386B"/>
    <w:rsid w:val="00D54EDF"/>
    <w:rsid w:val="00D55F11"/>
    <w:rsid w:val="00D63AEB"/>
    <w:rsid w:val="00D67CCF"/>
    <w:rsid w:val="00D72BBA"/>
    <w:rsid w:val="00D753B0"/>
    <w:rsid w:val="00D929A9"/>
    <w:rsid w:val="00D93B12"/>
    <w:rsid w:val="00DA1F49"/>
    <w:rsid w:val="00DA371B"/>
    <w:rsid w:val="00DC17DF"/>
    <w:rsid w:val="00DD1685"/>
    <w:rsid w:val="00DE567E"/>
    <w:rsid w:val="00DF0268"/>
    <w:rsid w:val="00E05772"/>
    <w:rsid w:val="00E057DB"/>
    <w:rsid w:val="00E13776"/>
    <w:rsid w:val="00E1500B"/>
    <w:rsid w:val="00E233B7"/>
    <w:rsid w:val="00E32B38"/>
    <w:rsid w:val="00E365C5"/>
    <w:rsid w:val="00E44399"/>
    <w:rsid w:val="00E65EC4"/>
    <w:rsid w:val="00E8233E"/>
    <w:rsid w:val="00EB5DA4"/>
    <w:rsid w:val="00EC427D"/>
    <w:rsid w:val="00EE64DC"/>
    <w:rsid w:val="00F03B50"/>
    <w:rsid w:val="00F812AE"/>
    <w:rsid w:val="00F92D76"/>
    <w:rsid w:val="00FB154B"/>
    <w:rsid w:val="00FB5605"/>
    <w:rsid w:val="00FD26F6"/>
    <w:rsid w:val="00FD2BBF"/>
    <w:rsid w:val="00FE5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ACE9C"/>
  <w15:chartTrackingRefBased/>
  <w15:docId w15:val="{0C53453A-58CA-4CF8-821E-585EE1EF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2B"/>
    <w:pPr>
      <w:spacing w:after="0" w:line="240" w:lineRule="auto"/>
      <w:jc w:val="both"/>
    </w:pPr>
    <w:rPr>
      <w:rFonts w:ascii="Arial" w:eastAsia="Times New Roman" w:hAnsi="Arial"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15B2B"/>
    <w:rPr>
      <w:color w:val="0000FF"/>
      <w:u w:val="single"/>
    </w:rPr>
  </w:style>
  <w:style w:type="paragraph" w:styleId="Encabezado">
    <w:name w:val="header"/>
    <w:basedOn w:val="Normal"/>
    <w:link w:val="EncabezadoCar"/>
    <w:unhideWhenUsed/>
    <w:rsid w:val="00315B2B"/>
    <w:pPr>
      <w:tabs>
        <w:tab w:val="center" w:pos="4419"/>
        <w:tab w:val="right" w:pos="8838"/>
      </w:tabs>
    </w:pPr>
  </w:style>
  <w:style w:type="character" w:customStyle="1" w:styleId="EncabezadoCar">
    <w:name w:val="Encabezado Car"/>
    <w:basedOn w:val="Fuentedeprrafopredeter"/>
    <w:link w:val="Encabezado"/>
    <w:rsid w:val="00315B2B"/>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315B2B"/>
    <w:pPr>
      <w:tabs>
        <w:tab w:val="center" w:pos="4419"/>
        <w:tab w:val="right" w:pos="8838"/>
      </w:tabs>
    </w:pPr>
  </w:style>
  <w:style w:type="character" w:customStyle="1" w:styleId="PiedepginaCar">
    <w:name w:val="Pie de página Car"/>
    <w:basedOn w:val="Fuentedeprrafopredeter"/>
    <w:link w:val="Piedepgina"/>
    <w:uiPriority w:val="99"/>
    <w:rsid w:val="00315B2B"/>
    <w:rPr>
      <w:rFonts w:ascii="Arial" w:eastAsia="Times New Roman" w:hAnsi="Arial" w:cs="Times New Roman"/>
      <w:szCs w:val="24"/>
      <w:lang w:val="es-ES" w:eastAsia="es-ES"/>
    </w:rPr>
  </w:style>
  <w:style w:type="paragraph" w:styleId="Prrafodelista">
    <w:name w:val="List Paragraph"/>
    <w:basedOn w:val="Normal"/>
    <w:uiPriority w:val="34"/>
    <w:qFormat/>
    <w:rsid w:val="00315B2B"/>
    <w:pPr>
      <w:ind w:left="720"/>
      <w:contextualSpacing/>
      <w:jc w:val="left"/>
    </w:pPr>
    <w:rPr>
      <w:rFonts w:ascii="Times New Roman" w:hAnsi="Times New Roman"/>
      <w:sz w:val="24"/>
    </w:rPr>
  </w:style>
  <w:style w:type="paragraph" w:styleId="Textoindependiente">
    <w:name w:val="Body Text"/>
    <w:basedOn w:val="Normal"/>
    <w:link w:val="TextoindependienteCar"/>
    <w:rsid w:val="00315B2B"/>
    <w:rPr>
      <w:rFonts w:cs="Arial"/>
    </w:rPr>
  </w:style>
  <w:style w:type="character" w:customStyle="1" w:styleId="TextoindependienteCar">
    <w:name w:val="Texto independiente Car"/>
    <w:basedOn w:val="Fuentedeprrafopredeter"/>
    <w:link w:val="Textoindependiente"/>
    <w:rsid w:val="00315B2B"/>
    <w:rPr>
      <w:rFonts w:ascii="Arial" w:eastAsia="Times New Roman" w:hAnsi="Arial" w:cs="Arial"/>
      <w:szCs w:val="24"/>
      <w:lang w:val="es-ES" w:eastAsia="es-ES"/>
    </w:rPr>
  </w:style>
  <w:style w:type="character" w:styleId="Refdecomentario">
    <w:name w:val="annotation reference"/>
    <w:basedOn w:val="Fuentedeprrafopredeter"/>
    <w:uiPriority w:val="99"/>
    <w:semiHidden/>
    <w:unhideWhenUsed/>
    <w:rsid w:val="0075695F"/>
    <w:rPr>
      <w:sz w:val="16"/>
      <w:szCs w:val="16"/>
    </w:rPr>
  </w:style>
  <w:style w:type="paragraph" w:styleId="Textocomentario">
    <w:name w:val="annotation text"/>
    <w:basedOn w:val="Normal"/>
    <w:link w:val="TextocomentarioCar"/>
    <w:uiPriority w:val="99"/>
    <w:semiHidden/>
    <w:unhideWhenUsed/>
    <w:rsid w:val="0075695F"/>
    <w:rPr>
      <w:sz w:val="20"/>
      <w:szCs w:val="20"/>
    </w:rPr>
  </w:style>
  <w:style w:type="character" w:customStyle="1" w:styleId="TextocomentarioCar">
    <w:name w:val="Texto comentario Car"/>
    <w:basedOn w:val="Fuentedeprrafopredeter"/>
    <w:link w:val="Textocomentario"/>
    <w:uiPriority w:val="99"/>
    <w:semiHidden/>
    <w:rsid w:val="0075695F"/>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5695F"/>
    <w:rPr>
      <w:b/>
      <w:bCs/>
    </w:rPr>
  </w:style>
  <w:style w:type="character" w:customStyle="1" w:styleId="AsuntodelcomentarioCar">
    <w:name w:val="Asunto del comentario Car"/>
    <w:basedOn w:val="TextocomentarioCar"/>
    <w:link w:val="Asuntodelcomentario"/>
    <w:uiPriority w:val="99"/>
    <w:semiHidden/>
    <w:rsid w:val="0075695F"/>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7569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695F"/>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FD2BBF"/>
    <w:rPr>
      <w:color w:val="800080" w:themeColor="followedHyperlink"/>
      <w:u w:val="single"/>
    </w:rPr>
  </w:style>
  <w:style w:type="paragraph" w:styleId="Textonotapie">
    <w:name w:val="footnote text"/>
    <w:basedOn w:val="Normal"/>
    <w:link w:val="TextonotapieCar"/>
    <w:uiPriority w:val="99"/>
    <w:semiHidden/>
    <w:unhideWhenUsed/>
    <w:rsid w:val="00C81107"/>
    <w:rPr>
      <w:sz w:val="20"/>
      <w:szCs w:val="20"/>
    </w:rPr>
  </w:style>
  <w:style w:type="character" w:customStyle="1" w:styleId="TextonotapieCar">
    <w:name w:val="Texto nota pie Car"/>
    <w:basedOn w:val="Fuentedeprrafopredeter"/>
    <w:link w:val="Textonotapie"/>
    <w:uiPriority w:val="99"/>
    <w:semiHidden/>
    <w:rsid w:val="00C81107"/>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C81107"/>
    <w:rPr>
      <w:vertAlign w:val="superscript"/>
    </w:rPr>
  </w:style>
  <w:style w:type="paragraph" w:styleId="NormalWeb">
    <w:name w:val="Normal (Web)"/>
    <w:basedOn w:val="Normal"/>
    <w:uiPriority w:val="99"/>
    <w:rsid w:val="00DA371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yperlink" Target="https://es.wikipedia.org/wiki/2009" TargetMode="External"/><Relationship Id="rId33" Type="http://schemas.openxmlformats.org/officeDocument/2006/relationships/hyperlink" Target="https://sjf.scjn.gob.mx/sjfsist/paginas/DetalleGeneralV2.aspx?ID=2009407&amp;Clase=DetalleTesisBL"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es.wikipedia.org/wiki/21_de_diciembre" TargetMode="External"/><Relationship Id="rId32" Type="http://schemas.openxmlformats.org/officeDocument/2006/relationships/hyperlink" Target="https://www.un.org/es/universal-declaration-human-rights/"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https://bage.age-geografia.es/ojs//index.php/bage/article/view/2641"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header" Target="header2.xml"/><Relationship Id="rId27" Type="http://schemas.openxmlformats.org/officeDocument/2006/relationships/image" Target="media/image9.png"/><Relationship Id="rId30" Type="http://schemas.openxmlformats.org/officeDocument/2006/relationships/hyperlink" Target="https://nam04.safelinks.protection.outlook.com/?url=https%3A%2F%2Fdatos.gob.mx%2Fbusca%2Fdataset%2Fproyecciones-de-la-poblacion-de-mexico-y-de-las-entidades-federativas-2016-2050&amp;data=01%7C01%7CRITA.VELAZQUEZ%40inegi.org.mx%7C7e0d270253a948ae9c2508d798447681%7Cca8f09f5335e4fc58041f5b472a02eef%7C1&amp;sdata=0tM%2FSiSPkBGdqcg1hxKP9mFp9SjLianUKRapnC4NLMY%3D&amp;reserved=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A6A6B-DDA2-4EDE-9B58-52DA0ECC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1769</Words>
  <Characters>9733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Díaz</dc:creator>
  <cp:keywords/>
  <dc:description/>
  <cp:lastModifiedBy>COLLAZO GALLEGOS MARCOS DARIO</cp:lastModifiedBy>
  <cp:revision>2</cp:revision>
  <cp:lastPrinted>2020-02-13T18:48:00Z</cp:lastPrinted>
  <dcterms:created xsi:type="dcterms:W3CDTF">2020-02-13T19:16:00Z</dcterms:created>
  <dcterms:modified xsi:type="dcterms:W3CDTF">2020-02-13T19:16:00Z</dcterms:modified>
</cp:coreProperties>
</file>