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drawings/drawing4.xml" ContentType="application/vnd.openxmlformats-officedocument.drawingml.chartshap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62087" w14:textId="493D88F7" w:rsidR="00B052DA" w:rsidRDefault="00B052DA" w:rsidP="00DE6E6F">
      <w:pPr>
        <w:spacing w:after="0" w:line="240" w:lineRule="auto"/>
        <w:ind w:right="-518"/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</w:pPr>
      <w:r w:rsidRPr="00B052DA"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  <w:t>ESTADÍSTICAS A PROPÓSITO DEL DÍA NACIONAL DE LA VIVIENDA</w:t>
      </w:r>
      <w:r w:rsidR="00DE6E6F">
        <w:rPr>
          <w:rStyle w:val="Refdenotaalpie"/>
          <w:rFonts w:ascii="Arial" w:eastAsiaTheme="majorEastAsia" w:hAnsi="Arial" w:cs="Arial"/>
          <w:b/>
          <w:bCs/>
          <w:color w:val="000000" w:themeColor="text1"/>
          <w:sz w:val="24"/>
          <w:szCs w:val="20"/>
        </w:rPr>
        <w:footnoteReference w:id="1"/>
      </w:r>
      <w:r w:rsidRPr="00B052DA"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  <w:t xml:space="preserve"> </w:t>
      </w:r>
    </w:p>
    <w:p w14:paraId="4A17872D" w14:textId="4C79201B" w:rsidR="00B052DA" w:rsidRDefault="00B052DA" w:rsidP="00DE6E6F">
      <w:pPr>
        <w:spacing w:after="0" w:line="240" w:lineRule="auto"/>
        <w:ind w:right="-518"/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</w:pPr>
      <w:r w:rsidRPr="00B052DA"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  <w:t>(7 DE FEBRERO)</w: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  <w:t xml:space="preserve"> </w:t>
      </w:r>
    </w:p>
    <w:p w14:paraId="5DD18ABE" w14:textId="6E82596D" w:rsidR="00B052DA" w:rsidRDefault="00B052DA" w:rsidP="00DE6E6F">
      <w:pPr>
        <w:spacing w:after="0" w:line="240" w:lineRule="auto"/>
        <w:ind w:right="-518"/>
        <w:jc w:val="center"/>
        <w:rPr>
          <w:rFonts w:ascii="Arial" w:eastAsiaTheme="majorEastAsia" w:hAnsi="Arial" w:cs="Arial"/>
          <w:color w:val="000000" w:themeColor="text1"/>
          <w:sz w:val="24"/>
          <w:szCs w:val="20"/>
        </w:rPr>
      </w:pPr>
      <w:r w:rsidRPr="00262CEC">
        <w:rPr>
          <w:rFonts w:ascii="Arial" w:eastAsiaTheme="majorEastAsia" w:hAnsi="Arial" w:cs="Arial"/>
          <w:color w:val="000000" w:themeColor="text1"/>
          <w:sz w:val="24"/>
          <w:szCs w:val="20"/>
        </w:rPr>
        <w:t>DATOS NACIONALES</w:t>
      </w:r>
      <w:bookmarkStart w:id="0" w:name="_GoBack"/>
      <w:bookmarkEnd w:id="0"/>
    </w:p>
    <w:p w14:paraId="19ADAE53" w14:textId="77777777" w:rsidR="00DE6E6F" w:rsidRPr="00262CEC" w:rsidRDefault="00DE6E6F" w:rsidP="00DE6E6F">
      <w:pPr>
        <w:spacing w:after="0" w:line="240" w:lineRule="auto"/>
        <w:ind w:right="-518"/>
        <w:jc w:val="center"/>
        <w:rPr>
          <w:rFonts w:ascii="Arial" w:eastAsiaTheme="majorEastAsia" w:hAnsi="Arial" w:cs="Arial"/>
          <w:color w:val="000000" w:themeColor="text1"/>
          <w:sz w:val="24"/>
          <w:szCs w:val="20"/>
        </w:rPr>
      </w:pPr>
    </w:p>
    <w:p w14:paraId="23486ED4" w14:textId="72EC2E9A" w:rsidR="00B052DA" w:rsidRPr="00E32E1F" w:rsidRDefault="00B052DA" w:rsidP="00DE6E6F">
      <w:pPr>
        <w:pStyle w:val="Prrafodelista"/>
        <w:numPr>
          <w:ilvl w:val="0"/>
          <w:numId w:val="1"/>
        </w:numPr>
        <w:spacing w:after="0" w:line="240" w:lineRule="auto"/>
        <w:ind w:left="142" w:right="191" w:hanging="284"/>
        <w:contextualSpacing w:val="0"/>
        <w:jc w:val="both"/>
        <w:rPr>
          <w:rFonts w:ascii="Arial" w:hAnsi="Arial" w:cs="Arial"/>
          <w:bCs/>
        </w:rPr>
      </w:pPr>
      <w:r w:rsidRPr="00E32E1F">
        <w:rPr>
          <w:rFonts w:ascii="Arial" w:hAnsi="Arial" w:cs="Arial"/>
          <w:bCs/>
        </w:rPr>
        <w:t xml:space="preserve">En </w:t>
      </w:r>
      <w:r>
        <w:rPr>
          <w:rFonts w:ascii="Arial" w:hAnsi="Arial" w:cs="Arial"/>
          <w:bCs/>
        </w:rPr>
        <w:t>2018 las actividades económicas relacionadas con el sector de la vivienda aportaron el 6.0% al PIB de la economía nacional</w:t>
      </w:r>
      <w:r w:rsidR="00B1412C">
        <w:rPr>
          <w:rFonts w:ascii="Arial" w:hAnsi="Arial" w:cs="Arial"/>
          <w:bCs/>
        </w:rPr>
        <w:t>.</w:t>
      </w:r>
    </w:p>
    <w:p w14:paraId="2CD0874B" w14:textId="605BF88F" w:rsidR="00B052DA" w:rsidRDefault="00B052DA" w:rsidP="00DE6E6F">
      <w:pPr>
        <w:pStyle w:val="Prrafodelista"/>
        <w:numPr>
          <w:ilvl w:val="0"/>
          <w:numId w:val="1"/>
        </w:numPr>
        <w:tabs>
          <w:tab w:val="left" w:pos="2091"/>
        </w:tabs>
        <w:spacing w:after="0" w:line="240" w:lineRule="auto"/>
        <w:ind w:left="142" w:right="191" w:hanging="284"/>
        <w:contextualSpacing w:val="0"/>
        <w:jc w:val="both"/>
        <w:rPr>
          <w:rFonts w:ascii="Arial" w:hAnsi="Arial" w:cs="Arial"/>
          <w:bCs/>
        </w:rPr>
      </w:pPr>
      <w:r w:rsidRPr="00E32E1F">
        <w:rPr>
          <w:rFonts w:ascii="Arial" w:hAnsi="Arial" w:cs="Arial"/>
          <w:bCs/>
        </w:rPr>
        <w:t xml:space="preserve">En 2018, </w:t>
      </w:r>
      <w:r>
        <w:rPr>
          <w:rFonts w:ascii="Arial" w:hAnsi="Arial" w:cs="Arial"/>
          <w:bCs/>
        </w:rPr>
        <w:t>la vivienda representó más de la mitad de toda la construcción del país</w:t>
      </w:r>
      <w:r w:rsidR="00CF4AE1">
        <w:rPr>
          <w:rFonts w:ascii="Arial" w:hAnsi="Arial" w:cs="Arial"/>
          <w:bCs/>
        </w:rPr>
        <w:t>.</w:t>
      </w:r>
    </w:p>
    <w:p w14:paraId="4264D36B" w14:textId="37056638" w:rsidR="00B1412C" w:rsidRDefault="00CF4AE1" w:rsidP="00DE6E6F">
      <w:pPr>
        <w:pStyle w:val="Prrafodelista"/>
        <w:numPr>
          <w:ilvl w:val="0"/>
          <w:numId w:val="1"/>
        </w:numPr>
        <w:tabs>
          <w:tab w:val="left" w:pos="2091"/>
        </w:tabs>
        <w:spacing w:after="0" w:line="240" w:lineRule="auto"/>
        <w:ind w:left="142" w:right="191" w:hanging="28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 el mismo año, l</w:t>
      </w:r>
      <w:r w:rsidR="00B052DA">
        <w:rPr>
          <w:rFonts w:ascii="Arial" w:hAnsi="Arial" w:cs="Arial"/>
          <w:bCs/>
        </w:rPr>
        <w:t>as actividades del sector de la vivienda requirieron</w:t>
      </w:r>
      <w:r w:rsidR="00B052DA" w:rsidRPr="00372FDC">
        <w:rPr>
          <w:rFonts w:ascii="Arial" w:hAnsi="Arial" w:cs="Arial"/>
          <w:bCs/>
        </w:rPr>
        <w:t xml:space="preserve"> 2 millones 467 mil puestos de trabajo</w:t>
      </w:r>
      <w:r w:rsidR="00B052DA">
        <w:rPr>
          <w:rFonts w:ascii="Arial" w:hAnsi="Arial" w:cs="Arial"/>
          <w:bCs/>
        </w:rPr>
        <w:t>.</w:t>
      </w:r>
    </w:p>
    <w:p w14:paraId="2D1565D0" w14:textId="77777777" w:rsidR="00DE6E6F" w:rsidRDefault="00DE6E6F" w:rsidP="00DE6E6F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7AB24CF5" w14:textId="5606D016" w:rsidR="00B1412C" w:rsidRDefault="00B052DA" w:rsidP="00DE6E6F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 w:rsidRPr="00B1412C">
        <w:rPr>
          <w:rFonts w:ascii="Arial" w:hAnsi="Arial" w:cs="Arial"/>
        </w:rPr>
        <w:t>Para cuantifica</w:t>
      </w:r>
      <w:r w:rsidR="00B1412C">
        <w:rPr>
          <w:rFonts w:ascii="Arial" w:hAnsi="Arial" w:cs="Arial"/>
        </w:rPr>
        <w:t>r</w:t>
      </w:r>
      <w:r w:rsidRPr="00B1412C">
        <w:rPr>
          <w:rFonts w:ascii="Arial" w:hAnsi="Arial" w:cs="Arial"/>
        </w:rPr>
        <w:t xml:space="preserve"> las actividades relacionadas con el sector de la vivienda y el diseño de indicadores derivados se utilizan las recomendaciones de la contabilidad satélite, basadas en el Sistema de Cuentas Nacionales 2008 (SCN 2008)</w:t>
      </w:r>
      <w:r w:rsidRPr="00B1412C">
        <w:rPr>
          <w:rStyle w:val="Refdenotaalpie"/>
          <w:rFonts w:ascii="Arial" w:hAnsi="Arial" w:cs="Arial"/>
        </w:rPr>
        <w:t xml:space="preserve"> </w:t>
      </w:r>
      <w:r w:rsidR="00DE6E6F">
        <w:rPr>
          <w:rFonts w:ascii="Arial" w:hAnsi="Arial" w:cs="Arial"/>
        </w:rPr>
        <w:t xml:space="preserve"> y en </w:t>
      </w:r>
      <w:r w:rsidRPr="00B1412C">
        <w:rPr>
          <w:rFonts w:ascii="Arial" w:hAnsi="Arial" w:cs="Arial"/>
        </w:rPr>
        <w:t>el Sistema de Clasificación Industrial de América del Norte 2013 (SCIAN 2013).</w:t>
      </w:r>
    </w:p>
    <w:p w14:paraId="0AAC1357" w14:textId="77777777" w:rsidR="00DE6E6F" w:rsidRDefault="00DE6E6F" w:rsidP="00DE6E6F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39EBAF39" w14:textId="7977A60C" w:rsidR="00B1412C" w:rsidRDefault="00B1412C" w:rsidP="00DE6E6F">
      <w:pPr>
        <w:spacing w:after="0" w:line="240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B1412C">
        <w:rPr>
          <w:rFonts w:ascii="Arial" w:hAnsi="Arial" w:cs="Arial"/>
        </w:rPr>
        <w:t>a Cuenta Satélite de Vivienda de México</w:t>
      </w:r>
      <w:r w:rsidR="00DE6E6F">
        <w:rPr>
          <w:rFonts w:ascii="Arial" w:hAnsi="Arial" w:cs="Arial"/>
        </w:rPr>
        <w:t xml:space="preserve"> (CSVM)</w:t>
      </w:r>
      <w:r w:rsidRPr="00B1412C">
        <w:rPr>
          <w:rFonts w:ascii="Arial" w:hAnsi="Arial" w:cs="Arial"/>
        </w:rPr>
        <w:t>, elaborada por el Instituto Nacional de Estadística y Geografía (INEGI)</w:t>
      </w:r>
      <w:r w:rsidR="000823F0">
        <w:rPr>
          <w:rFonts w:ascii="Arial" w:hAnsi="Arial" w:cs="Arial"/>
        </w:rPr>
        <w:t>,</w:t>
      </w:r>
      <w:r w:rsidRPr="00B1412C">
        <w:rPr>
          <w:rFonts w:ascii="Arial" w:hAnsi="Arial" w:cs="Arial"/>
        </w:rPr>
        <w:t xml:space="preserve"> ofrece información recurrente y oportuna sobre los aspectos económicos de las actividades relacionadas con la edificación, uso, adquisición y regulación de la vivienda</w:t>
      </w:r>
      <w:r>
        <w:rPr>
          <w:rFonts w:ascii="Arial" w:hAnsi="Arial" w:cs="Arial"/>
        </w:rPr>
        <w:t>.</w:t>
      </w:r>
    </w:p>
    <w:p w14:paraId="5FD2B1B1" w14:textId="77777777" w:rsidR="00DE6E6F" w:rsidRDefault="00DE6E6F" w:rsidP="00DE6E6F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28DE5ACB" w14:textId="4BB3FCDE" w:rsidR="00B1412C" w:rsidRDefault="00B052DA" w:rsidP="00DE6E6F">
      <w:pPr>
        <w:spacing w:after="0" w:line="240" w:lineRule="auto"/>
        <w:ind w:left="-567" w:right="-518"/>
        <w:jc w:val="both"/>
        <w:rPr>
          <w:rFonts w:ascii="Arial" w:hAnsi="Arial" w:cs="Arial"/>
          <w:bCs/>
        </w:rPr>
      </w:pPr>
      <w:r w:rsidRPr="00B1412C">
        <w:rPr>
          <w:rFonts w:ascii="Arial" w:hAnsi="Arial" w:cs="Arial"/>
          <w:bCs/>
        </w:rPr>
        <w:t>De acuerdo con la C</w:t>
      </w:r>
      <w:r w:rsidR="00DE6E6F">
        <w:rPr>
          <w:rFonts w:ascii="Arial" w:hAnsi="Arial" w:cs="Arial"/>
          <w:bCs/>
        </w:rPr>
        <w:t>SVM</w:t>
      </w:r>
      <w:r w:rsidRPr="00B1412C">
        <w:rPr>
          <w:rFonts w:ascii="Arial" w:hAnsi="Arial" w:cs="Arial"/>
          <w:bCs/>
        </w:rPr>
        <w:t xml:space="preserve">, </w:t>
      </w:r>
      <w:r w:rsidR="000823F0">
        <w:rPr>
          <w:rFonts w:ascii="Arial" w:hAnsi="Arial" w:cs="Arial"/>
          <w:bCs/>
        </w:rPr>
        <w:t>en 2018</w:t>
      </w:r>
      <w:r w:rsidR="00BB6735">
        <w:rPr>
          <w:rFonts w:ascii="Arial" w:hAnsi="Arial" w:cs="Arial"/>
          <w:bCs/>
        </w:rPr>
        <w:t>,</w:t>
      </w:r>
      <w:r w:rsidR="000823F0">
        <w:rPr>
          <w:rFonts w:ascii="Arial" w:hAnsi="Arial" w:cs="Arial"/>
          <w:bCs/>
        </w:rPr>
        <w:t xml:space="preserve"> </w:t>
      </w:r>
      <w:r w:rsidRPr="00B1412C">
        <w:rPr>
          <w:rFonts w:ascii="Arial" w:hAnsi="Arial" w:cs="Arial"/>
          <w:bCs/>
        </w:rPr>
        <w:t>el sector de la vivienda generó un PIB de 1 billón 327 mil 20 millones de pesos corrientes, cantidad equivale</w:t>
      </w:r>
      <w:r w:rsidR="00DE6E6F">
        <w:rPr>
          <w:rFonts w:ascii="Arial" w:hAnsi="Arial" w:cs="Arial"/>
          <w:bCs/>
        </w:rPr>
        <w:t>nte</w:t>
      </w:r>
      <w:r w:rsidRPr="00B1412C">
        <w:rPr>
          <w:rFonts w:ascii="Arial" w:hAnsi="Arial" w:cs="Arial"/>
          <w:bCs/>
        </w:rPr>
        <w:t xml:space="preserve"> al 6.0% del PIB del país. </w:t>
      </w:r>
    </w:p>
    <w:p w14:paraId="2CDBE029" w14:textId="77777777" w:rsidR="00DE6E6F" w:rsidRDefault="00DE6E6F" w:rsidP="00DE6E6F">
      <w:pPr>
        <w:spacing w:after="0" w:line="240" w:lineRule="auto"/>
        <w:ind w:left="-567" w:right="-518"/>
        <w:jc w:val="both"/>
        <w:rPr>
          <w:rFonts w:ascii="Arial" w:hAnsi="Arial" w:cs="Arial"/>
          <w:bCs/>
        </w:rPr>
      </w:pPr>
    </w:p>
    <w:p w14:paraId="5331BC20" w14:textId="0A3349E8" w:rsidR="00CF4AE1" w:rsidRDefault="00CF4AE1" w:rsidP="00DE6E6F">
      <w:pPr>
        <w:spacing w:after="0" w:line="240" w:lineRule="auto"/>
        <w:ind w:left="-567" w:right="-5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La participación de la vivienda en el PIB se eleva al </w:t>
      </w:r>
      <w:r w:rsidRPr="0040622F">
        <w:rPr>
          <w:rFonts w:ascii="Arial" w:hAnsi="Arial" w:cs="Arial"/>
          <w:bCs/>
        </w:rPr>
        <w:t>13.</w:t>
      </w:r>
      <w:r>
        <w:rPr>
          <w:rFonts w:ascii="Arial" w:hAnsi="Arial" w:cs="Arial"/>
          <w:bCs/>
        </w:rPr>
        <w:t>1</w:t>
      </w:r>
      <w:r w:rsidRPr="0040622F">
        <w:rPr>
          <w:rFonts w:ascii="Arial" w:hAnsi="Arial" w:cs="Arial"/>
          <w:bCs/>
        </w:rPr>
        <w:t>%</w:t>
      </w:r>
      <w:r>
        <w:rPr>
          <w:rFonts w:ascii="Arial" w:hAnsi="Arial" w:cs="Arial"/>
          <w:bCs/>
        </w:rPr>
        <w:t xml:space="preserve"> si se incluye el monto correspondiente al alquiler imputado.</w:t>
      </w:r>
    </w:p>
    <w:p w14:paraId="6CA707EB" w14:textId="77777777" w:rsidR="00DE6E6F" w:rsidRDefault="00DE6E6F" w:rsidP="00DE6E6F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588A87F7" w14:textId="5EE7BCE1" w:rsidR="00262CEC" w:rsidRDefault="00B052DA" w:rsidP="00DE6E6F">
      <w:pPr>
        <w:spacing w:after="0" w:line="240" w:lineRule="auto"/>
        <w:ind w:left="-567" w:right="-518"/>
        <w:jc w:val="both"/>
        <w:rPr>
          <w:rFonts w:ascii="Arial" w:hAnsi="Arial" w:cs="Arial"/>
          <w:bCs/>
        </w:rPr>
      </w:pPr>
      <w:r w:rsidRPr="00B1412C">
        <w:rPr>
          <w:rFonts w:ascii="Arial" w:hAnsi="Arial" w:cs="Arial"/>
          <w:bCs/>
        </w:rPr>
        <w:t>E</w:t>
      </w:r>
      <w:r w:rsidR="00262CEC">
        <w:rPr>
          <w:rFonts w:ascii="Arial" w:hAnsi="Arial" w:cs="Arial"/>
          <w:bCs/>
        </w:rPr>
        <w:t>n 2018, e</w:t>
      </w:r>
      <w:r w:rsidRPr="00B1412C">
        <w:rPr>
          <w:rFonts w:ascii="Arial" w:hAnsi="Arial" w:cs="Arial"/>
          <w:bCs/>
        </w:rPr>
        <w:t>l sector de la vivienda se co</w:t>
      </w:r>
      <w:r w:rsidR="00262CEC">
        <w:rPr>
          <w:rFonts w:ascii="Arial" w:hAnsi="Arial" w:cs="Arial"/>
          <w:bCs/>
        </w:rPr>
        <w:t xml:space="preserve">nformó de la siguiente manera: </w:t>
      </w:r>
      <w:r w:rsidR="00CF4AE1">
        <w:rPr>
          <w:rFonts w:ascii="Arial" w:hAnsi="Arial" w:cs="Arial"/>
          <w:bCs/>
        </w:rPr>
        <w:t xml:space="preserve">la </w:t>
      </w:r>
      <w:r w:rsidRPr="00B1412C">
        <w:rPr>
          <w:rFonts w:ascii="Arial" w:hAnsi="Arial" w:cs="Arial"/>
          <w:bCs/>
        </w:rPr>
        <w:t>autoproducción</w:t>
      </w:r>
      <w:r w:rsidR="00262CEC">
        <w:rPr>
          <w:rFonts w:ascii="Arial" w:hAnsi="Arial" w:cs="Arial"/>
          <w:bCs/>
        </w:rPr>
        <w:t xml:space="preserve"> aportó el </w:t>
      </w:r>
      <w:r w:rsidRPr="00B1412C">
        <w:rPr>
          <w:rFonts w:ascii="Arial" w:hAnsi="Arial" w:cs="Arial"/>
          <w:bCs/>
        </w:rPr>
        <w:t>40.7%</w:t>
      </w:r>
      <w:r w:rsidR="00262CEC">
        <w:rPr>
          <w:rFonts w:ascii="Arial" w:hAnsi="Arial" w:cs="Arial"/>
          <w:bCs/>
        </w:rPr>
        <w:t xml:space="preserve">; </w:t>
      </w:r>
      <w:r w:rsidRPr="00B1412C">
        <w:rPr>
          <w:rFonts w:ascii="Arial" w:hAnsi="Arial" w:cs="Arial"/>
          <w:bCs/>
        </w:rPr>
        <w:t>la producción de la industria inmobiliaria particip</w:t>
      </w:r>
      <w:r w:rsidR="00262CEC">
        <w:rPr>
          <w:rFonts w:ascii="Arial" w:hAnsi="Arial" w:cs="Arial"/>
          <w:bCs/>
        </w:rPr>
        <w:t>ó</w:t>
      </w:r>
      <w:r w:rsidRPr="00B1412C">
        <w:rPr>
          <w:rFonts w:ascii="Arial" w:hAnsi="Arial" w:cs="Arial"/>
          <w:bCs/>
        </w:rPr>
        <w:t xml:space="preserve"> con 24.7%</w:t>
      </w:r>
      <w:r w:rsidR="00262CEC">
        <w:rPr>
          <w:rFonts w:ascii="Arial" w:hAnsi="Arial" w:cs="Arial"/>
          <w:bCs/>
        </w:rPr>
        <w:t>;</w:t>
      </w:r>
      <w:r w:rsidRPr="00B1412C">
        <w:rPr>
          <w:rFonts w:ascii="Arial" w:hAnsi="Arial" w:cs="Arial"/>
          <w:bCs/>
        </w:rPr>
        <w:t xml:space="preserve"> el alquiler efectivo de vivienda</w:t>
      </w:r>
      <w:r w:rsidR="00262CEC">
        <w:rPr>
          <w:rFonts w:ascii="Arial" w:hAnsi="Arial" w:cs="Arial"/>
          <w:bCs/>
        </w:rPr>
        <w:t xml:space="preserve"> </w:t>
      </w:r>
      <w:r w:rsidRPr="00B1412C">
        <w:rPr>
          <w:rFonts w:ascii="Arial" w:hAnsi="Arial" w:cs="Arial"/>
          <w:bCs/>
        </w:rPr>
        <w:t>con</w:t>
      </w:r>
      <w:r w:rsidR="00262CEC">
        <w:rPr>
          <w:rFonts w:ascii="Arial" w:hAnsi="Arial" w:cs="Arial"/>
          <w:bCs/>
        </w:rPr>
        <w:t>tribuyó con</w:t>
      </w:r>
      <w:r w:rsidR="00DE6E6F">
        <w:rPr>
          <w:rFonts w:ascii="Arial" w:hAnsi="Arial" w:cs="Arial"/>
          <w:bCs/>
        </w:rPr>
        <w:t xml:space="preserve"> </w:t>
      </w:r>
      <w:r w:rsidRPr="00B1412C">
        <w:rPr>
          <w:rFonts w:ascii="Arial" w:hAnsi="Arial" w:cs="Arial"/>
          <w:bCs/>
        </w:rPr>
        <w:t>24.5%</w:t>
      </w:r>
      <w:r w:rsidR="00262CEC">
        <w:rPr>
          <w:rFonts w:ascii="Arial" w:hAnsi="Arial" w:cs="Arial"/>
          <w:bCs/>
        </w:rPr>
        <w:t>;</w:t>
      </w:r>
      <w:r w:rsidRPr="00B1412C">
        <w:rPr>
          <w:rFonts w:ascii="Arial" w:hAnsi="Arial" w:cs="Arial"/>
          <w:bCs/>
        </w:rPr>
        <w:t xml:space="preserve"> las actividades relacionadas con el financiamiento a la adquisición y mejoramiento de las casas</w:t>
      </w:r>
      <w:r w:rsidR="00262CEC">
        <w:rPr>
          <w:rFonts w:ascii="Arial" w:hAnsi="Arial" w:cs="Arial"/>
          <w:bCs/>
        </w:rPr>
        <w:t xml:space="preserve"> </w:t>
      </w:r>
      <w:r w:rsidRPr="00B1412C">
        <w:rPr>
          <w:rFonts w:ascii="Arial" w:hAnsi="Arial" w:cs="Arial"/>
          <w:bCs/>
        </w:rPr>
        <w:t>aportaron 3.6%</w:t>
      </w:r>
      <w:r w:rsidR="00262CEC">
        <w:rPr>
          <w:rFonts w:ascii="Arial" w:hAnsi="Arial" w:cs="Arial"/>
          <w:bCs/>
        </w:rPr>
        <w:t xml:space="preserve">; </w:t>
      </w:r>
      <w:r w:rsidRPr="00B1412C">
        <w:rPr>
          <w:rFonts w:ascii="Arial" w:hAnsi="Arial" w:cs="Arial"/>
          <w:bCs/>
        </w:rPr>
        <w:t xml:space="preserve">la autoconstrucción, ampliación y mejoramiento de la vivienda </w:t>
      </w:r>
      <w:r w:rsidR="00262CEC">
        <w:rPr>
          <w:rFonts w:ascii="Arial" w:hAnsi="Arial" w:cs="Arial"/>
          <w:bCs/>
        </w:rPr>
        <w:t>contribuy</w:t>
      </w:r>
      <w:r w:rsidR="00CF4AE1">
        <w:rPr>
          <w:rFonts w:ascii="Arial" w:hAnsi="Arial" w:cs="Arial"/>
          <w:bCs/>
        </w:rPr>
        <w:t xml:space="preserve">eron </w:t>
      </w:r>
      <w:r w:rsidR="00262CEC">
        <w:rPr>
          <w:rFonts w:ascii="Arial" w:hAnsi="Arial" w:cs="Arial"/>
          <w:bCs/>
        </w:rPr>
        <w:t>con</w:t>
      </w:r>
      <w:r w:rsidRPr="00B1412C">
        <w:rPr>
          <w:rFonts w:ascii="Arial" w:hAnsi="Arial" w:cs="Arial"/>
          <w:bCs/>
        </w:rPr>
        <w:t xml:space="preserve"> 2.1%; los servicios inmobiliarios participaron con 1.9% y </w:t>
      </w:r>
      <w:r w:rsidR="00CF4AE1">
        <w:rPr>
          <w:rFonts w:ascii="Arial" w:hAnsi="Arial" w:cs="Arial"/>
          <w:bCs/>
        </w:rPr>
        <w:t>el 2.5% restante correspond</w:t>
      </w:r>
      <w:r w:rsidR="00DE6E6F">
        <w:rPr>
          <w:rFonts w:ascii="Arial" w:hAnsi="Arial" w:cs="Arial"/>
          <w:bCs/>
        </w:rPr>
        <w:t>ió</w:t>
      </w:r>
      <w:r w:rsidR="00CF4AE1">
        <w:rPr>
          <w:rFonts w:ascii="Arial" w:hAnsi="Arial" w:cs="Arial"/>
          <w:bCs/>
        </w:rPr>
        <w:t xml:space="preserve"> a </w:t>
      </w:r>
      <w:r w:rsidRPr="00B1412C">
        <w:rPr>
          <w:rFonts w:ascii="Arial" w:hAnsi="Arial" w:cs="Arial"/>
          <w:bCs/>
        </w:rPr>
        <w:t>otras actividades</w:t>
      </w:r>
      <w:r w:rsidR="00CF4AE1">
        <w:rPr>
          <w:rFonts w:ascii="Arial" w:hAnsi="Arial" w:cs="Arial"/>
          <w:bCs/>
        </w:rPr>
        <w:t>.</w:t>
      </w:r>
    </w:p>
    <w:p w14:paraId="7B45DCF9" w14:textId="77777777" w:rsidR="00DE6E6F" w:rsidRDefault="00DE6E6F" w:rsidP="00DE6E6F">
      <w:pPr>
        <w:spacing w:after="0" w:line="240" w:lineRule="auto"/>
        <w:ind w:left="-567" w:right="-518"/>
        <w:jc w:val="both"/>
        <w:rPr>
          <w:rFonts w:ascii="Arial" w:hAnsi="Arial" w:cs="Arial"/>
          <w:bCs/>
        </w:rPr>
      </w:pPr>
    </w:p>
    <w:p w14:paraId="5ABD3C1A" w14:textId="739FCC3F" w:rsidR="00B052DA" w:rsidRDefault="00CF4AE1" w:rsidP="00DE6E6F">
      <w:pPr>
        <w:spacing w:after="0" w:line="240" w:lineRule="auto"/>
        <w:ind w:left="-567" w:right="-5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 el mismo año, l</w:t>
      </w:r>
      <w:r w:rsidR="00B052DA">
        <w:rPr>
          <w:rFonts w:ascii="Arial" w:hAnsi="Arial" w:cs="Arial"/>
          <w:bCs/>
        </w:rPr>
        <w:t xml:space="preserve">as actividades económicas del sector vivienda </w:t>
      </w:r>
      <w:r w:rsidR="00DE6E6F">
        <w:rPr>
          <w:rFonts w:ascii="Arial" w:hAnsi="Arial" w:cs="Arial"/>
          <w:bCs/>
        </w:rPr>
        <w:t>requirieron</w:t>
      </w:r>
      <w:r w:rsidR="00B052DA" w:rsidRPr="008F5FE7">
        <w:rPr>
          <w:rFonts w:ascii="Arial" w:hAnsi="Arial" w:cs="Arial"/>
          <w:bCs/>
        </w:rPr>
        <w:t xml:space="preserve"> 2 millones 4</w:t>
      </w:r>
      <w:r w:rsidR="00B052DA">
        <w:rPr>
          <w:rFonts w:ascii="Arial" w:hAnsi="Arial" w:cs="Arial"/>
          <w:bCs/>
        </w:rPr>
        <w:t>67</w:t>
      </w:r>
      <w:r w:rsidR="00B052DA" w:rsidRPr="008F5FE7">
        <w:rPr>
          <w:rFonts w:ascii="Arial" w:hAnsi="Arial" w:cs="Arial"/>
          <w:bCs/>
        </w:rPr>
        <w:t xml:space="preserve"> mil puestos de trabajo, </w:t>
      </w:r>
      <w:r w:rsidR="00B052DA">
        <w:rPr>
          <w:rFonts w:ascii="Arial" w:hAnsi="Arial" w:cs="Arial"/>
          <w:bCs/>
        </w:rPr>
        <w:t>cantidad equivale</w:t>
      </w:r>
      <w:r w:rsidR="00DE6E6F">
        <w:rPr>
          <w:rFonts w:ascii="Arial" w:hAnsi="Arial" w:cs="Arial"/>
          <w:bCs/>
        </w:rPr>
        <w:t>nte</w:t>
      </w:r>
      <w:r w:rsidR="00B052DA">
        <w:rPr>
          <w:rFonts w:ascii="Arial" w:hAnsi="Arial" w:cs="Arial"/>
          <w:bCs/>
        </w:rPr>
        <w:t xml:space="preserve"> al </w:t>
      </w:r>
      <w:r w:rsidR="00B052DA" w:rsidRPr="008F5FE7">
        <w:rPr>
          <w:rFonts w:ascii="Arial" w:hAnsi="Arial" w:cs="Arial"/>
          <w:bCs/>
        </w:rPr>
        <w:t>5.7% del total nacional</w:t>
      </w:r>
      <w:r w:rsidR="00B052DA">
        <w:rPr>
          <w:rFonts w:ascii="Arial" w:hAnsi="Arial" w:cs="Arial"/>
          <w:bCs/>
        </w:rPr>
        <w:t>.</w:t>
      </w:r>
      <w:r w:rsidR="00B052DA" w:rsidRPr="008F5FE7">
        <w:rPr>
          <w:rFonts w:ascii="Arial" w:hAnsi="Arial" w:cs="Arial"/>
          <w:bCs/>
        </w:rPr>
        <w:t xml:space="preserve"> Del total, 89.</w:t>
      </w:r>
      <w:r w:rsidR="00B052DA">
        <w:rPr>
          <w:rFonts w:ascii="Arial" w:hAnsi="Arial" w:cs="Arial"/>
          <w:bCs/>
        </w:rPr>
        <w:t>1</w:t>
      </w:r>
      <w:r w:rsidR="00B052DA" w:rsidRPr="008F5FE7">
        <w:rPr>
          <w:rFonts w:ascii="Arial" w:hAnsi="Arial" w:cs="Arial"/>
          <w:bCs/>
        </w:rPr>
        <w:t xml:space="preserve">% </w:t>
      </w:r>
      <w:r w:rsidR="00B052DA">
        <w:rPr>
          <w:rFonts w:ascii="Arial" w:hAnsi="Arial" w:cs="Arial"/>
          <w:bCs/>
        </w:rPr>
        <w:t>están involucrados en</w:t>
      </w:r>
      <w:r w:rsidR="00B052DA" w:rsidRPr="008F5FE7">
        <w:rPr>
          <w:rFonts w:ascii="Arial" w:hAnsi="Arial" w:cs="Arial"/>
          <w:bCs/>
        </w:rPr>
        <w:t xml:space="preserve"> </w:t>
      </w:r>
      <w:r w:rsidR="00B052DA">
        <w:rPr>
          <w:rFonts w:ascii="Arial" w:hAnsi="Arial" w:cs="Arial"/>
          <w:bCs/>
        </w:rPr>
        <w:t xml:space="preserve">el </w:t>
      </w:r>
      <w:r w:rsidR="00B052DA" w:rsidRPr="008F5FE7">
        <w:rPr>
          <w:rFonts w:ascii="Arial" w:hAnsi="Arial" w:cs="Arial"/>
          <w:bCs/>
        </w:rPr>
        <w:t>sector de la construcción</w:t>
      </w:r>
      <w:r>
        <w:rPr>
          <w:rFonts w:ascii="Arial" w:hAnsi="Arial" w:cs="Arial"/>
          <w:bCs/>
        </w:rPr>
        <w:t>,</w:t>
      </w:r>
      <w:r w:rsidR="00B052DA" w:rsidRPr="008F5FE7">
        <w:rPr>
          <w:rFonts w:ascii="Arial" w:hAnsi="Arial" w:cs="Arial"/>
          <w:bCs/>
        </w:rPr>
        <w:t xml:space="preserve"> </w:t>
      </w:r>
      <w:r w:rsidR="00B052DA">
        <w:rPr>
          <w:rFonts w:ascii="Arial" w:hAnsi="Arial" w:cs="Arial"/>
          <w:bCs/>
        </w:rPr>
        <w:t>8</w:t>
      </w:r>
      <w:r w:rsidR="00164C74">
        <w:rPr>
          <w:rFonts w:ascii="Arial" w:hAnsi="Arial" w:cs="Arial"/>
          <w:bCs/>
        </w:rPr>
        <w:t>.</w:t>
      </w:r>
      <w:r w:rsidR="00B052DA">
        <w:rPr>
          <w:rFonts w:ascii="Arial" w:hAnsi="Arial" w:cs="Arial"/>
          <w:bCs/>
        </w:rPr>
        <w:t>0% en los servicios inmobiliarios</w:t>
      </w:r>
      <w:r>
        <w:rPr>
          <w:rFonts w:ascii="Arial" w:hAnsi="Arial" w:cs="Arial"/>
          <w:bCs/>
        </w:rPr>
        <w:t>,</w:t>
      </w:r>
      <w:r w:rsidR="00B052DA">
        <w:rPr>
          <w:rFonts w:ascii="Arial" w:hAnsi="Arial" w:cs="Arial"/>
          <w:bCs/>
        </w:rPr>
        <w:t xml:space="preserve"> 1.1% en servicios financieros</w:t>
      </w:r>
      <w:r w:rsidR="00DF66B0">
        <w:rPr>
          <w:rFonts w:ascii="Arial" w:hAnsi="Arial" w:cs="Arial"/>
          <w:bCs/>
        </w:rPr>
        <w:t>,</w:t>
      </w:r>
      <w:r w:rsidR="00B052DA">
        <w:rPr>
          <w:rFonts w:ascii="Arial" w:hAnsi="Arial" w:cs="Arial"/>
          <w:bCs/>
        </w:rPr>
        <w:t xml:space="preserve"> 0.7% en los servicios profesionales</w:t>
      </w:r>
      <w:r w:rsidR="00DF66B0">
        <w:rPr>
          <w:rFonts w:ascii="Arial" w:hAnsi="Arial" w:cs="Arial"/>
          <w:bCs/>
        </w:rPr>
        <w:t xml:space="preserve"> y el</w:t>
      </w:r>
      <w:r w:rsidR="00164C74">
        <w:rPr>
          <w:rFonts w:ascii="Arial" w:hAnsi="Arial" w:cs="Arial"/>
          <w:bCs/>
        </w:rPr>
        <w:t xml:space="preserve"> 1.1% estuvo involucrado en otras actividades del sector.</w:t>
      </w:r>
    </w:p>
    <w:p w14:paraId="648AD981" w14:textId="77777777" w:rsidR="00DE6E6F" w:rsidRPr="00CF4AE1" w:rsidRDefault="00DE6E6F" w:rsidP="00DE6E6F">
      <w:pPr>
        <w:spacing w:after="0" w:line="240" w:lineRule="auto"/>
        <w:ind w:left="-567" w:right="-518"/>
        <w:jc w:val="both"/>
        <w:rPr>
          <w:rFonts w:ascii="Arial" w:hAnsi="Arial" w:cs="Arial"/>
        </w:rPr>
      </w:pPr>
    </w:p>
    <w:p w14:paraId="279D5C35" w14:textId="56A07DA7" w:rsidR="00B052DA" w:rsidRPr="00CF4AE1" w:rsidRDefault="00B1412C" w:rsidP="00DE6E6F">
      <w:pPr>
        <w:spacing w:after="0" w:line="240" w:lineRule="auto"/>
        <w:ind w:left="-567" w:right="-660"/>
        <w:jc w:val="center"/>
        <w:rPr>
          <w:rFonts w:ascii="Arial" w:eastAsiaTheme="majorEastAsia" w:hAnsi="Arial" w:cs="Arial"/>
          <w:b/>
          <w:bCs/>
          <w:color w:val="000000" w:themeColor="text1"/>
        </w:rPr>
      </w:pPr>
      <w:r w:rsidRPr="00CF4AE1">
        <w:rPr>
          <w:rFonts w:ascii="Arial" w:eastAsiaTheme="majorEastAsia" w:hAnsi="Arial" w:cs="Arial"/>
          <w:b/>
          <w:bCs/>
          <w:color w:val="000000" w:themeColor="text1"/>
        </w:rPr>
        <w:t>Se anexa Nota Técnica</w:t>
      </w:r>
    </w:p>
    <w:p w14:paraId="66014DB3" w14:textId="5B0ECAA8" w:rsidR="00B1412C" w:rsidRDefault="00B1412C" w:rsidP="00DE6E6F">
      <w:pPr>
        <w:spacing w:after="0" w:line="240" w:lineRule="auto"/>
        <w:ind w:left="-567" w:right="-660"/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</w:pPr>
    </w:p>
    <w:p w14:paraId="3C78C67F" w14:textId="77777777" w:rsidR="00B1412C" w:rsidRPr="00CF4AE1" w:rsidRDefault="00B1412C" w:rsidP="00DE6E6F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0"/>
          <w:szCs w:val="20"/>
        </w:rPr>
      </w:pPr>
      <w:r w:rsidRPr="00CF4AE1">
        <w:rPr>
          <w:rFonts w:ascii="Arial" w:hAnsi="Arial" w:cs="Arial"/>
          <w:sz w:val="20"/>
          <w:szCs w:val="20"/>
        </w:rPr>
        <w:t xml:space="preserve">Para consultas de medios y periodistas, contactar a: </w:t>
      </w:r>
      <w:hyperlink r:id="rId11" w:history="1">
        <w:r w:rsidRPr="00CF4AE1">
          <w:rPr>
            <w:rStyle w:val="Hipervnculo"/>
            <w:rFonts w:ascii="Arial" w:hAnsi="Arial" w:cs="Arial"/>
            <w:sz w:val="20"/>
            <w:szCs w:val="20"/>
          </w:rPr>
          <w:t>comunicacionsocial@inegi.org.mx</w:t>
        </w:r>
      </w:hyperlink>
      <w:r w:rsidRPr="00CF4AE1">
        <w:rPr>
          <w:rFonts w:ascii="Arial" w:hAnsi="Arial" w:cs="Arial"/>
          <w:sz w:val="20"/>
          <w:szCs w:val="20"/>
        </w:rPr>
        <w:t xml:space="preserve"> </w:t>
      </w:r>
    </w:p>
    <w:p w14:paraId="0063BC80" w14:textId="77777777" w:rsidR="00B1412C" w:rsidRPr="00CF4AE1" w:rsidRDefault="00B1412C" w:rsidP="00DE6E6F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0"/>
          <w:szCs w:val="20"/>
        </w:rPr>
      </w:pPr>
      <w:r w:rsidRPr="00CF4AE1">
        <w:rPr>
          <w:rFonts w:ascii="Arial" w:hAnsi="Arial" w:cs="Arial"/>
          <w:sz w:val="20"/>
          <w:szCs w:val="20"/>
        </w:rPr>
        <w:t xml:space="preserve">o llamar al teléfono (55) 52-78-10-00, </w:t>
      </w:r>
      <w:proofErr w:type="spellStart"/>
      <w:r w:rsidRPr="00CF4AE1">
        <w:rPr>
          <w:rFonts w:ascii="Arial" w:hAnsi="Arial" w:cs="Arial"/>
          <w:sz w:val="20"/>
          <w:szCs w:val="20"/>
        </w:rPr>
        <w:t>exts</w:t>
      </w:r>
      <w:proofErr w:type="spellEnd"/>
      <w:r w:rsidRPr="00CF4AE1">
        <w:rPr>
          <w:rFonts w:ascii="Arial" w:hAnsi="Arial" w:cs="Arial"/>
          <w:sz w:val="20"/>
          <w:szCs w:val="20"/>
        </w:rPr>
        <w:t>. 1134, 1260 y 1241.</w:t>
      </w:r>
    </w:p>
    <w:p w14:paraId="1C283525" w14:textId="07238FD7" w:rsidR="00B1412C" w:rsidRPr="00DE6E6F" w:rsidRDefault="00B1412C" w:rsidP="00DE6E6F">
      <w:pPr>
        <w:spacing w:after="0" w:line="240" w:lineRule="auto"/>
        <w:ind w:left="-425" w:right="-516"/>
        <w:jc w:val="center"/>
        <w:rPr>
          <w:rFonts w:ascii="Arial" w:hAnsi="Arial" w:cs="Arial"/>
          <w:sz w:val="20"/>
          <w:szCs w:val="20"/>
        </w:rPr>
      </w:pPr>
      <w:r w:rsidRPr="00CF4AE1">
        <w:rPr>
          <w:rFonts w:ascii="Arial" w:hAnsi="Arial" w:cs="Arial"/>
          <w:sz w:val="20"/>
          <w:szCs w:val="20"/>
        </w:rPr>
        <w:t>Dirección de Atención a Medios / Dirección General Adjunta de Comunicación</w:t>
      </w:r>
    </w:p>
    <w:p w14:paraId="4D8B7F04" w14:textId="77777777" w:rsidR="00B1412C" w:rsidRPr="001D2B8D" w:rsidRDefault="00B1412C" w:rsidP="00B1412C">
      <w:pPr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32FF421B" w14:textId="476C782F" w:rsidR="00B052DA" w:rsidRDefault="00B1412C" w:rsidP="00DE6E6F">
      <w:pPr>
        <w:ind w:right="-516"/>
        <w:contextualSpacing/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  <w:sectPr w:rsidR="00B052DA" w:rsidSect="00DE6E6F">
          <w:headerReference w:type="default" r:id="rId12"/>
          <w:footerReference w:type="default" r:id="rId13"/>
          <w:pgSz w:w="12240" w:h="15840"/>
          <w:pgMar w:top="1417" w:right="1701" w:bottom="284" w:left="1701" w:header="708" w:footer="322" w:gutter="0"/>
          <w:cols w:space="708"/>
          <w:docGrid w:linePitch="360"/>
        </w:sectPr>
      </w:pPr>
      <w:r w:rsidRPr="001D2B8D">
        <w:rPr>
          <w:rFonts w:ascii="Arial" w:hAnsi="Arial" w:cs="Arial"/>
          <w:noProof/>
          <w:sz w:val="20"/>
          <w:lang w:eastAsia="es-MX"/>
        </w:rPr>
        <w:drawing>
          <wp:inline distT="0" distB="0" distL="0" distR="0" wp14:anchorId="11D484B3" wp14:editId="20F390D5">
            <wp:extent cx="318472" cy="322419"/>
            <wp:effectExtent l="0" t="0" r="5715" b="1905"/>
            <wp:docPr id="22" name="Imagen 22" descr="C:\Users\saladeprensa\Desktop\NVOS LOGOS\F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  <w:lang w:eastAsia="es-MX"/>
        </w:rPr>
        <w:t xml:space="preserve"> </w:t>
      </w:r>
      <w:r w:rsidRPr="001D2B8D">
        <w:rPr>
          <w:rFonts w:ascii="Arial" w:hAnsi="Arial" w:cs="Arial"/>
          <w:noProof/>
          <w:sz w:val="20"/>
          <w:lang w:eastAsia="es-MX"/>
        </w:rPr>
        <w:drawing>
          <wp:inline distT="0" distB="0" distL="0" distR="0" wp14:anchorId="3B0811FF" wp14:editId="3FA73C94">
            <wp:extent cx="327704" cy="325467"/>
            <wp:effectExtent l="0" t="0" r="0" b="0"/>
            <wp:docPr id="23" name="Imagen 23" descr="C:\Users\saladeprensa\Desktop\NVOS LOGOS\I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  <w:lang w:eastAsia="es-MX"/>
        </w:rPr>
        <w:t xml:space="preserve"> </w:t>
      </w:r>
      <w:r w:rsidRPr="001D2B8D">
        <w:rPr>
          <w:rFonts w:ascii="Arial" w:hAnsi="Arial" w:cs="Arial"/>
          <w:noProof/>
          <w:sz w:val="20"/>
          <w:lang w:eastAsia="es-MX"/>
        </w:rPr>
        <w:drawing>
          <wp:inline distT="0" distB="0" distL="0" distR="0" wp14:anchorId="0DCBC48C" wp14:editId="5D3FECF9">
            <wp:extent cx="321276" cy="324093"/>
            <wp:effectExtent l="0" t="0" r="3175" b="0"/>
            <wp:docPr id="24" name="Imagen 24" descr="C:\Users\saladeprensa\Desktop\NVOS LOGOS\T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  <w:lang w:eastAsia="es-MX"/>
        </w:rPr>
        <w:t xml:space="preserve"> </w:t>
      </w:r>
      <w:r w:rsidRPr="001D2B8D">
        <w:rPr>
          <w:rFonts w:ascii="Arial" w:hAnsi="Arial" w:cs="Arial"/>
          <w:noProof/>
          <w:sz w:val="20"/>
          <w:lang w:eastAsia="es-MX"/>
        </w:rPr>
        <w:drawing>
          <wp:inline distT="0" distB="0" distL="0" distR="0" wp14:anchorId="7872FC8C" wp14:editId="6E4F7CDE">
            <wp:extent cx="321276" cy="326574"/>
            <wp:effectExtent l="0" t="0" r="3175" b="0"/>
            <wp:docPr id="25" name="Imagen 25" descr="C:\Users\saladeprensa\Desktop\NVOS LOGOS\Y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  <w:lang w:eastAsia="es-MX"/>
        </w:rPr>
        <w:t xml:space="preserve">  </w:t>
      </w:r>
      <w:r w:rsidRPr="001D2B8D">
        <w:rPr>
          <w:rFonts w:ascii="Arial" w:hAnsi="Arial" w:cs="Arial"/>
          <w:noProof/>
          <w:sz w:val="14"/>
          <w:szCs w:val="18"/>
          <w:lang w:eastAsia="es-MX"/>
        </w:rPr>
        <w:drawing>
          <wp:inline distT="0" distB="0" distL="0" distR="0" wp14:anchorId="7A765425" wp14:editId="28870741">
            <wp:extent cx="2323070" cy="319707"/>
            <wp:effectExtent l="0" t="0" r="1270" b="4445"/>
            <wp:docPr id="26" name="Imagen 26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52DA"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  <w:br w:type="page"/>
      </w:r>
    </w:p>
    <w:p w14:paraId="25FDCB49" w14:textId="77777777" w:rsidR="00B052DA" w:rsidRDefault="00B052DA" w:rsidP="00B052DA">
      <w:pPr>
        <w:spacing w:after="0"/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</w:pPr>
    </w:p>
    <w:p w14:paraId="3D4651BD" w14:textId="7E9DB43F" w:rsidR="00C33139" w:rsidRDefault="00B052DA" w:rsidP="00B052DA">
      <w:pPr>
        <w:spacing w:after="0"/>
        <w:ind w:left="-426" w:right="-518" w:hanging="141"/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  <w:t>NOTA TÉCNICA</w:t>
      </w:r>
    </w:p>
    <w:p w14:paraId="0318D23F" w14:textId="77777777" w:rsidR="00B052DA" w:rsidRDefault="00B052DA" w:rsidP="00B052DA">
      <w:pPr>
        <w:spacing w:after="0"/>
        <w:ind w:left="-426" w:right="-518" w:hanging="141"/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</w:pPr>
    </w:p>
    <w:p w14:paraId="2C78D50A" w14:textId="300AA467" w:rsidR="0069353C" w:rsidRDefault="00DA3890" w:rsidP="0058722A">
      <w:pPr>
        <w:spacing w:after="0"/>
        <w:ind w:left="-567" w:right="-518"/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</w:pPr>
      <w:r w:rsidRPr="00E32E1F"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  <w:t xml:space="preserve">ESTADÍSTICAS A PROPÓSITO DEL </w:t>
      </w:r>
      <w:r w:rsidR="00B2574F" w:rsidRPr="00E32E1F"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  <w:t xml:space="preserve">DÍA </w:t>
      </w:r>
      <w:r w:rsidR="00F12623"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  <w:t>NACIONAL DE LA VIVIENDA</w:t>
      </w:r>
      <w:r w:rsidR="003C0ECC" w:rsidRPr="00E32E1F"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  <w:t xml:space="preserve"> </w:t>
      </w:r>
    </w:p>
    <w:p w14:paraId="196F7F5E" w14:textId="77777777" w:rsidR="0069353C" w:rsidRPr="00E32E1F" w:rsidRDefault="0069353C" w:rsidP="005F4277">
      <w:pPr>
        <w:spacing w:after="0"/>
        <w:ind w:left="-567" w:right="-518"/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</w:pPr>
    </w:p>
    <w:p w14:paraId="15426D83" w14:textId="77777777" w:rsidR="006F51A1" w:rsidRDefault="006F51A1" w:rsidP="00C33139">
      <w:pPr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noviembre del 2017, el Senado de la República estableció el 7 de febrero de cada año como el “Día Nacional de la Vivienda”, con el objetivo de conocer, informar y reforzar las acciones en esta materia, así como </w:t>
      </w:r>
      <w:r w:rsidRPr="00956A94">
        <w:rPr>
          <w:rFonts w:ascii="Arial" w:hAnsi="Arial" w:cs="Arial"/>
        </w:rPr>
        <w:t>analizar los mecanismos que den certeza en la construcción de casas-habitación con todas las medidas de seguridad</w:t>
      </w:r>
      <w:r w:rsidR="00705619">
        <w:rPr>
          <w:rStyle w:val="Refdenotaalpie"/>
          <w:rFonts w:ascii="Arial" w:hAnsi="Arial" w:cs="Arial"/>
        </w:rPr>
        <w:footnoteReference w:id="2"/>
      </w:r>
      <w:r>
        <w:rPr>
          <w:rFonts w:ascii="Arial" w:hAnsi="Arial" w:cs="Arial"/>
        </w:rPr>
        <w:t>.</w:t>
      </w:r>
    </w:p>
    <w:p w14:paraId="307000CD" w14:textId="5766B07B" w:rsidR="00136B98" w:rsidRDefault="00C276E7" w:rsidP="00C33139">
      <w:pPr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vivienda es </w:t>
      </w:r>
      <w:r w:rsidR="00F53A34">
        <w:rPr>
          <w:rFonts w:ascii="Arial" w:hAnsi="Arial" w:cs="Arial"/>
        </w:rPr>
        <w:t xml:space="preserve">un </w:t>
      </w:r>
      <w:r w:rsidRPr="00C276E7">
        <w:rPr>
          <w:rFonts w:ascii="Arial" w:hAnsi="Arial" w:cs="Arial"/>
        </w:rPr>
        <w:t xml:space="preserve">elemento central en la generación de desarrollo social, relacionada íntimamente </w:t>
      </w:r>
      <w:r w:rsidR="00B75A47">
        <w:rPr>
          <w:rFonts w:ascii="Arial" w:hAnsi="Arial" w:cs="Arial"/>
        </w:rPr>
        <w:t>con</w:t>
      </w:r>
      <w:r w:rsidRPr="00C276E7">
        <w:rPr>
          <w:rFonts w:ascii="Arial" w:hAnsi="Arial" w:cs="Arial"/>
        </w:rPr>
        <w:t xml:space="preserve"> las actividades económicas, sociales, recreativas y culturales, al tener un papel preponderante en cuestiones esenciales de la vida diaria, desde los servicios que alberga, hasta la ubicación y su relación con el medio</w:t>
      </w:r>
      <w:r w:rsidR="00F53A34">
        <w:rPr>
          <w:rStyle w:val="Refdenotaalpie"/>
          <w:rFonts w:ascii="Arial" w:hAnsi="Arial" w:cs="Arial"/>
        </w:rPr>
        <w:footnoteReference w:id="3"/>
      </w:r>
      <w:r w:rsidRPr="00C276E7">
        <w:rPr>
          <w:rFonts w:ascii="Arial" w:hAnsi="Arial" w:cs="Arial"/>
        </w:rPr>
        <w:t>.</w:t>
      </w:r>
    </w:p>
    <w:p w14:paraId="53DB7384" w14:textId="77777777" w:rsidR="00082893" w:rsidRDefault="00F53A34" w:rsidP="00255319">
      <w:pPr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este sentido, </w:t>
      </w:r>
      <w:r w:rsidR="00023A19">
        <w:rPr>
          <w:rFonts w:ascii="Arial" w:hAnsi="Arial" w:cs="Arial"/>
        </w:rPr>
        <w:t>el Programa Nacional de Vivienda 2019-20</w:t>
      </w:r>
      <w:r w:rsidR="00705619">
        <w:rPr>
          <w:rFonts w:ascii="Arial" w:hAnsi="Arial" w:cs="Arial"/>
        </w:rPr>
        <w:t>2</w:t>
      </w:r>
      <w:r w:rsidR="00023A19">
        <w:rPr>
          <w:rFonts w:ascii="Arial" w:hAnsi="Arial" w:cs="Arial"/>
        </w:rPr>
        <w:t xml:space="preserve">4 </w:t>
      </w:r>
      <w:r w:rsidR="00611157">
        <w:rPr>
          <w:rFonts w:ascii="Arial" w:hAnsi="Arial" w:cs="Arial"/>
        </w:rPr>
        <w:t xml:space="preserve">(PNV 2019-2024) </w:t>
      </w:r>
      <w:r w:rsidR="00082893" w:rsidRPr="00082893">
        <w:rPr>
          <w:rFonts w:ascii="Arial" w:hAnsi="Arial" w:cs="Arial"/>
        </w:rPr>
        <w:t>conc</w:t>
      </w:r>
      <w:r>
        <w:rPr>
          <w:rFonts w:ascii="Arial" w:hAnsi="Arial" w:cs="Arial"/>
        </w:rPr>
        <w:t xml:space="preserve">ibe a la vivienda </w:t>
      </w:r>
      <w:r w:rsidR="00082893" w:rsidRPr="00082893">
        <w:rPr>
          <w:rFonts w:ascii="Arial" w:hAnsi="Arial" w:cs="Arial"/>
        </w:rPr>
        <w:t>como el espacio que habitan las personas y las familias</w:t>
      </w:r>
      <w:r>
        <w:rPr>
          <w:rFonts w:ascii="Arial" w:hAnsi="Arial" w:cs="Arial"/>
        </w:rPr>
        <w:t>,</w:t>
      </w:r>
      <w:r w:rsidR="00082893" w:rsidRPr="00082893">
        <w:rPr>
          <w:rFonts w:ascii="Arial" w:hAnsi="Arial" w:cs="Arial"/>
        </w:rPr>
        <w:t xml:space="preserve"> edificada</w:t>
      </w:r>
      <w:r w:rsidR="00765866">
        <w:rPr>
          <w:rFonts w:ascii="Arial" w:hAnsi="Arial" w:cs="Arial"/>
        </w:rPr>
        <w:t xml:space="preserve"> </w:t>
      </w:r>
      <w:r w:rsidR="00082893" w:rsidRPr="00082893">
        <w:rPr>
          <w:rFonts w:ascii="Arial" w:hAnsi="Arial" w:cs="Arial"/>
        </w:rPr>
        <w:t>a partir de esfuerzos propi</w:t>
      </w:r>
      <w:r w:rsidR="000D79AC">
        <w:rPr>
          <w:rFonts w:ascii="Arial" w:hAnsi="Arial" w:cs="Arial"/>
        </w:rPr>
        <w:t xml:space="preserve">os o a través de algún crédito </w:t>
      </w:r>
      <w:r>
        <w:rPr>
          <w:rFonts w:ascii="Arial" w:hAnsi="Arial" w:cs="Arial"/>
        </w:rPr>
        <w:t xml:space="preserve">a fin de ser </w:t>
      </w:r>
      <w:r w:rsidR="00082893" w:rsidRPr="00082893">
        <w:rPr>
          <w:rFonts w:ascii="Arial" w:hAnsi="Arial" w:cs="Arial"/>
        </w:rPr>
        <w:t>utilizada para habitar o como un patrimonio que permite generar ingresos</w:t>
      </w:r>
      <w:r>
        <w:rPr>
          <w:rFonts w:ascii="Arial" w:hAnsi="Arial" w:cs="Arial"/>
        </w:rPr>
        <w:t xml:space="preserve">; por </w:t>
      </w:r>
      <w:r w:rsidR="000D79AC">
        <w:rPr>
          <w:rFonts w:ascii="Arial" w:hAnsi="Arial" w:cs="Arial"/>
        </w:rPr>
        <w:t xml:space="preserve">ello es que </w:t>
      </w:r>
      <w:r>
        <w:rPr>
          <w:rFonts w:ascii="Arial" w:hAnsi="Arial" w:cs="Arial"/>
        </w:rPr>
        <w:t xml:space="preserve">se considera </w:t>
      </w:r>
      <w:r w:rsidR="00765866">
        <w:rPr>
          <w:rFonts w:ascii="Arial" w:hAnsi="Arial" w:cs="Arial"/>
        </w:rPr>
        <w:t xml:space="preserve">mucho </w:t>
      </w:r>
      <w:r w:rsidR="00113750">
        <w:rPr>
          <w:rFonts w:ascii="Arial" w:hAnsi="Arial" w:cs="Arial"/>
        </w:rPr>
        <w:t>más</w:t>
      </w:r>
      <w:r w:rsidR="00765866">
        <w:rPr>
          <w:rFonts w:ascii="Arial" w:hAnsi="Arial" w:cs="Arial"/>
        </w:rPr>
        <w:t xml:space="preserve"> que un simple espacio edificado</w:t>
      </w:r>
      <w:r>
        <w:rPr>
          <w:rFonts w:ascii="Arial" w:hAnsi="Arial" w:cs="Arial"/>
        </w:rPr>
        <w:t xml:space="preserve"> al contener </w:t>
      </w:r>
      <w:r w:rsidR="00765866">
        <w:rPr>
          <w:rFonts w:ascii="Arial" w:hAnsi="Arial" w:cs="Arial"/>
        </w:rPr>
        <w:t>múltiples significados y enfoques</w:t>
      </w:r>
      <w:r w:rsidR="00713DAD">
        <w:rPr>
          <w:rStyle w:val="Refdenotaalpie"/>
          <w:rFonts w:ascii="Arial" w:hAnsi="Arial" w:cs="Arial"/>
        </w:rPr>
        <w:footnoteReference w:id="4"/>
      </w:r>
      <w:r w:rsidR="00C00015">
        <w:rPr>
          <w:rFonts w:ascii="Arial" w:hAnsi="Arial" w:cs="Arial"/>
        </w:rPr>
        <w:t>,</w:t>
      </w:r>
      <w:r w:rsidR="00C00015" w:rsidRPr="00C00015">
        <w:rPr>
          <w:rFonts w:ascii="Arial" w:hAnsi="Arial" w:cs="Arial"/>
          <w:bCs/>
        </w:rPr>
        <w:t xml:space="preserve"> </w:t>
      </w:r>
      <w:r w:rsidR="00C00015">
        <w:rPr>
          <w:rFonts w:ascii="Arial" w:hAnsi="Arial" w:cs="Arial"/>
          <w:bCs/>
        </w:rPr>
        <w:t xml:space="preserve">ya que al mismo tiempo </w:t>
      </w:r>
      <w:r w:rsidR="00184796">
        <w:rPr>
          <w:rFonts w:ascii="Arial" w:hAnsi="Arial" w:cs="Arial"/>
          <w:bCs/>
        </w:rPr>
        <w:t xml:space="preserve">la producción de vivienda </w:t>
      </w:r>
      <w:r w:rsidR="00C00015">
        <w:rPr>
          <w:rFonts w:ascii="Arial" w:hAnsi="Arial" w:cs="Arial"/>
          <w:bCs/>
        </w:rPr>
        <w:t>genera inversión, empleo y posibilita el desarrollo</w:t>
      </w:r>
      <w:r>
        <w:rPr>
          <w:rFonts w:ascii="Arial" w:hAnsi="Arial" w:cs="Arial"/>
        </w:rPr>
        <w:t>.</w:t>
      </w:r>
    </w:p>
    <w:p w14:paraId="24EB6DE4" w14:textId="77777777" w:rsidR="001275CB" w:rsidRDefault="009B072E" w:rsidP="001275CB">
      <w:pPr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este </w:t>
      </w:r>
      <w:r w:rsidR="00070072">
        <w:rPr>
          <w:rFonts w:ascii="Arial" w:hAnsi="Arial" w:cs="Arial"/>
        </w:rPr>
        <w:t>contexto</w:t>
      </w:r>
      <w:r>
        <w:rPr>
          <w:rFonts w:ascii="Arial" w:hAnsi="Arial" w:cs="Arial"/>
        </w:rPr>
        <w:t xml:space="preserve">, </w:t>
      </w:r>
      <w:r w:rsidR="001275CB">
        <w:rPr>
          <w:rFonts w:ascii="Arial" w:hAnsi="Arial" w:cs="Arial"/>
        </w:rPr>
        <w:t>la Cuenta Satélite de Vivienda de México</w:t>
      </w:r>
      <w:r w:rsidR="00CD604A">
        <w:rPr>
          <w:rFonts w:ascii="Arial" w:hAnsi="Arial" w:cs="Arial"/>
        </w:rPr>
        <w:t>,</w:t>
      </w:r>
      <w:r w:rsidR="001275CB">
        <w:rPr>
          <w:rFonts w:ascii="Arial" w:hAnsi="Arial" w:cs="Arial"/>
        </w:rPr>
        <w:t xml:space="preserve"> elaborada por el Instituto Nacional de Estadística y Geografía (INEGI), ofrece información recurrente y oportuna sobre </w:t>
      </w:r>
      <w:r>
        <w:rPr>
          <w:rFonts w:ascii="Arial" w:hAnsi="Arial" w:cs="Arial"/>
        </w:rPr>
        <w:t>los aspectos económicos de las actividades relacionadas con la edificación, uso, adquisición y regulación de la vivienda, mediante una serie de indicadores de corte económico</w:t>
      </w:r>
      <w:r w:rsidR="009029A4">
        <w:rPr>
          <w:rFonts w:ascii="Arial" w:hAnsi="Arial" w:cs="Arial"/>
        </w:rPr>
        <w:t>,</w:t>
      </w:r>
      <w:r w:rsidR="008F311F">
        <w:rPr>
          <w:rFonts w:ascii="Arial" w:hAnsi="Arial" w:cs="Arial"/>
        </w:rPr>
        <w:t xml:space="preserve"> </w:t>
      </w:r>
      <w:r w:rsidR="001275CB">
        <w:rPr>
          <w:rFonts w:ascii="Arial" w:hAnsi="Arial" w:cs="Arial"/>
        </w:rPr>
        <w:t xml:space="preserve">como </w:t>
      </w:r>
      <w:r w:rsidR="00441419">
        <w:rPr>
          <w:rFonts w:ascii="Arial" w:hAnsi="Arial" w:cs="Arial"/>
        </w:rPr>
        <w:t>la participación de las actividades que la componen, los agentes que se involucran, el empleo que se genera, así como los recursos financieros que sustentan la realización de estas actividades.</w:t>
      </w:r>
      <w:r w:rsidR="005C117C">
        <w:rPr>
          <w:rFonts w:ascii="Arial" w:hAnsi="Arial" w:cs="Arial"/>
        </w:rPr>
        <w:t xml:space="preserve"> </w:t>
      </w:r>
    </w:p>
    <w:p w14:paraId="764D3DD6" w14:textId="2351CA87" w:rsidR="0058722A" w:rsidRDefault="001275CB" w:rsidP="0058722A">
      <w:pPr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5F3E66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 xml:space="preserve">datos </w:t>
      </w:r>
      <w:r w:rsidR="00F45A22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la </w:t>
      </w:r>
      <w:r w:rsidR="00F45A22">
        <w:rPr>
          <w:rFonts w:ascii="Arial" w:hAnsi="Arial" w:cs="Arial"/>
        </w:rPr>
        <w:t xml:space="preserve">cuenta satélite </w:t>
      </w:r>
      <w:r w:rsidR="00304846">
        <w:rPr>
          <w:rFonts w:ascii="Arial" w:hAnsi="Arial" w:cs="Arial"/>
        </w:rPr>
        <w:t>ayudan a</w:t>
      </w:r>
      <w:r w:rsidR="005F3E66">
        <w:rPr>
          <w:rFonts w:ascii="Arial" w:hAnsi="Arial" w:cs="Arial"/>
        </w:rPr>
        <w:t xml:space="preserve"> </w:t>
      </w:r>
      <w:r w:rsidR="00304846">
        <w:rPr>
          <w:rFonts w:ascii="Arial" w:hAnsi="Arial" w:cs="Arial"/>
        </w:rPr>
        <w:t>monitorear</w:t>
      </w:r>
      <w:r w:rsidR="005F3E66">
        <w:rPr>
          <w:rFonts w:ascii="Arial" w:hAnsi="Arial" w:cs="Arial"/>
        </w:rPr>
        <w:t xml:space="preserve"> el cumplimiento de los indicadores </w:t>
      </w:r>
      <w:r w:rsidR="00FB562E">
        <w:rPr>
          <w:rFonts w:ascii="Arial" w:hAnsi="Arial" w:cs="Arial"/>
        </w:rPr>
        <w:t xml:space="preserve">establecidos en </w:t>
      </w:r>
      <w:r w:rsidR="005F3E66">
        <w:rPr>
          <w:rFonts w:ascii="Arial" w:hAnsi="Arial" w:cs="Arial"/>
        </w:rPr>
        <w:t xml:space="preserve">el </w:t>
      </w:r>
      <w:r w:rsidR="00F45A22">
        <w:rPr>
          <w:rFonts w:ascii="Arial" w:hAnsi="Arial" w:cs="Arial"/>
        </w:rPr>
        <w:t>PNV 2019-2024</w:t>
      </w:r>
      <w:r w:rsidR="00304846">
        <w:rPr>
          <w:rFonts w:ascii="Arial" w:hAnsi="Arial" w:cs="Arial"/>
        </w:rPr>
        <w:t>,</w:t>
      </w:r>
      <w:r w:rsidR="005F3E66">
        <w:rPr>
          <w:rFonts w:ascii="Arial" w:hAnsi="Arial" w:cs="Arial"/>
        </w:rPr>
        <w:t xml:space="preserve"> como el de la meta para el bienestar del objetivo prioritario 3, </w:t>
      </w:r>
      <w:r>
        <w:rPr>
          <w:rFonts w:ascii="Arial" w:hAnsi="Arial" w:cs="Arial"/>
        </w:rPr>
        <w:t xml:space="preserve">denominado </w:t>
      </w:r>
      <w:r w:rsidR="005F3E66">
        <w:rPr>
          <w:rFonts w:ascii="Arial" w:hAnsi="Arial" w:cs="Arial"/>
        </w:rPr>
        <w:t>“</w:t>
      </w:r>
      <w:r w:rsidR="005F3E66" w:rsidRPr="005F3E66">
        <w:rPr>
          <w:rFonts w:ascii="Arial" w:hAnsi="Arial" w:cs="Arial"/>
        </w:rPr>
        <w:t>Valor de la aportación del sector y las acciones de la vivienda en el Producto Interno Bruto de México en valores constantes</w:t>
      </w:r>
      <w:r w:rsidR="005F3E66">
        <w:rPr>
          <w:rFonts w:ascii="Arial" w:hAnsi="Arial" w:cs="Arial"/>
        </w:rPr>
        <w:t>”</w:t>
      </w:r>
      <w:r w:rsidR="00F254AD" w:rsidRPr="00F254AD">
        <w:rPr>
          <w:rStyle w:val="Refdenotaalpie"/>
          <w:rFonts w:ascii="Arial" w:hAnsi="Arial" w:cs="Arial"/>
        </w:rPr>
        <w:t xml:space="preserve"> </w:t>
      </w:r>
      <w:r w:rsidR="00F254AD">
        <w:rPr>
          <w:rStyle w:val="Refdenotaalpie"/>
          <w:rFonts w:ascii="Arial" w:hAnsi="Arial" w:cs="Arial"/>
        </w:rPr>
        <w:footnoteReference w:id="5"/>
      </w:r>
      <w:r w:rsidR="005F3E66">
        <w:rPr>
          <w:rFonts w:ascii="Arial" w:hAnsi="Arial" w:cs="Arial"/>
        </w:rPr>
        <w:t>.</w:t>
      </w:r>
    </w:p>
    <w:p w14:paraId="1030D3D4" w14:textId="77777777" w:rsidR="00EA297F" w:rsidRPr="00D808FE" w:rsidRDefault="00C03BAC" w:rsidP="00C33139">
      <w:pPr>
        <w:ind w:left="-567" w:right="-518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LA VIVIENDA EN LA CONTABILIDAD NACIONAL</w:t>
      </w:r>
    </w:p>
    <w:p w14:paraId="3C3B2D6E" w14:textId="77777777" w:rsidR="00304846" w:rsidRDefault="00304846" w:rsidP="00003C70">
      <w:pPr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la cuantificación de las actividades relacionadas con el sector de la vivienda y el diseño </w:t>
      </w:r>
      <w:r w:rsidR="00B03535">
        <w:rPr>
          <w:rFonts w:ascii="Arial" w:hAnsi="Arial" w:cs="Arial"/>
        </w:rPr>
        <w:t xml:space="preserve">de indicadores derivados, </w:t>
      </w:r>
      <w:r>
        <w:rPr>
          <w:rFonts w:ascii="Arial" w:hAnsi="Arial" w:cs="Arial"/>
        </w:rPr>
        <w:t>se utilizan las recomendaciones de la contabilidad satélite, basadas en el Sistema de Cuentas Nacionales 2008 (SCN 2008)</w:t>
      </w:r>
      <w:r w:rsidRPr="00304846">
        <w:rPr>
          <w:rStyle w:val="Refdenotaalpie"/>
          <w:rFonts w:ascii="Arial" w:hAnsi="Arial" w:cs="Arial"/>
        </w:rPr>
        <w:t xml:space="preserve"> </w:t>
      </w:r>
      <w:r>
        <w:rPr>
          <w:rStyle w:val="Refdenotaalpie"/>
          <w:rFonts w:ascii="Arial" w:hAnsi="Arial" w:cs="Arial"/>
        </w:rPr>
        <w:footnoteReference w:id="6"/>
      </w:r>
      <w:r>
        <w:rPr>
          <w:rFonts w:ascii="Arial" w:hAnsi="Arial" w:cs="Arial"/>
        </w:rPr>
        <w:t xml:space="preserve">, así como el Sistema de Clasificación </w:t>
      </w:r>
      <w:r w:rsidR="00A04B96">
        <w:rPr>
          <w:rFonts w:ascii="Arial" w:hAnsi="Arial" w:cs="Arial"/>
        </w:rPr>
        <w:t xml:space="preserve">Industrial </w:t>
      </w:r>
      <w:r>
        <w:rPr>
          <w:rFonts w:ascii="Arial" w:hAnsi="Arial" w:cs="Arial"/>
        </w:rPr>
        <w:t>de América del Norte 2013 (SCIAN 2013)</w:t>
      </w:r>
      <w:r>
        <w:rPr>
          <w:rStyle w:val="Refdenotaalpie"/>
          <w:rFonts w:ascii="Arial" w:hAnsi="Arial" w:cs="Arial"/>
        </w:rPr>
        <w:footnoteReference w:id="7"/>
      </w:r>
      <w:r>
        <w:rPr>
          <w:rFonts w:ascii="Arial" w:hAnsi="Arial" w:cs="Arial"/>
        </w:rPr>
        <w:t>.</w:t>
      </w:r>
    </w:p>
    <w:p w14:paraId="454A9E64" w14:textId="77777777" w:rsidR="000858BC" w:rsidRDefault="000858BC" w:rsidP="00F75C62">
      <w:pPr>
        <w:ind w:left="-567" w:right="-518"/>
        <w:jc w:val="both"/>
        <w:rPr>
          <w:rFonts w:ascii="Arial" w:hAnsi="Arial" w:cs="Arial"/>
          <w:b/>
          <w:color w:val="000000" w:themeColor="text1"/>
        </w:rPr>
      </w:pPr>
    </w:p>
    <w:p w14:paraId="5AAB3C77" w14:textId="77777777" w:rsidR="00C941CF" w:rsidRPr="00F75C62" w:rsidRDefault="00F75C62" w:rsidP="00F75C62">
      <w:pPr>
        <w:ind w:left="-567" w:right="-518"/>
        <w:jc w:val="both"/>
        <w:rPr>
          <w:rFonts w:ascii="Arial" w:hAnsi="Arial" w:cs="Arial"/>
          <w:b/>
          <w:color w:val="000000" w:themeColor="text1"/>
        </w:rPr>
      </w:pPr>
      <w:r w:rsidRPr="00F75C62">
        <w:rPr>
          <w:rFonts w:ascii="Arial" w:hAnsi="Arial" w:cs="Arial"/>
          <w:b/>
          <w:color w:val="000000" w:themeColor="text1"/>
        </w:rPr>
        <w:t>SITUACIÓN ECONÓMICA DEL SECTOR DE LA VIVIENDA</w:t>
      </w:r>
    </w:p>
    <w:p w14:paraId="763B8EC6" w14:textId="77777777" w:rsidR="00357EBD" w:rsidRPr="00357EBD" w:rsidRDefault="00357EBD" w:rsidP="00654F6F">
      <w:pPr>
        <w:tabs>
          <w:tab w:val="left" w:pos="3256"/>
        </w:tabs>
        <w:ind w:left="-567" w:right="-518"/>
        <w:jc w:val="both"/>
        <w:rPr>
          <w:rFonts w:ascii="Arial" w:hAnsi="Arial" w:cs="Arial"/>
          <w:b/>
          <w:bCs/>
        </w:rPr>
      </w:pPr>
      <w:r w:rsidRPr="00357EBD">
        <w:rPr>
          <w:rFonts w:ascii="Arial" w:hAnsi="Arial" w:cs="Arial"/>
          <w:b/>
          <w:bCs/>
        </w:rPr>
        <w:t>El PIB de la vivienda</w:t>
      </w:r>
    </w:p>
    <w:p w14:paraId="65E13132" w14:textId="77777777" w:rsidR="00C941CF" w:rsidRDefault="004762C5" w:rsidP="00654F6F">
      <w:pPr>
        <w:tabs>
          <w:tab w:val="left" w:pos="3256"/>
        </w:tabs>
        <w:ind w:left="-567" w:right="-5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 acuerdo con </w:t>
      </w:r>
      <w:r w:rsidR="003B3FFB">
        <w:rPr>
          <w:rFonts w:ascii="Arial" w:hAnsi="Arial" w:cs="Arial"/>
          <w:bCs/>
        </w:rPr>
        <w:t xml:space="preserve">la Cuenta Satélite de Vivienda de México, el sector de la </w:t>
      </w:r>
      <w:r w:rsidR="00F135D5">
        <w:rPr>
          <w:rFonts w:ascii="Arial" w:hAnsi="Arial" w:cs="Arial"/>
          <w:bCs/>
        </w:rPr>
        <w:t>vivienda</w:t>
      </w:r>
      <w:r w:rsidR="003B3FFB">
        <w:rPr>
          <w:rFonts w:ascii="Arial" w:hAnsi="Arial" w:cs="Arial"/>
          <w:bCs/>
        </w:rPr>
        <w:t xml:space="preserve"> generó un PIB de </w:t>
      </w:r>
      <w:r w:rsidR="003B3FFB" w:rsidRPr="003B3FFB">
        <w:rPr>
          <w:rFonts w:ascii="Arial" w:hAnsi="Arial" w:cs="Arial"/>
          <w:bCs/>
        </w:rPr>
        <w:t>1 billón 327 mil 20 millones de pesos</w:t>
      </w:r>
      <w:r w:rsidR="003B3FFB">
        <w:rPr>
          <w:rFonts w:ascii="Arial" w:hAnsi="Arial" w:cs="Arial"/>
          <w:bCs/>
        </w:rPr>
        <w:t xml:space="preserve"> corrientes en 2018, cantidad que es equivalente al 6.0% del PIB del país.</w:t>
      </w:r>
      <w:r w:rsidR="00FD35E9">
        <w:rPr>
          <w:rFonts w:ascii="Arial" w:hAnsi="Arial" w:cs="Arial"/>
          <w:bCs/>
        </w:rPr>
        <w:t xml:space="preserve"> Esta cifra permite observar que el sector </w:t>
      </w:r>
      <w:r w:rsidR="000422CA">
        <w:rPr>
          <w:rFonts w:ascii="Arial" w:hAnsi="Arial" w:cs="Arial"/>
          <w:bCs/>
        </w:rPr>
        <w:t xml:space="preserve">ha </w:t>
      </w:r>
      <w:r w:rsidR="00FD35E9">
        <w:rPr>
          <w:rFonts w:ascii="Arial" w:hAnsi="Arial" w:cs="Arial"/>
          <w:bCs/>
        </w:rPr>
        <w:t>mant</w:t>
      </w:r>
      <w:r w:rsidR="000422CA">
        <w:rPr>
          <w:rFonts w:ascii="Arial" w:hAnsi="Arial" w:cs="Arial"/>
          <w:bCs/>
        </w:rPr>
        <w:t>enido</w:t>
      </w:r>
      <w:r w:rsidR="00FD35E9">
        <w:rPr>
          <w:rFonts w:ascii="Arial" w:hAnsi="Arial" w:cs="Arial"/>
          <w:bCs/>
        </w:rPr>
        <w:t xml:space="preserve"> su relevancia </w:t>
      </w:r>
      <w:r w:rsidR="000422CA">
        <w:rPr>
          <w:rFonts w:ascii="Arial" w:hAnsi="Arial" w:cs="Arial"/>
          <w:bCs/>
        </w:rPr>
        <w:t>en los últimos tres años</w:t>
      </w:r>
      <w:r w:rsidR="00FD35E9">
        <w:rPr>
          <w:rFonts w:ascii="Arial" w:hAnsi="Arial" w:cs="Arial"/>
          <w:bCs/>
        </w:rPr>
        <w:t>.</w:t>
      </w:r>
    </w:p>
    <w:p w14:paraId="0B294154" w14:textId="77777777" w:rsidR="00FD35E9" w:rsidRDefault="00D40F1F" w:rsidP="00654F6F">
      <w:pPr>
        <w:tabs>
          <w:tab w:val="left" w:pos="3256"/>
        </w:tabs>
        <w:ind w:left="-567" w:right="-518"/>
        <w:jc w:val="both"/>
        <w:rPr>
          <w:rFonts w:ascii="Arial" w:hAnsi="Arial" w:cs="Arial"/>
          <w:bCs/>
        </w:rPr>
      </w:pPr>
      <w:r>
        <w:rPr>
          <w:noProof/>
          <w:lang w:eastAsia="es-MX"/>
        </w:rPr>
        <w:drawing>
          <wp:anchor distT="0" distB="0" distL="114300" distR="114300" simplePos="0" relativeHeight="251678720" behindDoc="0" locked="0" layoutInCell="1" allowOverlap="1" wp14:anchorId="39FD17E6" wp14:editId="3D8AA221">
            <wp:simplePos x="0" y="0"/>
            <wp:positionH relativeFrom="column">
              <wp:posOffset>-308610</wp:posOffset>
            </wp:positionH>
            <wp:positionV relativeFrom="paragraph">
              <wp:posOffset>213360</wp:posOffset>
            </wp:positionV>
            <wp:extent cx="6219825" cy="2900680"/>
            <wp:effectExtent l="95250" t="38100" r="28575" b="90170"/>
            <wp:wrapTopAndBottom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margin">
              <wp14:pctWidth>0</wp14:pctWidth>
            </wp14:sizeRelH>
          </wp:anchor>
        </w:drawing>
      </w:r>
    </w:p>
    <w:p w14:paraId="48BBF826" w14:textId="77777777" w:rsidR="00F25AF5" w:rsidRDefault="00F25AF5" w:rsidP="00647E28">
      <w:pPr>
        <w:tabs>
          <w:tab w:val="left" w:pos="3256"/>
        </w:tabs>
        <w:ind w:left="-567" w:right="-518"/>
        <w:jc w:val="both"/>
        <w:rPr>
          <w:rFonts w:ascii="Arial" w:hAnsi="Arial" w:cs="Arial"/>
          <w:bCs/>
        </w:rPr>
      </w:pPr>
    </w:p>
    <w:p w14:paraId="641C6E8E" w14:textId="13DD57FA" w:rsidR="00F87936" w:rsidRDefault="00CB2575" w:rsidP="006B75A1">
      <w:pPr>
        <w:tabs>
          <w:tab w:val="left" w:pos="3256"/>
        </w:tabs>
        <w:ind w:left="-567" w:right="-518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>
        <w:rPr>
          <w:rFonts w:ascii="Arial" w:hAnsi="Arial" w:cs="Arial"/>
          <w:bCs/>
        </w:rPr>
        <w:t>El sector de la vivienda en el año de 2018, de acuerdo con su clasificación funcional</w:t>
      </w:r>
      <w:r>
        <w:rPr>
          <w:rStyle w:val="Refdenotaalpie"/>
          <w:rFonts w:ascii="Arial" w:hAnsi="Arial" w:cs="Arial"/>
          <w:bCs/>
        </w:rPr>
        <w:footnoteReference w:id="8"/>
      </w:r>
      <w:r>
        <w:rPr>
          <w:rFonts w:ascii="Arial" w:hAnsi="Arial" w:cs="Arial"/>
          <w:bCs/>
        </w:rPr>
        <w:t xml:space="preserve">, se compone por </w:t>
      </w:r>
      <w:r w:rsidR="0068391A" w:rsidRPr="0068391A">
        <w:rPr>
          <w:rFonts w:ascii="Arial" w:hAnsi="Arial" w:cs="Arial"/>
          <w:bCs/>
        </w:rPr>
        <w:t xml:space="preserve">la autoproducción, la cual aporta el 40.7% del sector; </w:t>
      </w:r>
      <w:r w:rsidR="00253BD5" w:rsidRPr="0068391A">
        <w:rPr>
          <w:rFonts w:ascii="Arial" w:hAnsi="Arial" w:cs="Arial"/>
          <w:bCs/>
        </w:rPr>
        <w:t>la producción</w:t>
      </w:r>
      <w:r w:rsidR="00253BD5">
        <w:rPr>
          <w:rFonts w:ascii="Arial" w:hAnsi="Arial" w:cs="Arial"/>
          <w:bCs/>
        </w:rPr>
        <w:t xml:space="preserve"> </w:t>
      </w:r>
      <w:r w:rsidR="00253BD5" w:rsidRPr="0068391A">
        <w:rPr>
          <w:rFonts w:ascii="Arial" w:hAnsi="Arial" w:cs="Arial"/>
          <w:bCs/>
        </w:rPr>
        <w:t xml:space="preserve">de la industria inmobiliaria, </w:t>
      </w:r>
      <w:r w:rsidR="002C2BE3">
        <w:rPr>
          <w:rFonts w:ascii="Arial" w:hAnsi="Arial" w:cs="Arial"/>
          <w:bCs/>
        </w:rPr>
        <w:t>que participa con</w:t>
      </w:r>
      <w:r w:rsidR="00253BD5" w:rsidRPr="0068391A">
        <w:rPr>
          <w:rFonts w:ascii="Arial" w:hAnsi="Arial" w:cs="Arial"/>
          <w:bCs/>
        </w:rPr>
        <w:t xml:space="preserve"> el 24.7</w:t>
      </w:r>
      <w:r w:rsidR="00BA1602">
        <w:rPr>
          <w:rFonts w:ascii="Arial" w:hAnsi="Arial" w:cs="Arial"/>
          <w:bCs/>
        </w:rPr>
        <w:t>%</w:t>
      </w:r>
      <w:r w:rsidR="00253BD5">
        <w:rPr>
          <w:rFonts w:ascii="Arial" w:hAnsi="Arial" w:cs="Arial"/>
          <w:bCs/>
        </w:rPr>
        <w:t>,</w:t>
      </w:r>
      <w:r w:rsidR="00253BD5" w:rsidRPr="0068391A">
        <w:rPr>
          <w:rFonts w:ascii="Arial" w:hAnsi="Arial" w:cs="Arial"/>
          <w:bCs/>
        </w:rPr>
        <w:t xml:space="preserve"> </w:t>
      </w:r>
      <w:r w:rsidR="0068391A" w:rsidRPr="0068391A">
        <w:rPr>
          <w:rFonts w:ascii="Arial" w:hAnsi="Arial" w:cs="Arial"/>
          <w:bCs/>
        </w:rPr>
        <w:t>el alquiler efectivo de vivienda, que participa con el 24.5</w:t>
      </w:r>
      <w:r w:rsidR="00341332">
        <w:rPr>
          <w:rFonts w:ascii="Arial" w:hAnsi="Arial" w:cs="Arial"/>
          <w:bCs/>
        </w:rPr>
        <w:t>%,</w:t>
      </w:r>
      <w:r w:rsidR="00326CB9" w:rsidRPr="00326CB9">
        <w:rPr>
          <w:rFonts w:ascii="Arial" w:hAnsi="Arial" w:cs="Arial"/>
          <w:bCs/>
        </w:rPr>
        <w:t xml:space="preserve"> las actividades relacionadas con </w:t>
      </w:r>
      <w:r w:rsidR="00341332">
        <w:rPr>
          <w:rFonts w:ascii="Arial" w:hAnsi="Arial" w:cs="Arial"/>
          <w:bCs/>
        </w:rPr>
        <w:t>el financiamiento a</w:t>
      </w:r>
      <w:r w:rsidR="00326CB9" w:rsidRPr="00326CB9">
        <w:rPr>
          <w:rFonts w:ascii="Arial" w:hAnsi="Arial" w:cs="Arial"/>
          <w:bCs/>
        </w:rPr>
        <w:t xml:space="preserve"> la adquisición y mejoramiento de las casas</w:t>
      </w:r>
      <w:r w:rsidR="00341332">
        <w:rPr>
          <w:rFonts w:ascii="Arial" w:hAnsi="Arial" w:cs="Arial"/>
          <w:bCs/>
        </w:rPr>
        <w:t>, que</w:t>
      </w:r>
      <w:r w:rsidR="00326CB9" w:rsidRPr="00326CB9">
        <w:rPr>
          <w:rFonts w:ascii="Arial" w:hAnsi="Arial" w:cs="Arial"/>
          <w:bCs/>
        </w:rPr>
        <w:t xml:space="preserve"> aportaron un 3.</w:t>
      </w:r>
      <w:r w:rsidR="00BB45B1">
        <w:rPr>
          <w:rFonts w:ascii="Arial" w:hAnsi="Arial" w:cs="Arial"/>
          <w:bCs/>
        </w:rPr>
        <w:t>6</w:t>
      </w:r>
      <w:r w:rsidR="00326CB9" w:rsidRPr="00326CB9">
        <w:rPr>
          <w:rFonts w:ascii="Arial" w:hAnsi="Arial" w:cs="Arial"/>
          <w:bCs/>
        </w:rPr>
        <w:t>%</w:t>
      </w:r>
      <w:r w:rsidR="00F87936">
        <w:rPr>
          <w:rFonts w:ascii="Arial" w:hAnsi="Arial" w:cs="Arial"/>
          <w:bCs/>
        </w:rPr>
        <w:t>;</w:t>
      </w:r>
      <w:r w:rsidR="00326CB9" w:rsidRPr="00326CB9">
        <w:rPr>
          <w:rFonts w:ascii="Arial" w:hAnsi="Arial" w:cs="Arial"/>
          <w:bCs/>
        </w:rPr>
        <w:t xml:space="preserve"> la autoconstrucción, ampliación y mejoramiento de la vivienda, aportó el 2.</w:t>
      </w:r>
      <w:r w:rsidR="00BB45B1">
        <w:rPr>
          <w:rFonts w:ascii="Arial" w:hAnsi="Arial" w:cs="Arial"/>
          <w:bCs/>
        </w:rPr>
        <w:t>1</w:t>
      </w:r>
      <w:r w:rsidR="00326CB9" w:rsidRPr="00326CB9">
        <w:rPr>
          <w:rFonts w:ascii="Arial" w:hAnsi="Arial" w:cs="Arial"/>
          <w:bCs/>
        </w:rPr>
        <w:t>%</w:t>
      </w:r>
      <w:r w:rsidR="00341332">
        <w:rPr>
          <w:rFonts w:ascii="Arial" w:hAnsi="Arial" w:cs="Arial"/>
          <w:bCs/>
        </w:rPr>
        <w:t>; los servicios inmobiliarios, que participaron con el 1.9% y</w:t>
      </w:r>
      <w:r w:rsidR="00326CB9">
        <w:rPr>
          <w:rFonts w:ascii="Arial" w:hAnsi="Arial" w:cs="Arial"/>
          <w:bCs/>
        </w:rPr>
        <w:t xml:space="preserve"> </w:t>
      </w:r>
      <w:r w:rsidR="00341332">
        <w:rPr>
          <w:rFonts w:ascii="Arial" w:hAnsi="Arial" w:cs="Arial"/>
          <w:bCs/>
        </w:rPr>
        <w:t>o</w:t>
      </w:r>
      <w:r w:rsidR="00C80961">
        <w:rPr>
          <w:rFonts w:ascii="Arial" w:hAnsi="Arial" w:cs="Arial"/>
          <w:bCs/>
        </w:rPr>
        <w:t>tras actividades</w:t>
      </w:r>
      <w:r w:rsidR="00EE3DAF">
        <w:rPr>
          <w:rFonts w:ascii="Arial" w:hAnsi="Arial" w:cs="Arial"/>
          <w:bCs/>
        </w:rPr>
        <w:t>, las cuales aportaron en conjunto el</w:t>
      </w:r>
      <w:r w:rsidR="00BB6735">
        <w:rPr>
          <w:rFonts w:ascii="Arial" w:hAnsi="Arial" w:cs="Arial"/>
          <w:bCs/>
        </w:rPr>
        <w:t xml:space="preserve"> </w:t>
      </w:r>
      <w:r w:rsidR="00F87936">
        <w:rPr>
          <w:rFonts w:ascii="Arial" w:hAnsi="Arial" w:cs="Arial"/>
          <w:bCs/>
        </w:rPr>
        <w:t>2.5%, como los</w:t>
      </w:r>
      <w:r w:rsidR="00F87936" w:rsidRPr="0068391A">
        <w:rPr>
          <w:rFonts w:ascii="Arial" w:hAnsi="Arial" w:cs="Arial"/>
          <w:bCs/>
        </w:rPr>
        <w:t xml:space="preserve"> servicios </w:t>
      </w:r>
      <w:r w:rsidR="00F87936">
        <w:rPr>
          <w:rFonts w:ascii="Arial" w:hAnsi="Arial" w:cs="Arial"/>
          <w:bCs/>
        </w:rPr>
        <w:t>inmobiliarios</w:t>
      </w:r>
      <w:r w:rsidR="00F87936" w:rsidRPr="0068391A">
        <w:rPr>
          <w:rFonts w:ascii="Arial" w:hAnsi="Arial" w:cs="Arial"/>
          <w:bCs/>
        </w:rPr>
        <w:t>;</w:t>
      </w:r>
      <w:r w:rsidR="00F87936">
        <w:rPr>
          <w:rFonts w:ascii="Arial" w:hAnsi="Arial" w:cs="Arial"/>
          <w:bCs/>
        </w:rPr>
        <w:t xml:space="preserve"> </w:t>
      </w:r>
      <w:r w:rsidR="00F87936" w:rsidRPr="0068391A">
        <w:rPr>
          <w:rFonts w:ascii="Arial" w:hAnsi="Arial" w:cs="Arial"/>
          <w:bCs/>
        </w:rPr>
        <w:t xml:space="preserve">actividades de supervisión; servicios especializados de la construcción; seguros; servicios notariales; apoyo de asociaciones civiles para la construcción o mejoramiento de las viviendas y, finalmente, los </w:t>
      </w:r>
      <w:r w:rsidR="00F87936">
        <w:rPr>
          <w:rFonts w:ascii="Arial" w:hAnsi="Arial" w:cs="Arial"/>
          <w:bCs/>
        </w:rPr>
        <w:t xml:space="preserve">servicios de apoyo, </w:t>
      </w:r>
      <w:r w:rsidR="00F87936" w:rsidRPr="0068391A">
        <w:rPr>
          <w:rFonts w:ascii="Arial" w:hAnsi="Arial" w:cs="Arial"/>
          <w:bCs/>
        </w:rPr>
        <w:t>regulación y fomento desarrollados por la administración pública federal y local.</w:t>
      </w:r>
    </w:p>
    <w:p w14:paraId="1D652945" w14:textId="77777777" w:rsidR="00EE3DAF" w:rsidRDefault="00EE3DAF" w:rsidP="00684C50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7A1D0F9C" w14:textId="4EC57A84" w:rsidR="0069353C" w:rsidRDefault="0069353C" w:rsidP="00684C50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08F9FAEA" w14:textId="4F8A3B66" w:rsidR="009F5942" w:rsidRDefault="009F5942" w:rsidP="00684C50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05159BDD" w14:textId="29091EAA" w:rsidR="006B75A1" w:rsidRDefault="006B75A1" w:rsidP="00684C50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5DEA2E22" w14:textId="77777777" w:rsidR="006B75A1" w:rsidRDefault="006B75A1" w:rsidP="00684C50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32A821E0" w14:textId="77777777" w:rsidR="009F5942" w:rsidRDefault="009F5942" w:rsidP="00684C50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62F670A4" w14:textId="77777777" w:rsidR="0069353C" w:rsidRDefault="0069353C" w:rsidP="00684C50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4CECED25" w14:textId="47ECD00D" w:rsidR="00684C50" w:rsidRPr="00684C50" w:rsidRDefault="00684C50" w:rsidP="00684C50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684C50">
        <w:rPr>
          <w:rFonts w:ascii="Arial" w:eastAsia="Times New Roman" w:hAnsi="Arial" w:cs="Arial"/>
          <w:b/>
          <w:bCs/>
          <w:color w:val="000000"/>
          <w:lang w:eastAsia="es-MX"/>
        </w:rPr>
        <w:t>PIB del sector de la vivienda por clasificación funcional, 2018</w:t>
      </w:r>
    </w:p>
    <w:p w14:paraId="38527D4F" w14:textId="77777777" w:rsidR="00684C50" w:rsidRPr="00684C50" w:rsidRDefault="00684C50" w:rsidP="00684C50">
      <w:pPr>
        <w:spacing w:after="0"/>
        <w:jc w:val="center"/>
        <w:rPr>
          <w:rFonts w:ascii="Arial" w:eastAsia="Times New Roman" w:hAnsi="Arial" w:cs="Arial"/>
          <w:bCs/>
          <w:color w:val="000000"/>
          <w:lang w:eastAsia="es-MX"/>
        </w:rPr>
      </w:pPr>
      <w:r w:rsidRPr="00684C50">
        <w:rPr>
          <w:rFonts w:ascii="Arial" w:eastAsia="Times New Roman" w:hAnsi="Arial" w:cs="Arial"/>
          <w:bCs/>
          <w:color w:val="000000"/>
          <w:lang w:eastAsia="es-MX"/>
        </w:rPr>
        <w:t>Porcentaje</w:t>
      </w:r>
    </w:p>
    <w:p w14:paraId="4F9E0382" w14:textId="77777777" w:rsidR="00684C50" w:rsidRDefault="00684C50" w:rsidP="00654F6F">
      <w:pPr>
        <w:tabs>
          <w:tab w:val="left" w:pos="3256"/>
        </w:tabs>
        <w:ind w:left="-567" w:right="-518"/>
        <w:jc w:val="both"/>
        <w:rPr>
          <w:rFonts w:ascii="Arial" w:hAnsi="Arial" w:cs="Arial"/>
          <w:bCs/>
        </w:rPr>
      </w:pPr>
      <w:r w:rsidRPr="00AE1AC0">
        <w:rPr>
          <w:rFonts w:ascii="Arial" w:hAnsi="Arial" w:cs="Arial"/>
          <w:b/>
          <w:noProof/>
          <w:sz w:val="24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7AA216" wp14:editId="1DA8CE28">
                <wp:simplePos x="0" y="0"/>
                <wp:positionH relativeFrom="column">
                  <wp:posOffset>4318166</wp:posOffset>
                </wp:positionH>
                <wp:positionV relativeFrom="paragraph">
                  <wp:posOffset>3536757</wp:posOffset>
                </wp:positionV>
                <wp:extent cx="1934317" cy="500332"/>
                <wp:effectExtent l="0" t="0" r="0" b="0"/>
                <wp:wrapNone/>
                <wp:docPr id="18" name="1 CuadroTexto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4BE38D-BF2E-4009-B969-4164BB1D90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317" cy="500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6405F5" w14:textId="77777777" w:rsidR="00FE7A85" w:rsidRPr="00F1784E" w:rsidRDefault="00FE7A85" w:rsidP="00684C50">
                            <w:pPr>
                              <w:pStyle w:val="NormalWeb"/>
                              <w:overflowPunct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F1784E">
                              <w:rPr>
                                <w:rFonts w:ascii="Arial" w:eastAsia="Helvetica Neue" w:hAnsi="Arial" w:cs="Arial"/>
                                <w:bCs/>
                                <w:sz w:val="22"/>
                                <w:szCs w:val="36"/>
                              </w:rPr>
                              <w:t>Servicios inmobiliarios</w:t>
                            </w:r>
                          </w:p>
                          <w:p w14:paraId="5C4539C1" w14:textId="77777777" w:rsidR="00FE7A85" w:rsidRPr="00F1784E" w:rsidRDefault="00FE7A85" w:rsidP="00684C50">
                            <w:pPr>
                              <w:pStyle w:val="NormalWeb"/>
                              <w:overflowPunct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F1784E">
                              <w:rPr>
                                <w:rFonts w:ascii="Arial" w:eastAsia="Helvetica Neue" w:hAnsi="Arial" w:cs="Arial"/>
                                <w:bCs/>
                                <w:sz w:val="22"/>
                                <w:szCs w:val="36"/>
                              </w:rPr>
                              <w:t>1.9%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D016D" id="_x0000_t202" coordsize="21600,21600" o:spt="202" path="m,l,21600r21600,l21600,xe">
                <v:stroke joinstyle="miter"/>
                <v:path gradientshapeok="t" o:connecttype="rect"/>
              </v:shapetype>
              <v:shape id="1 CuadroTexto" o:spid="_x0000_s1026" type="#_x0000_t202" style="position:absolute;left:0;text-align:left;margin-left:340pt;margin-top:278.5pt;width:152.3pt;height:3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" filled="f" stroked="f">
                <v:textbox>
                  <w:txbxContent>
                    <w:p w:rsidR="00FE7A85" w:rsidRPr="00F1784E" w:rsidRDefault="00FE7A85" w:rsidP="00684C50">
                      <w:pPr>
                        <w:pStyle w:val="NormalWeb"/>
                        <w:overflowPunct w:val="0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F1784E">
                        <w:rPr>
                          <w:rFonts w:ascii="Arial" w:eastAsia="Helvetica Neue" w:hAnsi="Arial" w:cs="Arial"/>
                          <w:bCs/>
                          <w:sz w:val="22"/>
                          <w:szCs w:val="36"/>
                        </w:rPr>
                        <w:t>Servicios inmobiliarios</w:t>
                      </w:r>
                    </w:p>
                    <w:p w:rsidR="00FE7A85" w:rsidRPr="00F1784E" w:rsidRDefault="00FE7A85" w:rsidP="00684C50">
                      <w:pPr>
                        <w:pStyle w:val="NormalWeb"/>
                        <w:overflowPunct w:val="0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F1784E">
                        <w:rPr>
                          <w:rFonts w:ascii="Arial" w:eastAsia="Helvetica Neue" w:hAnsi="Arial" w:cs="Arial"/>
                          <w:bCs/>
                          <w:sz w:val="22"/>
                          <w:szCs w:val="36"/>
                        </w:rPr>
                        <w:t>1.9%</w:t>
                      </w:r>
                    </w:p>
                  </w:txbxContent>
                </v:textbox>
              </v:shape>
            </w:pict>
          </mc:Fallback>
        </mc:AlternateContent>
      </w:r>
      <w:r w:rsidRPr="00AE1AC0">
        <w:rPr>
          <w:rFonts w:ascii="Arial" w:hAnsi="Arial" w:cs="Arial"/>
          <w:b/>
          <w:noProof/>
          <w:sz w:val="24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F995CB" wp14:editId="54F46E9A">
                <wp:simplePos x="0" y="0"/>
                <wp:positionH relativeFrom="column">
                  <wp:posOffset>4405630</wp:posOffset>
                </wp:positionH>
                <wp:positionV relativeFrom="paragraph">
                  <wp:posOffset>3102610</wp:posOffset>
                </wp:positionV>
                <wp:extent cx="1586865" cy="439420"/>
                <wp:effectExtent l="0" t="0" r="0" b="0"/>
                <wp:wrapNone/>
                <wp:docPr id="3" name="1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865" cy="439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8B8BF6" w14:textId="77777777" w:rsidR="00FE7A85" w:rsidRPr="00F1784E" w:rsidRDefault="00FE7A85" w:rsidP="00684C50">
                            <w:pPr>
                              <w:pStyle w:val="NormalWeb"/>
                              <w:overflowPunct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F1784E">
                              <w:rPr>
                                <w:rFonts w:ascii="Arial" w:eastAsia="Helvetica Neue" w:hAnsi="Arial" w:cs="Arial"/>
                                <w:bCs/>
                                <w:sz w:val="22"/>
                                <w:szCs w:val="36"/>
                              </w:rPr>
                              <w:t>Autoconstrucción</w:t>
                            </w:r>
                          </w:p>
                          <w:p w14:paraId="38854857" w14:textId="77777777" w:rsidR="00FE7A85" w:rsidRPr="00F1784E" w:rsidRDefault="00FE7A85" w:rsidP="00684C50">
                            <w:pPr>
                              <w:pStyle w:val="NormalWeb"/>
                              <w:overflowPunct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F1784E">
                              <w:rPr>
                                <w:rFonts w:ascii="Arial" w:eastAsia="Helvetica Neue" w:hAnsi="Arial" w:cs="Arial"/>
                                <w:bCs/>
                                <w:sz w:val="22"/>
                                <w:szCs w:val="36"/>
                              </w:rPr>
                              <w:t>2.1%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626F5" id="_x0000_s1027" type="#_x0000_t202" style="position:absolute;left:0;text-align:left;margin-left:346.9pt;margin-top:244.3pt;width:124.95pt;height:3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" filled="f" stroked="f">
                <v:textbox>
                  <w:txbxContent>
                    <w:p w:rsidR="00FE7A85" w:rsidRPr="00F1784E" w:rsidRDefault="00FE7A85" w:rsidP="00684C50">
                      <w:pPr>
                        <w:pStyle w:val="NormalWeb"/>
                        <w:overflowPunct w:val="0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F1784E">
                        <w:rPr>
                          <w:rFonts w:ascii="Arial" w:eastAsia="Helvetica Neue" w:hAnsi="Arial" w:cs="Arial"/>
                          <w:bCs/>
                          <w:sz w:val="22"/>
                          <w:szCs w:val="36"/>
                        </w:rPr>
                        <w:t>Autoconstrucción</w:t>
                      </w:r>
                    </w:p>
                    <w:p w:rsidR="00FE7A85" w:rsidRPr="00F1784E" w:rsidRDefault="00FE7A85" w:rsidP="00684C50">
                      <w:pPr>
                        <w:pStyle w:val="NormalWeb"/>
                        <w:overflowPunct w:val="0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F1784E">
                        <w:rPr>
                          <w:rFonts w:ascii="Arial" w:eastAsia="Helvetica Neue" w:hAnsi="Arial" w:cs="Arial"/>
                          <w:bCs/>
                          <w:sz w:val="22"/>
                          <w:szCs w:val="36"/>
                        </w:rPr>
                        <w:t>2.1%</w:t>
                      </w:r>
                    </w:p>
                  </w:txbxContent>
                </v:textbox>
              </v:shape>
            </w:pict>
          </mc:Fallback>
        </mc:AlternateContent>
      </w:r>
      <w:r w:rsidRPr="00AE1AC0">
        <w:rPr>
          <w:rFonts w:ascii="Arial" w:hAnsi="Arial" w:cs="Arial"/>
          <w:b/>
          <w:noProof/>
          <w:sz w:val="24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3EC7A" wp14:editId="08D3D8B1">
                <wp:simplePos x="0" y="0"/>
                <wp:positionH relativeFrom="column">
                  <wp:posOffset>4191193</wp:posOffset>
                </wp:positionH>
                <wp:positionV relativeFrom="paragraph">
                  <wp:posOffset>1702821</wp:posOffset>
                </wp:positionV>
                <wp:extent cx="1580635" cy="422694"/>
                <wp:effectExtent l="0" t="0" r="0" b="0"/>
                <wp:wrapNone/>
                <wp:docPr id="20" name="1 CuadroTexto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BF681D-DDB7-4579-86D7-1B36C910B75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635" cy="4226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8C5707" w14:textId="77777777" w:rsidR="00FE7A85" w:rsidRPr="00C062EE" w:rsidRDefault="00FE7A85" w:rsidP="00684C50">
                            <w:pPr>
                              <w:pStyle w:val="NormalWeb"/>
                              <w:overflowPunct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C062EE">
                              <w:rPr>
                                <w:rFonts w:ascii="Arial" w:eastAsia="Helvetica Neue" w:hAnsi="Arial" w:cs="Arial"/>
                                <w:bCs/>
                                <w:sz w:val="22"/>
                                <w:szCs w:val="36"/>
                              </w:rPr>
                              <w:t>Financiamiento</w:t>
                            </w:r>
                          </w:p>
                          <w:p w14:paraId="4AF383C8" w14:textId="77777777" w:rsidR="00FE7A85" w:rsidRPr="00C062EE" w:rsidRDefault="00FE7A85" w:rsidP="00684C50">
                            <w:pPr>
                              <w:pStyle w:val="NormalWeb"/>
                              <w:overflowPunct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C062EE">
                              <w:rPr>
                                <w:rFonts w:ascii="Arial" w:eastAsia="Helvetica Neue" w:hAnsi="Arial" w:cs="Arial"/>
                                <w:bCs/>
                                <w:sz w:val="22"/>
                                <w:szCs w:val="36"/>
                              </w:rPr>
                              <w:t>3.6%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D7453" id="_x0000_s1028" type="#_x0000_t202" style="position:absolute;left:0;text-align:left;margin-left:330pt;margin-top:134.1pt;width:124.45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" filled="f" stroked="f">
                <v:textbox>
                  <w:txbxContent>
                    <w:p w:rsidR="00FE7A85" w:rsidRPr="00C062EE" w:rsidRDefault="00FE7A85" w:rsidP="00684C50">
                      <w:pPr>
                        <w:pStyle w:val="NormalWeb"/>
                        <w:overflowPunct w:val="0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C062EE">
                        <w:rPr>
                          <w:rFonts w:ascii="Arial" w:eastAsia="Helvetica Neue" w:hAnsi="Arial" w:cs="Arial"/>
                          <w:bCs/>
                          <w:sz w:val="22"/>
                          <w:szCs w:val="36"/>
                        </w:rPr>
                        <w:t>Financiamiento</w:t>
                      </w:r>
                    </w:p>
                    <w:p w:rsidR="00FE7A85" w:rsidRPr="00C062EE" w:rsidRDefault="00FE7A85" w:rsidP="00684C50">
                      <w:pPr>
                        <w:pStyle w:val="NormalWeb"/>
                        <w:overflowPunct w:val="0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C062EE">
                        <w:rPr>
                          <w:rFonts w:ascii="Arial" w:eastAsia="Helvetica Neue" w:hAnsi="Arial" w:cs="Arial"/>
                          <w:bCs/>
                          <w:sz w:val="22"/>
                          <w:szCs w:val="36"/>
                        </w:rPr>
                        <w:t>3.6%</w:t>
                      </w:r>
                    </w:p>
                  </w:txbxContent>
                </v:textbox>
              </v:shape>
            </w:pict>
          </mc:Fallback>
        </mc:AlternateContent>
      </w:r>
      <w:r w:rsidRPr="00684C50">
        <w:rPr>
          <w:rFonts w:ascii="Arial" w:hAnsi="Arial" w:cs="Arial"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2CC602" wp14:editId="4AB50E0C">
                <wp:simplePos x="0" y="0"/>
                <wp:positionH relativeFrom="column">
                  <wp:posOffset>4106545</wp:posOffset>
                </wp:positionH>
                <wp:positionV relativeFrom="paragraph">
                  <wp:posOffset>3146425</wp:posOffset>
                </wp:positionV>
                <wp:extent cx="55880" cy="334010"/>
                <wp:effectExtent l="13335" t="62865" r="71755" b="33655"/>
                <wp:wrapNone/>
                <wp:docPr id="16" name="1 Conector angular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5A325B-D7BD-4444-AD9C-232954CCD1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55880" cy="334010"/>
                        </a:xfrm>
                        <a:prstGeom prst="bentConnector3">
                          <a:avLst>
                            <a:gd name="adj1" fmla="val -22959"/>
                          </a:avLst>
                        </a:prstGeom>
                        <a:ln w="28575">
                          <a:solidFill>
                            <a:srgbClr val="DA587D"/>
                          </a:solidFill>
                          <a:tailEnd type="diamond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D96F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1 Conector angular" o:spid="_x0000_s1026" type="#_x0000_t34" style="position:absolute;margin-left:323.35pt;margin-top:247.75pt;width:4.4pt;height:26.3pt;rotation:9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" adj="-4959" strokecolor="#da587d" strokeweight="2.25pt">
                <v:stroke endarrow="diamond"/>
              </v:shape>
            </w:pict>
          </mc:Fallback>
        </mc:AlternateContent>
      </w:r>
      <w:r w:rsidRPr="00684C50">
        <w:rPr>
          <w:rFonts w:ascii="Arial" w:hAnsi="Arial" w:cs="Arial"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E8BB9A" wp14:editId="6171C33B">
                <wp:simplePos x="0" y="0"/>
                <wp:positionH relativeFrom="column">
                  <wp:posOffset>4074160</wp:posOffset>
                </wp:positionH>
                <wp:positionV relativeFrom="paragraph">
                  <wp:posOffset>3630930</wp:posOffset>
                </wp:positionV>
                <wp:extent cx="55880" cy="295275"/>
                <wp:effectExtent l="32702" t="62548" r="72073" b="33972"/>
                <wp:wrapNone/>
                <wp:docPr id="19" name="1 Conector angular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8D2A7A-83EF-438B-BEFA-06450474C2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55880" cy="295275"/>
                        </a:xfrm>
                        <a:prstGeom prst="bentConnector3">
                          <a:avLst>
                            <a:gd name="adj1" fmla="val -22959"/>
                          </a:avLst>
                        </a:prstGeom>
                        <a:noFill/>
                        <a:ln w="38100" cap="sq" cmpd="sng" algn="ctr">
                          <a:solidFill>
                            <a:srgbClr val="00FFFF"/>
                          </a:solidFill>
                          <a:prstDash val="solid"/>
                          <a:tailEnd type="diamond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637F5" id="1 Conector angular" o:spid="_x0000_s1026" type="#_x0000_t34" style="position:absolute;margin-left:320.8pt;margin-top:285.9pt;width:4.4pt;height:23.25pt;rotation:90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" adj="-4959" strokecolor="aqua" strokeweight="3pt">
                <v:stroke endarrow="diamond" endcap="square"/>
              </v:shape>
            </w:pict>
          </mc:Fallback>
        </mc:AlternateContent>
      </w:r>
      <w:r w:rsidRPr="00684C50">
        <w:rPr>
          <w:rFonts w:ascii="Arial" w:hAnsi="Arial" w:cs="Arial"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5BA8CA" wp14:editId="2B673EFA">
                <wp:simplePos x="0" y="0"/>
                <wp:positionH relativeFrom="column">
                  <wp:posOffset>4047214</wp:posOffset>
                </wp:positionH>
                <wp:positionV relativeFrom="paragraph">
                  <wp:posOffset>1701746</wp:posOffset>
                </wp:positionV>
                <wp:extent cx="97819" cy="385352"/>
                <wp:effectExtent l="46990" t="48260" r="63500" b="63500"/>
                <wp:wrapNone/>
                <wp:docPr id="21" name="1 Conector angular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392BEA-4263-45C9-BFBC-82E9C22843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97819" cy="385352"/>
                        </a:xfrm>
                        <a:prstGeom prst="bentConnector3">
                          <a:avLst>
                            <a:gd name="adj1" fmla="val -22959"/>
                          </a:avLst>
                        </a:prstGeom>
                        <a:noFill/>
                        <a:ln w="38100" cap="sq" cmpd="sng" algn="ctr">
                          <a:solidFill>
                            <a:srgbClr val="92D050"/>
                          </a:solidFill>
                          <a:prstDash val="solid"/>
                          <a:tailEnd type="diamond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092FC" id="1 Conector angular" o:spid="_x0000_s1026" type="#_x0000_t34" style="position:absolute;margin-left:318.7pt;margin-top:134pt;width:7.7pt;height:30.35pt;rotation:9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" adj="-4959" strokecolor="#92d050" strokeweight="3pt">
                <v:stroke endarrow="diamond" endcap="square"/>
              </v:shape>
            </w:pict>
          </mc:Fallback>
        </mc:AlternateContent>
      </w:r>
      <w:r>
        <w:rPr>
          <w:noProof/>
          <w:lang w:eastAsia="es-MX"/>
        </w:rPr>
        <w:drawing>
          <wp:inline distT="0" distB="0" distL="0" distR="0" wp14:anchorId="32E7BE62" wp14:editId="7F7F8CF7">
            <wp:extent cx="4467225" cy="4010025"/>
            <wp:effectExtent l="0" t="0" r="9525" b="9525"/>
            <wp:docPr id="8" name="Gráfico 8"/>
            <wp:cNvGraphicFramePr>
              <a:graphicFrameLocks xmlns:a="http://schemas.openxmlformats.org/drawingml/2006/main" noGrp="1" noDrilldown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áfico 8"/>
                    <pic:cNvPicPr>
                      <a:picLocks noGrp="1" noRot="1" noChangeAspect="1" noMove="1" noResize="1" noEditPoints="1" noAdjustHandles="1" noChangeArrowheads="1" noChangeShapeType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97AD3" w14:textId="77777777" w:rsidR="00A366C5" w:rsidRPr="00236925" w:rsidRDefault="00236925" w:rsidP="00654F6F">
      <w:pPr>
        <w:tabs>
          <w:tab w:val="left" w:pos="3256"/>
        </w:tabs>
        <w:ind w:left="-567" w:right="-518"/>
        <w:jc w:val="both"/>
        <w:rPr>
          <w:rFonts w:ascii="Arial" w:hAnsi="Arial" w:cs="Arial"/>
          <w:bCs/>
          <w:sz w:val="16"/>
        </w:rPr>
      </w:pPr>
      <w:r w:rsidRPr="00236925">
        <w:rPr>
          <w:rFonts w:ascii="Arial" w:hAnsi="Arial" w:cs="Arial"/>
          <w:bCs/>
          <w:sz w:val="16"/>
        </w:rPr>
        <w:t>*Comprende preparación de terrenos, planeación y diseño, trabajos especializados, supervisión, servicios inmobiliarios, servicios notariales, seguros, diseño, administración de bienes raíces, viviendas colectivas, apoyo en producción, regulación y fomento.</w:t>
      </w:r>
    </w:p>
    <w:p w14:paraId="2CE9E05F" w14:textId="77777777" w:rsidR="0033536A" w:rsidRPr="00BA222D" w:rsidRDefault="0033536A" w:rsidP="005E4E70">
      <w:pPr>
        <w:tabs>
          <w:tab w:val="left" w:pos="3256"/>
        </w:tabs>
        <w:ind w:left="-567" w:right="-518"/>
        <w:jc w:val="both"/>
        <w:rPr>
          <w:rFonts w:ascii="Arial" w:hAnsi="Arial" w:cs="Arial"/>
          <w:bCs/>
          <w:color w:val="FF0000"/>
        </w:rPr>
      </w:pPr>
    </w:p>
    <w:p w14:paraId="23516FC2" w14:textId="77777777" w:rsidR="00944A74" w:rsidRDefault="00944A74" w:rsidP="005E4E70">
      <w:pPr>
        <w:tabs>
          <w:tab w:val="left" w:pos="3256"/>
        </w:tabs>
        <w:ind w:left="-567" w:right="-5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Evolución del sector</w:t>
      </w:r>
    </w:p>
    <w:p w14:paraId="063937C0" w14:textId="77777777" w:rsidR="001A01E3" w:rsidRDefault="00BA222D" w:rsidP="00BA222D">
      <w:pPr>
        <w:tabs>
          <w:tab w:val="left" w:pos="3256"/>
        </w:tabs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>Para el año 2018, e</w:t>
      </w:r>
      <w:r w:rsidR="000F2666" w:rsidRPr="001A01E3">
        <w:rPr>
          <w:rFonts w:ascii="Arial" w:hAnsi="Arial" w:cs="Arial"/>
        </w:rPr>
        <w:t>l sector de la vivienda creció 1.1%</w:t>
      </w:r>
      <w:r w:rsidR="005455A9">
        <w:rPr>
          <w:rFonts w:ascii="Arial" w:hAnsi="Arial" w:cs="Arial"/>
        </w:rPr>
        <w:t>,</w:t>
      </w:r>
      <w:r w:rsidR="00567B81">
        <w:rPr>
          <w:rFonts w:ascii="Arial" w:hAnsi="Arial" w:cs="Arial"/>
        </w:rPr>
        <w:t xml:space="preserve"> en términos reales</w:t>
      </w:r>
      <w:r w:rsidR="000F2666" w:rsidRPr="001A01E3">
        <w:rPr>
          <w:rFonts w:ascii="Arial" w:hAnsi="Arial" w:cs="Arial"/>
        </w:rPr>
        <w:t xml:space="preserve">, </w:t>
      </w:r>
      <w:r w:rsidR="00647E28">
        <w:rPr>
          <w:rFonts w:ascii="Arial" w:hAnsi="Arial" w:cs="Arial"/>
        </w:rPr>
        <w:t xml:space="preserve">destacando el crecimiento de algunos de sus componentes como </w:t>
      </w:r>
      <w:r w:rsidR="00365A5B" w:rsidRPr="001A01E3">
        <w:rPr>
          <w:rFonts w:ascii="Arial" w:hAnsi="Arial" w:cs="Arial"/>
        </w:rPr>
        <w:t>la construcción</w:t>
      </w:r>
      <w:r>
        <w:rPr>
          <w:rFonts w:ascii="Arial" w:hAnsi="Arial" w:cs="Arial"/>
        </w:rPr>
        <w:t xml:space="preserve"> de viviendas</w:t>
      </w:r>
      <w:r w:rsidR="00647E28">
        <w:rPr>
          <w:rFonts w:ascii="Arial" w:hAnsi="Arial" w:cs="Arial"/>
        </w:rPr>
        <w:t>,</w:t>
      </w:r>
      <w:r w:rsidR="005455A9">
        <w:rPr>
          <w:rFonts w:ascii="Arial" w:hAnsi="Arial" w:cs="Arial"/>
        </w:rPr>
        <w:t xml:space="preserve"> con </w:t>
      </w:r>
      <w:r w:rsidR="003C3C37">
        <w:rPr>
          <w:rFonts w:ascii="Arial" w:hAnsi="Arial" w:cs="Arial"/>
        </w:rPr>
        <w:t>1.0</w:t>
      </w:r>
      <w:r w:rsidR="00647E28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</w:t>
      </w:r>
      <w:r w:rsidR="00C965FC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424B4A">
        <w:rPr>
          <w:rFonts w:ascii="Arial" w:hAnsi="Arial" w:cs="Arial"/>
        </w:rPr>
        <w:t>el</w:t>
      </w:r>
      <w:r w:rsidR="00647E28">
        <w:rPr>
          <w:rFonts w:ascii="Arial" w:hAnsi="Arial" w:cs="Arial"/>
        </w:rPr>
        <w:t xml:space="preserve"> </w:t>
      </w:r>
      <w:r w:rsidR="001D4698" w:rsidRPr="001A01E3">
        <w:rPr>
          <w:rFonts w:ascii="Arial" w:hAnsi="Arial" w:cs="Arial"/>
        </w:rPr>
        <w:t>alquiler efectivo de vivienda</w:t>
      </w:r>
      <w:r w:rsidR="00647E28">
        <w:rPr>
          <w:rFonts w:ascii="Arial" w:hAnsi="Arial" w:cs="Arial"/>
        </w:rPr>
        <w:t>,</w:t>
      </w:r>
      <w:r w:rsidR="00C8777F" w:rsidRPr="001A01E3">
        <w:rPr>
          <w:rFonts w:ascii="Arial" w:hAnsi="Arial" w:cs="Arial"/>
        </w:rPr>
        <w:t xml:space="preserve"> </w:t>
      </w:r>
      <w:r w:rsidR="00647E28">
        <w:rPr>
          <w:rFonts w:ascii="Arial" w:hAnsi="Arial" w:cs="Arial"/>
        </w:rPr>
        <w:t>con</w:t>
      </w:r>
      <w:r w:rsidR="001D4698" w:rsidRPr="001A01E3">
        <w:rPr>
          <w:rFonts w:ascii="Arial" w:hAnsi="Arial" w:cs="Arial"/>
        </w:rPr>
        <w:t xml:space="preserve"> 2.9</w:t>
      </w:r>
      <w:r w:rsidR="00C934AF" w:rsidRPr="001A01E3">
        <w:rPr>
          <w:rFonts w:ascii="Arial" w:hAnsi="Arial" w:cs="Arial"/>
        </w:rPr>
        <w:t xml:space="preserve"> por ciento</w:t>
      </w:r>
      <w:r w:rsidR="001D4698" w:rsidRPr="001A01E3">
        <w:rPr>
          <w:rFonts w:ascii="Arial" w:hAnsi="Arial" w:cs="Arial"/>
        </w:rPr>
        <w:t>.</w:t>
      </w:r>
    </w:p>
    <w:p w14:paraId="5C1C8528" w14:textId="77777777" w:rsidR="00DA186B" w:rsidRPr="001A01E3" w:rsidRDefault="001D4698" w:rsidP="005E4E70">
      <w:pPr>
        <w:tabs>
          <w:tab w:val="left" w:pos="3256"/>
        </w:tabs>
        <w:ind w:left="-567" w:right="-518"/>
        <w:jc w:val="both"/>
        <w:rPr>
          <w:rFonts w:ascii="Arial" w:hAnsi="Arial" w:cs="Arial"/>
        </w:rPr>
      </w:pPr>
      <w:r w:rsidRPr="001A01E3">
        <w:rPr>
          <w:rFonts w:ascii="Arial" w:hAnsi="Arial" w:cs="Arial"/>
        </w:rPr>
        <w:t xml:space="preserve"> </w:t>
      </w:r>
      <w:r w:rsidR="00DA186B" w:rsidRPr="001A01E3">
        <w:rPr>
          <w:rFonts w:ascii="Arial" w:hAnsi="Arial" w:cs="Arial"/>
        </w:rPr>
        <w:br/>
      </w:r>
    </w:p>
    <w:p w14:paraId="4D2D4984" w14:textId="77777777" w:rsidR="00DA186B" w:rsidRPr="001A01E3" w:rsidRDefault="00DA186B" w:rsidP="005E4E70">
      <w:pPr>
        <w:tabs>
          <w:tab w:val="left" w:pos="3256"/>
        </w:tabs>
        <w:ind w:left="-567" w:right="-518"/>
        <w:jc w:val="both"/>
        <w:rPr>
          <w:rFonts w:ascii="Arial" w:hAnsi="Arial" w:cs="Arial"/>
        </w:rPr>
      </w:pPr>
    </w:p>
    <w:p w14:paraId="36B220AF" w14:textId="56D17929" w:rsidR="009F5942" w:rsidRDefault="00DA186B" w:rsidP="009F5942">
      <w:pPr>
        <w:tabs>
          <w:tab w:val="left" w:pos="3256"/>
        </w:tabs>
        <w:ind w:left="-567" w:right="-518"/>
        <w:jc w:val="both"/>
        <w:rPr>
          <w:rFonts w:ascii="Arial" w:hAnsi="Arial" w:cs="Arial"/>
          <w:b/>
          <w:bCs/>
        </w:rPr>
      </w:pPr>
      <w:r w:rsidRPr="001A01E3">
        <w:rPr>
          <w:rFonts w:ascii="Arial" w:hAnsi="Arial" w:cs="Arial"/>
          <w:noProof/>
          <w:lang w:eastAsia="es-MX"/>
        </w:rPr>
        <w:lastRenderedPageBreak/>
        <w:drawing>
          <wp:anchor distT="0" distB="0" distL="114300" distR="114300" simplePos="0" relativeHeight="251671552" behindDoc="0" locked="0" layoutInCell="1" allowOverlap="1" wp14:anchorId="5B4FD7FD" wp14:editId="791EE600">
            <wp:simplePos x="0" y="0"/>
            <wp:positionH relativeFrom="column">
              <wp:posOffset>-337185</wp:posOffset>
            </wp:positionH>
            <wp:positionV relativeFrom="paragraph">
              <wp:posOffset>42545</wp:posOffset>
            </wp:positionV>
            <wp:extent cx="6076950" cy="2600325"/>
            <wp:effectExtent l="95250" t="38100" r="38100" b="85725"/>
            <wp:wrapTopAndBottom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DAB36" w14:textId="77777777" w:rsidR="00F12BED" w:rsidRDefault="00F12BED" w:rsidP="005E4E70">
      <w:pPr>
        <w:tabs>
          <w:tab w:val="left" w:pos="3256"/>
        </w:tabs>
        <w:ind w:left="-567" w:right="-5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 vivienda y el empleo</w:t>
      </w:r>
    </w:p>
    <w:p w14:paraId="490E0870" w14:textId="2D84DAE0" w:rsidR="00507487" w:rsidRDefault="009F5942" w:rsidP="009F5942">
      <w:pPr>
        <w:tabs>
          <w:tab w:val="left" w:pos="3256"/>
        </w:tabs>
        <w:spacing w:line="240" w:lineRule="auto"/>
        <w:ind w:left="-567" w:right="-516"/>
        <w:jc w:val="both"/>
        <w:rPr>
          <w:rFonts w:ascii="Arial" w:hAnsi="Arial" w:cs="Arial"/>
          <w:bCs/>
        </w:rPr>
      </w:pPr>
      <w:r>
        <w:rPr>
          <w:noProof/>
          <w:lang w:eastAsia="es-MX"/>
        </w:rPr>
        <w:drawing>
          <wp:anchor distT="0" distB="0" distL="114300" distR="114300" simplePos="0" relativeHeight="251674624" behindDoc="0" locked="0" layoutInCell="1" allowOverlap="1" wp14:anchorId="150AD9FD" wp14:editId="5A81E59D">
            <wp:simplePos x="0" y="0"/>
            <wp:positionH relativeFrom="margin">
              <wp:align>right</wp:align>
            </wp:positionH>
            <wp:positionV relativeFrom="margin">
              <wp:posOffset>4876800</wp:posOffset>
            </wp:positionV>
            <wp:extent cx="5896610" cy="2886075"/>
            <wp:effectExtent l="95250" t="38100" r="46990" b="85725"/>
            <wp:wrapSquare wrapText="bothSides"/>
            <wp:docPr id="31" name="Gráfico 3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D7A">
        <w:rPr>
          <w:rFonts w:ascii="Arial" w:hAnsi="Arial" w:cs="Arial"/>
          <w:bCs/>
        </w:rPr>
        <w:t xml:space="preserve">El </w:t>
      </w:r>
      <w:r w:rsidR="00500556">
        <w:rPr>
          <w:rFonts w:ascii="Arial" w:hAnsi="Arial" w:cs="Arial"/>
          <w:bCs/>
        </w:rPr>
        <w:t>PNV 2019-2024 menciona que la vivienda es más que un simple espacio edificado ya que al mismo tiempo la producción de vivienda genera inversión, empleo y posibilita el desarrollo</w:t>
      </w:r>
      <w:r w:rsidR="00A72D88">
        <w:rPr>
          <w:rStyle w:val="Refdenotaalpie"/>
          <w:rFonts w:ascii="Arial" w:hAnsi="Arial" w:cs="Arial"/>
          <w:bCs/>
        </w:rPr>
        <w:footnoteReference w:id="9"/>
      </w:r>
      <w:r w:rsidR="00CE38EF">
        <w:rPr>
          <w:rFonts w:ascii="Arial" w:hAnsi="Arial" w:cs="Arial"/>
          <w:bCs/>
        </w:rPr>
        <w:t>.</w:t>
      </w:r>
      <w:r w:rsidR="00500556">
        <w:rPr>
          <w:rFonts w:ascii="Arial" w:hAnsi="Arial" w:cs="Arial"/>
          <w:bCs/>
        </w:rPr>
        <w:t xml:space="preserve"> En este sentido, las actividades económicas </w:t>
      </w:r>
      <w:r w:rsidR="000577B5">
        <w:rPr>
          <w:rFonts w:ascii="Arial" w:hAnsi="Arial" w:cs="Arial"/>
          <w:bCs/>
        </w:rPr>
        <w:t>del sector vivienda en 2018</w:t>
      </w:r>
      <w:r w:rsidR="00500556">
        <w:rPr>
          <w:rFonts w:ascii="Arial" w:hAnsi="Arial" w:cs="Arial"/>
          <w:bCs/>
        </w:rPr>
        <w:t xml:space="preserve"> </w:t>
      </w:r>
      <w:r w:rsidR="001A1F76">
        <w:rPr>
          <w:rFonts w:ascii="Arial" w:hAnsi="Arial" w:cs="Arial"/>
          <w:bCs/>
        </w:rPr>
        <w:t>implicaron</w:t>
      </w:r>
      <w:r w:rsidR="008F5FE7" w:rsidRPr="008F5FE7">
        <w:rPr>
          <w:rFonts w:ascii="Arial" w:hAnsi="Arial" w:cs="Arial"/>
          <w:bCs/>
        </w:rPr>
        <w:t xml:space="preserve"> un total de 2 millones 4</w:t>
      </w:r>
      <w:r w:rsidR="008F5FE7">
        <w:rPr>
          <w:rFonts w:ascii="Arial" w:hAnsi="Arial" w:cs="Arial"/>
          <w:bCs/>
        </w:rPr>
        <w:t>67</w:t>
      </w:r>
      <w:r w:rsidR="008F5FE7" w:rsidRPr="008F5FE7">
        <w:rPr>
          <w:rFonts w:ascii="Arial" w:hAnsi="Arial" w:cs="Arial"/>
          <w:bCs/>
        </w:rPr>
        <w:t xml:space="preserve"> mil puestos de trabajo, </w:t>
      </w:r>
      <w:r w:rsidR="008F5FE7">
        <w:rPr>
          <w:rFonts w:ascii="Arial" w:hAnsi="Arial" w:cs="Arial"/>
          <w:bCs/>
        </w:rPr>
        <w:t xml:space="preserve">cantidad que equivale al </w:t>
      </w:r>
      <w:r w:rsidR="008F5FE7" w:rsidRPr="008F5FE7">
        <w:rPr>
          <w:rFonts w:ascii="Arial" w:hAnsi="Arial" w:cs="Arial"/>
          <w:bCs/>
        </w:rPr>
        <w:t>5.7% del total nacional</w:t>
      </w:r>
      <w:r w:rsidR="008F5FE7">
        <w:rPr>
          <w:rFonts w:ascii="Arial" w:hAnsi="Arial" w:cs="Arial"/>
          <w:bCs/>
        </w:rPr>
        <w:t>.</w:t>
      </w:r>
      <w:r w:rsidR="008F5FE7" w:rsidRPr="008F5FE7">
        <w:rPr>
          <w:rFonts w:ascii="Arial" w:hAnsi="Arial" w:cs="Arial"/>
          <w:bCs/>
        </w:rPr>
        <w:t xml:space="preserve"> Del total, </w:t>
      </w:r>
      <w:r w:rsidR="00CE38EF">
        <w:rPr>
          <w:rFonts w:ascii="Arial" w:hAnsi="Arial" w:cs="Arial"/>
          <w:bCs/>
        </w:rPr>
        <w:t xml:space="preserve">y de acuerdo con el SCIAN 2013, </w:t>
      </w:r>
      <w:r w:rsidR="008F5FE7" w:rsidRPr="008F5FE7">
        <w:rPr>
          <w:rFonts w:ascii="Arial" w:hAnsi="Arial" w:cs="Arial"/>
          <w:bCs/>
        </w:rPr>
        <w:t>89.</w:t>
      </w:r>
      <w:r w:rsidR="008F5FE7">
        <w:rPr>
          <w:rFonts w:ascii="Arial" w:hAnsi="Arial" w:cs="Arial"/>
          <w:bCs/>
        </w:rPr>
        <w:t>1</w:t>
      </w:r>
      <w:r w:rsidR="008F5FE7" w:rsidRPr="008F5FE7">
        <w:rPr>
          <w:rFonts w:ascii="Arial" w:hAnsi="Arial" w:cs="Arial"/>
          <w:bCs/>
        </w:rPr>
        <w:t xml:space="preserve">% </w:t>
      </w:r>
      <w:r w:rsidR="008F5FE7">
        <w:rPr>
          <w:rFonts w:ascii="Arial" w:hAnsi="Arial" w:cs="Arial"/>
          <w:bCs/>
        </w:rPr>
        <w:t>están involucrados en</w:t>
      </w:r>
      <w:r w:rsidR="008F5FE7" w:rsidRPr="008F5FE7">
        <w:rPr>
          <w:rFonts w:ascii="Arial" w:hAnsi="Arial" w:cs="Arial"/>
          <w:bCs/>
        </w:rPr>
        <w:t xml:space="preserve"> </w:t>
      </w:r>
      <w:r w:rsidR="0065198A">
        <w:rPr>
          <w:rFonts w:ascii="Arial" w:hAnsi="Arial" w:cs="Arial"/>
          <w:bCs/>
        </w:rPr>
        <w:t xml:space="preserve">el </w:t>
      </w:r>
      <w:r w:rsidR="008F5FE7" w:rsidRPr="008F5FE7">
        <w:rPr>
          <w:rFonts w:ascii="Arial" w:hAnsi="Arial" w:cs="Arial"/>
          <w:bCs/>
        </w:rPr>
        <w:t xml:space="preserve">sector de la construcción; </w:t>
      </w:r>
      <w:r w:rsidR="008F5FE7">
        <w:rPr>
          <w:rFonts w:ascii="Arial" w:hAnsi="Arial" w:cs="Arial"/>
          <w:bCs/>
        </w:rPr>
        <w:t>8</w:t>
      </w:r>
      <w:r w:rsidR="00DC1266">
        <w:rPr>
          <w:rFonts w:ascii="Arial" w:hAnsi="Arial" w:cs="Arial"/>
          <w:bCs/>
        </w:rPr>
        <w:t>.</w:t>
      </w:r>
      <w:r w:rsidR="008F5FE7">
        <w:rPr>
          <w:rFonts w:ascii="Arial" w:hAnsi="Arial" w:cs="Arial"/>
          <w:bCs/>
        </w:rPr>
        <w:t>0% en los servicios inmobiliarios</w:t>
      </w:r>
      <w:r w:rsidR="006514A8">
        <w:rPr>
          <w:rFonts w:ascii="Arial" w:hAnsi="Arial" w:cs="Arial"/>
          <w:bCs/>
        </w:rPr>
        <w:t xml:space="preserve">; </w:t>
      </w:r>
      <w:r w:rsidR="001A1F76">
        <w:rPr>
          <w:rFonts w:ascii="Arial" w:hAnsi="Arial" w:cs="Arial"/>
          <w:bCs/>
        </w:rPr>
        <w:t>1.1% en servicios financieros</w:t>
      </w:r>
      <w:r w:rsidR="0065198A">
        <w:rPr>
          <w:rFonts w:ascii="Arial" w:hAnsi="Arial" w:cs="Arial"/>
          <w:bCs/>
        </w:rPr>
        <w:t xml:space="preserve"> y</w:t>
      </w:r>
      <w:r w:rsidR="001A1F76">
        <w:rPr>
          <w:rFonts w:ascii="Arial" w:hAnsi="Arial" w:cs="Arial"/>
          <w:bCs/>
        </w:rPr>
        <w:t xml:space="preserve"> 0.7% en los servicios profesionales. El restante 1.1% los</w:t>
      </w:r>
      <w:r w:rsidR="00231F2B">
        <w:rPr>
          <w:rFonts w:ascii="Arial" w:hAnsi="Arial" w:cs="Arial"/>
          <w:bCs/>
        </w:rPr>
        <w:t xml:space="preserve"> </w:t>
      </w:r>
      <w:r w:rsidR="001A1F76">
        <w:rPr>
          <w:rFonts w:ascii="Arial" w:hAnsi="Arial" w:cs="Arial"/>
          <w:bCs/>
        </w:rPr>
        <w:t xml:space="preserve">aportaron los puestos de trabajo agrupados en los servicios educativos, de salud, de alojamiento </w:t>
      </w:r>
      <w:r w:rsidR="009A5707">
        <w:rPr>
          <w:rFonts w:ascii="Arial" w:hAnsi="Arial" w:cs="Arial"/>
          <w:bCs/>
        </w:rPr>
        <w:t>temporal</w:t>
      </w:r>
      <w:r w:rsidR="001A1F76">
        <w:rPr>
          <w:rFonts w:ascii="Arial" w:hAnsi="Arial" w:cs="Arial"/>
          <w:bCs/>
        </w:rPr>
        <w:t xml:space="preserve">, actividades gubernamentales y </w:t>
      </w:r>
      <w:r w:rsidR="000B1A3A">
        <w:rPr>
          <w:rFonts w:ascii="Arial" w:hAnsi="Arial" w:cs="Arial"/>
          <w:bCs/>
        </w:rPr>
        <w:t xml:space="preserve">en servicios </w:t>
      </w:r>
      <w:r w:rsidR="009A5707">
        <w:rPr>
          <w:rFonts w:ascii="Arial" w:hAnsi="Arial" w:cs="Arial"/>
          <w:bCs/>
        </w:rPr>
        <w:t>proporcionados por</w:t>
      </w:r>
      <w:r w:rsidR="000B1A3A">
        <w:rPr>
          <w:rFonts w:ascii="Arial" w:hAnsi="Arial" w:cs="Arial"/>
          <w:bCs/>
        </w:rPr>
        <w:t xml:space="preserve"> las asociaciones </w:t>
      </w:r>
      <w:r w:rsidR="009A5707">
        <w:rPr>
          <w:rFonts w:ascii="Arial" w:hAnsi="Arial" w:cs="Arial"/>
          <w:bCs/>
        </w:rPr>
        <w:t>civiles</w:t>
      </w:r>
      <w:r w:rsidR="001A1F76">
        <w:rPr>
          <w:rFonts w:ascii="Arial" w:hAnsi="Arial" w:cs="Arial"/>
          <w:bCs/>
        </w:rPr>
        <w:t>.</w:t>
      </w:r>
    </w:p>
    <w:p w14:paraId="1F177316" w14:textId="57A398CE" w:rsidR="009F5942" w:rsidRDefault="009F5942" w:rsidP="00E8695A">
      <w:pPr>
        <w:ind w:left="-567" w:right="-516"/>
        <w:jc w:val="both"/>
        <w:rPr>
          <w:rFonts w:ascii="Arial" w:hAnsi="Arial" w:cs="Arial"/>
          <w:bCs/>
        </w:rPr>
      </w:pPr>
    </w:p>
    <w:p w14:paraId="6954CCBC" w14:textId="452A955C" w:rsidR="00E8695A" w:rsidRDefault="00C00015" w:rsidP="00E8695A">
      <w:pPr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>En resumen</w:t>
      </w:r>
      <w:r w:rsidR="0040622F" w:rsidRPr="0040622F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para el </w:t>
      </w:r>
      <w:r w:rsidR="00F33337">
        <w:rPr>
          <w:rFonts w:ascii="Arial" w:hAnsi="Arial" w:cs="Arial"/>
          <w:bCs/>
        </w:rPr>
        <w:t xml:space="preserve">año de </w:t>
      </w:r>
      <w:r w:rsidR="00574A48">
        <w:rPr>
          <w:rFonts w:ascii="Arial" w:hAnsi="Arial" w:cs="Arial"/>
          <w:bCs/>
        </w:rPr>
        <w:t>2018</w:t>
      </w:r>
      <w:r>
        <w:rPr>
          <w:rFonts w:ascii="Arial" w:hAnsi="Arial" w:cs="Arial"/>
          <w:bCs/>
        </w:rPr>
        <w:t>,</w:t>
      </w:r>
      <w:r w:rsidR="00574A48">
        <w:rPr>
          <w:rFonts w:ascii="Arial" w:hAnsi="Arial" w:cs="Arial"/>
          <w:bCs/>
        </w:rPr>
        <w:t xml:space="preserve"> </w:t>
      </w:r>
      <w:r w:rsidR="0040622F" w:rsidRPr="0040622F">
        <w:rPr>
          <w:rFonts w:ascii="Arial" w:hAnsi="Arial" w:cs="Arial"/>
          <w:bCs/>
        </w:rPr>
        <w:t xml:space="preserve">la participación del PIB </w:t>
      </w:r>
      <w:r w:rsidR="00574A48">
        <w:rPr>
          <w:rFonts w:ascii="Arial" w:hAnsi="Arial" w:cs="Arial"/>
          <w:bCs/>
        </w:rPr>
        <w:t xml:space="preserve">el sector </w:t>
      </w:r>
      <w:r w:rsidR="0040622F" w:rsidRPr="0040622F">
        <w:rPr>
          <w:rFonts w:ascii="Arial" w:hAnsi="Arial" w:cs="Arial"/>
          <w:bCs/>
        </w:rPr>
        <w:t xml:space="preserve">de la vivienda </w:t>
      </w:r>
      <w:r w:rsidR="00574A48">
        <w:rPr>
          <w:rFonts w:ascii="Arial" w:hAnsi="Arial" w:cs="Arial"/>
          <w:bCs/>
        </w:rPr>
        <w:t>aportó al PIB nacional</w:t>
      </w:r>
      <w:r w:rsidR="0040622F" w:rsidRPr="0040622F">
        <w:rPr>
          <w:rFonts w:ascii="Arial" w:hAnsi="Arial" w:cs="Arial"/>
          <w:bCs/>
        </w:rPr>
        <w:t xml:space="preserve"> </w:t>
      </w:r>
      <w:r w:rsidR="00574A48">
        <w:rPr>
          <w:rFonts w:ascii="Arial" w:hAnsi="Arial" w:cs="Arial"/>
          <w:bCs/>
        </w:rPr>
        <w:t xml:space="preserve">el 6.0%, cantidad que se eleva al </w:t>
      </w:r>
      <w:r w:rsidR="0040622F" w:rsidRPr="0040622F">
        <w:rPr>
          <w:rFonts w:ascii="Arial" w:hAnsi="Arial" w:cs="Arial"/>
          <w:bCs/>
        </w:rPr>
        <w:t>13.</w:t>
      </w:r>
      <w:r w:rsidR="00574A48">
        <w:rPr>
          <w:rFonts w:ascii="Arial" w:hAnsi="Arial" w:cs="Arial"/>
          <w:bCs/>
        </w:rPr>
        <w:t>1</w:t>
      </w:r>
      <w:r w:rsidR="0040622F" w:rsidRPr="0040622F">
        <w:rPr>
          <w:rFonts w:ascii="Arial" w:hAnsi="Arial" w:cs="Arial"/>
          <w:bCs/>
        </w:rPr>
        <w:t>%</w:t>
      </w:r>
      <w:r w:rsidR="00574A48">
        <w:rPr>
          <w:rFonts w:ascii="Arial" w:hAnsi="Arial" w:cs="Arial"/>
          <w:bCs/>
        </w:rPr>
        <w:t xml:space="preserve"> al incluir el monto correspondiente al alquiler imputado.</w:t>
      </w:r>
      <w:r w:rsidR="00022EFB">
        <w:rPr>
          <w:rFonts w:ascii="Arial" w:hAnsi="Arial" w:cs="Arial"/>
          <w:bCs/>
        </w:rPr>
        <w:t xml:space="preserve"> </w:t>
      </w:r>
      <w:r w:rsidR="00E8695A">
        <w:rPr>
          <w:rFonts w:ascii="Arial" w:hAnsi="Arial" w:cs="Arial"/>
          <w:bCs/>
        </w:rPr>
        <w:t>Al comparar estos datos con otras actividades es factible destacar la importancia del sector vivienda, tanto en sus aspectos económicos como multifacéticos: inversión, empleo y posibilidades de desarrollo</w:t>
      </w:r>
      <w:r w:rsidR="00E8695A">
        <w:rPr>
          <w:rFonts w:ascii="Arial" w:hAnsi="Arial" w:cs="Arial"/>
        </w:rPr>
        <w:t>.</w:t>
      </w:r>
    </w:p>
    <w:p w14:paraId="0DB0B414" w14:textId="4EF92BF2" w:rsidR="00430490" w:rsidRDefault="00430490" w:rsidP="00E8695A">
      <w:pPr>
        <w:ind w:left="-567" w:right="-516"/>
        <w:jc w:val="both"/>
        <w:rPr>
          <w:rFonts w:ascii="Arial" w:hAnsi="Arial"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80768" behindDoc="0" locked="0" layoutInCell="1" allowOverlap="1" wp14:anchorId="4817C419" wp14:editId="69CE719A">
            <wp:simplePos x="0" y="0"/>
            <wp:positionH relativeFrom="column">
              <wp:posOffset>596265</wp:posOffset>
            </wp:positionH>
            <wp:positionV relativeFrom="paragraph">
              <wp:posOffset>312420</wp:posOffset>
            </wp:positionV>
            <wp:extent cx="4333875" cy="4514850"/>
            <wp:effectExtent l="95250" t="38100" r="28575" b="95250"/>
            <wp:wrapTopAndBottom/>
            <wp:docPr id="77" name="Gráfico 77">
              <a:extLst xmlns:a="http://schemas.openxmlformats.org/drawingml/2006/main">
                <a:ext uri="{FF2B5EF4-FFF2-40B4-BE49-F238E27FC236}">
                  <a16:creationId xmlns:a16="http://schemas.microsoft.com/office/drawing/2014/main" id="{65176F4A-AB4A-4C6B-BA99-67BFE85860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AE6326" w14:textId="0F003C0C" w:rsidR="00653775" w:rsidRDefault="00653775" w:rsidP="00231F2B">
      <w:pPr>
        <w:tabs>
          <w:tab w:val="left" w:pos="3256"/>
        </w:tabs>
        <w:ind w:left="-567" w:right="-518"/>
        <w:jc w:val="center"/>
        <w:rPr>
          <w:rFonts w:ascii="Arial" w:hAnsi="Arial" w:cs="Arial"/>
          <w:bCs/>
        </w:rPr>
      </w:pPr>
    </w:p>
    <w:p w14:paraId="72A48961" w14:textId="55F20FF0" w:rsidR="008A365C" w:rsidRDefault="00314DF1" w:rsidP="005E4E70">
      <w:pPr>
        <w:tabs>
          <w:tab w:val="left" w:pos="3256"/>
        </w:tabs>
        <w:ind w:left="-567" w:right="-5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Los datos que ofrece</w:t>
      </w:r>
      <w:r w:rsidR="00120BED">
        <w:rPr>
          <w:rFonts w:ascii="Arial" w:hAnsi="Arial" w:cs="Arial"/>
          <w:bCs/>
        </w:rPr>
        <w:t xml:space="preserve"> la Cuenta</w:t>
      </w:r>
      <w:r>
        <w:rPr>
          <w:rFonts w:ascii="Arial" w:hAnsi="Arial" w:cs="Arial"/>
          <w:bCs/>
        </w:rPr>
        <w:t xml:space="preserve"> </w:t>
      </w:r>
      <w:r w:rsidR="00B463AC">
        <w:rPr>
          <w:rFonts w:ascii="Arial" w:hAnsi="Arial" w:cs="Arial"/>
          <w:bCs/>
        </w:rPr>
        <w:t>Satélite de Vivienda</w:t>
      </w:r>
      <w:r w:rsidR="00BF2A5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se </w:t>
      </w:r>
      <w:r w:rsidR="00120BED">
        <w:rPr>
          <w:rFonts w:ascii="Arial" w:hAnsi="Arial" w:cs="Arial"/>
          <w:bCs/>
        </w:rPr>
        <w:t>presentan</w:t>
      </w:r>
      <w:r>
        <w:rPr>
          <w:rFonts w:ascii="Arial" w:hAnsi="Arial" w:cs="Arial"/>
          <w:bCs/>
        </w:rPr>
        <w:t xml:space="preserve"> en valores corrientes y constantes en una serie de 21 tabulados básicos que permiten conocer e </w:t>
      </w:r>
      <w:r w:rsidR="00120BED">
        <w:rPr>
          <w:rFonts w:ascii="Arial" w:hAnsi="Arial" w:cs="Arial"/>
          <w:bCs/>
        </w:rPr>
        <w:t>identificar</w:t>
      </w:r>
      <w:r>
        <w:rPr>
          <w:rFonts w:ascii="Arial" w:hAnsi="Arial" w:cs="Arial"/>
          <w:bCs/>
        </w:rPr>
        <w:t xml:space="preserve"> los </w:t>
      </w:r>
      <w:r w:rsidR="00120BED">
        <w:rPr>
          <w:rFonts w:ascii="Arial" w:hAnsi="Arial" w:cs="Arial"/>
          <w:bCs/>
        </w:rPr>
        <w:t xml:space="preserve">principales </w:t>
      </w:r>
      <w:r>
        <w:rPr>
          <w:rFonts w:ascii="Arial" w:hAnsi="Arial" w:cs="Arial"/>
          <w:bCs/>
        </w:rPr>
        <w:t xml:space="preserve">indicadores </w:t>
      </w:r>
      <w:r w:rsidR="007A3FE5">
        <w:rPr>
          <w:rFonts w:ascii="Arial" w:hAnsi="Arial" w:cs="Arial"/>
          <w:bCs/>
        </w:rPr>
        <w:t>mencionados,</w:t>
      </w:r>
      <w:r>
        <w:rPr>
          <w:rFonts w:ascii="Arial" w:hAnsi="Arial" w:cs="Arial"/>
          <w:bCs/>
        </w:rPr>
        <w:t xml:space="preserve"> </w:t>
      </w:r>
      <w:r w:rsidR="00EE0BC4">
        <w:rPr>
          <w:rFonts w:ascii="Arial" w:hAnsi="Arial" w:cs="Arial"/>
          <w:bCs/>
        </w:rPr>
        <w:t xml:space="preserve">además de </w:t>
      </w:r>
      <w:r w:rsidR="00A45D40">
        <w:rPr>
          <w:rFonts w:ascii="Arial" w:hAnsi="Arial" w:cs="Arial"/>
          <w:bCs/>
        </w:rPr>
        <w:t>otra</w:t>
      </w:r>
      <w:r w:rsidR="00EE0BC4">
        <w:rPr>
          <w:rFonts w:ascii="Arial" w:hAnsi="Arial" w:cs="Arial"/>
          <w:bCs/>
        </w:rPr>
        <w:t xml:space="preserve"> información que puede ser de interés para el análisis del sector, y que se puede consultar en </w:t>
      </w:r>
      <w:r>
        <w:rPr>
          <w:rFonts w:ascii="Arial" w:hAnsi="Arial" w:cs="Arial"/>
          <w:bCs/>
        </w:rPr>
        <w:t>la página que el Instituto tiene designado para tal fin.</w:t>
      </w:r>
    </w:p>
    <w:p w14:paraId="2D3732B8" w14:textId="77777777" w:rsidR="008A365C" w:rsidRDefault="00CE5357" w:rsidP="00654F6F">
      <w:pPr>
        <w:tabs>
          <w:tab w:val="left" w:pos="3256"/>
        </w:tabs>
        <w:ind w:left="-567" w:right="-5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 este documento, el INEGI se suma a</w:t>
      </w:r>
      <w:r w:rsidR="00CA5D92">
        <w:rPr>
          <w:rFonts w:ascii="Arial" w:hAnsi="Arial" w:cs="Arial"/>
          <w:bCs/>
        </w:rPr>
        <w:t xml:space="preserve">l esfuerzo por </w:t>
      </w:r>
      <w:r w:rsidR="00F76FA1">
        <w:rPr>
          <w:rFonts w:ascii="Arial" w:hAnsi="Arial" w:cs="Arial"/>
          <w:bCs/>
        </w:rPr>
        <w:t>generar información que sea de utilidad para todos los involucrados en el sector de la vivienda de manera que permita una mejor toma de decisiones</w:t>
      </w:r>
      <w:r w:rsidR="00484B6C">
        <w:rPr>
          <w:rFonts w:ascii="Arial" w:hAnsi="Arial" w:cs="Arial"/>
          <w:bCs/>
        </w:rPr>
        <w:t>.</w:t>
      </w:r>
    </w:p>
    <w:p w14:paraId="39A186A6" w14:textId="77777777" w:rsidR="007F7A68" w:rsidRPr="001D2B8D" w:rsidRDefault="007F7A68" w:rsidP="007F7A68">
      <w:pPr>
        <w:tabs>
          <w:tab w:val="left" w:pos="3256"/>
        </w:tabs>
        <w:jc w:val="center"/>
        <w:rPr>
          <w:rFonts w:ascii="Arial" w:hAnsi="Arial" w:cs="Arial"/>
          <w:b/>
        </w:rPr>
      </w:pPr>
      <w:r w:rsidRPr="001D2B8D">
        <w:rPr>
          <w:rFonts w:ascii="Arial" w:hAnsi="Arial" w:cs="Arial"/>
          <w:b/>
        </w:rPr>
        <w:t>-</w:t>
      </w:r>
      <w:proofErr w:type="spellStart"/>
      <w:r w:rsidRPr="001D2B8D">
        <w:rPr>
          <w:rFonts w:ascii="Arial" w:hAnsi="Arial" w:cs="Arial"/>
          <w:b/>
        </w:rPr>
        <w:t>oOo</w:t>
      </w:r>
      <w:proofErr w:type="spellEnd"/>
      <w:r w:rsidRPr="001D2B8D">
        <w:rPr>
          <w:rFonts w:ascii="Arial" w:hAnsi="Arial" w:cs="Arial"/>
          <w:b/>
        </w:rPr>
        <w:t>-</w:t>
      </w:r>
    </w:p>
    <w:p w14:paraId="1116FD38" w14:textId="5F2E0D2C" w:rsidR="002503DA" w:rsidRPr="002503DA" w:rsidRDefault="002503DA" w:rsidP="002503DA">
      <w:pPr>
        <w:ind w:right="-516"/>
        <w:contextualSpacing/>
        <w:jc w:val="center"/>
        <w:rPr>
          <w:rFonts w:ascii="Arial" w:eastAsia="Times New Roman" w:hAnsi="Arial" w:cs="Arial"/>
          <w:color w:val="000000"/>
          <w:sz w:val="16"/>
          <w:szCs w:val="16"/>
          <w:lang w:val="es-ES_tradnl" w:eastAsia="es-MX"/>
        </w:rPr>
      </w:pPr>
    </w:p>
    <w:sectPr w:rsidR="002503DA" w:rsidRPr="002503DA" w:rsidSect="009F5942">
      <w:headerReference w:type="default" r:id="rId29"/>
      <w:type w:val="continuous"/>
      <w:pgSz w:w="12240" w:h="15840"/>
      <w:pgMar w:top="1808" w:right="1701" w:bottom="567" w:left="1701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E5AE8" w14:textId="77777777" w:rsidR="005F6F94" w:rsidRDefault="005F6F94" w:rsidP="00DA3890">
      <w:pPr>
        <w:spacing w:after="0" w:line="240" w:lineRule="auto"/>
      </w:pPr>
      <w:r>
        <w:separator/>
      </w:r>
    </w:p>
  </w:endnote>
  <w:endnote w:type="continuationSeparator" w:id="0">
    <w:p w14:paraId="53F49980" w14:textId="77777777" w:rsidR="005F6F94" w:rsidRDefault="005F6F94" w:rsidP="00DA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83085" w14:textId="77777777" w:rsidR="00FE7A85" w:rsidRPr="004B64BD" w:rsidRDefault="00FE7A85" w:rsidP="00DA3890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AD2A33">
      <w:rPr>
        <w:rFonts w:ascii="Arial" w:hAnsi="Arial" w:cs="Arial"/>
        <w:b/>
        <w:noProof/>
        <w:color w:val="002060"/>
        <w:sz w:val="20"/>
        <w:szCs w:val="20"/>
        <w:lang w:eastAsia="es-MX"/>
      </w:rPr>
      <w:t>COMUNICACIÓN SOCIAL</w:t>
    </w:r>
  </w:p>
  <w:p w14:paraId="69BA1E61" w14:textId="77777777" w:rsidR="00FE7A85" w:rsidRDefault="00FE7A85" w:rsidP="00DA389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1A498" w14:textId="77777777" w:rsidR="005F6F94" w:rsidRDefault="005F6F94" w:rsidP="00DA3890">
      <w:pPr>
        <w:spacing w:after="0" w:line="240" w:lineRule="auto"/>
      </w:pPr>
      <w:r>
        <w:separator/>
      </w:r>
    </w:p>
  </w:footnote>
  <w:footnote w:type="continuationSeparator" w:id="0">
    <w:p w14:paraId="6DF167D8" w14:textId="77777777" w:rsidR="005F6F94" w:rsidRDefault="005F6F94" w:rsidP="00DA3890">
      <w:pPr>
        <w:spacing w:after="0" w:line="240" w:lineRule="auto"/>
      </w:pPr>
      <w:r>
        <w:continuationSeparator/>
      </w:r>
    </w:p>
  </w:footnote>
  <w:footnote w:id="1">
    <w:p w14:paraId="352820C1" w14:textId="77777777" w:rsidR="00DE6E6F" w:rsidRPr="00DE6E6F" w:rsidRDefault="00DE6E6F" w:rsidP="00DE6E6F">
      <w:pPr>
        <w:spacing w:after="0" w:line="240" w:lineRule="auto"/>
        <w:ind w:left="-426" w:right="-518" w:hanging="141"/>
        <w:jc w:val="both"/>
        <w:rPr>
          <w:rFonts w:ascii="Arial" w:hAnsi="Arial" w:cs="Arial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DE6E6F">
        <w:rPr>
          <w:rFonts w:ascii="Arial" w:hAnsi="Arial" w:cs="Arial"/>
          <w:sz w:val="16"/>
          <w:szCs w:val="16"/>
        </w:rPr>
        <w:t>En 2017 el Senado de la República estableció el 7 de febrero como el Día Nacional de la Vivienda, con el objetivo de conocer, informar y reforzar las acciones en esta materia.</w:t>
      </w:r>
    </w:p>
    <w:p w14:paraId="58BC492A" w14:textId="5F7D5AC9" w:rsidR="00DE6E6F" w:rsidRDefault="00DE6E6F">
      <w:pPr>
        <w:pStyle w:val="Textonotapie"/>
      </w:pPr>
    </w:p>
  </w:footnote>
  <w:footnote w:id="2">
    <w:p w14:paraId="09C56A39" w14:textId="77777777" w:rsidR="00705619" w:rsidRDefault="00705619" w:rsidP="0029403D">
      <w:pPr>
        <w:pStyle w:val="Textonotapie"/>
        <w:ind w:left="-567"/>
        <w:jc w:val="both"/>
      </w:pPr>
      <w:r w:rsidRPr="00DB6C0C">
        <w:rPr>
          <w:rStyle w:val="Refdenotaalpie"/>
          <w:rFonts w:ascii="Arial" w:hAnsi="Arial" w:cs="Arial"/>
          <w:sz w:val="18"/>
          <w:szCs w:val="18"/>
        </w:rPr>
        <w:footnoteRef/>
      </w:r>
      <w:r w:rsidRPr="00DB6C0C">
        <w:rPr>
          <w:rFonts w:ascii="Arial" w:hAnsi="Arial" w:cs="Arial"/>
          <w:sz w:val="18"/>
          <w:szCs w:val="18"/>
        </w:rPr>
        <w:t xml:space="preserve"> Senado de la República. Boletín no. 371. 7 de noviembre de 2017.</w:t>
      </w:r>
      <w:r w:rsidR="00917784">
        <w:rPr>
          <w:rFonts w:ascii="Arial" w:hAnsi="Arial" w:cs="Arial"/>
          <w:sz w:val="18"/>
          <w:szCs w:val="18"/>
        </w:rPr>
        <w:t xml:space="preserve"> Esta declaratoria fue avalada por la Cámara de</w:t>
      </w:r>
      <w:r w:rsidR="0029403D">
        <w:rPr>
          <w:rFonts w:ascii="Arial" w:hAnsi="Arial" w:cs="Arial"/>
          <w:sz w:val="18"/>
          <w:szCs w:val="18"/>
        </w:rPr>
        <w:t xml:space="preserve"> </w:t>
      </w:r>
      <w:r w:rsidR="00917784">
        <w:rPr>
          <w:rFonts w:ascii="Arial" w:hAnsi="Arial" w:cs="Arial"/>
          <w:sz w:val="18"/>
          <w:szCs w:val="18"/>
        </w:rPr>
        <w:t>Diputados. Ver H. Congreso de la Unión. Diario Oficial de la Federación. 12/09/2019.</w:t>
      </w:r>
    </w:p>
  </w:footnote>
  <w:footnote w:id="3">
    <w:p w14:paraId="7588CF04" w14:textId="77777777" w:rsidR="00F53A34" w:rsidRPr="00DB6C0C" w:rsidRDefault="00F53A34" w:rsidP="00F53A34">
      <w:pPr>
        <w:pStyle w:val="Textonotapie"/>
        <w:ind w:left="-567" w:right="-518"/>
        <w:jc w:val="both"/>
        <w:rPr>
          <w:rStyle w:val="Refdenotaalpie"/>
          <w:rFonts w:ascii="Arial" w:hAnsi="Arial" w:cs="Arial"/>
          <w:sz w:val="18"/>
          <w:szCs w:val="18"/>
        </w:rPr>
      </w:pPr>
      <w:r w:rsidRPr="00DB6C0C">
        <w:rPr>
          <w:rStyle w:val="Refdenotaalpie"/>
          <w:rFonts w:ascii="Arial" w:hAnsi="Arial" w:cs="Arial"/>
          <w:sz w:val="18"/>
          <w:szCs w:val="18"/>
        </w:rPr>
        <w:footnoteRef/>
      </w:r>
      <w:r w:rsidRPr="00DB6C0C">
        <w:rPr>
          <w:rStyle w:val="Refdenotaalpie"/>
          <w:rFonts w:ascii="Arial" w:hAnsi="Arial" w:cs="Arial"/>
          <w:sz w:val="18"/>
          <w:szCs w:val="18"/>
        </w:rPr>
        <w:t xml:space="preserve"> </w:t>
      </w:r>
      <w:r w:rsidR="00573666">
        <w:rPr>
          <w:rFonts w:ascii="Arial" w:hAnsi="Arial" w:cs="Arial"/>
          <w:sz w:val="18"/>
          <w:szCs w:val="18"/>
        </w:rPr>
        <w:t>Cámara de diputados. Boletín no 4411 del 09 de noviembre de 2017 consultado el 9 de enero de 2020</w:t>
      </w:r>
      <w:r w:rsidR="00EB6DDD">
        <w:rPr>
          <w:rFonts w:ascii="Arial" w:hAnsi="Arial" w:cs="Arial"/>
          <w:sz w:val="18"/>
          <w:szCs w:val="18"/>
        </w:rPr>
        <w:t xml:space="preserve"> en </w:t>
      </w:r>
      <w:r w:rsidR="00EB6DDD" w:rsidRPr="00EB6DDD">
        <w:rPr>
          <w:rFonts w:ascii="Arial" w:hAnsi="Arial" w:cs="Arial"/>
          <w:sz w:val="18"/>
          <w:szCs w:val="18"/>
        </w:rPr>
        <w:t>http://www5.diputados.gob.mx/index.php/esl/Comunicacion/Boletines/2017/Noviembre/09/4411-Diputados-reciben-minuta-para-declarar-Dia-Nacional-de-la-Vivienda-el-7-de-febrero</w:t>
      </w:r>
    </w:p>
  </w:footnote>
  <w:footnote w:id="4">
    <w:p w14:paraId="1C7AC324" w14:textId="77777777" w:rsidR="00FE7A85" w:rsidRPr="00DB6C0C" w:rsidRDefault="00FE7A85" w:rsidP="003B587F">
      <w:pPr>
        <w:pStyle w:val="Textonotapie"/>
        <w:ind w:left="-567"/>
        <w:jc w:val="both"/>
        <w:rPr>
          <w:rFonts w:ascii="Arial" w:hAnsi="Arial" w:cs="Arial"/>
          <w:sz w:val="18"/>
        </w:rPr>
      </w:pPr>
      <w:r w:rsidRPr="00DB6C0C">
        <w:rPr>
          <w:rStyle w:val="Refdenotaalpie"/>
          <w:rFonts w:ascii="Arial" w:hAnsi="Arial" w:cs="Arial"/>
          <w:sz w:val="18"/>
        </w:rPr>
        <w:footnoteRef/>
      </w:r>
      <w:r w:rsidRPr="00DB6C0C">
        <w:rPr>
          <w:rFonts w:ascii="Arial" w:hAnsi="Arial" w:cs="Arial"/>
          <w:sz w:val="18"/>
        </w:rPr>
        <w:t xml:space="preserve"> SEDATU. Programa Nacional de Vivienda 2019-2024. Consultado el 9 de enero de 2020 en https://www.gob.mx/cms/uploads/attachment/file/514070/Programa_Nacional_de_Vivienda_2019-2024.pdf</w:t>
      </w:r>
    </w:p>
  </w:footnote>
  <w:footnote w:id="5">
    <w:p w14:paraId="2C9D0B21" w14:textId="77777777" w:rsidR="00F254AD" w:rsidRPr="00DB6C0C" w:rsidRDefault="00F254AD" w:rsidP="00F254AD">
      <w:pPr>
        <w:pStyle w:val="Textonotapie"/>
        <w:ind w:left="-567"/>
        <w:rPr>
          <w:rFonts w:ascii="Arial" w:hAnsi="Arial" w:cs="Arial"/>
          <w:sz w:val="18"/>
        </w:rPr>
      </w:pPr>
      <w:r w:rsidRPr="00DB6C0C">
        <w:rPr>
          <w:rStyle w:val="Refdenotaalpie"/>
          <w:rFonts w:ascii="Arial" w:hAnsi="Arial" w:cs="Arial"/>
          <w:sz w:val="18"/>
        </w:rPr>
        <w:footnoteRef/>
      </w:r>
      <w:r w:rsidRPr="00DB6C0C">
        <w:rPr>
          <w:rFonts w:ascii="Arial" w:hAnsi="Arial" w:cs="Arial"/>
          <w:sz w:val="18"/>
        </w:rPr>
        <w:t xml:space="preserve"> </w:t>
      </w:r>
      <w:proofErr w:type="spellStart"/>
      <w:r w:rsidR="002C1E16">
        <w:rPr>
          <w:rFonts w:ascii="Arial" w:hAnsi="Arial" w:cs="Arial"/>
          <w:sz w:val="18"/>
        </w:rPr>
        <w:t>Ibid</w:t>
      </w:r>
      <w:proofErr w:type="spellEnd"/>
      <w:r>
        <w:rPr>
          <w:rFonts w:ascii="Arial" w:hAnsi="Arial" w:cs="Arial"/>
          <w:sz w:val="18"/>
        </w:rPr>
        <w:t xml:space="preserve">, </w:t>
      </w:r>
      <w:r w:rsidRPr="00DB6C0C">
        <w:rPr>
          <w:rFonts w:ascii="Arial" w:hAnsi="Arial" w:cs="Arial"/>
          <w:sz w:val="18"/>
        </w:rPr>
        <w:t>p. 63.</w:t>
      </w:r>
    </w:p>
  </w:footnote>
  <w:footnote w:id="6">
    <w:p w14:paraId="1FC0BCAB" w14:textId="77777777" w:rsidR="00304846" w:rsidRPr="00DF5739" w:rsidRDefault="00304846" w:rsidP="00304846">
      <w:pPr>
        <w:pStyle w:val="Textonotapie"/>
        <w:ind w:left="-567"/>
        <w:jc w:val="both"/>
        <w:rPr>
          <w:rFonts w:ascii="Arial" w:hAnsi="Arial" w:cs="Arial"/>
        </w:rPr>
      </w:pPr>
      <w:r w:rsidRPr="00DF5739">
        <w:rPr>
          <w:rStyle w:val="Refdenotaalpie"/>
          <w:rFonts w:ascii="Arial" w:hAnsi="Arial" w:cs="Arial"/>
          <w:sz w:val="18"/>
        </w:rPr>
        <w:footnoteRef/>
      </w:r>
      <w:r w:rsidRPr="00DF5739">
        <w:rPr>
          <w:rFonts w:ascii="Arial" w:hAnsi="Arial" w:cs="Arial"/>
          <w:sz w:val="18"/>
        </w:rPr>
        <w:t xml:space="preserve"> </w:t>
      </w:r>
      <w:bookmarkStart w:id="1" w:name="_Hlk29899296"/>
      <w:proofErr w:type="spellStart"/>
      <w:r w:rsidRPr="00DF5739">
        <w:rPr>
          <w:rFonts w:ascii="Arial" w:hAnsi="Arial" w:cs="Arial"/>
          <w:sz w:val="18"/>
        </w:rPr>
        <w:t>European</w:t>
      </w:r>
      <w:proofErr w:type="spellEnd"/>
      <w:r w:rsidRPr="00DF5739">
        <w:rPr>
          <w:rFonts w:ascii="Arial" w:hAnsi="Arial" w:cs="Arial"/>
          <w:sz w:val="18"/>
        </w:rPr>
        <w:t xml:space="preserve"> </w:t>
      </w:r>
      <w:proofErr w:type="spellStart"/>
      <w:r w:rsidRPr="00DF5739">
        <w:rPr>
          <w:rFonts w:ascii="Arial" w:hAnsi="Arial" w:cs="Arial"/>
          <w:sz w:val="18"/>
        </w:rPr>
        <w:t>Comission</w:t>
      </w:r>
      <w:bookmarkEnd w:id="1"/>
      <w:proofErr w:type="spellEnd"/>
      <w:r w:rsidRPr="00DF5739">
        <w:rPr>
          <w:rFonts w:ascii="Arial" w:hAnsi="Arial" w:cs="Arial"/>
          <w:sz w:val="18"/>
        </w:rPr>
        <w:t xml:space="preserve">, </w:t>
      </w:r>
      <w:proofErr w:type="spellStart"/>
      <w:r w:rsidRPr="00DF5739">
        <w:rPr>
          <w:rFonts w:ascii="Arial" w:hAnsi="Arial" w:cs="Arial"/>
          <w:sz w:val="18"/>
        </w:rPr>
        <w:t>European</w:t>
      </w:r>
      <w:proofErr w:type="spellEnd"/>
      <w:r w:rsidRPr="00DF5739">
        <w:rPr>
          <w:rFonts w:ascii="Arial" w:hAnsi="Arial" w:cs="Arial"/>
          <w:sz w:val="18"/>
        </w:rPr>
        <w:t xml:space="preserve"> </w:t>
      </w:r>
      <w:proofErr w:type="spellStart"/>
      <w:r w:rsidRPr="00DF5739">
        <w:rPr>
          <w:rFonts w:ascii="Arial" w:hAnsi="Arial" w:cs="Arial"/>
          <w:sz w:val="18"/>
        </w:rPr>
        <w:t>Communities</w:t>
      </w:r>
      <w:proofErr w:type="spellEnd"/>
      <w:r w:rsidRPr="00DF5739">
        <w:rPr>
          <w:rFonts w:ascii="Arial" w:hAnsi="Arial" w:cs="Arial"/>
          <w:sz w:val="18"/>
        </w:rPr>
        <w:t xml:space="preserve">, International </w:t>
      </w:r>
      <w:proofErr w:type="spellStart"/>
      <w:r w:rsidRPr="00DF5739">
        <w:rPr>
          <w:rFonts w:ascii="Arial" w:hAnsi="Arial" w:cs="Arial"/>
          <w:sz w:val="18"/>
        </w:rPr>
        <w:t>Monetary</w:t>
      </w:r>
      <w:proofErr w:type="spellEnd"/>
      <w:r w:rsidRPr="00DF5739">
        <w:rPr>
          <w:rFonts w:ascii="Arial" w:hAnsi="Arial" w:cs="Arial"/>
          <w:sz w:val="18"/>
        </w:rPr>
        <w:t xml:space="preserve"> </w:t>
      </w:r>
      <w:proofErr w:type="spellStart"/>
      <w:r w:rsidRPr="00DF5739">
        <w:rPr>
          <w:rFonts w:ascii="Arial" w:hAnsi="Arial" w:cs="Arial"/>
          <w:sz w:val="18"/>
        </w:rPr>
        <w:t>Fund</w:t>
      </w:r>
      <w:proofErr w:type="spellEnd"/>
      <w:r w:rsidRPr="00DF5739">
        <w:rPr>
          <w:rFonts w:ascii="Arial" w:hAnsi="Arial" w:cs="Arial"/>
          <w:sz w:val="18"/>
        </w:rPr>
        <w:t xml:space="preserve">, </w:t>
      </w:r>
      <w:proofErr w:type="spellStart"/>
      <w:r w:rsidRPr="00DF5739">
        <w:rPr>
          <w:rFonts w:ascii="Arial" w:hAnsi="Arial" w:cs="Arial"/>
          <w:sz w:val="18"/>
        </w:rPr>
        <w:t>Organisation</w:t>
      </w:r>
      <w:proofErr w:type="spellEnd"/>
      <w:r w:rsidRPr="00DF5739">
        <w:rPr>
          <w:rFonts w:ascii="Arial" w:hAnsi="Arial" w:cs="Arial"/>
          <w:sz w:val="18"/>
        </w:rPr>
        <w:t xml:space="preserve"> </w:t>
      </w:r>
      <w:proofErr w:type="spellStart"/>
      <w:r w:rsidRPr="00DF5739">
        <w:rPr>
          <w:rFonts w:ascii="Arial" w:hAnsi="Arial" w:cs="Arial"/>
          <w:sz w:val="18"/>
        </w:rPr>
        <w:t>for</w:t>
      </w:r>
      <w:proofErr w:type="spellEnd"/>
      <w:r w:rsidRPr="00DF5739">
        <w:rPr>
          <w:rFonts w:ascii="Arial" w:hAnsi="Arial" w:cs="Arial"/>
          <w:sz w:val="18"/>
        </w:rPr>
        <w:t xml:space="preserve"> </w:t>
      </w:r>
      <w:proofErr w:type="spellStart"/>
      <w:r w:rsidRPr="00DF5739">
        <w:rPr>
          <w:rFonts w:ascii="Arial" w:hAnsi="Arial" w:cs="Arial"/>
          <w:sz w:val="18"/>
        </w:rPr>
        <w:t>Economic</w:t>
      </w:r>
      <w:proofErr w:type="spellEnd"/>
      <w:r w:rsidRPr="00DF5739">
        <w:rPr>
          <w:rFonts w:ascii="Arial" w:hAnsi="Arial" w:cs="Arial"/>
          <w:sz w:val="18"/>
        </w:rPr>
        <w:t xml:space="preserve"> </w:t>
      </w:r>
      <w:proofErr w:type="spellStart"/>
      <w:r w:rsidRPr="00DF5739">
        <w:rPr>
          <w:rFonts w:ascii="Arial" w:hAnsi="Arial" w:cs="Arial"/>
          <w:sz w:val="18"/>
        </w:rPr>
        <w:t>Cooperation</w:t>
      </w:r>
      <w:proofErr w:type="spellEnd"/>
      <w:r w:rsidRPr="00DF5739">
        <w:rPr>
          <w:rFonts w:ascii="Arial" w:hAnsi="Arial" w:cs="Arial"/>
          <w:sz w:val="18"/>
        </w:rPr>
        <w:t xml:space="preserve"> and </w:t>
      </w:r>
      <w:proofErr w:type="spellStart"/>
      <w:r w:rsidRPr="00DF5739">
        <w:rPr>
          <w:rFonts w:ascii="Arial" w:hAnsi="Arial" w:cs="Arial"/>
          <w:sz w:val="18"/>
        </w:rPr>
        <w:t>Development</w:t>
      </w:r>
      <w:proofErr w:type="spellEnd"/>
      <w:r w:rsidRPr="00DF5739">
        <w:rPr>
          <w:rFonts w:ascii="Arial" w:hAnsi="Arial" w:cs="Arial"/>
          <w:sz w:val="18"/>
        </w:rPr>
        <w:t xml:space="preserve">, </w:t>
      </w:r>
      <w:proofErr w:type="spellStart"/>
      <w:r w:rsidRPr="00DF5739">
        <w:rPr>
          <w:rFonts w:ascii="Arial" w:hAnsi="Arial" w:cs="Arial"/>
          <w:sz w:val="18"/>
        </w:rPr>
        <w:t>United</w:t>
      </w:r>
      <w:proofErr w:type="spellEnd"/>
      <w:r w:rsidRPr="00DF5739">
        <w:rPr>
          <w:rFonts w:ascii="Arial" w:hAnsi="Arial" w:cs="Arial"/>
          <w:sz w:val="18"/>
        </w:rPr>
        <w:t xml:space="preserve"> </w:t>
      </w:r>
      <w:proofErr w:type="spellStart"/>
      <w:r w:rsidRPr="00DF5739">
        <w:rPr>
          <w:rFonts w:ascii="Arial" w:hAnsi="Arial" w:cs="Arial"/>
          <w:sz w:val="18"/>
        </w:rPr>
        <w:t>Nations</w:t>
      </w:r>
      <w:proofErr w:type="spellEnd"/>
      <w:r w:rsidRPr="00DF5739">
        <w:rPr>
          <w:rFonts w:ascii="Arial" w:hAnsi="Arial" w:cs="Arial"/>
          <w:sz w:val="18"/>
        </w:rPr>
        <w:t xml:space="preserve"> and </w:t>
      </w:r>
      <w:proofErr w:type="spellStart"/>
      <w:r w:rsidRPr="00DF5739">
        <w:rPr>
          <w:rFonts w:ascii="Arial" w:hAnsi="Arial" w:cs="Arial"/>
          <w:sz w:val="18"/>
        </w:rPr>
        <w:t>World</w:t>
      </w:r>
      <w:proofErr w:type="spellEnd"/>
      <w:r w:rsidRPr="00DF5739">
        <w:rPr>
          <w:rFonts w:ascii="Arial" w:hAnsi="Arial" w:cs="Arial"/>
          <w:sz w:val="18"/>
        </w:rPr>
        <w:t xml:space="preserve"> Bank. </w:t>
      </w:r>
      <w:proofErr w:type="spellStart"/>
      <w:r w:rsidRPr="00DF5739">
        <w:rPr>
          <w:rFonts w:ascii="Arial" w:hAnsi="Arial" w:cs="Arial"/>
          <w:sz w:val="18"/>
        </w:rPr>
        <w:t>System</w:t>
      </w:r>
      <w:proofErr w:type="spellEnd"/>
      <w:r w:rsidRPr="00DF5739">
        <w:rPr>
          <w:rFonts w:ascii="Arial" w:hAnsi="Arial" w:cs="Arial"/>
          <w:sz w:val="18"/>
        </w:rPr>
        <w:t xml:space="preserve"> </w:t>
      </w:r>
      <w:proofErr w:type="spellStart"/>
      <w:r w:rsidRPr="00DF5739">
        <w:rPr>
          <w:rFonts w:ascii="Arial" w:hAnsi="Arial" w:cs="Arial"/>
          <w:sz w:val="18"/>
        </w:rPr>
        <w:t>of</w:t>
      </w:r>
      <w:proofErr w:type="spellEnd"/>
      <w:r w:rsidRPr="00DF5739">
        <w:rPr>
          <w:rFonts w:ascii="Arial" w:hAnsi="Arial" w:cs="Arial"/>
          <w:sz w:val="18"/>
        </w:rPr>
        <w:t xml:space="preserve"> </w:t>
      </w:r>
      <w:proofErr w:type="spellStart"/>
      <w:r w:rsidRPr="00DF5739">
        <w:rPr>
          <w:rFonts w:ascii="Arial" w:hAnsi="Arial" w:cs="Arial"/>
          <w:sz w:val="18"/>
        </w:rPr>
        <w:t>National</w:t>
      </w:r>
      <w:proofErr w:type="spellEnd"/>
      <w:r w:rsidRPr="00DF5739">
        <w:rPr>
          <w:rFonts w:ascii="Arial" w:hAnsi="Arial" w:cs="Arial"/>
          <w:sz w:val="18"/>
        </w:rPr>
        <w:t xml:space="preserve"> </w:t>
      </w:r>
      <w:proofErr w:type="spellStart"/>
      <w:r w:rsidRPr="00DF5739">
        <w:rPr>
          <w:rFonts w:ascii="Arial" w:hAnsi="Arial" w:cs="Arial"/>
          <w:sz w:val="18"/>
        </w:rPr>
        <w:t>Accounts</w:t>
      </w:r>
      <w:proofErr w:type="spellEnd"/>
      <w:r w:rsidRPr="00DF5739">
        <w:rPr>
          <w:rFonts w:ascii="Arial" w:hAnsi="Arial" w:cs="Arial"/>
          <w:sz w:val="18"/>
        </w:rPr>
        <w:t>, 2008. New York, 2009.</w:t>
      </w:r>
    </w:p>
  </w:footnote>
  <w:footnote w:id="7">
    <w:p w14:paraId="4012B121" w14:textId="77777777" w:rsidR="00304846" w:rsidRPr="00304846" w:rsidRDefault="00304846" w:rsidP="00CB2575">
      <w:pPr>
        <w:pStyle w:val="Textonotapie"/>
        <w:ind w:left="-567"/>
        <w:jc w:val="both"/>
        <w:rPr>
          <w:rFonts w:ascii="Arial" w:hAnsi="Arial" w:cs="Arial"/>
          <w:sz w:val="18"/>
        </w:rPr>
      </w:pPr>
      <w:r w:rsidRPr="00304846">
        <w:rPr>
          <w:rStyle w:val="Refdenotaalpie"/>
          <w:rFonts w:ascii="Arial" w:hAnsi="Arial" w:cs="Arial"/>
          <w:sz w:val="18"/>
        </w:rPr>
        <w:footnoteRef/>
      </w:r>
      <w:r w:rsidRPr="00304846">
        <w:rPr>
          <w:rFonts w:ascii="Arial" w:hAnsi="Arial" w:cs="Arial"/>
          <w:sz w:val="18"/>
        </w:rPr>
        <w:t xml:space="preserve"> INEGI. Sistema de Clasificación Industrial de América del Norte, México SCIAN 2013. 2013</w:t>
      </w:r>
    </w:p>
  </w:footnote>
  <w:footnote w:id="8">
    <w:p w14:paraId="282223FE" w14:textId="77777777" w:rsidR="00CB2575" w:rsidRPr="00CB2575" w:rsidRDefault="00CB2575" w:rsidP="00CB2575">
      <w:pPr>
        <w:pStyle w:val="Textonotapie"/>
        <w:ind w:left="-567"/>
        <w:jc w:val="both"/>
        <w:rPr>
          <w:rFonts w:ascii="Arial" w:hAnsi="Arial" w:cs="Arial"/>
        </w:rPr>
      </w:pPr>
      <w:r w:rsidRPr="00CB2575">
        <w:rPr>
          <w:rStyle w:val="Refdenotaalpie"/>
          <w:rFonts w:ascii="Arial" w:hAnsi="Arial" w:cs="Arial"/>
          <w:sz w:val="18"/>
        </w:rPr>
        <w:footnoteRef/>
      </w:r>
      <w:r w:rsidRPr="00CB2575">
        <w:rPr>
          <w:rFonts w:ascii="Arial" w:hAnsi="Arial" w:cs="Arial"/>
          <w:sz w:val="18"/>
        </w:rPr>
        <w:t xml:space="preserve"> La clasificación funcional de las actividades económicas integra las recomendaciones realizadas por el Sistema de Cuentas Nacionales (SCN) en su versión 2008 y los acuerdos alcanzados por el grupo técnico de trabajo de vivienda.</w:t>
      </w:r>
    </w:p>
  </w:footnote>
  <w:footnote w:id="9">
    <w:p w14:paraId="40CB9B6B" w14:textId="77777777" w:rsidR="00A72D88" w:rsidRDefault="00A72D88" w:rsidP="0030673F">
      <w:pPr>
        <w:pStyle w:val="Textonotapie"/>
        <w:ind w:left="-567"/>
      </w:pPr>
      <w:r>
        <w:rPr>
          <w:rStyle w:val="Refdenotaalpie"/>
        </w:rPr>
        <w:footnoteRef/>
      </w:r>
      <w:r>
        <w:t xml:space="preserve"> </w:t>
      </w:r>
      <w:r w:rsidR="00BA6C86">
        <w:t xml:space="preserve">SEDATU, </w:t>
      </w:r>
      <w:proofErr w:type="spellStart"/>
      <w:r w:rsidR="0078374E">
        <w:t>op</w:t>
      </w:r>
      <w:proofErr w:type="spellEnd"/>
      <w:r w:rsidR="0078374E">
        <w:t xml:space="preserve">. </w:t>
      </w:r>
      <w:r w:rsidR="00BB7746">
        <w:t>c</w:t>
      </w:r>
      <w:r w:rsidR="0078374E">
        <w:t>it.</w:t>
      </w:r>
      <w:r w:rsidR="00BB7746">
        <w:t>,</w:t>
      </w:r>
      <w:r w:rsidR="0078374E">
        <w:t xml:space="preserve"> </w:t>
      </w:r>
      <w:r w:rsidR="00BB7746">
        <w:t>p.</w:t>
      </w:r>
      <w:r w:rsidR="00BA6C86">
        <w:t xml:space="preserve"> 13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4556E" w14:textId="38C8CA49" w:rsidR="00FE7A85" w:rsidRPr="00FE1C98" w:rsidRDefault="00FE7A85" w:rsidP="0086490B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6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D1BCEA2" wp14:editId="4ED2D86B">
          <wp:simplePos x="0" y="0"/>
          <wp:positionH relativeFrom="margin">
            <wp:posOffset>-381000</wp:posOffset>
          </wp:positionH>
          <wp:positionV relativeFrom="margin">
            <wp:posOffset>-866775</wp:posOffset>
          </wp:positionV>
          <wp:extent cx="695325" cy="721995"/>
          <wp:effectExtent l="0" t="0" r="9525" b="1905"/>
          <wp:wrapSquare wrapText="bothSides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139">
      <w:rPr>
        <w:rFonts w:ascii="Arial" w:hAnsi="Arial"/>
        <w:b/>
        <w:color w:val="002060"/>
        <w:sz w:val="24"/>
      </w:rPr>
      <w:t xml:space="preserve"> </w:t>
    </w:r>
    <w:r>
      <w:rPr>
        <w:rFonts w:ascii="Arial" w:hAnsi="Arial"/>
        <w:b/>
        <w:color w:val="002060"/>
        <w:sz w:val="24"/>
      </w:rPr>
      <w:t>C</w:t>
    </w:r>
    <w:r w:rsidRPr="00FE1C98">
      <w:rPr>
        <w:rFonts w:ascii="Arial" w:hAnsi="Arial"/>
        <w:b/>
        <w:color w:val="002060"/>
        <w:sz w:val="24"/>
      </w:rPr>
      <w:t>OMUNICADO DE PRENSA NÚM.</w:t>
    </w:r>
    <w:r>
      <w:rPr>
        <w:rFonts w:ascii="Arial" w:hAnsi="Arial"/>
        <w:b/>
        <w:color w:val="002060"/>
        <w:sz w:val="24"/>
      </w:rPr>
      <w:t xml:space="preserve"> </w:t>
    </w:r>
    <w:r w:rsidR="00C2427E">
      <w:rPr>
        <w:rFonts w:ascii="Arial" w:hAnsi="Arial"/>
        <w:b/>
        <w:color w:val="002060"/>
        <w:sz w:val="24"/>
      </w:rPr>
      <w:t>60</w:t>
    </w:r>
    <w:r>
      <w:rPr>
        <w:rFonts w:ascii="Arial" w:hAnsi="Arial"/>
        <w:b/>
        <w:color w:val="002060"/>
        <w:sz w:val="24"/>
      </w:rPr>
      <w:t>/20</w:t>
    </w:r>
  </w:p>
  <w:p w14:paraId="40AE3C92" w14:textId="77777777" w:rsidR="00FE7A85" w:rsidRPr="00FE1C98" w:rsidRDefault="00FE7A85" w:rsidP="0086490B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6"/>
        <w:lang w:val="pt-BR"/>
      </w:rPr>
    </w:pPr>
    <w:r>
      <w:rPr>
        <w:rFonts w:ascii="Arial" w:hAnsi="Arial"/>
        <w:b/>
        <w:color w:val="002060"/>
        <w:sz w:val="24"/>
        <w:lang w:val="pt-BR"/>
      </w:rPr>
      <w:t>5 DE FEBRERO DE 2020</w:t>
    </w:r>
  </w:p>
  <w:p w14:paraId="77567E2F" w14:textId="0B0EF771" w:rsidR="00FE7A85" w:rsidRPr="00FE1C98" w:rsidRDefault="00FE7A85" w:rsidP="0086490B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4"/>
      </w:rPr>
    </w:pPr>
    <w:r w:rsidRPr="00FE1C98">
      <w:rPr>
        <w:rFonts w:ascii="Arial" w:hAnsi="Arial"/>
        <w:b/>
        <w:color w:val="002060"/>
        <w:sz w:val="24"/>
      </w:rPr>
      <w:t xml:space="preserve">PÁGINA </w:t>
    </w:r>
    <w:r w:rsidRPr="00FE1C98">
      <w:rPr>
        <w:rFonts w:ascii="Arial" w:hAnsi="Arial"/>
        <w:b/>
        <w:color w:val="002060"/>
        <w:sz w:val="24"/>
      </w:rPr>
      <w:fldChar w:fldCharType="begin"/>
    </w:r>
    <w:r w:rsidRPr="00FE1C98">
      <w:rPr>
        <w:rFonts w:ascii="Arial" w:hAnsi="Arial"/>
        <w:b/>
        <w:color w:val="002060"/>
        <w:sz w:val="24"/>
      </w:rPr>
      <w:instrText xml:space="preserve"> PAGE  \* Arabic </w:instrText>
    </w:r>
    <w:r w:rsidRPr="00FE1C98">
      <w:rPr>
        <w:rFonts w:ascii="Arial" w:hAnsi="Arial"/>
        <w:b/>
        <w:color w:val="002060"/>
        <w:sz w:val="24"/>
      </w:rPr>
      <w:fldChar w:fldCharType="separate"/>
    </w:r>
    <w:r w:rsidR="00BB6735">
      <w:rPr>
        <w:rFonts w:ascii="Arial" w:hAnsi="Arial"/>
        <w:b/>
        <w:noProof/>
        <w:color w:val="002060"/>
        <w:sz w:val="24"/>
      </w:rPr>
      <w:t>1</w:t>
    </w:r>
    <w:r w:rsidRPr="00FE1C98">
      <w:rPr>
        <w:rFonts w:ascii="Arial" w:hAnsi="Arial"/>
        <w:b/>
        <w:color w:val="002060"/>
        <w:sz w:val="24"/>
      </w:rPr>
      <w:fldChar w:fldCharType="end"/>
    </w:r>
    <w:r w:rsidRPr="00FE1C98">
      <w:rPr>
        <w:rFonts w:ascii="Arial" w:hAnsi="Arial"/>
        <w:b/>
        <w:color w:val="002060"/>
        <w:sz w:val="24"/>
      </w:rPr>
      <w:t>/</w:t>
    </w:r>
    <w:r w:rsidR="0086490B">
      <w:rPr>
        <w:rFonts w:ascii="Arial" w:hAnsi="Arial"/>
        <w:b/>
        <w:color w:val="002060"/>
        <w:sz w:val="24"/>
      </w:rPr>
      <w:t>1</w:t>
    </w:r>
  </w:p>
  <w:p w14:paraId="4C33C669" w14:textId="77777777" w:rsidR="00FE7A85" w:rsidRPr="004B64BD" w:rsidRDefault="00FE7A85" w:rsidP="00C33139">
    <w:pPr>
      <w:pStyle w:val="Encabezado"/>
      <w:tabs>
        <w:tab w:val="clear" w:pos="4419"/>
        <w:tab w:val="clear" w:pos="8838"/>
      </w:tabs>
      <w:ind w:left="567" w:right="-518" w:hanging="11"/>
      <w:jc w:val="right"/>
      <w:rPr>
        <w:rFonts w:ascii="Arial" w:hAnsi="Arial" w:cs="Arial"/>
        <w:b/>
        <w:color w:val="002060"/>
        <w:sz w:val="24"/>
        <w:szCs w:val="24"/>
      </w:rPr>
    </w:pPr>
  </w:p>
  <w:p w14:paraId="794F955D" w14:textId="77777777" w:rsidR="00FE7A85" w:rsidRDefault="00FE7A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99E59" w14:textId="61401E1D" w:rsidR="00B052DA" w:rsidRPr="009F5942" w:rsidRDefault="009F5942" w:rsidP="009F594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3D0354B" wp14:editId="222895CE">
          <wp:simplePos x="0" y="0"/>
          <wp:positionH relativeFrom="margin">
            <wp:align>center</wp:align>
          </wp:positionH>
          <wp:positionV relativeFrom="margin">
            <wp:posOffset>-899160</wp:posOffset>
          </wp:positionV>
          <wp:extent cx="695325" cy="721995"/>
          <wp:effectExtent l="0" t="0" r="9525" b="1905"/>
          <wp:wrapSquare wrapText="bothSides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267AC"/>
    <w:multiLevelType w:val="hybridMultilevel"/>
    <w:tmpl w:val="2D047B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60136"/>
    <w:multiLevelType w:val="hybridMultilevel"/>
    <w:tmpl w:val="25E082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9F6466"/>
    <w:multiLevelType w:val="hybridMultilevel"/>
    <w:tmpl w:val="D99E1392"/>
    <w:lvl w:ilvl="0" w:tplc="21EC9E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890"/>
    <w:rsid w:val="00000704"/>
    <w:rsid w:val="00001D72"/>
    <w:rsid w:val="00003AE2"/>
    <w:rsid w:val="00003AF0"/>
    <w:rsid w:val="00003C70"/>
    <w:rsid w:val="00003FC3"/>
    <w:rsid w:val="000046C3"/>
    <w:rsid w:val="0000667B"/>
    <w:rsid w:val="00010A9B"/>
    <w:rsid w:val="0001115F"/>
    <w:rsid w:val="000111C4"/>
    <w:rsid w:val="00012E63"/>
    <w:rsid w:val="000138DF"/>
    <w:rsid w:val="00015D46"/>
    <w:rsid w:val="00017CE1"/>
    <w:rsid w:val="00020929"/>
    <w:rsid w:val="00022EFB"/>
    <w:rsid w:val="00023A19"/>
    <w:rsid w:val="00024084"/>
    <w:rsid w:val="00024726"/>
    <w:rsid w:val="000251C4"/>
    <w:rsid w:val="000264E1"/>
    <w:rsid w:val="00026562"/>
    <w:rsid w:val="00026608"/>
    <w:rsid w:val="00026A89"/>
    <w:rsid w:val="000272C0"/>
    <w:rsid w:val="0003030C"/>
    <w:rsid w:val="0003098B"/>
    <w:rsid w:val="00031002"/>
    <w:rsid w:val="0003181A"/>
    <w:rsid w:val="00031C5C"/>
    <w:rsid w:val="000324C9"/>
    <w:rsid w:val="000369D1"/>
    <w:rsid w:val="000375B3"/>
    <w:rsid w:val="000415FA"/>
    <w:rsid w:val="000422CA"/>
    <w:rsid w:val="00044A78"/>
    <w:rsid w:val="00044E9F"/>
    <w:rsid w:val="00053E60"/>
    <w:rsid w:val="000544A9"/>
    <w:rsid w:val="000577B5"/>
    <w:rsid w:val="00060265"/>
    <w:rsid w:val="000657D4"/>
    <w:rsid w:val="00066144"/>
    <w:rsid w:val="00066FD5"/>
    <w:rsid w:val="00070072"/>
    <w:rsid w:val="000704CB"/>
    <w:rsid w:val="000708E6"/>
    <w:rsid w:val="000720F4"/>
    <w:rsid w:val="0007455A"/>
    <w:rsid w:val="000750E0"/>
    <w:rsid w:val="000777DD"/>
    <w:rsid w:val="00077AA3"/>
    <w:rsid w:val="000823F0"/>
    <w:rsid w:val="00082893"/>
    <w:rsid w:val="00082D70"/>
    <w:rsid w:val="000858BC"/>
    <w:rsid w:val="00085EE7"/>
    <w:rsid w:val="00090185"/>
    <w:rsid w:val="00090AC9"/>
    <w:rsid w:val="00090D86"/>
    <w:rsid w:val="0009147A"/>
    <w:rsid w:val="00093230"/>
    <w:rsid w:val="000932A6"/>
    <w:rsid w:val="0009351F"/>
    <w:rsid w:val="000958F4"/>
    <w:rsid w:val="00096A0E"/>
    <w:rsid w:val="000A0871"/>
    <w:rsid w:val="000A0C6E"/>
    <w:rsid w:val="000A1474"/>
    <w:rsid w:val="000A22BF"/>
    <w:rsid w:val="000A2D65"/>
    <w:rsid w:val="000A2DFC"/>
    <w:rsid w:val="000A3E28"/>
    <w:rsid w:val="000A431F"/>
    <w:rsid w:val="000A491A"/>
    <w:rsid w:val="000A50CE"/>
    <w:rsid w:val="000A789C"/>
    <w:rsid w:val="000A7ADA"/>
    <w:rsid w:val="000B0375"/>
    <w:rsid w:val="000B1A3A"/>
    <w:rsid w:val="000B343C"/>
    <w:rsid w:val="000B3C7F"/>
    <w:rsid w:val="000B4569"/>
    <w:rsid w:val="000B5569"/>
    <w:rsid w:val="000B5875"/>
    <w:rsid w:val="000B5904"/>
    <w:rsid w:val="000B64AA"/>
    <w:rsid w:val="000C10BD"/>
    <w:rsid w:val="000C339C"/>
    <w:rsid w:val="000C7EFA"/>
    <w:rsid w:val="000D403D"/>
    <w:rsid w:val="000D4AED"/>
    <w:rsid w:val="000D79AC"/>
    <w:rsid w:val="000D7B7A"/>
    <w:rsid w:val="000E15FF"/>
    <w:rsid w:val="000E2427"/>
    <w:rsid w:val="000E33F1"/>
    <w:rsid w:val="000E372B"/>
    <w:rsid w:val="000E4D3B"/>
    <w:rsid w:val="000E5DFC"/>
    <w:rsid w:val="000E5FC4"/>
    <w:rsid w:val="000E637E"/>
    <w:rsid w:val="000F2467"/>
    <w:rsid w:val="000F2666"/>
    <w:rsid w:val="000F3A24"/>
    <w:rsid w:val="000F6900"/>
    <w:rsid w:val="0010162A"/>
    <w:rsid w:val="001038EA"/>
    <w:rsid w:val="00110D43"/>
    <w:rsid w:val="00111590"/>
    <w:rsid w:val="00111F35"/>
    <w:rsid w:val="001121DD"/>
    <w:rsid w:val="00112781"/>
    <w:rsid w:val="001135DA"/>
    <w:rsid w:val="00113750"/>
    <w:rsid w:val="00114058"/>
    <w:rsid w:val="00116556"/>
    <w:rsid w:val="0012015E"/>
    <w:rsid w:val="00120349"/>
    <w:rsid w:val="00120BED"/>
    <w:rsid w:val="0012110B"/>
    <w:rsid w:val="00122AE9"/>
    <w:rsid w:val="00122AFD"/>
    <w:rsid w:val="00122EF9"/>
    <w:rsid w:val="001275CB"/>
    <w:rsid w:val="00127A51"/>
    <w:rsid w:val="00130F51"/>
    <w:rsid w:val="001318CA"/>
    <w:rsid w:val="00132FE8"/>
    <w:rsid w:val="00136B98"/>
    <w:rsid w:val="00136D4D"/>
    <w:rsid w:val="00137BB1"/>
    <w:rsid w:val="00141973"/>
    <w:rsid w:val="00141F5D"/>
    <w:rsid w:val="0014276D"/>
    <w:rsid w:val="001431F4"/>
    <w:rsid w:val="001440C6"/>
    <w:rsid w:val="00145F56"/>
    <w:rsid w:val="00146BFE"/>
    <w:rsid w:val="00147E61"/>
    <w:rsid w:val="00153B68"/>
    <w:rsid w:val="00154542"/>
    <w:rsid w:val="00154BBA"/>
    <w:rsid w:val="00155161"/>
    <w:rsid w:val="001552D7"/>
    <w:rsid w:val="00155512"/>
    <w:rsid w:val="00157910"/>
    <w:rsid w:val="001603BF"/>
    <w:rsid w:val="0016063C"/>
    <w:rsid w:val="00161ECF"/>
    <w:rsid w:val="001629A0"/>
    <w:rsid w:val="001644F9"/>
    <w:rsid w:val="00164C3C"/>
    <w:rsid w:val="00164C74"/>
    <w:rsid w:val="00164CBE"/>
    <w:rsid w:val="001654D0"/>
    <w:rsid w:val="001669D7"/>
    <w:rsid w:val="0017045D"/>
    <w:rsid w:val="00172BB6"/>
    <w:rsid w:val="00172DC1"/>
    <w:rsid w:val="00172DD5"/>
    <w:rsid w:val="00174D55"/>
    <w:rsid w:val="0017579B"/>
    <w:rsid w:val="00177359"/>
    <w:rsid w:val="00180D5C"/>
    <w:rsid w:val="00181333"/>
    <w:rsid w:val="00184796"/>
    <w:rsid w:val="0018666D"/>
    <w:rsid w:val="00186729"/>
    <w:rsid w:val="00190517"/>
    <w:rsid w:val="0019109B"/>
    <w:rsid w:val="001919CD"/>
    <w:rsid w:val="00193EB0"/>
    <w:rsid w:val="00196938"/>
    <w:rsid w:val="001A01E3"/>
    <w:rsid w:val="001A0618"/>
    <w:rsid w:val="001A1162"/>
    <w:rsid w:val="001A1F76"/>
    <w:rsid w:val="001A2D73"/>
    <w:rsid w:val="001A3535"/>
    <w:rsid w:val="001A62D7"/>
    <w:rsid w:val="001A655E"/>
    <w:rsid w:val="001A6A2C"/>
    <w:rsid w:val="001B00DB"/>
    <w:rsid w:val="001B0626"/>
    <w:rsid w:val="001B1D11"/>
    <w:rsid w:val="001B30B4"/>
    <w:rsid w:val="001B3B3F"/>
    <w:rsid w:val="001B5796"/>
    <w:rsid w:val="001B6771"/>
    <w:rsid w:val="001C3139"/>
    <w:rsid w:val="001C5607"/>
    <w:rsid w:val="001C685F"/>
    <w:rsid w:val="001C7ACB"/>
    <w:rsid w:val="001D32BF"/>
    <w:rsid w:val="001D4698"/>
    <w:rsid w:val="001D490B"/>
    <w:rsid w:val="001D4D49"/>
    <w:rsid w:val="001E00F1"/>
    <w:rsid w:val="001E1C75"/>
    <w:rsid w:val="001E23FD"/>
    <w:rsid w:val="001E2F46"/>
    <w:rsid w:val="001E579D"/>
    <w:rsid w:val="001E6B0B"/>
    <w:rsid w:val="001F14D3"/>
    <w:rsid w:val="001F19F2"/>
    <w:rsid w:val="001F37ED"/>
    <w:rsid w:val="001F4F42"/>
    <w:rsid w:val="001F5A2E"/>
    <w:rsid w:val="001F631B"/>
    <w:rsid w:val="001F69AC"/>
    <w:rsid w:val="0020532A"/>
    <w:rsid w:val="00206CE6"/>
    <w:rsid w:val="002076D5"/>
    <w:rsid w:val="002114C7"/>
    <w:rsid w:val="00213191"/>
    <w:rsid w:val="00213DF2"/>
    <w:rsid w:val="002159CA"/>
    <w:rsid w:val="002247AA"/>
    <w:rsid w:val="00224A77"/>
    <w:rsid w:val="00226C03"/>
    <w:rsid w:val="0023050F"/>
    <w:rsid w:val="00230F25"/>
    <w:rsid w:val="0023136D"/>
    <w:rsid w:val="00231F2B"/>
    <w:rsid w:val="00232B7D"/>
    <w:rsid w:val="00232F09"/>
    <w:rsid w:val="00234442"/>
    <w:rsid w:val="00234B75"/>
    <w:rsid w:val="00236925"/>
    <w:rsid w:val="00242819"/>
    <w:rsid w:val="00244D3C"/>
    <w:rsid w:val="00245125"/>
    <w:rsid w:val="00246539"/>
    <w:rsid w:val="00246CE2"/>
    <w:rsid w:val="0024773E"/>
    <w:rsid w:val="002503DA"/>
    <w:rsid w:val="00252368"/>
    <w:rsid w:val="002529FC"/>
    <w:rsid w:val="00253BD5"/>
    <w:rsid w:val="00255319"/>
    <w:rsid w:val="002562E7"/>
    <w:rsid w:val="00256B81"/>
    <w:rsid w:val="00260ACC"/>
    <w:rsid w:val="00262CEC"/>
    <w:rsid w:val="002643FA"/>
    <w:rsid w:val="002644D4"/>
    <w:rsid w:val="002675B2"/>
    <w:rsid w:val="00273706"/>
    <w:rsid w:val="00273C1C"/>
    <w:rsid w:val="00274544"/>
    <w:rsid w:val="002760C1"/>
    <w:rsid w:val="00283A81"/>
    <w:rsid w:val="002902E8"/>
    <w:rsid w:val="00292C71"/>
    <w:rsid w:val="00293BE9"/>
    <w:rsid w:val="0029403D"/>
    <w:rsid w:val="002948B8"/>
    <w:rsid w:val="00295D12"/>
    <w:rsid w:val="00296A4D"/>
    <w:rsid w:val="00297980"/>
    <w:rsid w:val="002A27F5"/>
    <w:rsid w:val="002A4B6E"/>
    <w:rsid w:val="002A520B"/>
    <w:rsid w:val="002A66D5"/>
    <w:rsid w:val="002B0DCF"/>
    <w:rsid w:val="002B151A"/>
    <w:rsid w:val="002B3729"/>
    <w:rsid w:val="002B567E"/>
    <w:rsid w:val="002C0771"/>
    <w:rsid w:val="002C0934"/>
    <w:rsid w:val="002C0C95"/>
    <w:rsid w:val="002C1E16"/>
    <w:rsid w:val="002C28C7"/>
    <w:rsid w:val="002C2BE3"/>
    <w:rsid w:val="002C2DE4"/>
    <w:rsid w:val="002C38B5"/>
    <w:rsid w:val="002C502C"/>
    <w:rsid w:val="002C503D"/>
    <w:rsid w:val="002D06CB"/>
    <w:rsid w:val="002D0E1F"/>
    <w:rsid w:val="002D1AED"/>
    <w:rsid w:val="002D354A"/>
    <w:rsid w:val="002D7C4B"/>
    <w:rsid w:val="002E02B4"/>
    <w:rsid w:val="002E18F6"/>
    <w:rsid w:val="002E3511"/>
    <w:rsid w:val="002E4302"/>
    <w:rsid w:val="002F11D7"/>
    <w:rsid w:val="002F1F64"/>
    <w:rsid w:val="002F2282"/>
    <w:rsid w:val="002F24D4"/>
    <w:rsid w:val="002F4687"/>
    <w:rsid w:val="002F7FCF"/>
    <w:rsid w:val="003014EE"/>
    <w:rsid w:val="00302970"/>
    <w:rsid w:val="00303BC3"/>
    <w:rsid w:val="00304846"/>
    <w:rsid w:val="00306342"/>
    <w:rsid w:val="0030673F"/>
    <w:rsid w:val="00306E6D"/>
    <w:rsid w:val="00307103"/>
    <w:rsid w:val="0030797F"/>
    <w:rsid w:val="0031171E"/>
    <w:rsid w:val="003121C1"/>
    <w:rsid w:val="003133AE"/>
    <w:rsid w:val="00313A06"/>
    <w:rsid w:val="00314D32"/>
    <w:rsid w:val="00314DF1"/>
    <w:rsid w:val="003150DF"/>
    <w:rsid w:val="00316903"/>
    <w:rsid w:val="00320999"/>
    <w:rsid w:val="00320B50"/>
    <w:rsid w:val="00321A0A"/>
    <w:rsid w:val="0032554F"/>
    <w:rsid w:val="00326B04"/>
    <w:rsid w:val="00326CB9"/>
    <w:rsid w:val="003279A3"/>
    <w:rsid w:val="00327A2D"/>
    <w:rsid w:val="003325B3"/>
    <w:rsid w:val="003330ED"/>
    <w:rsid w:val="0033362F"/>
    <w:rsid w:val="00333C27"/>
    <w:rsid w:val="0033536A"/>
    <w:rsid w:val="00335421"/>
    <w:rsid w:val="00340498"/>
    <w:rsid w:val="00341332"/>
    <w:rsid w:val="00341794"/>
    <w:rsid w:val="00342864"/>
    <w:rsid w:val="00342DCF"/>
    <w:rsid w:val="00345D5C"/>
    <w:rsid w:val="00347269"/>
    <w:rsid w:val="00352F55"/>
    <w:rsid w:val="0035334E"/>
    <w:rsid w:val="00355264"/>
    <w:rsid w:val="00355CF1"/>
    <w:rsid w:val="00356F00"/>
    <w:rsid w:val="0035792A"/>
    <w:rsid w:val="00357EBD"/>
    <w:rsid w:val="003603D5"/>
    <w:rsid w:val="003637F7"/>
    <w:rsid w:val="00363A2C"/>
    <w:rsid w:val="00365254"/>
    <w:rsid w:val="00365A5B"/>
    <w:rsid w:val="003724BE"/>
    <w:rsid w:val="00372FDC"/>
    <w:rsid w:val="00382226"/>
    <w:rsid w:val="003846DF"/>
    <w:rsid w:val="003862C5"/>
    <w:rsid w:val="003916D5"/>
    <w:rsid w:val="00391E6F"/>
    <w:rsid w:val="003929E1"/>
    <w:rsid w:val="00393325"/>
    <w:rsid w:val="00393B0A"/>
    <w:rsid w:val="00394B5E"/>
    <w:rsid w:val="00394E14"/>
    <w:rsid w:val="00395950"/>
    <w:rsid w:val="00395C9C"/>
    <w:rsid w:val="00396383"/>
    <w:rsid w:val="003A1298"/>
    <w:rsid w:val="003A1691"/>
    <w:rsid w:val="003A7650"/>
    <w:rsid w:val="003B11FA"/>
    <w:rsid w:val="003B1924"/>
    <w:rsid w:val="003B3FFB"/>
    <w:rsid w:val="003B4281"/>
    <w:rsid w:val="003B513B"/>
    <w:rsid w:val="003B5163"/>
    <w:rsid w:val="003B587F"/>
    <w:rsid w:val="003B5BF2"/>
    <w:rsid w:val="003C03CE"/>
    <w:rsid w:val="003C0E05"/>
    <w:rsid w:val="003C0ECC"/>
    <w:rsid w:val="003C2366"/>
    <w:rsid w:val="003C31F3"/>
    <w:rsid w:val="003C3C37"/>
    <w:rsid w:val="003C49BE"/>
    <w:rsid w:val="003D045D"/>
    <w:rsid w:val="003D24E0"/>
    <w:rsid w:val="003D4329"/>
    <w:rsid w:val="003D4347"/>
    <w:rsid w:val="003D4968"/>
    <w:rsid w:val="003D6632"/>
    <w:rsid w:val="003E0D0D"/>
    <w:rsid w:val="003E11CD"/>
    <w:rsid w:val="003E1356"/>
    <w:rsid w:val="003E2D56"/>
    <w:rsid w:val="003E33B1"/>
    <w:rsid w:val="003E35CF"/>
    <w:rsid w:val="003E690B"/>
    <w:rsid w:val="003E6BD0"/>
    <w:rsid w:val="003E6C96"/>
    <w:rsid w:val="003E72C2"/>
    <w:rsid w:val="003F1EEA"/>
    <w:rsid w:val="003F2138"/>
    <w:rsid w:val="003F3936"/>
    <w:rsid w:val="003F56E1"/>
    <w:rsid w:val="003F61A6"/>
    <w:rsid w:val="003F67E9"/>
    <w:rsid w:val="003F6B1C"/>
    <w:rsid w:val="003F793A"/>
    <w:rsid w:val="00400EBB"/>
    <w:rsid w:val="00401B44"/>
    <w:rsid w:val="00403AA0"/>
    <w:rsid w:val="0040622F"/>
    <w:rsid w:val="0040704F"/>
    <w:rsid w:val="004072AA"/>
    <w:rsid w:val="00407A85"/>
    <w:rsid w:val="004114FB"/>
    <w:rsid w:val="00411AF5"/>
    <w:rsid w:val="00413BE7"/>
    <w:rsid w:val="00415775"/>
    <w:rsid w:val="004171D8"/>
    <w:rsid w:val="00423E7B"/>
    <w:rsid w:val="00424B4A"/>
    <w:rsid w:val="00424BD0"/>
    <w:rsid w:val="00425455"/>
    <w:rsid w:val="00430490"/>
    <w:rsid w:val="00431BF1"/>
    <w:rsid w:val="00431C47"/>
    <w:rsid w:val="0043544D"/>
    <w:rsid w:val="00441419"/>
    <w:rsid w:val="004445A7"/>
    <w:rsid w:val="00446436"/>
    <w:rsid w:val="00446579"/>
    <w:rsid w:val="004471D2"/>
    <w:rsid w:val="004507D4"/>
    <w:rsid w:val="00450E09"/>
    <w:rsid w:val="00451646"/>
    <w:rsid w:val="004549E8"/>
    <w:rsid w:val="00457635"/>
    <w:rsid w:val="00460895"/>
    <w:rsid w:val="00460E71"/>
    <w:rsid w:val="004617EC"/>
    <w:rsid w:val="00462933"/>
    <w:rsid w:val="00462AF9"/>
    <w:rsid w:val="00464161"/>
    <w:rsid w:val="00466AB2"/>
    <w:rsid w:val="00467FB9"/>
    <w:rsid w:val="004705A5"/>
    <w:rsid w:val="00470EDD"/>
    <w:rsid w:val="0047165D"/>
    <w:rsid w:val="00474EFC"/>
    <w:rsid w:val="00474F60"/>
    <w:rsid w:val="00475B95"/>
    <w:rsid w:val="004762C5"/>
    <w:rsid w:val="00477017"/>
    <w:rsid w:val="00484B6C"/>
    <w:rsid w:val="004906D2"/>
    <w:rsid w:val="004907DF"/>
    <w:rsid w:val="00490D6B"/>
    <w:rsid w:val="004960FD"/>
    <w:rsid w:val="004A2C62"/>
    <w:rsid w:val="004A2F56"/>
    <w:rsid w:val="004A45F6"/>
    <w:rsid w:val="004A62B5"/>
    <w:rsid w:val="004A6678"/>
    <w:rsid w:val="004B031A"/>
    <w:rsid w:val="004B08F5"/>
    <w:rsid w:val="004B3DC1"/>
    <w:rsid w:val="004B4B4C"/>
    <w:rsid w:val="004B544D"/>
    <w:rsid w:val="004B6165"/>
    <w:rsid w:val="004C14A9"/>
    <w:rsid w:val="004C34B7"/>
    <w:rsid w:val="004C4029"/>
    <w:rsid w:val="004C4572"/>
    <w:rsid w:val="004D2177"/>
    <w:rsid w:val="004D27F8"/>
    <w:rsid w:val="004D3016"/>
    <w:rsid w:val="004E0078"/>
    <w:rsid w:val="004E362E"/>
    <w:rsid w:val="004E618C"/>
    <w:rsid w:val="004E6AF2"/>
    <w:rsid w:val="004F181F"/>
    <w:rsid w:val="004F1F31"/>
    <w:rsid w:val="004F32C8"/>
    <w:rsid w:val="004F6149"/>
    <w:rsid w:val="004F76EC"/>
    <w:rsid w:val="004F7A32"/>
    <w:rsid w:val="00500556"/>
    <w:rsid w:val="00501C57"/>
    <w:rsid w:val="00501CCD"/>
    <w:rsid w:val="00504E4F"/>
    <w:rsid w:val="00504E66"/>
    <w:rsid w:val="00507487"/>
    <w:rsid w:val="00507E88"/>
    <w:rsid w:val="00511907"/>
    <w:rsid w:val="00512BB3"/>
    <w:rsid w:val="00513F78"/>
    <w:rsid w:val="00516268"/>
    <w:rsid w:val="00517286"/>
    <w:rsid w:val="0052409C"/>
    <w:rsid w:val="00524549"/>
    <w:rsid w:val="0052537C"/>
    <w:rsid w:val="00534DF3"/>
    <w:rsid w:val="0053627C"/>
    <w:rsid w:val="00536645"/>
    <w:rsid w:val="00536D03"/>
    <w:rsid w:val="0053722D"/>
    <w:rsid w:val="0054091F"/>
    <w:rsid w:val="00542AA4"/>
    <w:rsid w:val="00542D9B"/>
    <w:rsid w:val="005455A9"/>
    <w:rsid w:val="005475C2"/>
    <w:rsid w:val="00547C7E"/>
    <w:rsid w:val="00550E3B"/>
    <w:rsid w:val="0055124A"/>
    <w:rsid w:val="005514A8"/>
    <w:rsid w:val="00551F63"/>
    <w:rsid w:val="005537BD"/>
    <w:rsid w:val="00553C2E"/>
    <w:rsid w:val="00556156"/>
    <w:rsid w:val="005605FF"/>
    <w:rsid w:val="00560705"/>
    <w:rsid w:val="00560B28"/>
    <w:rsid w:val="00560D35"/>
    <w:rsid w:val="00561F71"/>
    <w:rsid w:val="005633D8"/>
    <w:rsid w:val="00563AFE"/>
    <w:rsid w:val="00564081"/>
    <w:rsid w:val="00565D7A"/>
    <w:rsid w:val="00566CA6"/>
    <w:rsid w:val="00567B81"/>
    <w:rsid w:val="00570865"/>
    <w:rsid w:val="00571556"/>
    <w:rsid w:val="005720FB"/>
    <w:rsid w:val="005733BC"/>
    <w:rsid w:val="00573666"/>
    <w:rsid w:val="00574A48"/>
    <w:rsid w:val="00586256"/>
    <w:rsid w:val="0058722A"/>
    <w:rsid w:val="00591059"/>
    <w:rsid w:val="0059121D"/>
    <w:rsid w:val="00592910"/>
    <w:rsid w:val="0059328A"/>
    <w:rsid w:val="005933AF"/>
    <w:rsid w:val="00595553"/>
    <w:rsid w:val="005962AB"/>
    <w:rsid w:val="0059709B"/>
    <w:rsid w:val="005A0809"/>
    <w:rsid w:val="005A11FC"/>
    <w:rsid w:val="005A1B88"/>
    <w:rsid w:val="005A2F5C"/>
    <w:rsid w:val="005A5F97"/>
    <w:rsid w:val="005B0D11"/>
    <w:rsid w:val="005B0D15"/>
    <w:rsid w:val="005B10DD"/>
    <w:rsid w:val="005B2C2D"/>
    <w:rsid w:val="005B4F8C"/>
    <w:rsid w:val="005B5235"/>
    <w:rsid w:val="005B7C72"/>
    <w:rsid w:val="005C06B6"/>
    <w:rsid w:val="005C117C"/>
    <w:rsid w:val="005C1A85"/>
    <w:rsid w:val="005C334D"/>
    <w:rsid w:val="005C4DF7"/>
    <w:rsid w:val="005C621C"/>
    <w:rsid w:val="005C6B9E"/>
    <w:rsid w:val="005D0AED"/>
    <w:rsid w:val="005D5EE5"/>
    <w:rsid w:val="005D6F5E"/>
    <w:rsid w:val="005E1A74"/>
    <w:rsid w:val="005E1C7D"/>
    <w:rsid w:val="005E3C2D"/>
    <w:rsid w:val="005E4E70"/>
    <w:rsid w:val="005E504F"/>
    <w:rsid w:val="005E7147"/>
    <w:rsid w:val="005E71CF"/>
    <w:rsid w:val="005E7E24"/>
    <w:rsid w:val="005F0D25"/>
    <w:rsid w:val="005F0E4D"/>
    <w:rsid w:val="005F1551"/>
    <w:rsid w:val="005F1FCB"/>
    <w:rsid w:val="005F3BC1"/>
    <w:rsid w:val="005F3E66"/>
    <w:rsid w:val="005F4277"/>
    <w:rsid w:val="005F4553"/>
    <w:rsid w:val="005F6F94"/>
    <w:rsid w:val="005F7FE3"/>
    <w:rsid w:val="00601690"/>
    <w:rsid w:val="00602053"/>
    <w:rsid w:val="006030A0"/>
    <w:rsid w:val="0060320D"/>
    <w:rsid w:val="0060531A"/>
    <w:rsid w:val="00605952"/>
    <w:rsid w:val="00605DCB"/>
    <w:rsid w:val="00606BBE"/>
    <w:rsid w:val="00607A23"/>
    <w:rsid w:val="00607A33"/>
    <w:rsid w:val="0061102C"/>
    <w:rsid w:val="00611157"/>
    <w:rsid w:val="00614D2F"/>
    <w:rsid w:val="00620659"/>
    <w:rsid w:val="0062131C"/>
    <w:rsid w:val="00622EE5"/>
    <w:rsid w:val="00622F67"/>
    <w:rsid w:val="00623AA4"/>
    <w:rsid w:val="00624CD0"/>
    <w:rsid w:val="00636501"/>
    <w:rsid w:val="006366A4"/>
    <w:rsid w:val="00636874"/>
    <w:rsid w:val="00636FC6"/>
    <w:rsid w:val="0063710D"/>
    <w:rsid w:val="00642686"/>
    <w:rsid w:val="00642865"/>
    <w:rsid w:val="006454FE"/>
    <w:rsid w:val="00647E28"/>
    <w:rsid w:val="006514A8"/>
    <w:rsid w:val="0065198A"/>
    <w:rsid w:val="00653775"/>
    <w:rsid w:val="00653CB7"/>
    <w:rsid w:val="00654F6F"/>
    <w:rsid w:val="006559C8"/>
    <w:rsid w:val="00656F0D"/>
    <w:rsid w:val="006571E0"/>
    <w:rsid w:val="006573D9"/>
    <w:rsid w:val="006602D4"/>
    <w:rsid w:val="00660AFA"/>
    <w:rsid w:val="0066241D"/>
    <w:rsid w:val="00662E53"/>
    <w:rsid w:val="006632E2"/>
    <w:rsid w:val="006653E3"/>
    <w:rsid w:val="00666A13"/>
    <w:rsid w:val="00672160"/>
    <w:rsid w:val="006728E8"/>
    <w:rsid w:val="00674E5F"/>
    <w:rsid w:val="00676344"/>
    <w:rsid w:val="00677033"/>
    <w:rsid w:val="00677258"/>
    <w:rsid w:val="00677487"/>
    <w:rsid w:val="00677E3E"/>
    <w:rsid w:val="0068391A"/>
    <w:rsid w:val="00684C50"/>
    <w:rsid w:val="006862A7"/>
    <w:rsid w:val="00692853"/>
    <w:rsid w:val="0069353C"/>
    <w:rsid w:val="006972E8"/>
    <w:rsid w:val="006A21C9"/>
    <w:rsid w:val="006A2D6F"/>
    <w:rsid w:val="006A3945"/>
    <w:rsid w:val="006A7287"/>
    <w:rsid w:val="006B2164"/>
    <w:rsid w:val="006B30A5"/>
    <w:rsid w:val="006B30CC"/>
    <w:rsid w:val="006B75A1"/>
    <w:rsid w:val="006B7E74"/>
    <w:rsid w:val="006C0D77"/>
    <w:rsid w:val="006C0E58"/>
    <w:rsid w:val="006C523D"/>
    <w:rsid w:val="006C7857"/>
    <w:rsid w:val="006D09AC"/>
    <w:rsid w:val="006D1361"/>
    <w:rsid w:val="006D1C83"/>
    <w:rsid w:val="006D20D3"/>
    <w:rsid w:val="006D3C68"/>
    <w:rsid w:val="006D3EC5"/>
    <w:rsid w:val="006D5FA7"/>
    <w:rsid w:val="006D607E"/>
    <w:rsid w:val="006E05FF"/>
    <w:rsid w:val="006E072E"/>
    <w:rsid w:val="006E08EB"/>
    <w:rsid w:val="006E1204"/>
    <w:rsid w:val="006E2699"/>
    <w:rsid w:val="006E3641"/>
    <w:rsid w:val="006E4EC8"/>
    <w:rsid w:val="006E5147"/>
    <w:rsid w:val="006E5797"/>
    <w:rsid w:val="006E6D5A"/>
    <w:rsid w:val="006E72B0"/>
    <w:rsid w:val="006E77C3"/>
    <w:rsid w:val="006E7B5E"/>
    <w:rsid w:val="006F1437"/>
    <w:rsid w:val="006F1F19"/>
    <w:rsid w:val="006F2FB0"/>
    <w:rsid w:val="006F338D"/>
    <w:rsid w:val="006F42A7"/>
    <w:rsid w:val="006F51A1"/>
    <w:rsid w:val="007001E7"/>
    <w:rsid w:val="0070150E"/>
    <w:rsid w:val="00702535"/>
    <w:rsid w:val="00705619"/>
    <w:rsid w:val="0070569C"/>
    <w:rsid w:val="00706B27"/>
    <w:rsid w:val="0070770C"/>
    <w:rsid w:val="00710F87"/>
    <w:rsid w:val="00712160"/>
    <w:rsid w:val="00712597"/>
    <w:rsid w:val="00712A10"/>
    <w:rsid w:val="00713DAD"/>
    <w:rsid w:val="00716211"/>
    <w:rsid w:val="00717E4E"/>
    <w:rsid w:val="0072044D"/>
    <w:rsid w:val="00721215"/>
    <w:rsid w:val="007224F4"/>
    <w:rsid w:val="007232BF"/>
    <w:rsid w:val="007236F6"/>
    <w:rsid w:val="00723784"/>
    <w:rsid w:val="007238A6"/>
    <w:rsid w:val="00725D46"/>
    <w:rsid w:val="0072646F"/>
    <w:rsid w:val="0072765D"/>
    <w:rsid w:val="00730AC8"/>
    <w:rsid w:val="00731CB0"/>
    <w:rsid w:val="00733203"/>
    <w:rsid w:val="0073392E"/>
    <w:rsid w:val="007349F2"/>
    <w:rsid w:val="007376FD"/>
    <w:rsid w:val="00745E0F"/>
    <w:rsid w:val="0075239C"/>
    <w:rsid w:val="00753BD1"/>
    <w:rsid w:val="00756DD7"/>
    <w:rsid w:val="0076339F"/>
    <w:rsid w:val="00763B99"/>
    <w:rsid w:val="00764C1D"/>
    <w:rsid w:val="007656FF"/>
    <w:rsid w:val="00765866"/>
    <w:rsid w:val="007737D7"/>
    <w:rsid w:val="00774D36"/>
    <w:rsid w:val="00775C51"/>
    <w:rsid w:val="00775D76"/>
    <w:rsid w:val="00777E74"/>
    <w:rsid w:val="00780646"/>
    <w:rsid w:val="00781F16"/>
    <w:rsid w:val="0078374E"/>
    <w:rsid w:val="00783D41"/>
    <w:rsid w:val="00784601"/>
    <w:rsid w:val="00785BDE"/>
    <w:rsid w:val="007879E1"/>
    <w:rsid w:val="007915C0"/>
    <w:rsid w:val="00791ECA"/>
    <w:rsid w:val="00794D00"/>
    <w:rsid w:val="00794D63"/>
    <w:rsid w:val="007A3FE5"/>
    <w:rsid w:val="007A4BA1"/>
    <w:rsid w:val="007A6CA8"/>
    <w:rsid w:val="007A73E7"/>
    <w:rsid w:val="007A7F69"/>
    <w:rsid w:val="007B267C"/>
    <w:rsid w:val="007B2B8F"/>
    <w:rsid w:val="007B396F"/>
    <w:rsid w:val="007B3CDB"/>
    <w:rsid w:val="007B4070"/>
    <w:rsid w:val="007B4534"/>
    <w:rsid w:val="007B684D"/>
    <w:rsid w:val="007B748A"/>
    <w:rsid w:val="007B78B8"/>
    <w:rsid w:val="007C029C"/>
    <w:rsid w:val="007C1946"/>
    <w:rsid w:val="007C1B75"/>
    <w:rsid w:val="007C2B69"/>
    <w:rsid w:val="007C419E"/>
    <w:rsid w:val="007C7134"/>
    <w:rsid w:val="007C786A"/>
    <w:rsid w:val="007D1997"/>
    <w:rsid w:val="007D517D"/>
    <w:rsid w:val="007D6664"/>
    <w:rsid w:val="007D73E5"/>
    <w:rsid w:val="007E03ED"/>
    <w:rsid w:val="007E0509"/>
    <w:rsid w:val="007E4086"/>
    <w:rsid w:val="007E43A3"/>
    <w:rsid w:val="007E75E4"/>
    <w:rsid w:val="007E7CA5"/>
    <w:rsid w:val="007F00A9"/>
    <w:rsid w:val="007F120D"/>
    <w:rsid w:val="007F36B4"/>
    <w:rsid w:val="007F374B"/>
    <w:rsid w:val="007F3FC9"/>
    <w:rsid w:val="007F43DE"/>
    <w:rsid w:val="007F6603"/>
    <w:rsid w:val="007F7A68"/>
    <w:rsid w:val="00801014"/>
    <w:rsid w:val="00801EC3"/>
    <w:rsid w:val="00801F1B"/>
    <w:rsid w:val="008023FC"/>
    <w:rsid w:val="00802E63"/>
    <w:rsid w:val="00804A18"/>
    <w:rsid w:val="00805A61"/>
    <w:rsid w:val="008062DE"/>
    <w:rsid w:val="008065A5"/>
    <w:rsid w:val="0080678D"/>
    <w:rsid w:val="0080733A"/>
    <w:rsid w:val="00810C3A"/>
    <w:rsid w:val="00817705"/>
    <w:rsid w:val="00817B4A"/>
    <w:rsid w:val="00821E11"/>
    <w:rsid w:val="00822540"/>
    <w:rsid w:val="00826F96"/>
    <w:rsid w:val="00827A97"/>
    <w:rsid w:val="00830D22"/>
    <w:rsid w:val="00831743"/>
    <w:rsid w:val="00832439"/>
    <w:rsid w:val="00832D41"/>
    <w:rsid w:val="0083310D"/>
    <w:rsid w:val="00834E73"/>
    <w:rsid w:val="008376CD"/>
    <w:rsid w:val="0083781C"/>
    <w:rsid w:val="00837ECE"/>
    <w:rsid w:val="00840641"/>
    <w:rsid w:val="00841AF0"/>
    <w:rsid w:val="00841CB3"/>
    <w:rsid w:val="00844435"/>
    <w:rsid w:val="00844BAE"/>
    <w:rsid w:val="008450B8"/>
    <w:rsid w:val="00845AE7"/>
    <w:rsid w:val="00845B93"/>
    <w:rsid w:val="00845E63"/>
    <w:rsid w:val="00846224"/>
    <w:rsid w:val="00846FF6"/>
    <w:rsid w:val="00850C72"/>
    <w:rsid w:val="00851488"/>
    <w:rsid w:val="0085163D"/>
    <w:rsid w:val="00852584"/>
    <w:rsid w:val="00853F21"/>
    <w:rsid w:val="00854AA7"/>
    <w:rsid w:val="00854DA8"/>
    <w:rsid w:val="00854F23"/>
    <w:rsid w:val="0085586B"/>
    <w:rsid w:val="00860BE9"/>
    <w:rsid w:val="008626C2"/>
    <w:rsid w:val="00862837"/>
    <w:rsid w:val="00864770"/>
    <w:rsid w:val="0086490B"/>
    <w:rsid w:val="00864F11"/>
    <w:rsid w:val="00865135"/>
    <w:rsid w:val="008655A3"/>
    <w:rsid w:val="0086628F"/>
    <w:rsid w:val="008666A3"/>
    <w:rsid w:val="00871B3E"/>
    <w:rsid w:val="008739EF"/>
    <w:rsid w:val="00873BC9"/>
    <w:rsid w:val="008770CE"/>
    <w:rsid w:val="0088077C"/>
    <w:rsid w:val="0088514A"/>
    <w:rsid w:val="0088555E"/>
    <w:rsid w:val="0088638E"/>
    <w:rsid w:val="00891F2F"/>
    <w:rsid w:val="008922F0"/>
    <w:rsid w:val="00892BFF"/>
    <w:rsid w:val="008939DA"/>
    <w:rsid w:val="00894D7B"/>
    <w:rsid w:val="00895A71"/>
    <w:rsid w:val="008A1C49"/>
    <w:rsid w:val="008A365C"/>
    <w:rsid w:val="008A3921"/>
    <w:rsid w:val="008A514E"/>
    <w:rsid w:val="008A5768"/>
    <w:rsid w:val="008A59EA"/>
    <w:rsid w:val="008A636F"/>
    <w:rsid w:val="008A6DC7"/>
    <w:rsid w:val="008B20DA"/>
    <w:rsid w:val="008B30A1"/>
    <w:rsid w:val="008B5715"/>
    <w:rsid w:val="008C099E"/>
    <w:rsid w:val="008C3392"/>
    <w:rsid w:val="008C545E"/>
    <w:rsid w:val="008C5A17"/>
    <w:rsid w:val="008C6845"/>
    <w:rsid w:val="008C7C51"/>
    <w:rsid w:val="008C7E6B"/>
    <w:rsid w:val="008D3AAD"/>
    <w:rsid w:val="008D6EB6"/>
    <w:rsid w:val="008D7BD6"/>
    <w:rsid w:val="008D7CE8"/>
    <w:rsid w:val="008E1683"/>
    <w:rsid w:val="008E19D6"/>
    <w:rsid w:val="008E1FB4"/>
    <w:rsid w:val="008E21C1"/>
    <w:rsid w:val="008E2F0C"/>
    <w:rsid w:val="008E3E09"/>
    <w:rsid w:val="008E475C"/>
    <w:rsid w:val="008E57A5"/>
    <w:rsid w:val="008E5D9C"/>
    <w:rsid w:val="008E68AB"/>
    <w:rsid w:val="008E7140"/>
    <w:rsid w:val="008E7F1A"/>
    <w:rsid w:val="008F0CF7"/>
    <w:rsid w:val="008F128F"/>
    <w:rsid w:val="008F311F"/>
    <w:rsid w:val="008F3B2F"/>
    <w:rsid w:val="008F5110"/>
    <w:rsid w:val="008F5D7B"/>
    <w:rsid w:val="008F5FE7"/>
    <w:rsid w:val="008F722D"/>
    <w:rsid w:val="008F7C58"/>
    <w:rsid w:val="0090133B"/>
    <w:rsid w:val="00901778"/>
    <w:rsid w:val="009022A6"/>
    <w:rsid w:val="009029A4"/>
    <w:rsid w:val="00903634"/>
    <w:rsid w:val="009055B4"/>
    <w:rsid w:val="009068A1"/>
    <w:rsid w:val="00907DB7"/>
    <w:rsid w:val="009126EA"/>
    <w:rsid w:val="00912941"/>
    <w:rsid w:val="00914D36"/>
    <w:rsid w:val="00917784"/>
    <w:rsid w:val="00920D74"/>
    <w:rsid w:val="00921501"/>
    <w:rsid w:val="009239D8"/>
    <w:rsid w:val="009248D5"/>
    <w:rsid w:val="00926AC1"/>
    <w:rsid w:val="009315F1"/>
    <w:rsid w:val="009323DA"/>
    <w:rsid w:val="0093399B"/>
    <w:rsid w:val="009345E6"/>
    <w:rsid w:val="00935580"/>
    <w:rsid w:val="00935CEB"/>
    <w:rsid w:val="00944A74"/>
    <w:rsid w:val="00944DC9"/>
    <w:rsid w:val="00945392"/>
    <w:rsid w:val="00945A19"/>
    <w:rsid w:val="00946579"/>
    <w:rsid w:val="00953A00"/>
    <w:rsid w:val="00955520"/>
    <w:rsid w:val="00955C14"/>
    <w:rsid w:val="00956A05"/>
    <w:rsid w:val="00956A94"/>
    <w:rsid w:val="00960DEC"/>
    <w:rsid w:val="0096201A"/>
    <w:rsid w:val="0096246D"/>
    <w:rsid w:val="00966F30"/>
    <w:rsid w:val="00970203"/>
    <w:rsid w:val="00970707"/>
    <w:rsid w:val="0097421D"/>
    <w:rsid w:val="00974C0D"/>
    <w:rsid w:val="009766FB"/>
    <w:rsid w:val="00976DDB"/>
    <w:rsid w:val="009810CA"/>
    <w:rsid w:val="00981492"/>
    <w:rsid w:val="0098344D"/>
    <w:rsid w:val="009835AF"/>
    <w:rsid w:val="00987081"/>
    <w:rsid w:val="00987928"/>
    <w:rsid w:val="00992745"/>
    <w:rsid w:val="00993B19"/>
    <w:rsid w:val="009949E9"/>
    <w:rsid w:val="00994AE2"/>
    <w:rsid w:val="009956B7"/>
    <w:rsid w:val="0099675B"/>
    <w:rsid w:val="0099766E"/>
    <w:rsid w:val="009A1532"/>
    <w:rsid w:val="009A2797"/>
    <w:rsid w:val="009A2B06"/>
    <w:rsid w:val="009A5707"/>
    <w:rsid w:val="009A7103"/>
    <w:rsid w:val="009B072E"/>
    <w:rsid w:val="009B427E"/>
    <w:rsid w:val="009C2E74"/>
    <w:rsid w:val="009C423C"/>
    <w:rsid w:val="009C751B"/>
    <w:rsid w:val="009D284F"/>
    <w:rsid w:val="009D3083"/>
    <w:rsid w:val="009D3496"/>
    <w:rsid w:val="009D461E"/>
    <w:rsid w:val="009D6D0A"/>
    <w:rsid w:val="009E0495"/>
    <w:rsid w:val="009E0980"/>
    <w:rsid w:val="009E1A37"/>
    <w:rsid w:val="009E6A37"/>
    <w:rsid w:val="009E7CEB"/>
    <w:rsid w:val="009F0124"/>
    <w:rsid w:val="009F0BE5"/>
    <w:rsid w:val="009F2D5B"/>
    <w:rsid w:val="009F459F"/>
    <w:rsid w:val="009F5942"/>
    <w:rsid w:val="00A0039A"/>
    <w:rsid w:val="00A00EE8"/>
    <w:rsid w:val="00A04A07"/>
    <w:rsid w:val="00A04B96"/>
    <w:rsid w:val="00A04D22"/>
    <w:rsid w:val="00A105DF"/>
    <w:rsid w:val="00A12E4C"/>
    <w:rsid w:val="00A15676"/>
    <w:rsid w:val="00A15924"/>
    <w:rsid w:val="00A1653C"/>
    <w:rsid w:val="00A1727F"/>
    <w:rsid w:val="00A2092D"/>
    <w:rsid w:val="00A210DF"/>
    <w:rsid w:val="00A21229"/>
    <w:rsid w:val="00A2237B"/>
    <w:rsid w:val="00A23153"/>
    <w:rsid w:val="00A262E5"/>
    <w:rsid w:val="00A27A2A"/>
    <w:rsid w:val="00A30614"/>
    <w:rsid w:val="00A307D4"/>
    <w:rsid w:val="00A314F2"/>
    <w:rsid w:val="00A31ECD"/>
    <w:rsid w:val="00A33792"/>
    <w:rsid w:val="00A34B74"/>
    <w:rsid w:val="00A36031"/>
    <w:rsid w:val="00A366C5"/>
    <w:rsid w:val="00A3791A"/>
    <w:rsid w:val="00A404F6"/>
    <w:rsid w:val="00A406F2"/>
    <w:rsid w:val="00A40DFB"/>
    <w:rsid w:val="00A42058"/>
    <w:rsid w:val="00A42D36"/>
    <w:rsid w:val="00A447C1"/>
    <w:rsid w:val="00A45D40"/>
    <w:rsid w:val="00A45DE5"/>
    <w:rsid w:val="00A46892"/>
    <w:rsid w:val="00A47151"/>
    <w:rsid w:val="00A47BD3"/>
    <w:rsid w:val="00A5067D"/>
    <w:rsid w:val="00A506F9"/>
    <w:rsid w:val="00A5233B"/>
    <w:rsid w:val="00A528AA"/>
    <w:rsid w:val="00A538FB"/>
    <w:rsid w:val="00A53E8F"/>
    <w:rsid w:val="00A54947"/>
    <w:rsid w:val="00A54E4F"/>
    <w:rsid w:val="00A54F58"/>
    <w:rsid w:val="00A56436"/>
    <w:rsid w:val="00A56BAC"/>
    <w:rsid w:val="00A576C4"/>
    <w:rsid w:val="00A57C0B"/>
    <w:rsid w:val="00A57ED8"/>
    <w:rsid w:val="00A62B32"/>
    <w:rsid w:val="00A62B39"/>
    <w:rsid w:val="00A63A18"/>
    <w:rsid w:val="00A661AB"/>
    <w:rsid w:val="00A67F0E"/>
    <w:rsid w:val="00A70DBA"/>
    <w:rsid w:val="00A719BD"/>
    <w:rsid w:val="00A72D88"/>
    <w:rsid w:val="00A73F2E"/>
    <w:rsid w:val="00A74501"/>
    <w:rsid w:val="00A74510"/>
    <w:rsid w:val="00A74B94"/>
    <w:rsid w:val="00A760B1"/>
    <w:rsid w:val="00A776C1"/>
    <w:rsid w:val="00A802B6"/>
    <w:rsid w:val="00A80416"/>
    <w:rsid w:val="00A830E5"/>
    <w:rsid w:val="00A840B8"/>
    <w:rsid w:val="00A84383"/>
    <w:rsid w:val="00A8481F"/>
    <w:rsid w:val="00A856D0"/>
    <w:rsid w:val="00A925FC"/>
    <w:rsid w:val="00A93E9C"/>
    <w:rsid w:val="00A940A7"/>
    <w:rsid w:val="00A95011"/>
    <w:rsid w:val="00A953B5"/>
    <w:rsid w:val="00A96E78"/>
    <w:rsid w:val="00AA02D3"/>
    <w:rsid w:val="00AA0522"/>
    <w:rsid w:val="00AA2EC4"/>
    <w:rsid w:val="00AA7522"/>
    <w:rsid w:val="00AB0A35"/>
    <w:rsid w:val="00AB2CE9"/>
    <w:rsid w:val="00AB487E"/>
    <w:rsid w:val="00AB608E"/>
    <w:rsid w:val="00AB7775"/>
    <w:rsid w:val="00AC1D1E"/>
    <w:rsid w:val="00AC3E0B"/>
    <w:rsid w:val="00AC48BD"/>
    <w:rsid w:val="00AC5B38"/>
    <w:rsid w:val="00AC6955"/>
    <w:rsid w:val="00AD20FD"/>
    <w:rsid w:val="00AD24BB"/>
    <w:rsid w:val="00AD3524"/>
    <w:rsid w:val="00AD3886"/>
    <w:rsid w:val="00AD4582"/>
    <w:rsid w:val="00AD58DF"/>
    <w:rsid w:val="00AD6552"/>
    <w:rsid w:val="00AD7BDF"/>
    <w:rsid w:val="00AE3283"/>
    <w:rsid w:val="00AE3B26"/>
    <w:rsid w:val="00AE3B56"/>
    <w:rsid w:val="00AE580B"/>
    <w:rsid w:val="00AE7F20"/>
    <w:rsid w:val="00AF0281"/>
    <w:rsid w:val="00AF1B79"/>
    <w:rsid w:val="00AF20E2"/>
    <w:rsid w:val="00AF2BDD"/>
    <w:rsid w:val="00AF3312"/>
    <w:rsid w:val="00AF3DD1"/>
    <w:rsid w:val="00AF666E"/>
    <w:rsid w:val="00B02E12"/>
    <w:rsid w:val="00B03535"/>
    <w:rsid w:val="00B03A3B"/>
    <w:rsid w:val="00B052DA"/>
    <w:rsid w:val="00B0549B"/>
    <w:rsid w:val="00B05C2C"/>
    <w:rsid w:val="00B06249"/>
    <w:rsid w:val="00B06A6C"/>
    <w:rsid w:val="00B076AF"/>
    <w:rsid w:val="00B07AAD"/>
    <w:rsid w:val="00B122F7"/>
    <w:rsid w:val="00B12A96"/>
    <w:rsid w:val="00B1412C"/>
    <w:rsid w:val="00B14911"/>
    <w:rsid w:val="00B14DE4"/>
    <w:rsid w:val="00B1507A"/>
    <w:rsid w:val="00B15D88"/>
    <w:rsid w:val="00B16384"/>
    <w:rsid w:val="00B1701A"/>
    <w:rsid w:val="00B172EF"/>
    <w:rsid w:val="00B20C69"/>
    <w:rsid w:val="00B2103D"/>
    <w:rsid w:val="00B222B3"/>
    <w:rsid w:val="00B2574F"/>
    <w:rsid w:val="00B26BF0"/>
    <w:rsid w:val="00B27459"/>
    <w:rsid w:val="00B3032F"/>
    <w:rsid w:val="00B3418B"/>
    <w:rsid w:val="00B36CDA"/>
    <w:rsid w:val="00B377CD"/>
    <w:rsid w:val="00B37F69"/>
    <w:rsid w:val="00B41946"/>
    <w:rsid w:val="00B43F1E"/>
    <w:rsid w:val="00B463AC"/>
    <w:rsid w:val="00B53C47"/>
    <w:rsid w:val="00B54534"/>
    <w:rsid w:val="00B55D31"/>
    <w:rsid w:val="00B6037A"/>
    <w:rsid w:val="00B6084A"/>
    <w:rsid w:val="00B61CC9"/>
    <w:rsid w:val="00B64908"/>
    <w:rsid w:val="00B72153"/>
    <w:rsid w:val="00B7299A"/>
    <w:rsid w:val="00B7326D"/>
    <w:rsid w:val="00B739DE"/>
    <w:rsid w:val="00B75A47"/>
    <w:rsid w:val="00B75D71"/>
    <w:rsid w:val="00B77C94"/>
    <w:rsid w:val="00B8027C"/>
    <w:rsid w:val="00B80CD2"/>
    <w:rsid w:val="00B81463"/>
    <w:rsid w:val="00B81721"/>
    <w:rsid w:val="00B81ABA"/>
    <w:rsid w:val="00B83584"/>
    <w:rsid w:val="00B84849"/>
    <w:rsid w:val="00B86596"/>
    <w:rsid w:val="00B866AB"/>
    <w:rsid w:val="00B90AE8"/>
    <w:rsid w:val="00B91FCC"/>
    <w:rsid w:val="00B93B97"/>
    <w:rsid w:val="00B941BF"/>
    <w:rsid w:val="00B947B3"/>
    <w:rsid w:val="00B95542"/>
    <w:rsid w:val="00B95845"/>
    <w:rsid w:val="00B96B26"/>
    <w:rsid w:val="00B97025"/>
    <w:rsid w:val="00BA1350"/>
    <w:rsid w:val="00BA1602"/>
    <w:rsid w:val="00BA173C"/>
    <w:rsid w:val="00BA222D"/>
    <w:rsid w:val="00BA26C1"/>
    <w:rsid w:val="00BA35EA"/>
    <w:rsid w:val="00BA3939"/>
    <w:rsid w:val="00BA3C06"/>
    <w:rsid w:val="00BA6622"/>
    <w:rsid w:val="00BA6C86"/>
    <w:rsid w:val="00BB2C9E"/>
    <w:rsid w:val="00BB45B1"/>
    <w:rsid w:val="00BB4AD5"/>
    <w:rsid w:val="00BB6735"/>
    <w:rsid w:val="00BB7746"/>
    <w:rsid w:val="00BC068A"/>
    <w:rsid w:val="00BC1B92"/>
    <w:rsid w:val="00BC36E5"/>
    <w:rsid w:val="00BC390F"/>
    <w:rsid w:val="00BC4F35"/>
    <w:rsid w:val="00BD0AA8"/>
    <w:rsid w:val="00BD0B07"/>
    <w:rsid w:val="00BD10D7"/>
    <w:rsid w:val="00BD2B9A"/>
    <w:rsid w:val="00BD376E"/>
    <w:rsid w:val="00BD4CA7"/>
    <w:rsid w:val="00BD5D39"/>
    <w:rsid w:val="00BD5DF2"/>
    <w:rsid w:val="00BD6EB9"/>
    <w:rsid w:val="00BD7769"/>
    <w:rsid w:val="00BE2C82"/>
    <w:rsid w:val="00BE4C6E"/>
    <w:rsid w:val="00BE60B2"/>
    <w:rsid w:val="00BF053C"/>
    <w:rsid w:val="00BF1D19"/>
    <w:rsid w:val="00BF2A53"/>
    <w:rsid w:val="00BF7203"/>
    <w:rsid w:val="00BF728E"/>
    <w:rsid w:val="00C00015"/>
    <w:rsid w:val="00C01AE3"/>
    <w:rsid w:val="00C027FC"/>
    <w:rsid w:val="00C02E65"/>
    <w:rsid w:val="00C03250"/>
    <w:rsid w:val="00C03BAC"/>
    <w:rsid w:val="00C04C38"/>
    <w:rsid w:val="00C062EE"/>
    <w:rsid w:val="00C06FB0"/>
    <w:rsid w:val="00C11A65"/>
    <w:rsid w:val="00C12932"/>
    <w:rsid w:val="00C12BAA"/>
    <w:rsid w:val="00C13C1F"/>
    <w:rsid w:val="00C141BB"/>
    <w:rsid w:val="00C153EA"/>
    <w:rsid w:val="00C1656C"/>
    <w:rsid w:val="00C16952"/>
    <w:rsid w:val="00C16E60"/>
    <w:rsid w:val="00C1704D"/>
    <w:rsid w:val="00C17EDE"/>
    <w:rsid w:val="00C209AF"/>
    <w:rsid w:val="00C221CD"/>
    <w:rsid w:val="00C22721"/>
    <w:rsid w:val="00C22B77"/>
    <w:rsid w:val="00C2427E"/>
    <w:rsid w:val="00C24DD5"/>
    <w:rsid w:val="00C24F57"/>
    <w:rsid w:val="00C25456"/>
    <w:rsid w:val="00C25DEF"/>
    <w:rsid w:val="00C26600"/>
    <w:rsid w:val="00C271FD"/>
    <w:rsid w:val="00C276E7"/>
    <w:rsid w:val="00C27FC5"/>
    <w:rsid w:val="00C33139"/>
    <w:rsid w:val="00C338D8"/>
    <w:rsid w:val="00C34F91"/>
    <w:rsid w:val="00C36DEB"/>
    <w:rsid w:val="00C37506"/>
    <w:rsid w:val="00C43979"/>
    <w:rsid w:val="00C45EF8"/>
    <w:rsid w:val="00C46B60"/>
    <w:rsid w:val="00C505B1"/>
    <w:rsid w:val="00C5231B"/>
    <w:rsid w:val="00C54067"/>
    <w:rsid w:val="00C561F6"/>
    <w:rsid w:val="00C566E4"/>
    <w:rsid w:val="00C56A4C"/>
    <w:rsid w:val="00C56F00"/>
    <w:rsid w:val="00C57571"/>
    <w:rsid w:val="00C578B2"/>
    <w:rsid w:val="00C60532"/>
    <w:rsid w:val="00C62D4B"/>
    <w:rsid w:val="00C64AB0"/>
    <w:rsid w:val="00C704C1"/>
    <w:rsid w:val="00C70A41"/>
    <w:rsid w:val="00C71092"/>
    <w:rsid w:val="00C71FAC"/>
    <w:rsid w:val="00C80961"/>
    <w:rsid w:val="00C80FCB"/>
    <w:rsid w:val="00C84065"/>
    <w:rsid w:val="00C84281"/>
    <w:rsid w:val="00C85EDA"/>
    <w:rsid w:val="00C85FBD"/>
    <w:rsid w:val="00C862DC"/>
    <w:rsid w:val="00C86FF3"/>
    <w:rsid w:val="00C87107"/>
    <w:rsid w:val="00C8777F"/>
    <w:rsid w:val="00C91217"/>
    <w:rsid w:val="00C927AF"/>
    <w:rsid w:val="00C934AF"/>
    <w:rsid w:val="00C941CF"/>
    <w:rsid w:val="00C94577"/>
    <w:rsid w:val="00C95718"/>
    <w:rsid w:val="00C965FC"/>
    <w:rsid w:val="00C97CEB"/>
    <w:rsid w:val="00CA27C1"/>
    <w:rsid w:val="00CA3002"/>
    <w:rsid w:val="00CA5D92"/>
    <w:rsid w:val="00CA6183"/>
    <w:rsid w:val="00CA6BE0"/>
    <w:rsid w:val="00CA7938"/>
    <w:rsid w:val="00CB1F07"/>
    <w:rsid w:val="00CB2575"/>
    <w:rsid w:val="00CB3C53"/>
    <w:rsid w:val="00CB60E0"/>
    <w:rsid w:val="00CB66C0"/>
    <w:rsid w:val="00CB6E18"/>
    <w:rsid w:val="00CB7DB5"/>
    <w:rsid w:val="00CC2351"/>
    <w:rsid w:val="00CC3AA9"/>
    <w:rsid w:val="00CC49CE"/>
    <w:rsid w:val="00CC5030"/>
    <w:rsid w:val="00CC6ACA"/>
    <w:rsid w:val="00CC73DC"/>
    <w:rsid w:val="00CC7794"/>
    <w:rsid w:val="00CD604A"/>
    <w:rsid w:val="00CD71BA"/>
    <w:rsid w:val="00CD7D70"/>
    <w:rsid w:val="00CE141C"/>
    <w:rsid w:val="00CE30F4"/>
    <w:rsid w:val="00CE34DA"/>
    <w:rsid w:val="00CE38EF"/>
    <w:rsid w:val="00CE5357"/>
    <w:rsid w:val="00CE6961"/>
    <w:rsid w:val="00CE7A25"/>
    <w:rsid w:val="00CF0B7F"/>
    <w:rsid w:val="00CF0FA8"/>
    <w:rsid w:val="00CF0FD8"/>
    <w:rsid w:val="00CF267E"/>
    <w:rsid w:val="00CF2979"/>
    <w:rsid w:val="00CF30AB"/>
    <w:rsid w:val="00CF4AE1"/>
    <w:rsid w:val="00D002AC"/>
    <w:rsid w:val="00D01B47"/>
    <w:rsid w:val="00D02D79"/>
    <w:rsid w:val="00D0468E"/>
    <w:rsid w:val="00D04710"/>
    <w:rsid w:val="00D05179"/>
    <w:rsid w:val="00D05A48"/>
    <w:rsid w:val="00D066DE"/>
    <w:rsid w:val="00D111E3"/>
    <w:rsid w:val="00D12AAA"/>
    <w:rsid w:val="00D13917"/>
    <w:rsid w:val="00D15296"/>
    <w:rsid w:val="00D1555C"/>
    <w:rsid w:val="00D15EB5"/>
    <w:rsid w:val="00D17A55"/>
    <w:rsid w:val="00D2005F"/>
    <w:rsid w:val="00D220FF"/>
    <w:rsid w:val="00D22130"/>
    <w:rsid w:val="00D2280B"/>
    <w:rsid w:val="00D23D33"/>
    <w:rsid w:val="00D25865"/>
    <w:rsid w:val="00D2616A"/>
    <w:rsid w:val="00D30951"/>
    <w:rsid w:val="00D31220"/>
    <w:rsid w:val="00D32B6A"/>
    <w:rsid w:val="00D34F11"/>
    <w:rsid w:val="00D3535E"/>
    <w:rsid w:val="00D37B3C"/>
    <w:rsid w:val="00D40F1F"/>
    <w:rsid w:val="00D41E47"/>
    <w:rsid w:val="00D41F10"/>
    <w:rsid w:val="00D42191"/>
    <w:rsid w:val="00D42817"/>
    <w:rsid w:val="00D42E8E"/>
    <w:rsid w:val="00D45439"/>
    <w:rsid w:val="00D45F55"/>
    <w:rsid w:val="00D473DD"/>
    <w:rsid w:val="00D51E46"/>
    <w:rsid w:val="00D53221"/>
    <w:rsid w:val="00D533FB"/>
    <w:rsid w:val="00D54F2D"/>
    <w:rsid w:val="00D55BE2"/>
    <w:rsid w:val="00D561D4"/>
    <w:rsid w:val="00D607B9"/>
    <w:rsid w:val="00D617D7"/>
    <w:rsid w:val="00D63596"/>
    <w:rsid w:val="00D63EDA"/>
    <w:rsid w:val="00D64067"/>
    <w:rsid w:val="00D64ABE"/>
    <w:rsid w:val="00D71094"/>
    <w:rsid w:val="00D7227B"/>
    <w:rsid w:val="00D72CFE"/>
    <w:rsid w:val="00D72E97"/>
    <w:rsid w:val="00D740D4"/>
    <w:rsid w:val="00D7422A"/>
    <w:rsid w:val="00D744D4"/>
    <w:rsid w:val="00D749AF"/>
    <w:rsid w:val="00D76182"/>
    <w:rsid w:val="00D762EB"/>
    <w:rsid w:val="00D76CB7"/>
    <w:rsid w:val="00D7770E"/>
    <w:rsid w:val="00D77A75"/>
    <w:rsid w:val="00D808FE"/>
    <w:rsid w:val="00D80CDC"/>
    <w:rsid w:val="00D810A9"/>
    <w:rsid w:val="00D81805"/>
    <w:rsid w:val="00D81EDA"/>
    <w:rsid w:val="00D83BBD"/>
    <w:rsid w:val="00D84BEE"/>
    <w:rsid w:val="00D8669A"/>
    <w:rsid w:val="00D87C15"/>
    <w:rsid w:val="00D9170A"/>
    <w:rsid w:val="00D93816"/>
    <w:rsid w:val="00D93FF2"/>
    <w:rsid w:val="00D9475E"/>
    <w:rsid w:val="00D96EA3"/>
    <w:rsid w:val="00D97C8B"/>
    <w:rsid w:val="00DA186B"/>
    <w:rsid w:val="00DA2F5F"/>
    <w:rsid w:val="00DA3890"/>
    <w:rsid w:val="00DA4750"/>
    <w:rsid w:val="00DA485E"/>
    <w:rsid w:val="00DA4EAD"/>
    <w:rsid w:val="00DA50F8"/>
    <w:rsid w:val="00DA530A"/>
    <w:rsid w:val="00DA5C01"/>
    <w:rsid w:val="00DA660C"/>
    <w:rsid w:val="00DA7AF4"/>
    <w:rsid w:val="00DA7CED"/>
    <w:rsid w:val="00DB040B"/>
    <w:rsid w:val="00DB0730"/>
    <w:rsid w:val="00DB24B8"/>
    <w:rsid w:val="00DB43A5"/>
    <w:rsid w:val="00DB6C0C"/>
    <w:rsid w:val="00DC0B4C"/>
    <w:rsid w:val="00DC1266"/>
    <w:rsid w:val="00DC14A1"/>
    <w:rsid w:val="00DC2A2A"/>
    <w:rsid w:val="00DC2C77"/>
    <w:rsid w:val="00DC4EFB"/>
    <w:rsid w:val="00DC6637"/>
    <w:rsid w:val="00DD2A49"/>
    <w:rsid w:val="00DD3F28"/>
    <w:rsid w:val="00DD5C4C"/>
    <w:rsid w:val="00DD7AA7"/>
    <w:rsid w:val="00DE2B11"/>
    <w:rsid w:val="00DE5175"/>
    <w:rsid w:val="00DE6D9B"/>
    <w:rsid w:val="00DE6E6F"/>
    <w:rsid w:val="00DF4EBD"/>
    <w:rsid w:val="00DF5739"/>
    <w:rsid w:val="00DF66B0"/>
    <w:rsid w:val="00DF6B41"/>
    <w:rsid w:val="00DF6C31"/>
    <w:rsid w:val="00DF6CAD"/>
    <w:rsid w:val="00E00AF1"/>
    <w:rsid w:val="00E0122F"/>
    <w:rsid w:val="00E04521"/>
    <w:rsid w:val="00E05919"/>
    <w:rsid w:val="00E0731C"/>
    <w:rsid w:val="00E1138E"/>
    <w:rsid w:val="00E1261E"/>
    <w:rsid w:val="00E1393B"/>
    <w:rsid w:val="00E13CC9"/>
    <w:rsid w:val="00E17E85"/>
    <w:rsid w:val="00E22F16"/>
    <w:rsid w:val="00E254B2"/>
    <w:rsid w:val="00E25B29"/>
    <w:rsid w:val="00E2677D"/>
    <w:rsid w:val="00E27B50"/>
    <w:rsid w:val="00E318A9"/>
    <w:rsid w:val="00E32E1F"/>
    <w:rsid w:val="00E33603"/>
    <w:rsid w:val="00E36B06"/>
    <w:rsid w:val="00E36D08"/>
    <w:rsid w:val="00E374A7"/>
    <w:rsid w:val="00E40CAF"/>
    <w:rsid w:val="00E416A2"/>
    <w:rsid w:val="00E41D31"/>
    <w:rsid w:val="00E4409F"/>
    <w:rsid w:val="00E44586"/>
    <w:rsid w:val="00E4574E"/>
    <w:rsid w:val="00E45B93"/>
    <w:rsid w:val="00E516CB"/>
    <w:rsid w:val="00E5387F"/>
    <w:rsid w:val="00E540AF"/>
    <w:rsid w:val="00E541A1"/>
    <w:rsid w:val="00E54270"/>
    <w:rsid w:val="00E560C0"/>
    <w:rsid w:val="00E5774C"/>
    <w:rsid w:val="00E652AE"/>
    <w:rsid w:val="00E65F77"/>
    <w:rsid w:val="00E730D1"/>
    <w:rsid w:val="00E73E53"/>
    <w:rsid w:val="00E74084"/>
    <w:rsid w:val="00E7476D"/>
    <w:rsid w:val="00E7527E"/>
    <w:rsid w:val="00E76DEB"/>
    <w:rsid w:val="00E82244"/>
    <w:rsid w:val="00E840B6"/>
    <w:rsid w:val="00E844AA"/>
    <w:rsid w:val="00E85907"/>
    <w:rsid w:val="00E860DA"/>
    <w:rsid w:val="00E8695A"/>
    <w:rsid w:val="00E87A74"/>
    <w:rsid w:val="00E90279"/>
    <w:rsid w:val="00E90765"/>
    <w:rsid w:val="00E9578F"/>
    <w:rsid w:val="00E9672A"/>
    <w:rsid w:val="00EA1DF9"/>
    <w:rsid w:val="00EA297F"/>
    <w:rsid w:val="00EA38E6"/>
    <w:rsid w:val="00EA4AB2"/>
    <w:rsid w:val="00EA6AA8"/>
    <w:rsid w:val="00EA7A6E"/>
    <w:rsid w:val="00EA7DD6"/>
    <w:rsid w:val="00EB65A5"/>
    <w:rsid w:val="00EB6DDD"/>
    <w:rsid w:val="00EB7488"/>
    <w:rsid w:val="00EC07A1"/>
    <w:rsid w:val="00EC1CA5"/>
    <w:rsid w:val="00EC4216"/>
    <w:rsid w:val="00EC4CF9"/>
    <w:rsid w:val="00EC5D07"/>
    <w:rsid w:val="00ED0708"/>
    <w:rsid w:val="00ED1EB4"/>
    <w:rsid w:val="00EE0BC4"/>
    <w:rsid w:val="00EE18C4"/>
    <w:rsid w:val="00EE1A4E"/>
    <w:rsid w:val="00EE26C8"/>
    <w:rsid w:val="00EE29D7"/>
    <w:rsid w:val="00EE3DAF"/>
    <w:rsid w:val="00EE6519"/>
    <w:rsid w:val="00EE6783"/>
    <w:rsid w:val="00EF0515"/>
    <w:rsid w:val="00EF1E92"/>
    <w:rsid w:val="00EF1E93"/>
    <w:rsid w:val="00EF509E"/>
    <w:rsid w:val="00EF7E5B"/>
    <w:rsid w:val="00F00054"/>
    <w:rsid w:val="00F00B57"/>
    <w:rsid w:val="00F01D8A"/>
    <w:rsid w:val="00F02698"/>
    <w:rsid w:val="00F03777"/>
    <w:rsid w:val="00F048C3"/>
    <w:rsid w:val="00F06DA7"/>
    <w:rsid w:val="00F12623"/>
    <w:rsid w:val="00F12BED"/>
    <w:rsid w:val="00F13464"/>
    <w:rsid w:val="00F135D5"/>
    <w:rsid w:val="00F1382D"/>
    <w:rsid w:val="00F13A46"/>
    <w:rsid w:val="00F1784E"/>
    <w:rsid w:val="00F21248"/>
    <w:rsid w:val="00F21959"/>
    <w:rsid w:val="00F23665"/>
    <w:rsid w:val="00F2473C"/>
    <w:rsid w:val="00F254AD"/>
    <w:rsid w:val="00F25AF5"/>
    <w:rsid w:val="00F269DC"/>
    <w:rsid w:val="00F33337"/>
    <w:rsid w:val="00F33C1A"/>
    <w:rsid w:val="00F35B1D"/>
    <w:rsid w:val="00F44924"/>
    <w:rsid w:val="00F44B3C"/>
    <w:rsid w:val="00F45A22"/>
    <w:rsid w:val="00F4632B"/>
    <w:rsid w:val="00F527EE"/>
    <w:rsid w:val="00F52B01"/>
    <w:rsid w:val="00F53A34"/>
    <w:rsid w:val="00F53C13"/>
    <w:rsid w:val="00F53EEC"/>
    <w:rsid w:val="00F543C4"/>
    <w:rsid w:val="00F57DFB"/>
    <w:rsid w:val="00F57FC0"/>
    <w:rsid w:val="00F60B4F"/>
    <w:rsid w:val="00F613C6"/>
    <w:rsid w:val="00F64B4D"/>
    <w:rsid w:val="00F659F8"/>
    <w:rsid w:val="00F66082"/>
    <w:rsid w:val="00F67992"/>
    <w:rsid w:val="00F70294"/>
    <w:rsid w:val="00F70310"/>
    <w:rsid w:val="00F712AF"/>
    <w:rsid w:val="00F712B1"/>
    <w:rsid w:val="00F7184C"/>
    <w:rsid w:val="00F72209"/>
    <w:rsid w:val="00F74B7D"/>
    <w:rsid w:val="00F74E6A"/>
    <w:rsid w:val="00F75C62"/>
    <w:rsid w:val="00F75D84"/>
    <w:rsid w:val="00F76FA1"/>
    <w:rsid w:val="00F81B08"/>
    <w:rsid w:val="00F851A9"/>
    <w:rsid w:val="00F861BF"/>
    <w:rsid w:val="00F865A0"/>
    <w:rsid w:val="00F87936"/>
    <w:rsid w:val="00F90F80"/>
    <w:rsid w:val="00F91587"/>
    <w:rsid w:val="00F91A38"/>
    <w:rsid w:val="00F9332E"/>
    <w:rsid w:val="00F94D3F"/>
    <w:rsid w:val="00F955DE"/>
    <w:rsid w:val="00F956F8"/>
    <w:rsid w:val="00F96744"/>
    <w:rsid w:val="00F9706C"/>
    <w:rsid w:val="00F973FB"/>
    <w:rsid w:val="00FA0343"/>
    <w:rsid w:val="00FA0652"/>
    <w:rsid w:val="00FA2213"/>
    <w:rsid w:val="00FA6587"/>
    <w:rsid w:val="00FA7256"/>
    <w:rsid w:val="00FA7402"/>
    <w:rsid w:val="00FA797E"/>
    <w:rsid w:val="00FB1922"/>
    <w:rsid w:val="00FB49F0"/>
    <w:rsid w:val="00FB562E"/>
    <w:rsid w:val="00FB702B"/>
    <w:rsid w:val="00FB759D"/>
    <w:rsid w:val="00FB78B2"/>
    <w:rsid w:val="00FB7F2E"/>
    <w:rsid w:val="00FC2D91"/>
    <w:rsid w:val="00FC56C7"/>
    <w:rsid w:val="00FC6078"/>
    <w:rsid w:val="00FC743B"/>
    <w:rsid w:val="00FD35E9"/>
    <w:rsid w:val="00FD43DF"/>
    <w:rsid w:val="00FD4CD0"/>
    <w:rsid w:val="00FD757C"/>
    <w:rsid w:val="00FE02F2"/>
    <w:rsid w:val="00FE0EA4"/>
    <w:rsid w:val="00FE1ABD"/>
    <w:rsid w:val="00FE3334"/>
    <w:rsid w:val="00FE335D"/>
    <w:rsid w:val="00FE4CC1"/>
    <w:rsid w:val="00FE6355"/>
    <w:rsid w:val="00FE6CAB"/>
    <w:rsid w:val="00FE7293"/>
    <w:rsid w:val="00FE7A85"/>
    <w:rsid w:val="00FF0462"/>
    <w:rsid w:val="00FF1643"/>
    <w:rsid w:val="00FF1BE1"/>
    <w:rsid w:val="00FF35C1"/>
    <w:rsid w:val="00FF3695"/>
    <w:rsid w:val="00FF3933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8D968F"/>
  <w15:chartTrackingRefBased/>
  <w15:docId w15:val="{BC05CDF5-4DDD-4647-8EE9-F096EB82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8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38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3890"/>
  </w:style>
  <w:style w:type="paragraph" w:styleId="Piedepgina">
    <w:name w:val="footer"/>
    <w:basedOn w:val="Normal"/>
    <w:link w:val="PiedepginaCar"/>
    <w:uiPriority w:val="99"/>
    <w:unhideWhenUsed/>
    <w:rsid w:val="00DA38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3890"/>
  </w:style>
  <w:style w:type="paragraph" w:styleId="Textonotapie">
    <w:name w:val="footnote text"/>
    <w:basedOn w:val="Normal"/>
    <w:link w:val="TextonotapieCar"/>
    <w:uiPriority w:val="99"/>
    <w:semiHidden/>
    <w:unhideWhenUsed/>
    <w:rsid w:val="00DA389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A389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3890"/>
    <w:rPr>
      <w:vertAlign w:val="superscript"/>
    </w:rPr>
  </w:style>
  <w:style w:type="paragraph" w:styleId="Prrafodelista">
    <w:name w:val="List Paragraph"/>
    <w:basedOn w:val="Normal"/>
    <w:uiPriority w:val="34"/>
    <w:qFormat/>
    <w:rsid w:val="00DA389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A38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A38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A3890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890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7A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7A68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unhideWhenUsed/>
    <w:rsid w:val="007F7A6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7F7A68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F7A6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F7A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C14A9"/>
    <w:rPr>
      <w:color w:val="605E5C"/>
      <w:shd w:val="clear" w:color="auto" w:fill="E1DFDD"/>
    </w:rPr>
  </w:style>
  <w:style w:type="character" w:styleId="Refdenotaalfinal">
    <w:name w:val="endnote reference"/>
    <w:basedOn w:val="Fuentedeprrafopredeter"/>
    <w:uiPriority w:val="99"/>
    <w:semiHidden/>
    <w:unhideWhenUsed/>
    <w:rsid w:val="008922F0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571556"/>
    <w:pPr>
      <w:autoSpaceDE w:val="0"/>
      <w:autoSpaceDN w:val="0"/>
      <w:adjustRightInd w:val="0"/>
      <w:spacing w:after="0" w:line="171" w:lineRule="atLeast"/>
    </w:pPr>
    <w:rPr>
      <w:rFonts w:ascii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DC2C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twitter.com/INEGI_INFORMA" TargetMode="External"/><Relationship Id="rId26" Type="http://schemas.openxmlformats.org/officeDocument/2006/relationships/chart" Target="charts/chart2.xm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jpeg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inegi_informa/" TargetMode="External"/><Relationship Id="rId20" Type="http://schemas.openxmlformats.org/officeDocument/2006/relationships/hyperlink" Target="https://www.youtube.com/user/INEGIInforma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image" Target="media/image6.png"/><Relationship Id="rId28" Type="http://schemas.openxmlformats.org/officeDocument/2006/relationships/chart" Target="charts/chart4.xm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INEGIInforma/" TargetMode="External"/><Relationship Id="rId22" Type="http://schemas.openxmlformats.org/officeDocument/2006/relationships/hyperlink" Target="http://www.inegi.org.mx/" TargetMode="External"/><Relationship Id="rId27" Type="http://schemas.openxmlformats.org/officeDocument/2006/relationships/chart" Target="charts/chart3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l\csvm\Cuenta2019\Presentaciones\CSVM_Gr&#225;ficos%202018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INEGI_MDC\Publicaciones\Publicaci&#243;n%202018\CSVM_Gr&#225;ficos%202018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D:\Al\csvm\Cuenta2019\Presentaciones\CSVM_Gr&#225;ficos%202018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D:\Al\csvm\Cuenta2019\Presentaciones\CSVM_Gr&#225;ficos%202018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819810042887065E-2"/>
          <c:y val="0.24335377343470632"/>
          <c:w val="0.87434710783663527"/>
          <c:h val="0.447089592069724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Part_pib_viv_serie!$A$7</c:f>
              <c:strCache>
                <c:ptCount val="1"/>
                <c:pt idx="0">
                  <c:v>PIB sector vivienda</c:v>
                </c:pt>
              </c:strCache>
            </c:strRef>
          </c:tx>
          <c:spPr>
            <a:solidFill>
              <a:srgbClr val="FF6600"/>
            </a:solidFill>
            <a:ln>
              <a:solidFill>
                <a:srgbClr val="FF66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Part_pib_viv_serie!$B$10:$L$10</c:f>
              <c:strCach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2017P </c:v>
                </c:pt>
                <c:pt idx="10">
                  <c:v>2018</c:v>
                </c:pt>
              </c:strCache>
            </c:strRef>
          </c:cat>
          <c:val>
            <c:numRef>
              <c:f>Part_pib_viv_serie!$B$16:$L$16</c:f>
              <c:numCache>
                <c:formatCode>_-* #\ ##0_-;\-* #\ ##0_-;_-* "-"??_-;_-@_-</c:formatCode>
                <c:ptCount val="11"/>
                <c:pt idx="0">
                  <c:v>788.59342099999992</c:v>
                </c:pt>
                <c:pt idx="1">
                  <c:v>755.57457399999998</c:v>
                </c:pt>
                <c:pt idx="2">
                  <c:v>784.14022499999999</c:v>
                </c:pt>
                <c:pt idx="3">
                  <c:v>861.11271599999998</c:v>
                </c:pt>
                <c:pt idx="4">
                  <c:v>915.13353599999994</c:v>
                </c:pt>
                <c:pt idx="5">
                  <c:v>892.02500899999995</c:v>
                </c:pt>
                <c:pt idx="6">
                  <c:v>955.91930000000002</c:v>
                </c:pt>
                <c:pt idx="7">
                  <c:v>1019.6926920000001</c:v>
                </c:pt>
                <c:pt idx="8">
                  <c:v>1130.0301680000002</c:v>
                </c:pt>
                <c:pt idx="9">
                  <c:v>1236.0495940000001</c:v>
                </c:pt>
                <c:pt idx="10">
                  <c:v>1327.0197319999997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2B-4200-84A5-7DCECD6F4D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"/>
        <c:axId val="255290656"/>
        <c:axId val="255291048"/>
      </c:barChart>
      <c:lineChart>
        <c:grouping val="standard"/>
        <c:varyColors val="0"/>
        <c:ser>
          <c:idx val="1"/>
          <c:order val="1"/>
          <c:tx>
            <c:strRef>
              <c:f>Part_pib_viv_serie!$A$12</c:f>
              <c:strCache>
                <c:ptCount val="1"/>
                <c:pt idx="0">
                  <c:v>Participación</c:v>
                </c:pt>
              </c:strCache>
            </c:strRef>
          </c:tx>
          <c:spPr>
            <a:ln w="28575" cap="rnd">
              <a:solidFill>
                <a:srgbClr val="008080"/>
              </a:solidFill>
              <a:prstDash val="sysDot"/>
              <a:round/>
            </a:ln>
            <a:effectLst/>
          </c:spPr>
          <c:marker>
            <c:symbol val="diamond"/>
            <c:size val="8"/>
            <c:spPr>
              <a:solidFill>
                <a:srgbClr val="008080"/>
              </a:solidFill>
              <a:ln w="9525">
                <a:solidFill>
                  <a:srgbClr val="008080"/>
                </a:solidFill>
                <a:prstDash val="sysDot"/>
              </a:ln>
              <a:effectLst/>
            </c:spPr>
          </c:marker>
          <c:dLbls>
            <c:dLbl>
              <c:idx val="9"/>
              <c:layout>
                <c:manualLayout>
                  <c:x val="-3.8463331803894822E-2"/>
                  <c:y val="-2.75022305762747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C2B-4200-84A5-7DCECD6F4D75}"/>
                </c:ext>
              </c:extLst>
            </c:dLbl>
            <c:dLbl>
              <c:idx val="10"/>
              <c:layout>
                <c:manualLayout>
                  <c:x val="-3.6646885036941093E-2"/>
                  <c:y val="-3.453159005218330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C2B-4200-84A5-7DCECD6F4D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rgbClr val="00808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Part_pib_viv_serie!$B$12:$L$12</c:f>
              <c:numCache>
                <c:formatCode>_-* #\ ##0.0_-;\-* #\ ##0.0_-;_-* "-"??_-;_-@_-</c:formatCode>
                <c:ptCount val="11"/>
                <c:pt idx="0">
                  <c:v>6.5511671241765752</c:v>
                </c:pt>
                <c:pt idx="1">
                  <c:v>6.4806618608007946</c:v>
                </c:pt>
                <c:pt idx="2">
                  <c:v>6.114525109461395</c:v>
                </c:pt>
                <c:pt idx="3">
                  <c:v>6.0809833305748695</c:v>
                </c:pt>
                <c:pt idx="4">
                  <c:v>5.9676370038786422</c:v>
                </c:pt>
                <c:pt idx="5">
                  <c:v>5.702529485718637</c:v>
                </c:pt>
                <c:pt idx="6">
                  <c:v>5.7691511854325102</c:v>
                </c:pt>
                <c:pt idx="7">
                  <c:v>5.8340282049522978</c:v>
                </c:pt>
                <c:pt idx="8">
                  <c:v>5.9917609208860352</c:v>
                </c:pt>
                <c:pt idx="9">
                  <c:v>5.9713146786384721</c:v>
                </c:pt>
                <c:pt idx="10">
                  <c:v>5.9799465210321188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4C2B-4200-84A5-7DCECD6F4D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7447648"/>
        <c:axId val="255291832"/>
      </c:lineChart>
      <c:catAx>
        <c:axId val="255290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accent3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55291048"/>
        <c:crosses val="autoZero"/>
        <c:auto val="1"/>
        <c:lblAlgn val="ctr"/>
        <c:lblOffset val="100"/>
        <c:noMultiLvlLbl val="0"/>
      </c:catAx>
      <c:valAx>
        <c:axId val="255291048"/>
        <c:scaling>
          <c:orientation val="minMax"/>
          <c:max val="1300"/>
        </c:scaling>
        <c:delete val="0"/>
        <c:axPos val="l"/>
        <c:numFmt formatCode="_-* #\ ##0_-;\-* #\ ##0_-;_-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55290656"/>
        <c:crosses val="autoZero"/>
        <c:crossBetween val="between"/>
      </c:valAx>
      <c:valAx>
        <c:axId val="255291832"/>
        <c:scaling>
          <c:orientation val="minMax"/>
          <c:max val="7"/>
        </c:scaling>
        <c:delete val="0"/>
        <c:axPos val="r"/>
        <c:numFmt formatCode="_-* #\ ##0.0_-;\-* #\ ##0.0_-;_-* &quot;-&quot;??_-;_-@_-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37447648"/>
        <c:crosses val="max"/>
        <c:crossBetween val="between"/>
      </c:valAx>
      <c:catAx>
        <c:axId val="337447648"/>
        <c:scaling>
          <c:orientation val="minMax"/>
        </c:scaling>
        <c:delete val="1"/>
        <c:axPos val="b"/>
        <c:majorTickMark val="out"/>
        <c:minorTickMark val="none"/>
        <c:tickLblPos val="nextTo"/>
        <c:crossAx val="2552918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433432231946807"/>
          <c:y val="0.77818108958392829"/>
          <c:w val="0.48148782017613867"/>
          <c:h val="5.95454117325416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FF6600"/>
      </a:solidFill>
      <a:round/>
    </a:ln>
    <a:effectLst>
      <a:outerShdw blurRad="50800" dist="38100" dir="8100000" algn="tr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601422402844806E-2"/>
          <c:y val="0.25197990489395272"/>
          <c:w val="0.92013919227838459"/>
          <c:h val="0.38487313677102836"/>
        </c:manualLayout>
      </c:layout>
      <c:lineChart>
        <c:grouping val="standard"/>
        <c:varyColors val="0"/>
        <c:ser>
          <c:idx val="0"/>
          <c:order val="0"/>
          <c:tx>
            <c:strRef>
              <c:f>Var_nacional!$B$11</c:f>
              <c:strCache>
                <c:ptCount val="1"/>
                <c:pt idx="0">
                  <c:v>Variación PIB Vivienda</c:v>
                </c:pt>
              </c:strCache>
            </c:strRef>
          </c:tx>
          <c:spPr>
            <a:ln w="12700">
              <a:solidFill>
                <a:srgbClr val="E46C0A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E46C0A"/>
              </a:solidFill>
              <a:ln w="12700">
                <a:solidFill>
                  <a:srgbClr val="E46C0A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8509674579883216E-3"/>
                  <c:y val="3.52567869314843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840-4C4C-86E6-2395A04DA263}"/>
                </c:ext>
              </c:extLst>
            </c:dLbl>
            <c:dLbl>
              <c:idx val="1"/>
              <c:layout>
                <c:manualLayout>
                  <c:x val="-5.3989582714674264E-3"/>
                  <c:y val="-4.9266021312713564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840-4C4C-86E6-2395A04DA263}"/>
                </c:ext>
              </c:extLst>
            </c:dLbl>
            <c:dLbl>
              <c:idx val="2"/>
              <c:layout>
                <c:manualLayout>
                  <c:x val="-4.3541186583045365E-2"/>
                  <c:y val="-4.18622303277992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840-4C4C-86E6-2395A04DA263}"/>
                </c:ext>
              </c:extLst>
            </c:dLbl>
            <c:dLbl>
              <c:idx val="3"/>
              <c:layout>
                <c:manualLayout>
                  <c:x val="-5.3489415976741214E-2"/>
                  <c:y val="3.2789474592827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840-4C4C-86E6-2395A04DA263}"/>
                </c:ext>
              </c:extLst>
            </c:dLbl>
            <c:dLbl>
              <c:idx val="4"/>
              <c:layout>
                <c:manualLayout>
                  <c:x val="-5.0253601477553908E-2"/>
                  <c:y val="4.75494826201350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840-4C4C-86E6-2395A04DA263}"/>
                </c:ext>
              </c:extLst>
            </c:dLbl>
            <c:dLbl>
              <c:idx val="5"/>
              <c:layout>
                <c:manualLayout>
                  <c:x val="-5.1331941011197091E-2"/>
                  <c:y val="-2.19733669743989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840-4C4C-86E6-2395A04DA263}"/>
                </c:ext>
              </c:extLst>
            </c:dLbl>
            <c:dLbl>
              <c:idx val="6"/>
              <c:layout>
                <c:manualLayout>
                  <c:x val="-2.981642967344654E-2"/>
                  <c:y val="-3.37911589638740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840-4C4C-86E6-2395A04DA263}"/>
                </c:ext>
              </c:extLst>
            </c:dLbl>
            <c:dLbl>
              <c:idx val="7"/>
              <c:layout>
                <c:manualLayout>
                  <c:x val="-1.4710027641028445E-3"/>
                  <c:y val="-1.82624610463487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840-4C4C-86E6-2395A04DA263}"/>
                </c:ext>
              </c:extLst>
            </c:dLbl>
            <c:dLbl>
              <c:idx val="8"/>
              <c:layout>
                <c:manualLayout>
                  <c:x val="-5.3190856234620533E-2"/>
                  <c:y val="3.49438056299521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840-4C4C-86E6-2395A04DA263}"/>
                </c:ext>
              </c:extLst>
            </c:dLbl>
            <c:dLbl>
              <c:idx val="9"/>
              <c:layout>
                <c:manualLayout>
                  <c:x val="-1.1953552073296547E-5"/>
                  <c:y val="-3.763233479456558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840-4C4C-86E6-2395A04DA263}"/>
                </c:ext>
              </c:extLst>
            </c:dLbl>
            <c:numFmt formatCode="_-* #,##0.0_-;\-* #,##0.0_-;_-* &quot;-&quot;??_-;_-@_-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solidFill>
                      <a:srgbClr val="FF6600"/>
                    </a:solidFill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Var_nacional!$D$8:$M$8</c:f>
              <c:strCach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2017P</c:v>
                </c:pt>
                <c:pt idx="9">
                  <c:v>2018</c:v>
                </c:pt>
              </c:strCache>
            </c:strRef>
          </c:cat>
          <c:val>
            <c:numRef>
              <c:f>Var_nacional!$D$11:$M$11</c:f>
              <c:numCache>
                <c:formatCode>_-* #\ ##0.0_-;\-* #\ ##0.0_-;_-* "-"??_-;_-@_-</c:formatCode>
                <c:ptCount val="10"/>
                <c:pt idx="0">
                  <c:v>-6.3849470879800752</c:v>
                </c:pt>
                <c:pt idx="1">
                  <c:v>1.1562716917113196</c:v>
                </c:pt>
                <c:pt idx="2">
                  <c:v>3.9956658771500475</c:v>
                </c:pt>
                <c:pt idx="3">
                  <c:v>2.9850784081079569</c:v>
                </c:pt>
                <c:pt idx="4">
                  <c:v>-2.7313386643941513</c:v>
                </c:pt>
                <c:pt idx="5">
                  <c:v>4.4478887574504862</c:v>
                </c:pt>
                <c:pt idx="6">
                  <c:v>4.384681718272657</c:v>
                </c:pt>
                <c:pt idx="7">
                  <c:v>4.4467526386979817</c:v>
                </c:pt>
                <c:pt idx="8">
                  <c:v>1.8110702425862621</c:v>
                </c:pt>
                <c:pt idx="9">
                  <c:v>1.1383067506823019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14-2840-4C4C-86E6-2395A04DA26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37445296"/>
        <c:axId val="337440592"/>
      </c:lineChart>
      <c:valAx>
        <c:axId val="337440592"/>
        <c:scaling>
          <c:orientation val="minMax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vert="horz"/>
          <a:lstStyle/>
          <a:p>
            <a:pPr>
              <a:defRPr/>
            </a:pPr>
            <a:endParaRPr lang="es-MX"/>
          </a:p>
        </c:txPr>
        <c:crossAx val="337445296"/>
        <c:crosses val="autoZero"/>
        <c:crossBetween val="between"/>
      </c:valAx>
      <c:catAx>
        <c:axId val="337445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s-MX"/>
          </a:p>
        </c:txPr>
        <c:crossAx val="337440592"/>
        <c:crosses val="autoZero"/>
        <c:auto val="1"/>
        <c:lblAlgn val="ctr"/>
        <c:lblOffset val="100"/>
        <c:noMultiLvlLbl val="0"/>
      </c:catAx>
      <c:spPr>
        <a:noFill/>
        <a:ln w="9525" cmpd="sng">
          <a:noFill/>
        </a:ln>
        <a:effectLst/>
      </c:spPr>
    </c:plotArea>
    <c:legend>
      <c:legendPos val="b"/>
      <c:layout>
        <c:manualLayout>
          <c:xMode val="edge"/>
          <c:yMode val="edge"/>
          <c:x val="0.14060912978275614"/>
          <c:y val="0.74383042731522164"/>
          <c:w val="0.76078927634046012"/>
          <c:h val="0.10654575878047012"/>
        </c:manualLayout>
      </c:layout>
      <c:overlay val="0"/>
      <c:txPr>
        <a:bodyPr/>
        <a:lstStyle/>
        <a:p>
          <a:pPr>
            <a:defRPr sz="1050"/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rnd" cmpd="sng" algn="ctr">
      <a:solidFill>
        <a:srgbClr val="E46C0A"/>
      </a:solidFill>
      <a:round/>
    </a:ln>
    <a:effectLst>
      <a:outerShdw blurRad="50800" dist="38100" dir="8100000" algn="tr" rotWithShape="0">
        <a:prstClr val="black">
          <a:alpha val="40000"/>
        </a:prstClr>
      </a:outerShdw>
    </a:effectLst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700723875832586"/>
          <c:y val="0.20126897992102674"/>
          <c:w val="0.35983025785898892"/>
          <c:h val="0.67921849826408576"/>
        </c:manualLayout>
      </c:layout>
      <c:doughnutChart>
        <c:varyColors val="1"/>
        <c:ser>
          <c:idx val="0"/>
          <c:order val="0"/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0" h="0"/>
            </a:sp3d>
          </c:spPr>
          <c:explosion val="11"/>
          <c:dPt>
            <c:idx val="0"/>
            <c:bubble3D val="0"/>
            <c:spPr>
              <a:solidFill>
                <a:srgbClr val="F79646"/>
              </a:solidFill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0" h="0"/>
              </a:sp3d>
            </c:spPr>
            <c:extLst>
              <c:ext xmlns:c16="http://schemas.microsoft.com/office/drawing/2014/chart" uri="{C3380CC4-5D6E-409C-BE32-E72D297353CC}">
                <c16:uniqueId val="{00000001-AED5-446A-96DE-5DD26408A369}"/>
              </c:ext>
            </c:extLst>
          </c:dPt>
          <c:dPt>
            <c:idx val="1"/>
            <c:bubble3D val="0"/>
            <c:spPr>
              <a:solidFill>
                <a:srgbClr val="1F4E79"/>
              </a:solidFill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0" h="0"/>
              </a:sp3d>
            </c:spPr>
            <c:extLst>
              <c:ext xmlns:c16="http://schemas.microsoft.com/office/drawing/2014/chart" uri="{C3380CC4-5D6E-409C-BE32-E72D297353CC}">
                <c16:uniqueId val="{00000003-AED5-446A-96DE-5DD26408A369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0" h="0"/>
              </a:sp3d>
            </c:spPr>
            <c:extLst>
              <c:ext xmlns:c16="http://schemas.microsoft.com/office/drawing/2014/chart" uri="{C3380CC4-5D6E-409C-BE32-E72D297353CC}">
                <c16:uniqueId val="{00000005-AED5-446A-96DE-5DD26408A369}"/>
              </c:ext>
            </c:extLst>
          </c:dPt>
          <c:dPt>
            <c:idx val="3"/>
            <c:bubble3D val="0"/>
            <c:spPr>
              <a:solidFill>
                <a:srgbClr val="CC66FF"/>
              </a:solidFill>
              <a:ln w="12700">
                <a:solidFill>
                  <a:srgbClr val="CC66FF"/>
                </a:solidFill>
              </a:ln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0" h="0"/>
              </a:sp3d>
            </c:spPr>
            <c:extLst>
              <c:ext xmlns:c16="http://schemas.microsoft.com/office/drawing/2014/chart" uri="{C3380CC4-5D6E-409C-BE32-E72D297353CC}">
                <c16:uniqueId val="{00000007-AED5-446A-96DE-5DD26408A369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0" h="0"/>
              </a:sp3d>
            </c:spPr>
            <c:extLst>
              <c:ext xmlns:c16="http://schemas.microsoft.com/office/drawing/2014/chart" uri="{C3380CC4-5D6E-409C-BE32-E72D297353CC}">
                <c16:uniqueId val="{00000009-AED5-446A-96DE-5DD26408A369}"/>
              </c:ext>
            </c:extLst>
          </c:dPt>
          <c:cat>
            <c:numLit>
              <c:formatCode>General</c:formatCode>
              <c:ptCount val="5"/>
              <c:pt idx="0">
                <c:v>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</c:numLit>
          </c:cat>
          <c:val>
            <c:numRef>
              <c:f>PT_scian!$D$17:$D$21</c:f>
              <c:numCache>
                <c:formatCode>_-* #\ ##0.0_-;\-* #\ ##0.0_-;_-* "-"??_-;_-@_-</c:formatCode>
                <c:ptCount val="5"/>
                <c:pt idx="0">
                  <c:v>89.141590643417018</c:v>
                </c:pt>
                <c:pt idx="1">
                  <c:v>1.1180735779448499</c:v>
                </c:pt>
                <c:pt idx="2">
                  <c:v>8.0254619640639469</c:v>
                </c:pt>
                <c:pt idx="3">
                  <c:v>0.65271607114276975</c:v>
                </c:pt>
                <c:pt idx="4">
                  <c:v>1.0621577434314089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ED5-446A-96DE-5DD26408A3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81"/>
        <c:holeSize val="50"/>
      </c:doughnutChart>
    </c:plotArea>
    <c:plotVisOnly val="1"/>
    <c:dispBlanksAs val="zero"/>
    <c:showDLblsOverMax val="0"/>
  </c:chart>
  <c:spPr>
    <a:ln>
      <a:solidFill>
        <a:srgbClr val="E46C0A"/>
      </a:solidFill>
    </a:ln>
    <a:effectLst>
      <a:outerShdw blurRad="50800" dist="38100" dir="8100000" algn="tr" rotWithShape="0">
        <a:prstClr val="black">
          <a:alpha val="40000"/>
        </a:prstClr>
      </a:outerShdw>
    </a:effectLst>
  </c:spPr>
  <c:txPr>
    <a:bodyPr/>
    <a:lstStyle/>
    <a:p>
      <a:pPr>
        <a:defRPr sz="11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8739991585593792"/>
          <c:y val="0.17152395699491538"/>
          <c:w val="0.49936797385621601"/>
          <c:h val="0.678524692781603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FF9966"/>
            </a:solidFill>
            <a:ln>
              <a:solidFill>
                <a:srgbClr val="EAEAEA">
                  <a:alpha val="93000"/>
                </a:srgb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solidFill>
                  <a:srgbClr val="EAEAEA">
                    <a:alpha val="93000"/>
                  </a:srgb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90E-4B52-84EA-DDC5553C63BA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solidFill>
                  <a:srgbClr val="EAEAEA">
                    <a:alpha val="93000"/>
                  </a:srgb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90E-4B52-84EA-DDC5553C63BA}"/>
              </c:ext>
            </c:extLst>
          </c:dPt>
          <c:dPt>
            <c:idx val="2"/>
            <c:invertIfNegative val="0"/>
            <c:bubble3D val="0"/>
            <c:spPr>
              <a:solidFill>
                <a:srgbClr val="CC3300"/>
              </a:solidFill>
              <a:ln>
                <a:solidFill>
                  <a:srgbClr val="EAEAEA">
                    <a:alpha val="93000"/>
                  </a:srgb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90E-4B52-84EA-DDC5553C63BA}"/>
              </c:ext>
            </c:extLst>
          </c:dPt>
          <c:dPt>
            <c:idx val="3"/>
            <c:invertIfNegative val="0"/>
            <c:bubble3D val="0"/>
            <c:spPr>
              <a:solidFill>
                <a:srgbClr val="9966FF"/>
              </a:solidFill>
              <a:ln>
                <a:solidFill>
                  <a:srgbClr val="EAEAEA">
                    <a:alpha val="93000"/>
                  </a:srgb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90E-4B52-84EA-DDC5553C63BA}"/>
              </c:ext>
            </c:extLst>
          </c:dPt>
          <c:dPt>
            <c:idx val="4"/>
            <c:invertIfNegative val="0"/>
            <c:bubble3D val="0"/>
            <c:spPr>
              <a:solidFill>
                <a:srgbClr val="FF7C80"/>
              </a:solidFill>
              <a:ln>
                <a:solidFill>
                  <a:srgbClr val="EAEAEA">
                    <a:alpha val="93000"/>
                  </a:srgb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90E-4B52-84EA-DDC5553C63BA}"/>
              </c:ext>
            </c:extLst>
          </c:dPt>
          <c:dPt>
            <c:idx val="5"/>
            <c:invertIfNegative val="0"/>
            <c:bubble3D val="0"/>
            <c:spPr>
              <a:solidFill>
                <a:srgbClr val="FF6600"/>
              </a:solidFill>
              <a:ln>
                <a:solidFill>
                  <a:srgbClr val="EAEAEA">
                    <a:alpha val="93000"/>
                  </a:srgb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90E-4B52-84EA-DDC5553C63BA}"/>
              </c:ext>
            </c:extLst>
          </c:dPt>
          <c:dPt>
            <c:idx val="6"/>
            <c:invertIfNegative val="0"/>
            <c:bubble3D val="0"/>
            <c:spPr>
              <a:solidFill>
                <a:srgbClr val="CC9900"/>
              </a:solidFill>
              <a:ln>
                <a:solidFill>
                  <a:srgbClr val="EAEAEA">
                    <a:alpha val="93000"/>
                  </a:srgb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90E-4B52-84EA-DDC5553C63BA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solidFill>
                  <a:srgbClr val="EAEAEA">
                    <a:alpha val="93000"/>
                  </a:srgb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90E-4B52-84EA-DDC5553C63BA}"/>
              </c:ext>
            </c:extLst>
          </c:dPt>
          <c:cat>
            <c:strRef>
              <c:f>Partic_PIBviv_PIBnac!$F$4:$F$12</c:f>
              <c:strCache>
                <c:ptCount val="9"/>
                <c:pt idx="0">
                  <c:v>Comercio</c:v>
                </c:pt>
                <c:pt idx="1">
                  <c:v>Manufactura</c:v>
                </c:pt>
                <c:pt idx="2">
                  <c:v>Viv. CAI</c:v>
                </c:pt>
                <c:pt idx="3">
                  <c:v>Serv. Inmobiliarios</c:v>
                </c:pt>
                <c:pt idx="4">
                  <c:v>Transporte</c:v>
                </c:pt>
                <c:pt idx="5">
                  <c:v>Viv. SAI</c:v>
                </c:pt>
                <c:pt idx="6">
                  <c:v>Minería</c:v>
                </c:pt>
                <c:pt idx="7">
                  <c:v>Serv. Educativos</c:v>
                </c:pt>
                <c:pt idx="8">
                  <c:v>Agricultura</c:v>
                </c:pt>
              </c:strCache>
            </c:strRef>
          </c:cat>
          <c:val>
            <c:numRef>
              <c:f>Partic_PIBviv_PIBnac!$G$4:$G$12</c:f>
              <c:numCache>
                <c:formatCode>#\ ##0.0</c:formatCode>
                <c:ptCount val="9"/>
                <c:pt idx="0">
                  <c:v>19.915676538161353</c:v>
                </c:pt>
                <c:pt idx="1">
                  <c:v>18.337409273747472</c:v>
                </c:pt>
                <c:pt idx="2">
                  <c:v>13.076826545049958</c:v>
                </c:pt>
                <c:pt idx="3">
                  <c:v>10.286405138836948</c:v>
                </c:pt>
                <c:pt idx="4">
                  <c:v>6.534641906566935</c:v>
                </c:pt>
                <c:pt idx="5">
                  <c:v>5.9799465210321188</c:v>
                </c:pt>
                <c:pt idx="6">
                  <c:v>4.3114717843352839</c:v>
                </c:pt>
                <c:pt idx="7">
                  <c:v>3.8888445055826382</c:v>
                </c:pt>
                <c:pt idx="8">
                  <c:v>3.5842330197369372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790E-4B52-84EA-DDC5553C63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"/>
        <c:axId val="337440200"/>
        <c:axId val="337442944"/>
      </c:barChart>
      <c:catAx>
        <c:axId val="337440200"/>
        <c:scaling>
          <c:orientation val="maxMin"/>
        </c:scaling>
        <c:delete val="1"/>
        <c:axPos val="l"/>
        <c:numFmt formatCode="General" sourceLinked="0"/>
        <c:majorTickMark val="none"/>
        <c:minorTickMark val="none"/>
        <c:tickLblPos val="none"/>
        <c:crossAx val="337442944"/>
        <c:crosses val="autoZero"/>
        <c:auto val="1"/>
        <c:lblAlgn val="ctr"/>
        <c:lblOffset val="100"/>
        <c:noMultiLvlLbl val="0"/>
      </c:catAx>
      <c:valAx>
        <c:axId val="337442944"/>
        <c:scaling>
          <c:orientation val="minMax"/>
        </c:scaling>
        <c:delete val="0"/>
        <c:axPos val="t"/>
        <c:numFmt formatCode="#\ ##0.0" sourceLinked="1"/>
        <c:majorTickMark val="none"/>
        <c:minorTickMark val="none"/>
        <c:tickLblPos val="none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37440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accent6">
          <a:lumMod val="75000"/>
        </a:schemeClr>
      </a:solidFill>
      <a:prstDash val="solid"/>
    </a:ln>
    <a:effectLst>
      <a:outerShdw blurRad="50800" dist="38100" dir="8100000" algn="tr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s-MX"/>
    </a:p>
  </c:tx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0.01668</cdr:x>
      <cdr:y>0.01465</cdr:y>
    </cdr:from>
    <cdr:to>
      <cdr:x>0.9766</cdr:x>
      <cdr:y>0.12815</cdr:y>
    </cdr:to>
    <cdr:sp macro="" textlink="">
      <cdr:nvSpPr>
        <cdr:cNvPr id="2" name="CuadroTexto 3"/>
        <cdr:cNvSpPr txBox="1"/>
      </cdr:nvSpPr>
      <cdr:spPr>
        <a:xfrm xmlns:a="http://schemas.openxmlformats.org/drawingml/2006/main">
          <a:off x="126067" y="51994"/>
          <a:ext cx="7255810" cy="4027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1100" b="1">
              <a:latin typeface="Arial" panose="020B0604020202020204" pitchFamily="34" charset="0"/>
              <a:cs typeface="Arial" panose="020B0604020202020204" pitchFamily="34" charset="0"/>
            </a:rPr>
            <a:t>PIB del</a:t>
          </a:r>
          <a:r>
            <a:rPr lang="es-MX" sz="1100" b="1" baseline="0">
              <a:latin typeface="Arial" panose="020B0604020202020204" pitchFamily="34" charset="0"/>
              <a:cs typeface="Arial" panose="020B0604020202020204" pitchFamily="34" charset="0"/>
            </a:rPr>
            <a:t> sector de</a:t>
          </a:r>
          <a:r>
            <a:rPr lang="es-MX" sz="1100" b="1">
              <a:latin typeface="Arial" panose="020B0604020202020204" pitchFamily="34" charset="0"/>
              <a:cs typeface="Arial" panose="020B0604020202020204" pitchFamily="34" charset="0"/>
            </a:rPr>
            <a:t> la vivienda y su participación</a:t>
          </a:r>
          <a:r>
            <a:rPr lang="es-MX" sz="1100" b="1" baseline="0">
              <a:latin typeface="Arial" panose="020B0604020202020204" pitchFamily="34" charset="0"/>
              <a:cs typeface="Arial" panose="020B0604020202020204" pitchFamily="34" charset="0"/>
            </a:rPr>
            <a:t> en el total nacional</a:t>
          </a:r>
          <a:r>
            <a:rPr lang="es-MX" sz="1100" b="1">
              <a:latin typeface="Arial" panose="020B0604020202020204" pitchFamily="34" charset="0"/>
              <a:cs typeface="Arial" panose="020B0604020202020204" pitchFamily="34" charset="0"/>
            </a:rPr>
            <a:t>, 2008-2018</a:t>
          </a:r>
        </a:p>
        <a:p xmlns:a="http://schemas.openxmlformats.org/drawingml/2006/main">
          <a:pPr algn="ctr"/>
          <a:r>
            <a:rPr lang="es-MX" sz="1100" b="0">
              <a:latin typeface="Arial" panose="020B0604020202020204" pitchFamily="34" charset="0"/>
              <a:cs typeface="Arial" panose="020B0604020202020204" pitchFamily="34" charset="0"/>
            </a:rPr>
            <a:t>Miles de millones de</a:t>
          </a:r>
          <a:r>
            <a:rPr lang="es-MX" sz="1100" b="0" baseline="0">
              <a:latin typeface="Arial" panose="020B0604020202020204" pitchFamily="34" charset="0"/>
              <a:cs typeface="Arial" panose="020B0604020202020204" pitchFamily="34" charset="0"/>
            </a:rPr>
            <a:t> pesos corrientes y porcentaje</a:t>
          </a:r>
          <a:endParaRPr lang="es-MX" sz="1100" b="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0.02079</cdr:x>
      <cdr:y>0.85611</cdr:y>
    </cdr:from>
    <cdr:to>
      <cdr:x>0.7317</cdr:x>
      <cdr:y>0.97509</cdr:y>
    </cdr:to>
    <cdr:sp macro="" textlink="">
      <cdr:nvSpPr>
        <cdr:cNvPr id="3" name="CuadroTexto 1"/>
        <cdr:cNvSpPr txBox="1"/>
      </cdr:nvSpPr>
      <cdr:spPr>
        <a:xfrm xmlns:a="http://schemas.openxmlformats.org/drawingml/2006/main">
          <a:off x="156923" y="3081285"/>
          <a:ext cx="5366775" cy="4282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 baseline="300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</a:t>
          </a:r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Cifra preliminar a partir de este año</a:t>
          </a:r>
          <a:endParaRPr lang="es-MX" sz="800">
            <a:effectLst/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endParaRPr lang="es-MX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0.01914</cdr:x>
      <cdr:y>0.89822</cdr:y>
    </cdr:from>
    <cdr:to>
      <cdr:x>0.9709</cdr:x>
      <cdr:y>0.98431</cdr:y>
    </cdr:to>
    <cdr:sp macro="" textlink="">
      <cdr:nvSpPr>
        <cdr:cNvPr id="4" name="CuadroTexto 2"/>
        <cdr:cNvSpPr txBox="1"/>
      </cdr:nvSpPr>
      <cdr:spPr>
        <a:xfrm xmlns:a="http://schemas.openxmlformats.org/drawingml/2006/main">
          <a:off x="119047" y="2605449"/>
          <a:ext cx="5919803" cy="2497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indent="0" algn="just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INEGI. Sistema de Cuentas Nacionales de México. Cuenta satélite de vivienda de México, 2018. Preliminar. Año Base 2013</a:t>
          </a:r>
          <a:endParaRPr lang="es-MX" sz="800">
            <a:effectLst/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pPr algn="just"/>
          <a:endParaRPr lang="es-MX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0.06942</cdr:x>
      <cdr:y>0</cdr:y>
    </cdr:from>
    <cdr:to>
      <cdr:x>0.99035</cdr:x>
      <cdr:y>0.21453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389614" y="0"/>
          <a:ext cx="5168348" cy="5168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1100" b="1" dirty="0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Variación anual real del PIB de la vivienda y del PIB Nacional, 2009-2018 </a:t>
          </a:r>
        </a:p>
        <a:p xmlns:a="http://schemas.openxmlformats.org/drawingml/2006/main">
          <a:pPr algn="ctr"/>
          <a:r>
            <a:rPr lang="es-MX" sz="1000" b="0" dirty="0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Porcentaje</a:t>
          </a:r>
          <a:endParaRPr lang="es-MX" sz="1100">
            <a:solidFill>
              <a:sysClr val="windowText" lastClr="000000"/>
            </a:solidFill>
          </a:endParaRPr>
        </a:p>
      </cdr:txBody>
    </cdr:sp>
  </cdr:relSizeAnchor>
  <cdr:relSizeAnchor xmlns:cdr="http://schemas.openxmlformats.org/drawingml/2006/chartDrawing">
    <cdr:from>
      <cdr:x>0.00789</cdr:x>
      <cdr:y>0.82244</cdr:y>
    </cdr:from>
    <cdr:to>
      <cdr:x>0.9126</cdr:x>
      <cdr:y>1</cdr:y>
    </cdr:to>
    <cdr:sp macro="" textlink="">
      <cdr:nvSpPr>
        <cdr:cNvPr id="4" name="1 CuadroTexto"/>
        <cdr:cNvSpPr txBox="1"/>
      </cdr:nvSpPr>
      <cdr:spPr>
        <a:xfrm xmlns:a="http://schemas.openxmlformats.org/drawingml/2006/main">
          <a:off x="49532" y="2236268"/>
          <a:ext cx="5682863" cy="4828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es-MX" sz="800" baseline="30000" dirty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</a:t>
          </a:r>
          <a:r>
            <a:rPr lang="es-MX" sz="800" dirty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Cifra preliminar a partir del año que se indica.</a:t>
          </a:r>
        </a:p>
        <a:p xmlns:a="http://schemas.openxmlformats.org/drawingml/2006/main">
          <a:r>
            <a:rPr lang="es-MX" sz="800" b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FUENTE: INEGI. Sistema de Cuentas Nacionales de México. Cuenta satélite de vivienda de México. </a:t>
          </a:r>
          <a:endParaRPr lang="es-MX" sz="800">
            <a:effectLst/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r>
            <a:rPr lang="es-MX" sz="800" b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2018 preliminar. Año Base 2013</a:t>
          </a:r>
          <a:endParaRPr lang="es-MX" sz="800">
            <a:effectLst/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pPr algn="l"/>
          <a:endParaRPr lang="es-MX" sz="700" b="0" dirty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0.97037</cdr:x>
      <cdr:y>0.20749</cdr:y>
    </cdr:to>
    <cdr:sp macro="" textlink="">
      <cdr:nvSpPr>
        <cdr:cNvPr id="3" name="1 CuadroTexto"/>
        <cdr:cNvSpPr txBox="1"/>
      </cdr:nvSpPr>
      <cdr:spPr>
        <a:xfrm xmlns:a="http://schemas.openxmlformats.org/drawingml/2006/main">
          <a:off x="0" y="0"/>
          <a:ext cx="6238875" cy="7648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 rtl="0" fontAlgn="base"/>
          <a:r>
            <a:rPr lang="es-MX" sz="1100" b="1" i="0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Puestos de trabajo de la vivienda por sectores de actividad económica, 2018</a:t>
          </a:r>
          <a:r>
            <a:rPr lang="es-MX" sz="1100" b="1" baseline="300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</a:t>
          </a:r>
          <a:endParaRPr lang="es-MX" sz="1100">
            <a:effectLst/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pPr algn="ctr" eaLnBrk="1" fontAlgn="auto" latinLnBrk="0" hangingPunct="1"/>
          <a:r>
            <a:rPr lang="es-MX" sz="1100" b="0" i="0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Porcentaje</a:t>
          </a:r>
          <a:endParaRPr lang="es-MX" sz="1100">
            <a:effectLst/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kumimoji="0" lang="es-MX" sz="1100" b="0" i="0" u="none" strike="noStrike" kern="0" cap="none" spc="0" normalizeH="0" baseline="0" noProof="0">
            <a:ln>
              <a:noFill/>
            </a:ln>
            <a:solidFill>
              <a:sysClr val="windowText" lastClr="000000"/>
            </a:solidFill>
            <a:effectLst/>
            <a:uLnTx/>
            <a:uFillTx/>
            <a:latin typeface="Arial" pitchFamily="34" charset="0"/>
            <a:cs typeface="Arial" pitchFamily="34" charset="0"/>
          </a:endParaRPr>
        </a:p>
        <a:p xmlns:a="http://schemas.openxmlformats.org/drawingml/2006/main">
          <a:pPr algn="ctr" rtl="0" fontAlgn="base"/>
          <a:endParaRPr lang="es-MX" sz="1100" b="0" i="0" baseline="0"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0.01679</cdr:x>
      <cdr:y>0.32378</cdr:y>
    </cdr:from>
    <cdr:to>
      <cdr:x>0.32191</cdr:x>
      <cdr:y>0.45558</cdr:y>
    </cdr:to>
    <cdr:sp macro="" textlink="">
      <cdr:nvSpPr>
        <cdr:cNvPr id="5" name="1 CuadroTexto"/>
        <cdr:cNvSpPr txBox="1"/>
      </cdr:nvSpPr>
      <cdr:spPr>
        <a:xfrm xmlns:a="http://schemas.openxmlformats.org/drawingml/2006/main">
          <a:off x="104775" y="1070159"/>
          <a:ext cx="1903606" cy="4356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/>
          <a:r>
            <a:rPr lang="en-US" sz="1100" b="0" i="0" baseline="0">
              <a:latin typeface="Arial" pitchFamily="34" charset="0"/>
              <a:ea typeface="+mn-ea"/>
              <a:cs typeface="Arial" pitchFamily="34" charset="0"/>
            </a:rPr>
            <a:t> Construcción </a:t>
          </a:r>
          <a:br>
            <a:rPr lang="en-US" sz="1100" b="0" i="0" baseline="0">
              <a:latin typeface="Arial" pitchFamily="34" charset="0"/>
              <a:ea typeface="+mn-ea"/>
              <a:cs typeface="Arial" pitchFamily="34" charset="0"/>
            </a:rPr>
          </a:br>
          <a:r>
            <a:rPr lang="en-US" sz="1100" b="0" i="0" baseline="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 89.1%</a:t>
          </a:r>
          <a:endParaRPr lang="es-MX" sz="1100" b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0.67288</cdr:x>
      <cdr:y>0.56745</cdr:y>
    </cdr:from>
    <cdr:to>
      <cdr:x>0.86139</cdr:x>
      <cdr:y>0.69615</cdr:y>
    </cdr:to>
    <cdr:sp macro="" textlink="">
      <cdr:nvSpPr>
        <cdr:cNvPr id="6" name="1 CuadroTexto"/>
        <cdr:cNvSpPr txBox="1"/>
      </cdr:nvSpPr>
      <cdr:spPr>
        <a:xfrm xmlns:a="http://schemas.openxmlformats.org/drawingml/2006/main" rot="10800000" flipV="1">
          <a:off x="4236897" y="1825803"/>
          <a:ext cx="1186984" cy="4140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 rtl="0"/>
          <a:r>
            <a:rPr lang="en-US" sz="1100" b="0" i="0" baseline="0">
              <a:latin typeface="Arial" pitchFamily="34" charset="0"/>
              <a:ea typeface="+mn-ea"/>
              <a:cs typeface="Arial" pitchFamily="34" charset="0"/>
            </a:rPr>
            <a:t>Otros </a:t>
          </a:r>
        </a:p>
        <a:p xmlns:a="http://schemas.openxmlformats.org/drawingml/2006/main">
          <a:pPr algn="ctr" rtl="0"/>
          <a:r>
            <a:rPr lang="en-US" sz="1100" b="0" i="0" baseline="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1.1%</a:t>
          </a:r>
        </a:p>
      </cdr:txBody>
    </cdr:sp>
  </cdr:relSizeAnchor>
  <cdr:relSizeAnchor xmlns:cdr="http://schemas.openxmlformats.org/drawingml/2006/chartDrawing">
    <cdr:from>
      <cdr:x>0.67998</cdr:x>
      <cdr:y>0.37531</cdr:y>
    </cdr:from>
    <cdr:to>
      <cdr:x>1</cdr:x>
      <cdr:y>0.50788</cdr:y>
    </cdr:to>
    <cdr:sp macro="" textlink="">
      <cdr:nvSpPr>
        <cdr:cNvPr id="7" name="1 CuadroTexto"/>
        <cdr:cNvSpPr txBox="1"/>
      </cdr:nvSpPr>
      <cdr:spPr>
        <a:xfrm xmlns:a="http://schemas.openxmlformats.org/drawingml/2006/main">
          <a:off x="4281609" y="1207582"/>
          <a:ext cx="2015051" cy="426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/>
          <a:r>
            <a:rPr lang="en-US" sz="1100" b="0" i="0" baseline="0">
              <a:latin typeface="Arial" pitchFamily="34" charset="0"/>
              <a:ea typeface="+mn-ea"/>
              <a:cs typeface="Arial" pitchFamily="34" charset="0"/>
            </a:rPr>
            <a:t> Servicios  profesionales </a:t>
          </a:r>
          <a:br>
            <a:rPr lang="en-US" sz="1100" b="0" i="0" baseline="0">
              <a:latin typeface="Arial" pitchFamily="34" charset="0"/>
              <a:ea typeface="+mn-ea"/>
              <a:cs typeface="Arial" pitchFamily="34" charset="0"/>
            </a:rPr>
          </a:br>
          <a:r>
            <a:rPr lang="en-US" sz="1100" b="0" i="0" baseline="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 0.7%</a:t>
          </a:r>
          <a:endParaRPr lang="es-MX" sz="1100" b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0.68855</cdr:x>
      <cdr:y>0.28327</cdr:y>
    </cdr:from>
    <cdr:to>
      <cdr:x>0.99051</cdr:x>
      <cdr:y>0.42281</cdr:y>
    </cdr:to>
    <cdr:sp macro="" textlink="">
      <cdr:nvSpPr>
        <cdr:cNvPr id="8" name="1 CuadroTexto"/>
        <cdr:cNvSpPr txBox="1"/>
      </cdr:nvSpPr>
      <cdr:spPr>
        <a:xfrm xmlns:a="http://schemas.openxmlformats.org/drawingml/2006/main">
          <a:off x="4335564" y="911436"/>
          <a:ext cx="1901333" cy="4489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/>
          <a:r>
            <a:rPr lang="en-US" sz="1100" b="0" i="0" baseline="0">
              <a:latin typeface="Arial" pitchFamily="34" charset="0"/>
              <a:ea typeface="+mn-ea"/>
              <a:cs typeface="Arial" pitchFamily="34" charset="0"/>
            </a:rPr>
            <a:t>Servicios inmobiliarios</a:t>
          </a:r>
          <a:br>
            <a:rPr lang="en-US" sz="1100" b="0" i="0" baseline="0">
              <a:latin typeface="Arial" pitchFamily="34" charset="0"/>
              <a:ea typeface="+mn-ea"/>
              <a:cs typeface="Arial" pitchFamily="34" charset="0"/>
            </a:rPr>
          </a:br>
          <a:r>
            <a:rPr lang="en-US" sz="1100" b="0" i="0" baseline="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 8.0%</a:t>
          </a:r>
          <a:endParaRPr lang="es-MX" sz="1100" b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0.70387</cdr:x>
      <cdr:y>0.1753</cdr:y>
    </cdr:from>
    <cdr:to>
      <cdr:x>0.95481</cdr:x>
      <cdr:y>0.34026</cdr:y>
    </cdr:to>
    <cdr:sp macro="" textlink="">
      <cdr:nvSpPr>
        <cdr:cNvPr id="9" name="1 CuadroTexto"/>
        <cdr:cNvSpPr txBox="1"/>
      </cdr:nvSpPr>
      <cdr:spPr>
        <a:xfrm xmlns:a="http://schemas.openxmlformats.org/drawingml/2006/main">
          <a:off x="4432028" y="564036"/>
          <a:ext cx="1580084" cy="5307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/>
          <a:r>
            <a:rPr lang="en-US" sz="1100" b="0" i="0" baseline="0">
              <a:latin typeface="Arial" pitchFamily="34" charset="0"/>
              <a:ea typeface="+mn-ea"/>
              <a:cs typeface="Arial" pitchFamily="34" charset="0"/>
            </a:rPr>
            <a:t>Servicios financieros</a:t>
          </a:r>
          <a:br>
            <a:rPr lang="en-US" sz="1100" b="0" i="0" baseline="0">
              <a:latin typeface="Arial" pitchFamily="34" charset="0"/>
              <a:ea typeface="+mn-ea"/>
              <a:cs typeface="Arial" pitchFamily="34" charset="0"/>
            </a:rPr>
          </a:br>
          <a:r>
            <a:rPr lang="en-US" sz="1100" b="0" i="0" baseline="0">
              <a:solidFill>
                <a:sysClr val="windowText" lastClr="000000"/>
              </a:solidFill>
              <a:latin typeface="Arial" pitchFamily="34" charset="0"/>
              <a:ea typeface="+mn-ea"/>
              <a:cs typeface="Arial" pitchFamily="34" charset="0"/>
            </a:rPr>
            <a:t> 1.1%</a:t>
          </a:r>
          <a:endParaRPr lang="es-MX" sz="1100" b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0.10049</cdr:x>
      <cdr:y>0.43953</cdr:y>
    </cdr:from>
    <cdr:to>
      <cdr:x>0.24797</cdr:x>
      <cdr:y>0.46382</cdr:y>
    </cdr:to>
    <cdr:sp macro="" textlink="">
      <cdr:nvSpPr>
        <cdr:cNvPr id="11" name="10 Conector angular"/>
        <cdr:cNvSpPr/>
      </cdr:nvSpPr>
      <cdr:spPr>
        <a:xfrm xmlns:a="http://schemas.openxmlformats.org/drawingml/2006/main" rot="16200000" flipH="1">
          <a:off x="1057986" y="988975"/>
          <a:ext cx="78162" cy="928630"/>
        </a:xfrm>
        <a:prstGeom xmlns:a="http://schemas.openxmlformats.org/drawingml/2006/main" prst="bentConnector3">
          <a:avLst>
            <a:gd name="adj1" fmla="val 166709"/>
          </a:avLst>
        </a:prstGeom>
        <a:ln xmlns:a="http://schemas.openxmlformats.org/drawingml/2006/main" w="3175">
          <a:solidFill>
            <a:srgbClr val="E46C0A"/>
          </a:solidFill>
          <a:headEnd type="diamond"/>
          <a:tailEnd type="non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>
          <a:noAutofit/>
        </a:bodyPr>
        <a:lstStyle xmlns:a="http://schemas.openxmlformats.org/drawingml/2006/main"/>
        <a:p xmlns:a="http://schemas.openxmlformats.org/drawingml/2006/main">
          <a:endParaRPr lang="es-MX"/>
        </a:p>
      </cdr:txBody>
    </cdr:sp>
  </cdr:relSizeAnchor>
  <cdr:relSizeAnchor xmlns:cdr="http://schemas.openxmlformats.org/drawingml/2006/chartDrawing">
    <cdr:from>
      <cdr:x>0.53841</cdr:x>
      <cdr:y>0.24398</cdr:y>
    </cdr:from>
    <cdr:to>
      <cdr:x>0.70966</cdr:x>
      <cdr:y>0.27615</cdr:y>
    </cdr:to>
    <cdr:sp macro="" textlink="">
      <cdr:nvSpPr>
        <cdr:cNvPr id="12" name="1 Conector angular"/>
        <cdr:cNvSpPr/>
      </cdr:nvSpPr>
      <cdr:spPr>
        <a:xfrm xmlns:a="http://schemas.openxmlformats.org/drawingml/2006/main" rot="16200000" flipH="1" flipV="1">
          <a:off x="3877572" y="297614"/>
          <a:ext cx="103519" cy="1078300"/>
        </a:xfrm>
        <a:prstGeom xmlns:a="http://schemas.openxmlformats.org/drawingml/2006/main" prst="bentConnector3">
          <a:avLst>
            <a:gd name="adj1" fmla="val 49423"/>
          </a:avLst>
        </a:prstGeom>
        <a:ln xmlns:a="http://schemas.openxmlformats.org/drawingml/2006/main" w="3175">
          <a:solidFill>
            <a:srgbClr val="1F4E79"/>
          </a:solidFill>
          <a:headEnd type="diamond"/>
          <a:tailEnd type="non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es-MX"/>
        </a:p>
      </cdr:txBody>
    </cdr:sp>
  </cdr:relSizeAnchor>
  <cdr:relSizeAnchor xmlns:cdr="http://schemas.openxmlformats.org/drawingml/2006/chartDrawing">
    <cdr:from>
      <cdr:x>0.58773</cdr:x>
      <cdr:y>0.41886</cdr:y>
    </cdr:from>
    <cdr:to>
      <cdr:x>0.71925</cdr:x>
      <cdr:y>0.44774</cdr:y>
    </cdr:to>
    <cdr:sp macro="" textlink="">
      <cdr:nvSpPr>
        <cdr:cNvPr id="13" name="1 Conector angular"/>
        <cdr:cNvSpPr/>
      </cdr:nvSpPr>
      <cdr:spPr>
        <a:xfrm xmlns:a="http://schemas.openxmlformats.org/drawingml/2006/main" rot="16200000" flipH="1" flipV="1">
          <a:off x="4068345" y="980089"/>
          <a:ext cx="92908" cy="828135"/>
        </a:xfrm>
        <a:prstGeom xmlns:a="http://schemas.openxmlformats.org/drawingml/2006/main" prst="bentConnector3">
          <a:avLst>
            <a:gd name="adj1" fmla="val 122627"/>
          </a:avLst>
        </a:prstGeom>
        <a:ln xmlns:a="http://schemas.openxmlformats.org/drawingml/2006/main" w="3175">
          <a:solidFill>
            <a:srgbClr val="CC66FF"/>
          </a:solidFill>
          <a:headEnd type="diamond"/>
          <a:tailEnd type="non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s-MX"/>
        </a:p>
      </cdr:txBody>
    </cdr:sp>
  </cdr:relSizeAnchor>
  <cdr:relSizeAnchor xmlns:cdr="http://schemas.openxmlformats.org/drawingml/2006/chartDrawing">
    <cdr:from>
      <cdr:x>0.57403</cdr:x>
      <cdr:y>0.48259</cdr:y>
    </cdr:from>
    <cdr:to>
      <cdr:x>0.72747</cdr:x>
      <cdr:y>0.60592</cdr:y>
    </cdr:to>
    <cdr:sp macro="" textlink="">
      <cdr:nvSpPr>
        <cdr:cNvPr id="14" name="1 Conector angular"/>
        <cdr:cNvSpPr/>
      </cdr:nvSpPr>
      <cdr:spPr>
        <a:xfrm xmlns:a="http://schemas.openxmlformats.org/drawingml/2006/main" rot="16200000" flipH="1">
          <a:off x="3899143" y="1268087"/>
          <a:ext cx="396811" cy="966155"/>
        </a:xfrm>
        <a:prstGeom xmlns:a="http://schemas.openxmlformats.org/drawingml/2006/main" prst="bentConnector3">
          <a:avLst>
            <a:gd name="adj1" fmla="val -5515"/>
          </a:avLst>
        </a:prstGeom>
        <a:ln xmlns:a="http://schemas.openxmlformats.org/drawingml/2006/main" w="3175">
          <a:solidFill>
            <a:srgbClr val="00B050"/>
          </a:solidFill>
          <a:tailEnd type="diamond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s-MX"/>
        </a:p>
      </cdr:txBody>
    </cdr:sp>
  </cdr:relSizeAnchor>
  <cdr:relSizeAnchor xmlns:cdr="http://schemas.openxmlformats.org/drawingml/2006/chartDrawing">
    <cdr:from>
      <cdr:x>0.57403</cdr:x>
      <cdr:y>0.33513</cdr:y>
    </cdr:from>
    <cdr:to>
      <cdr:x>0.7124</cdr:x>
      <cdr:y>0.39412</cdr:y>
    </cdr:to>
    <cdr:sp macro="" textlink="">
      <cdr:nvSpPr>
        <cdr:cNvPr id="15" name="1 Conector angular"/>
        <cdr:cNvSpPr/>
      </cdr:nvSpPr>
      <cdr:spPr>
        <a:xfrm xmlns:a="http://schemas.openxmlformats.org/drawingml/2006/main" rot="16200000">
          <a:off x="3955213" y="737559"/>
          <a:ext cx="189783" cy="871267"/>
        </a:xfrm>
        <a:prstGeom xmlns:a="http://schemas.openxmlformats.org/drawingml/2006/main" prst="bentConnector3">
          <a:avLst>
            <a:gd name="adj1" fmla="val 64975"/>
          </a:avLst>
        </a:prstGeom>
        <a:ln xmlns:a="http://schemas.openxmlformats.org/drawingml/2006/main" w="3175">
          <a:solidFill>
            <a:srgbClr val="FFC000"/>
          </a:solidFill>
          <a:headEnd type="none"/>
          <a:tailEnd type="diamond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s-MX"/>
        </a:p>
      </cdr:txBody>
    </cdr:sp>
  </cdr:relSizeAnchor>
  <cdr:relSizeAnchor xmlns:cdr="http://schemas.openxmlformats.org/drawingml/2006/chartDrawing">
    <cdr:from>
      <cdr:x>0.00198</cdr:x>
      <cdr:y>0.89233</cdr:y>
    </cdr:from>
    <cdr:to>
      <cdr:x>0.96159</cdr:x>
      <cdr:y>0.99519</cdr:y>
    </cdr:to>
    <cdr:sp macro="" textlink="">
      <cdr:nvSpPr>
        <cdr:cNvPr id="17" name="1 CuadroTexto">
          <a:extLst xmlns:a="http://schemas.openxmlformats.org/drawingml/2006/main">
            <a:ext uri="{FF2B5EF4-FFF2-40B4-BE49-F238E27FC236}">
              <a16:creationId xmlns:a16="http://schemas.microsoft.com/office/drawing/2014/main" id="{BD460598-36CB-4C32-B8E7-87F9AD7F98E3}"/>
            </a:ext>
          </a:extLst>
        </cdr:cNvPr>
        <cdr:cNvSpPr txBox="1"/>
      </cdr:nvSpPr>
      <cdr:spPr>
        <a:xfrm xmlns:a="http://schemas.openxmlformats.org/drawingml/2006/main">
          <a:off x="12700" y="3289300"/>
          <a:ext cx="6169695" cy="3791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es-MX" sz="800" baseline="30000" dirty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</a:t>
          </a:r>
          <a:r>
            <a:rPr lang="es-MX" sz="800" dirty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Cifra preliminar.</a:t>
          </a:r>
        </a:p>
        <a:p xmlns:a="http://schemas.openxmlformats.org/drawingml/2006/main">
          <a:r>
            <a:rPr lang="es-MX" sz="800" b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FUENTE: INEGI. Sistema de Cuentas Nacionales de México. Cuenta satélite de vivienda de México. 2018 preliminar. Año Base 2013</a:t>
          </a:r>
          <a:endParaRPr lang="es-MX" sz="800">
            <a:effectLst/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pPr algn="l"/>
          <a:endParaRPr lang="es-MX" sz="700" b="0" dirty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</cdr:x>
      <cdr:y>0.01277</cdr:y>
    </cdr:from>
    <cdr:to>
      <cdr:x>0.99632</cdr:x>
      <cdr:y>0.213</cdr:y>
    </cdr:to>
    <cdr:sp macro="" textlink="">
      <cdr:nvSpPr>
        <cdr:cNvPr id="14" name="CuadroTexto 13"/>
        <cdr:cNvSpPr txBox="1"/>
      </cdr:nvSpPr>
      <cdr:spPr>
        <a:xfrm xmlns:a="http://schemas.openxmlformats.org/drawingml/2006/main">
          <a:off x="0" y="44478"/>
          <a:ext cx="3048171" cy="6973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1050" b="1" spc="-20" dirty="0">
              <a:latin typeface="Arial" panose="020B0604020202020204" pitchFamily="34" charset="0"/>
              <a:cs typeface="Arial" panose="020B0604020202020204" pitchFamily="34" charset="0"/>
            </a:rPr>
            <a:t>Participación del PIB de la vivienda y de sectores de actividad económica seleccionados en el PIB nacional, </a:t>
          </a:r>
          <a:r>
            <a:rPr lang="es-MX" sz="1050" b="1" spc="-20" dirty="0" err="1">
              <a:latin typeface="Arial" panose="020B0604020202020204" pitchFamily="34" charset="0"/>
              <a:cs typeface="Arial" panose="020B0604020202020204" pitchFamily="34" charset="0"/>
            </a:rPr>
            <a:t>2018</a:t>
          </a:r>
          <a:r>
            <a:rPr lang="es-MX" sz="1050" b="1" spc="-20" baseline="30000" dirty="0" err="1">
              <a:latin typeface="Arial" panose="020B0604020202020204" pitchFamily="34" charset="0"/>
              <a:cs typeface="Arial" panose="020B0604020202020204" pitchFamily="34" charset="0"/>
            </a:rPr>
            <a:t>P</a:t>
          </a:r>
          <a:endParaRPr lang="es-MX" sz="1050" b="1" spc="-20" baseline="30000" dirty="0"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pPr algn="ctr"/>
          <a:r>
            <a:rPr lang="es-MX" sz="1050" dirty="0">
              <a:latin typeface="Arial" panose="020B0604020202020204" pitchFamily="34" charset="0"/>
              <a:cs typeface="Arial" panose="020B0604020202020204" pitchFamily="34" charset="0"/>
            </a:rPr>
            <a:t>Porcentaje</a:t>
          </a:r>
        </a:p>
      </cdr:txBody>
    </cdr:sp>
  </cdr:relSizeAnchor>
  <cdr:relSizeAnchor xmlns:cdr="http://schemas.openxmlformats.org/drawingml/2006/chartDrawing">
    <cdr:from>
      <cdr:x>0.04477</cdr:x>
      <cdr:y>0.18057</cdr:y>
    </cdr:from>
    <cdr:to>
      <cdr:x>0.38595</cdr:x>
      <cdr:y>0.23951</cdr:y>
    </cdr:to>
    <cdr:sp macro="" textlink="">
      <cdr:nvSpPr>
        <cdr:cNvPr id="26" name="Redondear rectángulo de esquina diagonal 25"/>
        <cdr:cNvSpPr/>
      </cdr:nvSpPr>
      <cdr:spPr>
        <a:xfrm xmlns:a="http://schemas.openxmlformats.org/drawingml/2006/main">
          <a:off x="194037" y="822104"/>
          <a:ext cx="1478632" cy="268351"/>
        </a:xfrm>
        <a:prstGeom xmlns:a="http://schemas.openxmlformats.org/drawingml/2006/main" prst="round2Diag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>
          <a:solidFill>
            <a:schemeClr val="accent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>
            <a:lnSpc>
              <a:spcPts val="700"/>
            </a:lnSpc>
          </a:pPr>
          <a:r>
            <a:rPr lang="es-MX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Comercio</a:t>
          </a:r>
        </a:p>
      </cdr:txBody>
    </cdr:sp>
  </cdr:relSizeAnchor>
  <cdr:relSizeAnchor xmlns:cdr="http://schemas.openxmlformats.org/drawingml/2006/chartDrawing">
    <cdr:from>
      <cdr:x>0.04697</cdr:x>
      <cdr:y>0.2564</cdr:y>
    </cdr:from>
    <cdr:to>
      <cdr:x>0.38815</cdr:x>
      <cdr:y>0.31534</cdr:y>
    </cdr:to>
    <cdr:sp macro="" textlink="">
      <cdr:nvSpPr>
        <cdr:cNvPr id="27" name="Redondear rectángulo de esquina diagonal 26"/>
        <cdr:cNvSpPr/>
      </cdr:nvSpPr>
      <cdr:spPr>
        <a:xfrm xmlns:a="http://schemas.openxmlformats.org/drawingml/2006/main">
          <a:off x="203562" y="1167368"/>
          <a:ext cx="1478632" cy="268351"/>
        </a:xfrm>
        <a:prstGeom xmlns:a="http://schemas.openxmlformats.org/drawingml/2006/main" prst="round2Diag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>
          <a:solidFill>
            <a:srgbClr val="92D05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>
            <a:lnSpc>
              <a:spcPts val="700"/>
            </a:lnSpc>
          </a:pPr>
          <a:r>
            <a:rPr lang="es-MX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Manufactura</a:t>
          </a:r>
        </a:p>
      </cdr:txBody>
    </cdr:sp>
  </cdr:relSizeAnchor>
  <cdr:relSizeAnchor xmlns:cdr="http://schemas.openxmlformats.org/drawingml/2006/chartDrawing">
    <cdr:from>
      <cdr:x>0.04261</cdr:x>
      <cdr:y>0.33223</cdr:y>
    </cdr:from>
    <cdr:to>
      <cdr:x>0.38698</cdr:x>
      <cdr:y>0.38751</cdr:y>
    </cdr:to>
    <cdr:sp macro="" textlink="">
      <cdr:nvSpPr>
        <cdr:cNvPr id="28" name="Redondear rectángulo de esquina diagonal 27"/>
        <cdr:cNvSpPr/>
      </cdr:nvSpPr>
      <cdr:spPr>
        <a:xfrm xmlns:a="http://schemas.openxmlformats.org/drawingml/2006/main">
          <a:off x="184666" y="1512632"/>
          <a:ext cx="1492457" cy="251687"/>
        </a:xfrm>
        <a:prstGeom xmlns:a="http://schemas.openxmlformats.org/drawingml/2006/main" prst="round2Diag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>
          <a:solidFill>
            <a:schemeClr val="accent6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>
            <a:lnSpc>
              <a:spcPts val="700"/>
            </a:lnSpc>
          </a:pPr>
          <a:r>
            <a:rPr lang="es-MX" sz="10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Sector vivienda</a:t>
          </a:r>
          <a:r>
            <a:rPr lang="es-MX" sz="1000" baseline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 más alquiler imputado</a:t>
          </a:r>
          <a:endParaRPr lang="es-MX" sz="10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0.04697</cdr:x>
      <cdr:y>0.4044</cdr:y>
    </cdr:from>
    <cdr:to>
      <cdr:x>0.38815</cdr:x>
      <cdr:y>0.46334</cdr:y>
    </cdr:to>
    <cdr:sp macro="" textlink="">
      <cdr:nvSpPr>
        <cdr:cNvPr id="29" name="Redondear rectángulo de esquina diagonal 28"/>
        <cdr:cNvSpPr/>
      </cdr:nvSpPr>
      <cdr:spPr>
        <a:xfrm xmlns:a="http://schemas.openxmlformats.org/drawingml/2006/main">
          <a:off x="203562" y="1841232"/>
          <a:ext cx="1478632" cy="268351"/>
        </a:xfrm>
        <a:prstGeom xmlns:a="http://schemas.openxmlformats.org/drawingml/2006/main" prst="round2Diag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>
          <a:solidFill>
            <a:srgbClr val="CC99FF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>
            <a:lnSpc>
              <a:spcPts val="700"/>
            </a:lnSpc>
          </a:pPr>
          <a:r>
            <a:rPr lang="es-MX" sz="1000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Servicios inmobiliarios</a:t>
          </a:r>
        </a:p>
      </cdr:txBody>
    </cdr:sp>
  </cdr:relSizeAnchor>
  <cdr:relSizeAnchor xmlns:cdr="http://schemas.openxmlformats.org/drawingml/2006/chartDrawing">
    <cdr:from>
      <cdr:x>0.04697</cdr:x>
      <cdr:y>0.48024</cdr:y>
    </cdr:from>
    <cdr:to>
      <cdr:x>0.38815</cdr:x>
      <cdr:y>0.53918</cdr:y>
    </cdr:to>
    <cdr:sp macro="" textlink="">
      <cdr:nvSpPr>
        <cdr:cNvPr id="30" name="Redondear rectángulo de esquina diagonal 29"/>
        <cdr:cNvSpPr/>
      </cdr:nvSpPr>
      <cdr:spPr>
        <a:xfrm xmlns:a="http://schemas.openxmlformats.org/drawingml/2006/main">
          <a:off x="203562" y="2186496"/>
          <a:ext cx="1478632" cy="268351"/>
        </a:xfrm>
        <a:prstGeom xmlns:a="http://schemas.openxmlformats.org/drawingml/2006/main" prst="round2Diag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>
          <a:solidFill>
            <a:srgbClr val="FF6699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>
            <a:lnSpc>
              <a:spcPts val="700"/>
            </a:lnSpc>
          </a:pPr>
          <a:r>
            <a:rPr lang="es-MX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Transporte</a:t>
          </a:r>
        </a:p>
      </cdr:txBody>
    </cdr:sp>
  </cdr:relSizeAnchor>
  <cdr:relSizeAnchor xmlns:cdr="http://schemas.openxmlformats.org/drawingml/2006/chartDrawing">
    <cdr:from>
      <cdr:x>0.04697</cdr:x>
      <cdr:y>0.55607</cdr:y>
    </cdr:from>
    <cdr:to>
      <cdr:x>0.38815</cdr:x>
      <cdr:y>0.61501</cdr:y>
    </cdr:to>
    <cdr:sp macro="" textlink="">
      <cdr:nvSpPr>
        <cdr:cNvPr id="31" name="Redondear rectángulo de esquina diagonal 30"/>
        <cdr:cNvSpPr/>
      </cdr:nvSpPr>
      <cdr:spPr>
        <a:xfrm xmlns:a="http://schemas.openxmlformats.org/drawingml/2006/main">
          <a:off x="203562" y="2531760"/>
          <a:ext cx="1478632" cy="268351"/>
        </a:xfrm>
        <a:prstGeom xmlns:a="http://schemas.openxmlformats.org/drawingml/2006/main" prst="round2Diag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>
          <a:solidFill>
            <a:schemeClr val="accent6">
              <a:lumMod val="75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>
            <a:lnSpc>
              <a:spcPts val="700"/>
            </a:lnSpc>
          </a:pPr>
          <a:r>
            <a:rPr lang="es-MX" sz="10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Sector vivienda</a:t>
          </a:r>
        </a:p>
      </cdr:txBody>
    </cdr:sp>
  </cdr:relSizeAnchor>
  <cdr:relSizeAnchor xmlns:cdr="http://schemas.openxmlformats.org/drawingml/2006/chartDrawing">
    <cdr:from>
      <cdr:x>0.04251</cdr:x>
      <cdr:y>0.70774</cdr:y>
    </cdr:from>
    <cdr:to>
      <cdr:x>0.38369</cdr:x>
      <cdr:y>0.76668</cdr:y>
    </cdr:to>
    <cdr:sp macro="" textlink="">
      <cdr:nvSpPr>
        <cdr:cNvPr id="32" name="Redondear rectángulo de esquina diagonal 31"/>
        <cdr:cNvSpPr/>
      </cdr:nvSpPr>
      <cdr:spPr>
        <a:xfrm xmlns:a="http://schemas.openxmlformats.org/drawingml/2006/main">
          <a:off x="184233" y="3222287"/>
          <a:ext cx="1478631" cy="268351"/>
        </a:xfrm>
        <a:prstGeom xmlns:a="http://schemas.openxmlformats.org/drawingml/2006/main" prst="round2Diag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>
          <a:solidFill>
            <a:schemeClr val="tx2">
              <a:lumMod val="60000"/>
              <a:lumOff val="40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>
            <a:lnSpc>
              <a:spcPts val="700"/>
            </a:lnSpc>
          </a:pPr>
          <a:r>
            <a:rPr lang="es-MX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Servicios</a:t>
          </a:r>
          <a:r>
            <a:rPr lang="es-MX" sz="10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 educativos</a:t>
          </a:r>
          <a:endParaRPr lang="es-MX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0.04956</cdr:x>
      <cdr:y>0.6319</cdr:y>
    </cdr:from>
    <cdr:to>
      <cdr:x>0.39074</cdr:x>
      <cdr:y>0.69084</cdr:y>
    </cdr:to>
    <cdr:sp macro="" textlink="">
      <cdr:nvSpPr>
        <cdr:cNvPr id="33" name="Redondear rectángulo de esquina diagonal 32"/>
        <cdr:cNvSpPr/>
      </cdr:nvSpPr>
      <cdr:spPr>
        <a:xfrm xmlns:a="http://schemas.openxmlformats.org/drawingml/2006/main">
          <a:off x="214787" y="2877024"/>
          <a:ext cx="1478631" cy="268350"/>
        </a:xfrm>
        <a:prstGeom xmlns:a="http://schemas.openxmlformats.org/drawingml/2006/main" prst="round2Diag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>
          <a:solidFill>
            <a:srgbClr val="CC99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>
            <a:lnSpc>
              <a:spcPts val="700"/>
            </a:lnSpc>
          </a:pPr>
          <a:r>
            <a:rPr lang="es-MX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Minería</a:t>
          </a:r>
        </a:p>
      </cdr:txBody>
    </cdr:sp>
  </cdr:relSizeAnchor>
  <cdr:relSizeAnchor xmlns:cdr="http://schemas.openxmlformats.org/drawingml/2006/chartDrawing">
    <cdr:from>
      <cdr:x>0.04697</cdr:x>
      <cdr:y>0.78357</cdr:y>
    </cdr:from>
    <cdr:to>
      <cdr:x>0.38815</cdr:x>
      <cdr:y>0.84251</cdr:y>
    </cdr:to>
    <cdr:sp macro="" textlink="">
      <cdr:nvSpPr>
        <cdr:cNvPr id="34" name="Redondear rectángulo de esquina diagonal 33"/>
        <cdr:cNvSpPr/>
      </cdr:nvSpPr>
      <cdr:spPr>
        <a:xfrm xmlns:a="http://schemas.openxmlformats.org/drawingml/2006/main">
          <a:off x="143724" y="2871633"/>
          <a:ext cx="1044000" cy="216000"/>
        </a:xfrm>
        <a:prstGeom xmlns:a="http://schemas.openxmlformats.org/drawingml/2006/main" prst="round2Diag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>
          <a:solidFill>
            <a:srgbClr val="FF9966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>
            <a:lnSpc>
              <a:spcPts val="700"/>
            </a:lnSpc>
          </a:pPr>
          <a:r>
            <a:rPr lang="es-MX" sz="1000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rPr>
            <a:t>Agricultura</a:t>
          </a:r>
        </a:p>
      </cdr:txBody>
    </cdr:sp>
  </cdr:relSizeAnchor>
  <cdr:relSizeAnchor xmlns:cdr="http://schemas.openxmlformats.org/drawingml/2006/chartDrawing">
    <cdr:from>
      <cdr:x>0.67774</cdr:x>
      <cdr:y>0.17654</cdr:y>
    </cdr:from>
    <cdr:to>
      <cdr:x>0.74835</cdr:x>
      <cdr:y>0.24048</cdr:y>
    </cdr:to>
    <cdr:sp macro="" textlink="">
      <cdr:nvSpPr>
        <cdr:cNvPr id="35" name="1 Elipse"/>
        <cdr:cNvSpPr/>
      </cdr:nvSpPr>
      <cdr:spPr>
        <a:xfrm xmlns:a="http://schemas.openxmlformats.org/drawingml/2006/main">
          <a:off x="2937240" y="803789"/>
          <a:ext cx="306015" cy="291097"/>
        </a:xfrm>
        <a:prstGeom xmlns:a="http://schemas.openxmlformats.org/drawingml/2006/main" prst="ellipse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12700" cap="flat" cmpd="sng" algn="ctr">
          <a:solidFill>
            <a:srgbClr val="0070C0"/>
          </a:solidFill>
          <a:prstDash val="solid"/>
        </a:ln>
        <a:effectLst xmlns:a="http://schemas.openxmlformats.org/drawingml/2006/main">
          <a:outerShdw blurRad="44450" dist="27940" dir="5400000" algn="ctr">
            <a:srgbClr val="000000">
              <a:alpha val="32000"/>
            </a:srgbClr>
          </a:outerShdw>
        </a:effectLst>
        <a:scene3d xmlns:a="http://schemas.openxmlformats.org/drawingml/2006/main">
          <a:camera prst="orthographicFront">
            <a:rot lat="0" lon="0" rev="0"/>
          </a:camera>
          <a:lightRig rig="balanced" dir="t">
            <a:rot lat="0" lon="0" rev="8700000"/>
          </a:lightRig>
        </a:scene3d>
        <a:sp3d xmlns:a="http://schemas.openxmlformats.org/drawingml/2006/main">
          <a:bevelT w="190500" h="38100"/>
        </a:sp3d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es-MX" sz="1050" b="1" dirty="0">
            <a:solidFill>
              <a:sysClr val="windowText" lastClr="000000">
                <a:lumMod val="95000"/>
                <a:lumOff val="5000"/>
              </a:sysClr>
            </a:solidFill>
            <a:latin typeface="Century Gothic" panose="020B0502020202020204" pitchFamily="34" charset="0"/>
          </a:endParaRPr>
        </a:p>
      </cdr:txBody>
    </cdr:sp>
  </cdr:relSizeAnchor>
  <cdr:relSizeAnchor xmlns:cdr="http://schemas.openxmlformats.org/drawingml/2006/chartDrawing">
    <cdr:from>
      <cdr:x>0.65627</cdr:x>
      <cdr:y>0.25215</cdr:y>
    </cdr:from>
    <cdr:to>
      <cdr:x>0.72687</cdr:x>
      <cdr:y>0.31417</cdr:y>
    </cdr:to>
    <cdr:sp macro="" textlink="">
      <cdr:nvSpPr>
        <cdr:cNvPr id="36" name="1 Elipse"/>
        <cdr:cNvSpPr/>
      </cdr:nvSpPr>
      <cdr:spPr>
        <a:xfrm xmlns:a="http://schemas.openxmlformats.org/drawingml/2006/main">
          <a:off x="2844179" y="1148031"/>
          <a:ext cx="305972" cy="282374"/>
        </a:xfrm>
        <a:prstGeom xmlns:a="http://schemas.openxmlformats.org/drawingml/2006/main" prst="ellipse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12700" cap="flat" cmpd="sng" algn="ctr">
          <a:solidFill>
            <a:srgbClr val="92D050"/>
          </a:solidFill>
          <a:prstDash val="solid"/>
        </a:ln>
        <a:effectLst xmlns:a="http://schemas.openxmlformats.org/drawingml/2006/main">
          <a:outerShdw blurRad="44450" dist="27940" dir="5400000" algn="ctr">
            <a:srgbClr val="000000">
              <a:alpha val="32000"/>
            </a:srgbClr>
          </a:outerShdw>
        </a:effectLst>
        <a:scene3d xmlns:a="http://schemas.openxmlformats.org/drawingml/2006/main">
          <a:camera prst="orthographicFront">
            <a:rot lat="0" lon="0" rev="0"/>
          </a:camera>
          <a:lightRig rig="balanced" dir="t">
            <a:rot lat="0" lon="0" rev="8700000"/>
          </a:lightRig>
        </a:scene3d>
        <a:sp3d xmlns:a="http://schemas.openxmlformats.org/drawingml/2006/main">
          <a:bevelT w="190500" h="38100"/>
        </a:sp3d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es-MX" sz="1100" b="1" dirty="0">
            <a:ln>
              <a:solidFill>
                <a:srgbClr val="00B050"/>
              </a:solidFill>
            </a:ln>
            <a:solidFill>
              <a:sysClr val="windowText" lastClr="000000">
                <a:lumMod val="95000"/>
                <a:lumOff val="5000"/>
              </a:sysClr>
            </a:solidFill>
            <a:latin typeface="Century Gothic" panose="020B0502020202020204" pitchFamily="34" charset="0"/>
          </a:endParaRPr>
        </a:p>
      </cdr:txBody>
    </cdr:sp>
  </cdr:relSizeAnchor>
  <cdr:relSizeAnchor xmlns:cdr="http://schemas.openxmlformats.org/drawingml/2006/chartDrawing">
    <cdr:from>
      <cdr:x>0.56707</cdr:x>
      <cdr:y>0.32807</cdr:y>
    </cdr:from>
    <cdr:to>
      <cdr:x>0.63767</cdr:x>
      <cdr:y>0.39009</cdr:y>
    </cdr:to>
    <cdr:sp macro="" textlink="">
      <cdr:nvSpPr>
        <cdr:cNvPr id="37" name="1 Elipse"/>
        <cdr:cNvSpPr/>
      </cdr:nvSpPr>
      <cdr:spPr>
        <a:xfrm xmlns:a="http://schemas.openxmlformats.org/drawingml/2006/main">
          <a:off x="2457592" y="1493691"/>
          <a:ext cx="305972" cy="282374"/>
        </a:xfrm>
        <a:prstGeom xmlns:a="http://schemas.openxmlformats.org/drawingml/2006/main" prst="ellipse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12700" cap="flat" cmpd="sng" algn="ctr">
          <a:solidFill>
            <a:srgbClr val="C00000"/>
          </a:solidFill>
          <a:prstDash val="solid"/>
        </a:ln>
        <a:effectLst xmlns:a="http://schemas.openxmlformats.org/drawingml/2006/main">
          <a:outerShdw blurRad="44450" dist="27940" dir="5400000" algn="ctr">
            <a:srgbClr val="000000">
              <a:alpha val="32000"/>
            </a:srgbClr>
          </a:outerShdw>
        </a:effectLst>
        <a:scene3d xmlns:a="http://schemas.openxmlformats.org/drawingml/2006/main">
          <a:camera prst="orthographicFront">
            <a:rot lat="0" lon="0" rev="0"/>
          </a:camera>
          <a:lightRig rig="balanced" dir="t">
            <a:rot lat="0" lon="0" rev="8700000"/>
          </a:lightRig>
        </a:scene3d>
        <a:sp3d xmlns:a="http://schemas.openxmlformats.org/drawingml/2006/main">
          <a:bevelT w="190500" h="38100"/>
        </a:sp3d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es-MX" sz="1050" b="1" dirty="0">
            <a:ln>
              <a:solidFill>
                <a:srgbClr val="00B050"/>
              </a:solidFill>
            </a:ln>
            <a:solidFill>
              <a:sysClr val="windowText" lastClr="000000">
                <a:lumMod val="95000"/>
                <a:lumOff val="5000"/>
              </a:sysClr>
            </a:solidFill>
            <a:latin typeface="Century Gothic" panose="020B0502020202020204" pitchFamily="34" charset="0"/>
          </a:endParaRPr>
        </a:p>
      </cdr:txBody>
    </cdr:sp>
  </cdr:relSizeAnchor>
  <cdr:relSizeAnchor xmlns:cdr="http://schemas.openxmlformats.org/drawingml/2006/chartDrawing">
    <cdr:from>
      <cdr:x>0.52427</cdr:x>
      <cdr:y>0.4044</cdr:y>
    </cdr:from>
    <cdr:to>
      <cdr:x>0.59487</cdr:x>
      <cdr:y>0.46642</cdr:y>
    </cdr:to>
    <cdr:sp macro="" textlink="">
      <cdr:nvSpPr>
        <cdr:cNvPr id="38" name="1 Elipse"/>
        <cdr:cNvSpPr/>
      </cdr:nvSpPr>
      <cdr:spPr>
        <a:xfrm xmlns:a="http://schemas.openxmlformats.org/drawingml/2006/main">
          <a:off x="2272141" y="1841200"/>
          <a:ext cx="305971" cy="282374"/>
        </a:xfrm>
        <a:prstGeom xmlns:a="http://schemas.openxmlformats.org/drawingml/2006/main" prst="ellipse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12700" cap="flat" cmpd="sng" algn="ctr">
          <a:solidFill>
            <a:srgbClr val="9933FF"/>
          </a:solidFill>
          <a:prstDash val="solid"/>
        </a:ln>
        <a:effectLst xmlns:a="http://schemas.openxmlformats.org/drawingml/2006/main">
          <a:outerShdw blurRad="44450" dist="27940" dir="5400000" algn="ctr">
            <a:srgbClr val="000000">
              <a:alpha val="32000"/>
            </a:srgbClr>
          </a:outerShdw>
        </a:effectLst>
        <a:scene3d xmlns:a="http://schemas.openxmlformats.org/drawingml/2006/main">
          <a:camera prst="orthographicFront">
            <a:rot lat="0" lon="0" rev="0"/>
          </a:camera>
          <a:lightRig rig="balanced" dir="t">
            <a:rot lat="0" lon="0" rev="8700000"/>
          </a:lightRig>
        </a:scene3d>
        <a:sp3d xmlns:a="http://schemas.openxmlformats.org/drawingml/2006/main">
          <a:bevelT w="190500" h="38100"/>
        </a:sp3d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es-MX" sz="1100" b="1" dirty="0">
            <a:ln>
              <a:solidFill>
                <a:srgbClr val="00B050"/>
              </a:solidFill>
            </a:ln>
            <a:solidFill>
              <a:sysClr val="windowText" lastClr="000000">
                <a:lumMod val="95000"/>
                <a:lumOff val="5000"/>
              </a:sysClr>
            </a:solidFill>
            <a:latin typeface="Century Gothic" panose="020B0502020202020204" pitchFamily="34" charset="0"/>
          </a:endParaRPr>
        </a:p>
      </cdr:txBody>
    </cdr:sp>
  </cdr:relSizeAnchor>
  <cdr:relSizeAnchor xmlns:cdr="http://schemas.openxmlformats.org/drawingml/2006/chartDrawing">
    <cdr:from>
      <cdr:x>0.45719</cdr:x>
      <cdr:y>0.48078</cdr:y>
    </cdr:from>
    <cdr:to>
      <cdr:x>0.52779</cdr:x>
      <cdr:y>0.5428</cdr:y>
    </cdr:to>
    <cdr:sp macro="" textlink="">
      <cdr:nvSpPr>
        <cdr:cNvPr id="39" name="1 Elipse"/>
        <cdr:cNvSpPr/>
      </cdr:nvSpPr>
      <cdr:spPr>
        <a:xfrm xmlns:a="http://schemas.openxmlformats.org/drawingml/2006/main">
          <a:off x="1981419" y="2188973"/>
          <a:ext cx="305972" cy="282374"/>
        </a:xfrm>
        <a:prstGeom xmlns:a="http://schemas.openxmlformats.org/drawingml/2006/main" prst="ellipse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12700" cap="flat" cmpd="sng" algn="ctr">
          <a:solidFill>
            <a:srgbClr val="FF6699"/>
          </a:solidFill>
          <a:prstDash val="solid"/>
        </a:ln>
        <a:effectLst xmlns:a="http://schemas.openxmlformats.org/drawingml/2006/main">
          <a:outerShdw blurRad="44450" dist="27940" dir="5400000" algn="ctr">
            <a:srgbClr val="000000">
              <a:alpha val="32000"/>
            </a:srgbClr>
          </a:outerShdw>
        </a:effectLst>
        <a:scene3d xmlns:a="http://schemas.openxmlformats.org/drawingml/2006/main">
          <a:camera prst="orthographicFront">
            <a:rot lat="0" lon="0" rev="0"/>
          </a:camera>
          <a:lightRig rig="balanced" dir="t">
            <a:rot lat="0" lon="0" rev="8700000"/>
          </a:lightRig>
        </a:scene3d>
        <a:sp3d xmlns:a="http://schemas.openxmlformats.org/drawingml/2006/main">
          <a:bevelT w="190500" h="38100"/>
        </a:sp3d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es-MX" sz="1050" b="1" dirty="0">
            <a:ln>
              <a:solidFill>
                <a:srgbClr val="00B050"/>
              </a:solidFill>
            </a:ln>
            <a:solidFill>
              <a:sysClr val="windowText" lastClr="000000">
                <a:lumMod val="95000"/>
                <a:lumOff val="5000"/>
              </a:sysClr>
            </a:solidFill>
            <a:latin typeface="Century Gothic" panose="020B0502020202020204" pitchFamily="34" charset="0"/>
          </a:endParaRPr>
        </a:p>
      </cdr:txBody>
    </cdr:sp>
  </cdr:relSizeAnchor>
  <cdr:relSizeAnchor xmlns:cdr="http://schemas.openxmlformats.org/drawingml/2006/chartDrawing">
    <cdr:from>
      <cdr:x>0.44922</cdr:x>
      <cdr:y>0.55365</cdr:y>
    </cdr:from>
    <cdr:to>
      <cdr:x>0.51982</cdr:x>
      <cdr:y>0.61566</cdr:y>
    </cdr:to>
    <cdr:sp macro="" textlink="">
      <cdr:nvSpPr>
        <cdr:cNvPr id="40" name="1 Elipse"/>
        <cdr:cNvSpPr/>
      </cdr:nvSpPr>
      <cdr:spPr>
        <a:xfrm xmlns:a="http://schemas.openxmlformats.org/drawingml/2006/main">
          <a:off x="1946869" y="2520756"/>
          <a:ext cx="305971" cy="282328"/>
        </a:xfrm>
        <a:prstGeom xmlns:a="http://schemas.openxmlformats.org/drawingml/2006/main" prst="ellipse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12700" cap="flat" cmpd="sng" algn="ctr">
          <a:solidFill>
            <a:schemeClr val="accent6">
              <a:lumMod val="75000"/>
            </a:schemeClr>
          </a:solidFill>
          <a:prstDash val="solid"/>
        </a:ln>
        <a:effectLst xmlns:a="http://schemas.openxmlformats.org/drawingml/2006/main">
          <a:outerShdw blurRad="44450" dist="27940" dir="5400000" algn="ctr">
            <a:srgbClr val="000000">
              <a:alpha val="32000"/>
            </a:srgbClr>
          </a:outerShdw>
        </a:effectLst>
        <a:scene3d xmlns:a="http://schemas.openxmlformats.org/drawingml/2006/main">
          <a:camera prst="orthographicFront">
            <a:rot lat="0" lon="0" rev="0"/>
          </a:camera>
          <a:lightRig rig="balanced" dir="t">
            <a:rot lat="0" lon="0" rev="8700000"/>
          </a:lightRig>
        </a:scene3d>
        <a:sp3d xmlns:a="http://schemas.openxmlformats.org/drawingml/2006/main">
          <a:bevelT w="190500" h="38100"/>
        </a:sp3d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es-MX" sz="1050" b="1" dirty="0">
            <a:ln>
              <a:solidFill>
                <a:srgbClr val="00B050"/>
              </a:solidFill>
            </a:ln>
            <a:solidFill>
              <a:sysClr val="windowText" lastClr="000000">
                <a:lumMod val="95000"/>
                <a:lumOff val="5000"/>
              </a:sysClr>
            </a:solidFill>
            <a:latin typeface="Century Gothic" panose="020B0502020202020204" pitchFamily="34" charset="0"/>
          </a:endParaRPr>
        </a:p>
      </cdr:txBody>
    </cdr:sp>
  </cdr:relSizeAnchor>
  <cdr:relSizeAnchor xmlns:cdr="http://schemas.openxmlformats.org/drawingml/2006/chartDrawing">
    <cdr:from>
      <cdr:x>0.42581</cdr:x>
      <cdr:y>0.62807</cdr:y>
    </cdr:from>
    <cdr:to>
      <cdr:x>0.49641</cdr:x>
      <cdr:y>0.69002</cdr:y>
    </cdr:to>
    <cdr:sp macro="" textlink="">
      <cdr:nvSpPr>
        <cdr:cNvPr id="41" name="1 Elipse"/>
        <cdr:cNvSpPr/>
      </cdr:nvSpPr>
      <cdr:spPr>
        <a:xfrm xmlns:a="http://schemas.openxmlformats.org/drawingml/2006/main">
          <a:off x="1845398" y="2859560"/>
          <a:ext cx="305971" cy="282055"/>
        </a:xfrm>
        <a:prstGeom xmlns:a="http://schemas.openxmlformats.org/drawingml/2006/main" prst="ellipse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12700" cap="flat" cmpd="sng" algn="ctr">
          <a:solidFill>
            <a:schemeClr val="accent4">
              <a:lumMod val="75000"/>
            </a:schemeClr>
          </a:solidFill>
          <a:prstDash val="solid"/>
        </a:ln>
        <a:effectLst xmlns:a="http://schemas.openxmlformats.org/drawingml/2006/main">
          <a:outerShdw blurRad="44450" dist="27940" dir="5400000" algn="ctr">
            <a:srgbClr val="000000">
              <a:alpha val="32000"/>
            </a:srgbClr>
          </a:outerShdw>
        </a:effectLst>
        <a:scene3d xmlns:a="http://schemas.openxmlformats.org/drawingml/2006/main">
          <a:camera prst="orthographicFront">
            <a:rot lat="0" lon="0" rev="0"/>
          </a:camera>
          <a:lightRig rig="balanced" dir="t">
            <a:rot lat="0" lon="0" rev="8700000"/>
          </a:lightRig>
        </a:scene3d>
        <a:sp3d xmlns:a="http://schemas.openxmlformats.org/drawingml/2006/main">
          <a:bevelT w="190500" h="38100"/>
        </a:sp3d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es-MX" sz="1050" b="1" dirty="0">
            <a:ln>
              <a:solidFill>
                <a:srgbClr val="00B050"/>
              </a:solidFill>
            </a:ln>
            <a:solidFill>
              <a:sysClr val="windowText" lastClr="000000">
                <a:lumMod val="95000"/>
                <a:lumOff val="5000"/>
              </a:sysClr>
            </a:solidFill>
            <a:latin typeface="Century Gothic" panose="020B0502020202020204" pitchFamily="34" charset="0"/>
          </a:endParaRPr>
        </a:p>
      </cdr:txBody>
    </cdr:sp>
  </cdr:relSizeAnchor>
  <cdr:relSizeAnchor xmlns:cdr="http://schemas.openxmlformats.org/drawingml/2006/chartDrawing">
    <cdr:from>
      <cdr:x>0.42014</cdr:x>
      <cdr:y>0.70453</cdr:y>
    </cdr:from>
    <cdr:to>
      <cdr:x>0.49074</cdr:x>
      <cdr:y>0.76655</cdr:y>
    </cdr:to>
    <cdr:sp macro="" textlink="">
      <cdr:nvSpPr>
        <cdr:cNvPr id="42" name="1 Elipse"/>
        <cdr:cNvSpPr/>
      </cdr:nvSpPr>
      <cdr:spPr>
        <a:xfrm xmlns:a="http://schemas.openxmlformats.org/drawingml/2006/main">
          <a:off x="1820825" y="3207706"/>
          <a:ext cx="305971" cy="282374"/>
        </a:xfrm>
        <a:prstGeom xmlns:a="http://schemas.openxmlformats.org/drawingml/2006/main" prst="ellipse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12700" cap="flat" cmpd="sng" algn="ctr">
          <a:solidFill>
            <a:schemeClr val="accent4">
              <a:lumMod val="60000"/>
              <a:lumOff val="40000"/>
            </a:schemeClr>
          </a:solidFill>
          <a:prstDash val="solid"/>
        </a:ln>
        <a:effectLst xmlns:a="http://schemas.openxmlformats.org/drawingml/2006/main">
          <a:outerShdw blurRad="44450" dist="27940" dir="5400000" algn="ctr">
            <a:srgbClr val="000000">
              <a:alpha val="32000"/>
            </a:srgbClr>
          </a:outerShdw>
        </a:effectLst>
        <a:scene3d xmlns:a="http://schemas.openxmlformats.org/drawingml/2006/main">
          <a:camera prst="orthographicFront">
            <a:rot lat="0" lon="0" rev="0"/>
          </a:camera>
          <a:lightRig rig="balanced" dir="t">
            <a:rot lat="0" lon="0" rev="8700000"/>
          </a:lightRig>
        </a:scene3d>
        <a:sp3d xmlns:a="http://schemas.openxmlformats.org/drawingml/2006/main">
          <a:bevelT w="190500" h="38100"/>
        </a:sp3d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es-MX" sz="1050" b="1" dirty="0">
            <a:ln>
              <a:solidFill>
                <a:srgbClr val="00B050"/>
              </a:solidFill>
            </a:ln>
            <a:solidFill>
              <a:sysClr val="windowText" lastClr="000000">
                <a:lumMod val="95000"/>
                <a:lumOff val="5000"/>
              </a:sysClr>
            </a:solidFill>
            <a:latin typeface="Century Gothic" panose="020B0502020202020204" pitchFamily="34" charset="0"/>
          </a:endParaRPr>
        </a:p>
      </cdr:txBody>
    </cdr:sp>
  </cdr:relSizeAnchor>
  <cdr:relSizeAnchor xmlns:cdr="http://schemas.openxmlformats.org/drawingml/2006/chartDrawing">
    <cdr:from>
      <cdr:x>0.41046</cdr:x>
      <cdr:y>0.77987</cdr:y>
    </cdr:from>
    <cdr:to>
      <cdr:x>0.48106</cdr:x>
      <cdr:y>0.84188</cdr:y>
    </cdr:to>
    <cdr:sp macro="" textlink="">
      <cdr:nvSpPr>
        <cdr:cNvPr id="43" name="1 Elipse"/>
        <cdr:cNvSpPr/>
      </cdr:nvSpPr>
      <cdr:spPr>
        <a:xfrm xmlns:a="http://schemas.openxmlformats.org/drawingml/2006/main">
          <a:off x="1778901" y="3550717"/>
          <a:ext cx="305972" cy="282329"/>
        </a:xfrm>
        <a:prstGeom xmlns:a="http://schemas.openxmlformats.org/drawingml/2006/main" prst="ellipse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12700" cap="flat" cmpd="sng" algn="ctr">
          <a:solidFill>
            <a:schemeClr val="accent2">
              <a:lumMod val="60000"/>
              <a:lumOff val="40000"/>
            </a:schemeClr>
          </a:solidFill>
          <a:prstDash val="solid"/>
        </a:ln>
        <a:effectLst xmlns:a="http://schemas.openxmlformats.org/drawingml/2006/main">
          <a:outerShdw blurRad="44450" dist="27940" dir="5400000" algn="ctr">
            <a:srgbClr val="000000">
              <a:alpha val="32000"/>
            </a:srgbClr>
          </a:outerShdw>
        </a:effectLst>
        <a:scene3d xmlns:a="http://schemas.openxmlformats.org/drawingml/2006/main">
          <a:camera prst="orthographicFront">
            <a:rot lat="0" lon="0" rev="0"/>
          </a:camera>
          <a:lightRig rig="balanced" dir="t">
            <a:rot lat="0" lon="0" rev="8700000"/>
          </a:lightRig>
        </a:scene3d>
        <a:sp3d xmlns:a="http://schemas.openxmlformats.org/drawingml/2006/main">
          <a:bevelT w="190500" h="38100"/>
        </a:sp3d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es-MX" sz="1050" b="1" dirty="0">
            <a:ln>
              <a:solidFill>
                <a:srgbClr val="00B050"/>
              </a:solidFill>
            </a:ln>
            <a:solidFill>
              <a:sysClr val="windowText" lastClr="000000">
                <a:lumMod val="95000"/>
                <a:lumOff val="5000"/>
              </a:sysClr>
            </a:solidFill>
            <a:latin typeface="Century Gothic" panose="020B0502020202020204" pitchFamily="34" charset="0"/>
          </a:endParaRPr>
        </a:p>
      </cdr:txBody>
    </cdr:sp>
  </cdr:relSizeAnchor>
  <cdr:relSizeAnchor xmlns:cdr="http://schemas.openxmlformats.org/drawingml/2006/chartDrawing">
    <cdr:from>
      <cdr:x>0.62293</cdr:x>
      <cdr:y>0.25552</cdr:y>
    </cdr:from>
    <cdr:to>
      <cdr:x>0.76383</cdr:x>
      <cdr:y>0.31454</cdr:y>
    </cdr:to>
    <cdr:sp macro="" textlink="">
      <cdr:nvSpPr>
        <cdr:cNvPr id="44" name="1 CuadroTexto"/>
        <cdr:cNvSpPr txBox="1"/>
      </cdr:nvSpPr>
      <cdr:spPr>
        <a:xfrm xmlns:a="http://schemas.openxmlformats.org/drawingml/2006/main">
          <a:off x="2699721" y="1163390"/>
          <a:ext cx="610643" cy="2687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1000" b="0" dirty="0">
              <a:latin typeface="Arial" pitchFamily="34" charset="0"/>
              <a:cs typeface="Arial" pitchFamily="34" charset="0"/>
            </a:rPr>
            <a:t>18.3</a:t>
          </a:r>
          <a:endParaRPr lang="es-MX" sz="900" b="0" dirty="0"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0.64014</cdr:x>
      <cdr:y>0.1809</cdr:y>
    </cdr:from>
    <cdr:to>
      <cdr:x>0.78104</cdr:x>
      <cdr:y>0.23993</cdr:y>
    </cdr:to>
    <cdr:sp macro="" textlink="">
      <cdr:nvSpPr>
        <cdr:cNvPr id="45" name="1 CuadroTexto"/>
        <cdr:cNvSpPr txBox="1"/>
      </cdr:nvSpPr>
      <cdr:spPr>
        <a:xfrm xmlns:a="http://schemas.openxmlformats.org/drawingml/2006/main">
          <a:off x="2774292" y="823640"/>
          <a:ext cx="610642" cy="2687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1000" b="0" dirty="0">
              <a:latin typeface="Arial" pitchFamily="34" charset="0"/>
              <a:cs typeface="Arial" pitchFamily="34" charset="0"/>
            </a:rPr>
            <a:t>19.9</a:t>
          </a:r>
        </a:p>
      </cdr:txBody>
    </cdr:sp>
  </cdr:relSizeAnchor>
  <cdr:relSizeAnchor xmlns:cdr="http://schemas.openxmlformats.org/drawingml/2006/chartDrawing">
    <cdr:from>
      <cdr:x>0.53089</cdr:x>
      <cdr:y>0.3263</cdr:y>
    </cdr:from>
    <cdr:to>
      <cdr:x>0.6718</cdr:x>
      <cdr:y>0.38533</cdr:y>
    </cdr:to>
    <cdr:sp macro="" textlink="">
      <cdr:nvSpPr>
        <cdr:cNvPr id="46" name="1 CuadroTexto"/>
        <cdr:cNvSpPr txBox="1"/>
      </cdr:nvSpPr>
      <cdr:spPr>
        <a:xfrm xmlns:a="http://schemas.openxmlformats.org/drawingml/2006/main">
          <a:off x="2300793" y="1485632"/>
          <a:ext cx="610686" cy="2687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1000" b="1" dirty="0">
              <a:solidFill>
                <a:schemeClr val="accent6">
                  <a:lumMod val="50000"/>
                </a:schemeClr>
              </a:solidFill>
              <a:latin typeface="Arial" pitchFamily="34" charset="0"/>
              <a:cs typeface="Arial" pitchFamily="34" charset="0"/>
            </a:rPr>
            <a:t>13.1</a:t>
          </a:r>
        </a:p>
      </cdr:txBody>
    </cdr:sp>
  </cdr:relSizeAnchor>
  <cdr:relSizeAnchor xmlns:cdr="http://schemas.openxmlformats.org/drawingml/2006/chartDrawing">
    <cdr:from>
      <cdr:x>0.48685</cdr:x>
      <cdr:y>0.40496</cdr:y>
    </cdr:from>
    <cdr:to>
      <cdr:x>0.62775</cdr:x>
      <cdr:y>0.46398</cdr:y>
    </cdr:to>
    <cdr:sp macro="" textlink="">
      <cdr:nvSpPr>
        <cdr:cNvPr id="47" name="1 CuadroTexto"/>
        <cdr:cNvSpPr txBox="1"/>
      </cdr:nvSpPr>
      <cdr:spPr>
        <a:xfrm xmlns:a="http://schemas.openxmlformats.org/drawingml/2006/main">
          <a:off x="2109967" y="1843750"/>
          <a:ext cx="610643" cy="2687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1000" b="0" dirty="0">
              <a:latin typeface="Arial" pitchFamily="34" charset="0"/>
              <a:cs typeface="Arial" pitchFamily="34" charset="0"/>
            </a:rPr>
            <a:t>10.3</a:t>
          </a:r>
        </a:p>
      </cdr:txBody>
    </cdr:sp>
  </cdr:relSizeAnchor>
  <cdr:relSizeAnchor xmlns:cdr="http://schemas.openxmlformats.org/drawingml/2006/chartDrawing">
    <cdr:from>
      <cdr:x>0.42151</cdr:x>
      <cdr:y>0.48136</cdr:y>
    </cdr:from>
    <cdr:to>
      <cdr:x>0.56241</cdr:x>
      <cdr:y>0.54039</cdr:y>
    </cdr:to>
    <cdr:sp macro="" textlink="">
      <cdr:nvSpPr>
        <cdr:cNvPr id="48" name="1 CuadroTexto"/>
        <cdr:cNvSpPr txBox="1"/>
      </cdr:nvSpPr>
      <cdr:spPr>
        <a:xfrm xmlns:a="http://schemas.openxmlformats.org/drawingml/2006/main">
          <a:off x="1826786" y="2191614"/>
          <a:ext cx="610643" cy="2687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1000" b="0" dirty="0">
              <a:latin typeface="Arial" pitchFamily="34" charset="0"/>
              <a:cs typeface="Arial" pitchFamily="34" charset="0"/>
            </a:rPr>
            <a:t>6.5</a:t>
          </a:r>
        </a:p>
      </cdr:txBody>
    </cdr:sp>
  </cdr:relSizeAnchor>
  <cdr:relSizeAnchor xmlns:cdr="http://schemas.openxmlformats.org/drawingml/2006/chartDrawing">
    <cdr:from>
      <cdr:x>0.41335</cdr:x>
      <cdr:y>0.55507</cdr:y>
    </cdr:from>
    <cdr:to>
      <cdr:x>0.55425</cdr:x>
      <cdr:y>0.6141</cdr:y>
    </cdr:to>
    <cdr:sp macro="" textlink="">
      <cdr:nvSpPr>
        <cdr:cNvPr id="49" name="1 CuadroTexto"/>
        <cdr:cNvSpPr txBox="1"/>
      </cdr:nvSpPr>
      <cdr:spPr>
        <a:xfrm xmlns:a="http://schemas.openxmlformats.org/drawingml/2006/main">
          <a:off x="1791412" y="2527221"/>
          <a:ext cx="610643" cy="2687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1000" b="1" dirty="0">
              <a:solidFill>
                <a:schemeClr val="accent6">
                  <a:lumMod val="50000"/>
                </a:schemeClr>
              </a:solidFill>
              <a:latin typeface="Arial" pitchFamily="34" charset="0"/>
              <a:cs typeface="Arial" pitchFamily="34" charset="0"/>
            </a:rPr>
            <a:t>6.0</a:t>
          </a:r>
        </a:p>
      </cdr:txBody>
    </cdr:sp>
  </cdr:relSizeAnchor>
  <cdr:relSizeAnchor xmlns:cdr="http://schemas.openxmlformats.org/drawingml/2006/chartDrawing">
    <cdr:from>
      <cdr:x>0.39535</cdr:x>
      <cdr:y>0.62919</cdr:y>
    </cdr:from>
    <cdr:to>
      <cdr:x>0.53625</cdr:x>
      <cdr:y>0.68822</cdr:y>
    </cdr:to>
    <cdr:sp macro="" textlink="">
      <cdr:nvSpPr>
        <cdr:cNvPr id="50" name="1 CuadroTexto"/>
        <cdr:cNvSpPr txBox="1"/>
      </cdr:nvSpPr>
      <cdr:spPr>
        <a:xfrm xmlns:a="http://schemas.openxmlformats.org/drawingml/2006/main">
          <a:off x="1713388" y="2864659"/>
          <a:ext cx="610643" cy="2687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1000" b="0" dirty="0">
              <a:latin typeface="Arial" pitchFamily="34" charset="0"/>
              <a:cs typeface="Arial" pitchFamily="34" charset="0"/>
            </a:rPr>
            <a:t>4.3</a:t>
          </a:r>
        </a:p>
      </cdr:txBody>
    </cdr:sp>
  </cdr:relSizeAnchor>
  <cdr:relSizeAnchor xmlns:cdr="http://schemas.openxmlformats.org/drawingml/2006/chartDrawing">
    <cdr:from>
      <cdr:x>0.38736</cdr:x>
      <cdr:y>0.70519</cdr:y>
    </cdr:from>
    <cdr:to>
      <cdr:x>0.52826</cdr:x>
      <cdr:y>0.76422</cdr:y>
    </cdr:to>
    <cdr:sp macro="" textlink="">
      <cdr:nvSpPr>
        <cdr:cNvPr id="51" name="1 CuadroTexto"/>
        <cdr:cNvSpPr txBox="1"/>
      </cdr:nvSpPr>
      <cdr:spPr>
        <a:xfrm xmlns:a="http://schemas.openxmlformats.org/drawingml/2006/main">
          <a:off x="1678760" y="3210711"/>
          <a:ext cx="610643" cy="2687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1000" b="0" dirty="0">
              <a:latin typeface="Arial" pitchFamily="34" charset="0"/>
              <a:cs typeface="Arial" pitchFamily="34" charset="0"/>
            </a:rPr>
            <a:t>3.9</a:t>
          </a:r>
        </a:p>
      </cdr:txBody>
    </cdr:sp>
  </cdr:relSizeAnchor>
  <cdr:relSizeAnchor xmlns:cdr="http://schemas.openxmlformats.org/drawingml/2006/chartDrawing">
    <cdr:from>
      <cdr:x>0.37451</cdr:x>
      <cdr:y>0.77939</cdr:y>
    </cdr:from>
    <cdr:to>
      <cdr:x>0.51541</cdr:x>
      <cdr:y>0.83842</cdr:y>
    </cdr:to>
    <cdr:sp macro="" textlink="">
      <cdr:nvSpPr>
        <cdr:cNvPr id="52" name="1 CuadroTexto"/>
        <cdr:cNvSpPr txBox="1"/>
      </cdr:nvSpPr>
      <cdr:spPr>
        <a:xfrm xmlns:a="http://schemas.openxmlformats.org/drawingml/2006/main">
          <a:off x="1623099" y="3548532"/>
          <a:ext cx="610643" cy="2687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1000" b="0" dirty="0">
              <a:latin typeface="Arial" pitchFamily="34" charset="0"/>
              <a:cs typeface="Arial" pitchFamily="34" charset="0"/>
            </a:rPr>
            <a:t>3.6</a:t>
          </a:r>
        </a:p>
      </cdr:txBody>
    </cdr:sp>
  </cdr:relSizeAnchor>
  <cdr:relSizeAnchor xmlns:cdr="http://schemas.openxmlformats.org/drawingml/2006/chartDrawing">
    <cdr:from>
      <cdr:x>0</cdr:x>
      <cdr:y>0.84062</cdr:y>
    </cdr:from>
    <cdr:to>
      <cdr:x>1</cdr:x>
      <cdr:y>0.9368</cdr:y>
    </cdr:to>
    <cdr:sp macro="" textlink="">
      <cdr:nvSpPr>
        <cdr:cNvPr id="53" name="1 CuadroTexto">
          <a:extLst xmlns:a="http://schemas.openxmlformats.org/drawingml/2006/main">
            <a:ext uri="{FF2B5EF4-FFF2-40B4-BE49-F238E27FC236}">
              <a16:creationId xmlns:a16="http://schemas.microsoft.com/office/drawing/2014/main" id="{CC09516E-04B9-45AC-ACC0-01E5F21F9D69}"/>
            </a:ext>
          </a:extLst>
        </cdr:cNvPr>
        <cdr:cNvSpPr txBox="1"/>
      </cdr:nvSpPr>
      <cdr:spPr>
        <a:xfrm xmlns:a="http://schemas.openxmlformats.org/drawingml/2006/main">
          <a:off x="0" y="3386927"/>
          <a:ext cx="4333875" cy="3875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es-MX" sz="800" baseline="30000" dirty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</a:t>
          </a:r>
          <a:r>
            <a:rPr lang="es-MX" sz="800" dirty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Cifra preliminar.</a:t>
          </a:r>
        </a:p>
        <a:p xmlns:a="http://schemas.openxmlformats.org/drawingml/2006/main">
          <a:r>
            <a:rPr lang="es-MX" sz="800" b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FUENTE: INEGI. Sistema de Cuentas Nacionales de México. Cuenta satélite</a:t>
          </a:r>
        </a:p>
        <a:p xmlns:a="http://schemas.openxmlformats.org/drawingml/2006/main">
          <a:r>
            <a:rPr lang="es-MX" sz="800" b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                de vivienda de México. 2018 preliminar. Año Base 2013</a:t>
          </a:r>
        </a:p>
        <a:p xmlns:a="http://schemas.openxmlformats.org/drawingml/2006/main">
          <a:r>
            <a:rPr lang="es-MX" sz="800" b="0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                INEGI. </a:t>
          </a:r>
          <a:r>
            <a:rPr lang="es-MX" sz="800" b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Sistema de Cuentas Nacionales de México. Cuentas de bienes y servicios, </a:t>
          </a:r>
        </a:p>
        <a:p xmlns:a="http://schemas.openxmlformats.org/drawingml/2006/main">
          <a:r>
            <a:rPr lang="es-MX" sz="800" b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                2018 preliminar. Año Base 2013</a:t>
          </a:r>
          <a:endParaRPr lang="es-MX" sz="800">
            <a:effectLst/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pPr algn="l"/>
          <a:endParaRPr lang="es-MX" sz="700" b="0" dirty="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BF258E8D17940A760D8E68462521D" ma:contentTypeVersion="13" ma:contentTypeDescription="Create a new document." ma:contentTypeScope="" ma:versionID="c798f728d0275d11ff59b3680ea271d0">
  <xsd:schema xmlns:xsd="http://www.w3.org/2001/XMLSchema" xmlns:xs="http://www.w3.org/2001/XMLSchema" xmlns:p="http://schemas.microsoft.com/office/2006/metadata/properties" xmlns:ns3="7dc55580-dde0-41ef-923c-b26ada10efee" xmlns:ns4="19fb8fc5-e27b-41a1-ae76-0397d965dfe7" targetNamespace="http://schemas.microsoft.com/office/2006/metadata/properties" ma:root="true" ma:fieldsID="687866a41d7d7e434e6303625dce266b" ns3:_="" ns4:_="">
    <xsd:import namespace="7dc55580-dde0-41ef-923c-b26ada10efee"/>
    <xsd:import namespace="19fb8fc5-e27b-41a1-ae76-0397d965df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55580-dde0-41ef-923c-b26ada10ef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b8fc5-e27b-41a1-ae76-0397d965d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903F9-431F-4961-B330-E042A2744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41308-E557-4E54-A7E3-15144BB1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55580-dde0-41ef-923c-b26ada10efee"/>
    <ds:schemaRef ds:uri="19fb8fc5-e27b-41a1-ae76-0397d965d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D077F3-8328-4E1C-8737-EA86E8149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0AE3FF-6351-42AC-B230-7A9E806A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1358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THGP</dc:creator>
  <cp:keywords/>
  <dc:description/>
  <cp:lastModifiedBy>SALA DE PRENSA</cp:lastModifiedBy>
  <cp:revision>4</cp:revision>
  <cp:lastPrinted>2020-01-27T20:52:00Z</cp:lastPrinted>
  <dcterms:created xsi:type="dcterms:W3CDTF">2020-01-27T22:48:00Z</dcterms:created>
  <dcterms:modified xsi:type="dcterms:W3CDTF">2020-02-05T19:55:00Z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0x010100350BF258E8D17940A760D8E68462521D</vt:lpwstr>
  </property>
</Properties>
</file>