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EB02" w14:textId="77777777" w:rsidR="00891FEC" w:rsidRDefault="00891FEC" w:rsidP="00891FEC">
      <w:pPr>
        <w:pStyle w:val="Default"/>
        <w:ind w:left="-567"/>
        <w:rPr>
          <w:b/>
          <w:bCs/>
          <w:color w:val="000000" w:themeColor="text1"/>
          <w:sz w:val="26"/>
          <w:szCs w:val="26"/>
        </w:rPr>
      </w:pPr>
    </w:p>
    <w:p w14:paraId="4AEF2477" w14:textId="67F80CB2" w:rsidR="00735A70" w:rsidRDefault="00502D7C" w:rsidP="00735A70">
      <w:pPr>
        <w:pStyle w:val="Default"/>
        <w:ind w:left="-567" w:right="-516"/>
        <w:jc w:val="center"/>
        <w:rPr>
          <w:color w:val="000000" w:themeColor="text1"/>
        </w:rPr>
      </w:pPr>
      <w:r w:rsidRPr="00735A70">
        <w:rPr>
          <w:b/>
          <w:bCs/>
          <w:color w:val="000000" w:themeColor="text1"/>
        </w:rPr>
        <w:t>ESTADÍSTICAS A PROPÓSITO DEL</w:t>
      </w:r>
      <w:r w:rsidR="00374D47">
        <w:rPr>
          <w:b/>
          <w:bCs/>
          <w:color w:val="000000" w:themeColor="text1"/>
        </w:rPr>
        <w:t xml:space="preserve"> </w:t>
      </w:r>
      <w:r w:rsidRPr="00735A70">
        <w:rPr>
          <w:b/>
          <w:bCs/>
          <w:color w:val="000000" w:themeColor="text1"/>
        </w:rPr>
        <w:t>DÍA MUNDIAL DEL MEDIO AMBIENTE</w:t>
      </w:r>
    </w:p>
    <w:p w14:paraId="6A3ECB38" w14:textId="183D1059" w:rsidR="00502D7C" w:rsidRPr="00735A70" w:rsidRDefault="00735A70" w:rsidP="00735A70">
      <w:pPr>
        <w:pStyle w:val="Default"/>
        <w:ind w:left="-567" w:right="-51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(5 </w:t>
      </w:r>
      <w:r w:rsidR="00502D7C" w:rsidRPr="00735A70">
        <w:rPr>
          <w:b/>
          <w:bCs/>
          <w:color w:val="000000" w:themeColor="text1"/>
        </w:rPr>
        <w:t>DE JUNIO)</w:t>
      </w:r>
    </w:p>
    <w:p w14:paraId="70345446" w14:textId="77777777" w:rsidR="00735A70" w:rsidRPr="00735A70" w:rsidRDefault="00735A70" w:rsidP="00735A70">
      <w:pPr>
        <w:pStyle w:val="Default"/>
        <w:ind w:left="720"/>
        <w:rPr>
          <w:color w:val="000000" w:themeColor="text1"/>
        </w:rPr>
      </w:pPr>
    </w:p>
    <w:p w14:paraId="6B1A7453" w14:textId="49E6FA68" w:rsidR="00C1190F" w:rsidRPr="00735A70" w:rsidRDefault="006C57B5" w:rsidP="00735A70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szCs w:val="22"/>
        </w:rPr>
      </w:pPr>
      <w:r w:rsidRPr="00735A70">
        <w:rPr>
          <w:szCs w:val="22"/>
        </w:rPr>
        <w:t xml:space="preserve">Entre 1985 y 2014 la superficie nacional con vegetación primaria </w:t>
      </w:r>
      <w:r w:rsidR="00735A70" w:rsidRPr="00735A70">
        <w:rPr>
          <w:szCs w:val="22"/>
        </w:rPr>
        <w:t>(</w:t>
      </w:r>
      <w:r w:rsidRPr="00735A70">
        <w:rPr>
          <w:szCs w:val="22"/>
        </w:rPr>
        <w:t>sin alteración o degradación</w:t>
      </w:r>
      <w:r w:rsidR="00735A70" w:rsidRPr="00735A70">
        <w:rPr>
          <w:szCs w:val="22"/>
        </w:rPr>
        <w:t>)</w:t>
      </w:r>
      <w:r w:rsidRPr="00735A70">
        <w:rPr>
          <w:szCs w:val="22"/>
        </w:rPr>
        <w:t xml:space="preserve"> pasó de 1 543 545 km</w:t>
      </w:r>
      <w:r w:rsidRPr="00735A70">
        <w:rPr>
          <w:szCs w:val="22"/>
          <w:vertAlign w:val="superscript"/>
        </w:rPr>
        <w:t>2</w:t>
      </w:r>
      <w:r w:rsidRPr="00735A70">
        <w:rPr>
          <w:szCs w:val="22"/>
        </w:rPr>
        <w:t xml:space="preserve"> a 1 398 394 km</w:t>
      </w:r>
      <w:r w:rsidRPr="00735A70">
        <w:rPr>
          <w:szCs w:val="22"/>
          <w:vertAlign w:val="superscript"/>
        </w:rPr>
        <w:t>2</w:t>
      </w:r>
      <w:r w:rsidRPr="00735A70">
        <w:rPr>
          <w:szCs w:val="22"/>
        </w:rPr>
        <w:t>, lo que significó una disminución de 9.4</w:t>
      </w:r>
      <w:r w:rsidR="00AB5A4D" w:rsidRPr="00735A70">
        <w:rPr>
          <w:szCs w:val="22"/>
        </w:rPr>
        <w:t xml:space="preserve"> por ciento</w:t>
      </w:r>
      <w:r w:rsidRPr="00735A70">
        <w:rPr>
          <w:szCs w:val="22"/>
        </w:rPr>
        <w:t>.</w:t>
      </w:r>
    </w:p>
    <w:p w14:paraId="1E2E04F4" w14:textId="7ECE84F3" w:rsidR="003C4620" w:rsidRPr="00735A70" w:rsidRDefault="00C1190F" w:rsidP="00735A70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szCs w:val="22"/>
        </w:rPr>
      </w:pPr>
      <w:r w:rsidRPr="00735A70">
        <w:rPr>
          <w:bCs/>
          <w:szCs w:val="22"/>
          <w:lang w:eastAsia="es-MX"/>
        </w:rPr>
        <w:t>En nuestro país se reportan 5</w:t>
      </w:r>
      <w:r w:rsidR="00735A70" w:rsidRPr="00735A70">
        <w:rPr>
          <w:bCs/>
          <w:szCs w:val="22"/>
          <w:lang w:eastAsia="es-MX"/>
        </w:rPr>
        <w:t xml:space="preserve"> mil</w:t>
      </w:r>
      <w:r w:rsidRPr="00735A70">
        <w:rPr>
          <w:bCs/>
          <w:szCs w:val="22"/>
          <w:lang w:eastAsia="es-MX"/>
        </w:rPr>
        <w:t xml:space="preserve"> puntos de descarga de aguas residuales municipales sin tratamiento; la mitad de éstos se ubica en ríos o arroyos y poco más de una cuarta parte en suelos o barrancas.</w:t>
      </w:r>
    </w:p>
    <w:p w14:paraId="1D5FE2A2" w14:textId="2A31D2AF" w:rsidR="00D840EB" w:rsidRPr="00735A70" w:rsidRDefault="003C4620" w:rsidP="00735A70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szCs w:val="22"/>
        </w:rPr>
      </w:pPr>
      <w:r w:rsidRPr="00735A70">
        <w:rPr>
          <w:szCs w:val="22"/>
          <w:lang w:eastAsia="es-MX"/>
        </w:rPr>
        <w:t>En promedio, se recolectan 865 g de residuos por persona cada día en los municipios y demarcaciones territoriales donde se presta el servicio de recolección domiciliaria.</w:t>
      </w:r>
      <w:r w:rsidR="00B42D5B" w:rsidRPr="00735A70">
        <w:rPr>
          <w:szCs w:val="22"/>
          <w:lang w:eastAsia="es-MX"/>
        </w:rPr>
        <w:t xml:space="preserve"> El </w:t>
      </w:r>
      <w:r w:rsidR="003A2D0D" w:rsidRPr="00735A70">
        <w:rPr>
          <w:szCs w:val="22"/>
          <w:lang w:eastAsia="es-MX"/>
        </w:rPr>
        <w:t>6.9</w:t>
      </w:r>
      <w:r w:rsidR="00B42D5B" w:rsidRPr="00735A70">
        <w:rPr>
          <w:szCs w:val="22"/>
          <w:lang w:eastAsia="es-MX"/>
        </w:rPr>
        <w:t>% de</w:t>
      </w:r>
      <w:r w:rsidR="00EC5257" w:rsidRPr="00735A70">
        <w:rPr>
          <w:szCs w:val="22"/>
          <w:lang w:eastAsia="es-MX"/>
        </w:rPr>
        <w:t xml:space="preserve"> los</w:t>
      </w:r>
      <w:r w:rsidR="00B42D5B" w:rsidRPr="00735A70">
        <w:rPr>
          <w:szCs w:val="22"/>
          <w:lang w:eastAsia="es-MX"/>
        </w:rPr>
        <w:t xml:space="preserve"> residuos sólidos urbanos </w:t>
      </w:r>
      <w:r w:rsidR="00B7166D" w:rsidRPr="00735A70">
        <w:rPr>
          <w:szCs w:val="22"/>
          <w:lang w:eastAsia="es-MX"/>
        </w:rPr>
        <w:t>es llevado</w:t>
      </w:r>
      <w:r w:rsidR="00B42D5B" w:rsidRPr="00735A70">
        <w:rPr>
          <w:szCs w:val="22"/>
          <w:lang w:eastAsia="es-MX"/>
        </w:rPr>
        <w:t xml:space="preserve"> a plantas de tratamiento.</w:t>
      </w:r>
    </w:p>
    <w:p w14:paraId="7737CB20" w14:textId="4B9C4BCB" w:rsidR="00D840EB" w:rsidRPr="00735A70" w:rsidRDefault="00D840EB" w:rsidP="00735A70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szCs w:val="22"/>
        </w:rPr>
      </w:pPr>
      <w:r w:rsidRPr="00735A70">
        <w:rPr>
          <w:szCs w:val="22"/>
        </w:rPr>
        <w:t>En 2018,</w:t>
      </w:r>
      <w:r w:rsidR="001D5889">
        <w:rPr>
          <w:szCs w:val="22"/>
        </w:rPr>
        <w:t xml:space="preserve"> </w:t>
      </w:r>
      <w:r w:rsidRPr="00735A70">
        <w:rPr>
          <w:szCs w:val="22"/>
        </w:rPr>
        <w:t>15.9% de las unidades económicas report</w:t>
      </w:r>
      <w:r w:rsidR="00312031">
        <w:rPr>
          <w:szCs w:val="22"/>
        </w:rPr>
        <w:t>ó</w:t>
      </w:r>
      <w:r w:rsidRPr="00735A70">
        <w:rPr>
          <w:szCs w:val="22"/>
        </w:rPr>
        <w:t xml:space="preserve"> que sí cumpli</w:t>
      </w:r>
      <w:r w:rsidR="00312031">
        <w:rPr>
          <w:szCs w:val="22"/>
        </w:rPr>
        <w:t>ó</w:t>
      </w:r>
      <w:r w:rsidRPr="00735A70">
        <w:rPr>
          <w:szCs w:val="22"/>
        </w:rPr>
        <w:t xml:space="preserve"> con las normas ambientales, 56.6% que no está sujet</w:t>
      </w:r>
      <w:r w:rsidR="00312031">
        <w:rPr>
          <w:szCs w:val="22"/>
        </w:rPr>
        <w:t>o</w:t>
      </w:r>
      <w:r w:rsidRPr="00735A70">
        <w:rPr>
          <w:szCs w:val="22"/>
        </w:rPr>
        <w:t xml:space="preserve"> a una norma ambiental y 27.5% desconoc</w:t>
      </w:r>
      <w:r w:rsidR="00312031">
        <w:rPr>
          <w:szCs w:val="22"/>
        </w:rPr>
        <w:t>e</w:t>
      </w:r>
      <w:r w:rsidRPr="00735A70">
        <w:rPr>
          <w:szCs w:val="22"/>
        </w:rPr>
        <w:t xml:space="preserve"> si debe cumplir con la normatividad en materia ambiental. </w:t>
      </w:r>
    </w:p>
    <w:p w14:paraId="0641F62F" w14:textId="77777777" w:rsidR="00845344" w:rsidRPr="00D840EB" w:rsidRDefault="00845344" w:rsidP="00735A70">
      <w:pPr>
        <w:pStyle w:val="Textoindependiente"/>
        <w:autoSpaceDE w:val="0"/>
        <w:autoSpaceDN w:val="0"/>
        <w:adjustRightInd w:val="0"/>
        <w:rPr>
          <w:sz w:val="24"/>
        </w:rPr>
      </w:pPr>
    </w:p>
    <w:p w14:paraId="6BA7C50F" w14:textId="71524353" w:rsidR="008B08CF" w:rsidRDefault="00643873" w:rsidP="00735A70">
      <w:pPr>
        <w:ind w:left="-567" w:right="-516"/>
        <w:rPr>
          <w:rFonts w:cs="Arial"/>
          <w:szCs w:val="22"/>
          <w:lang w:eastAsia="es-MX"/>
        </w:rPr>
      </w:pPr>
      <w:r w:rsidRPr="002D4CD8">
        <w:rPr>
          <w:rFonts w:cs="Arial"/>
          <w:szCs w:val="22"/>
          <w:lang w:eastAsia="es-MX"/>
        </w:rPr>
        <w:t xml:space="preserve">El Día Mundial del Medio Ambiente es el evento anual </w:t>
      </w:r>
      <w:r w:rsidR="00D20E33">
        <w:rPr>
          <w:rFonts w:cs="Arial"/>
          <w:szCs w:val="22"/>
          <w:lang w:eastAsia="es-MX"/>
        </w:rPr>
        <w:t xml:space="preserve">más relevante </w:t>
      </w:r>
      <w:r w:rsidRPr="002D4CD8">
        <w:rPr>
          <w:rFonts w:cs="Arial"/>
          <w:szCs w:val="22"/>
          <w:lang w:eastAsia="es-MX"/>
        </w:rPr>
        <w:t xml:space="preserve">de las Naciones Unidas para abogar por la acción ambiental y la necesidad de proteger </w:t>
      </w:r>
      <w:r w:rsidR="00735A70">
        <w:rPr>
          <w:rFonts w:cs="Arial"/>
          <w:szCs w:val="22"/>
          <w:lang w:eastAsia="es-MX"/>
        </w:rPr>
        <w:t xml:space="preserve">al </w:t>
      </w:r>
      <w:r w:rsidRPr="002D4CD8">
        <w:rPr>
          <w:rFonts w:cs="Arial"/>
          <w:szCs w:val="22"/>
          <w:lang w:eastAsia="es-MX"/>
        </w:rPr>
        <w:t>planeta. Desde que se conmemoró por primera vez</w:t>
      </w:r>
      <w:r w:rsidR="00D20E33">
        <w:rPr>
          <w:rFonts w:cs="Arial"/>
          <w:szCs w:val="22"/>
          <w:lang w:eastAsia="es-MX"/>
        </w:rPr>
        <w:t>,</w:t>
      </w:r>
      <w:r w:rsidRPr="002D4CD8">
        <w:rPr>
          <w:rFonts w:cs="Arial"/>
          <w:szCs w:val="22"/>
          <w:lang w:eastAsia="es-MX"/>
        </w:rPr>
        <w:t xml:space="preserve"> en 1974, se ha convertido en una plataforma mundial para la divulgación pública </w:t>
      </w:r>
      <w:r w:rsidR="00D20E33">
        <w:rPr>
          <w:rFonts w:cs="Arial"/>
          <w:szCs w:val="22"/>
          <w:lang w:eastAsia="es-MX"/>
        </w:rPr>
        <w:t>de</w:t>
      </w:r>
      <w:r w:rsidR="00D20E33" w:rsidRPr="002D4CD8">
        <w:rPr>
          <w:rFonts w:cs="Arial"/>
          <w:szCs w:val="22"/>
          <w:lang w:eastAsia="es-MX"/>
        </w:rPr>
        <w:t xml:space="preserve"> </w:t>
      </w:r>
      <w:r w:rsidR="004631F0">
        <w:rPr>
          <w:rFonts w:cs="Arial"/>
          <w:szCs w:val="22"/>
          <w:lang w:eastAsia="es-MX"/>
        </w:rPr>
        <w:t>las condiciones d</w:t>
      </w:r>
      <w:r w:rsidRPr="002D4CD8">
        <w:rPr>
          <w:rFonts w:cs="Arial"/>
          <w:szCs w:val="22"/>
          <w:lang w:eastAsia="es-MX"/>
        </w:rPr>
        <w:t>el medio ambiente en más de 100 países.</w:t>
      </w:r>
      <w:r>
        <w:rPr>
          <w:rFonts w:cs="Arial"/>
          <w:szCs w:val="22"/>
          <w:lang w:eastAsia="es-MX"/>
        </w:rPr>
        <w:t xml:space="preserve"> </w:t>
      </w:r>
    </w:p>
    <w:p w14:paraId="0E126C6D" w14:textId="77777777" w:rsidR="008B08CF" w:rsidRDefault="008B08CF" w:rsidP="00735A70">
      <w:pPr>
        <w:ind w:left="-567" w:right="-516"/>
        <w:rPr>
          <w:rFonts w:cs="Arial"/>
          <w:szCs w:val="22"/>
          <w:lang w:eastAsia="es-MX"/>
        </w:rPr>
      </w:pPr>
    </w:p>
    <w:p w14:paraId="31B3CEC7" w14:textId="6C30DDF0" w:rsidR="00891FEC" w:rsidRDefault="00643873" w:rsidP="00735A70">
      <w:pPr>
        <w:ind w:left="-567" w:right="-516"/>
        <w:rPr>
          <w:rFonts w:cs="Arial"/>
          <w:szCs w:val="22"/>
          <w:lang w:val="es-MX" w:eastAsia="es-MX"/>
        </w:rPr>
      </w:pPr>
      <w:r>
        <w:rPr>
          <w:rFonts w:cs="Arial"/>
          <w:szCs w:val="22"/>
          <w:lang w:eastAsia="es-MX"/>
        </w:rPr>
        <w:t>Este año</w:t>
      </w:r>
      <w:r>
        <w:rPr>
          <w:rFonts w:cs="Arial"/>
          <w:szCs w:val="22"/>
          <w:lang w:val="es-MX" w:eastAsia="es-MX"/>
        </w:rPr>
        <w:t xml:space="preserve"> </w:t>
      </w:r>
      <w:r w:rsidR="002D4CD8" w:rsidRPr="002D4CD8">
        <w:rPr>
          <w:rFonts w:cs="Arial"/>
          <w:szCs w:val="22"/>
          <w:lang w:val="es-MX" w:eastAsia="es-MX"/>
        </w:rPr>
        <w:t xml:space="preserve">el tema </w:t>
      </w:r>
      <w:r w:rsidR="002D4CD8" w:rsidRPr="00325404">
        <w:rPr>
          <w:rFonts w:cs="Arial"/>
          <w:szCs w:val="22"/>
          <w:lang w:val="es-MX" w:eastAsia="es-MX"/>
        </w:rPr>
        <w:t>se centrará en la</w:t>
      </w:r>
      <w:r w:rsidR="002D4CD8" w:rsidRPr="00325404">
        <w:rPr>
          <w:rFonts w:cs="Arial"/>
          <w:bCs/>
          <w:szCs w:val="22"/>
          <w:lang w:val="es-MX" w:eastAsia="es-MX"/>
        </w:rPr>
        <w:t xml:space="preserve"> </w:t>
      </w:r>
      <w:r w:rsidR="002D4CD8" w:rsidRPr="00325404">
        <w:rPr>
          <w:rFonts w:cs="Arial"/>
          <w:bCs/>
          <w:iCs/>
          <w:szCs w:val="22"/>
          <w:lang w:val="es-MX" w:eastAsia="es-MX"/>
        </w:rPr>
        <w:t>restauración de los ecosistemas</w:t>
      </w:r>
      <w:r w:rsidR="002D4CD8" w:rsidRPr="00325404">
        <w:rPr>
          <w:rFonts w:cs="Arial"/>
          <w:szCs w:val="22"/>
          <w:lang w:val="es-MX" w:eastAsia="es-MX"/>
        </w:rPr>
        <w:t xml:space="preserve"> y </w:t>
      </w:r>
      <w:r w:rsidR="00D20E33" w:rsidRPr="00325404">
        <w:rPr>
          <w:rFonts w:cs="Arial"/>
          <w:szCs w:val="22"/>
          <w:lang w:val="es-MX" w:eastAsia="es-MX"/>
        </w:rPr>
        <w:t xml:space="preserve">en </w:t>
      </w:r>
      <w:r w:rsidR="002D4CD8" w:rsidRPr="00325404">
        <w:rPr>
          <w:rFonts w:cs="Arial"/>
          <w:szCs w:val="22"/>
          <w:lang w:val="es-MX" w:eastAsia="es-MX"/>
        </w:rPr>
        <w:t>la urgencia de hacer las paces con la naturaleza</w:t>
      </w:r>
      <w:r w:rsidR="00735A70">
        <w:rPr>
          <w:rFonts w:cs="Arial"/>
          <w:szCs w:val="22"/>
          <w:lang w:val="es-MX" w:eastAsia="es-MX"/>
        </w:rPr>
        <w:t>;</w:t>
      </w:r>
      <w:r w:rsidRPr="00325404">
        <w:rPr>
          <w:rFonts w:cs="Arial"/>
          <w:szCs w:val="22"/>
          <w:lang w:val="es-MX" w:eastAsia="es-MX"/>
        </w:rPr>
        <w:t xml:space="preserve"> </w:t>
      </w:r>
      <w:r w:rsidR="00D13DD6" w:rsidRPr="00325404">
        <w:rPr>
          <w:rFonts w:cs="Arial"/>
          <w:szCs w:val="22"/>
          <w:lang w:val="es-MX" w:eastAsia="es-MX"/>
        </w:rPr>
        <w:t>también</w:t>
      </w:r>
      <w:r w:rsidR="002D4CD8" w:rsidRPr="00325404">
        <w:rPr>
          <w:rFonts w:cs="Arial"/>
          <w:szCs w:val="22"/>
          <w:lang w:val="es-MX" w:eastAsia="es-MX"/>
        </w:rPr>
        <w:t xml:space="preserve"> marcará el lanzamiento formal del denominado </w:t>
      </w:r>
      <w:r w:rsidR="002D4CD8" w:rsidRPr="00325404">
        <w:rPr>
          <w:rFonts w:cs="Arial"/>
          <w:bCs/>
          <w:iCs/>
          <w:szCs w:val="22"/>
          <w:lang w:val="es-MX" w:eastAsia="es-MX"/>
        </w:rPr>
        <w:t xml:space="preserve">Decenio de las Naciones Unidas sobre la Restauración de los Ecosistemas </w:t>
      </w:r>
      <w:r w:rsidR="00082532" w:rsidRPr="00325404">
        <w:rPr>
          <w:rFonts w:cs="Arial"/>
          <w:bCs/>
          <w:iCs/>
          <w:szCs w:val="22"/>
          <w:lang w:val="es-MX" w:eastAsia="es-MX"/>
        </w:rPr>
        <w:t>(</w:t>
      </w:r>
      <w:r w:rsidR="002D4CD8" w:rsidRPr="00325404">
        <w:rPr>
          <w:rFonts w:cs="Arial"/>
          <w:bCs/>
          <w:iCs/>
          <w:szCs w:val="22"/>
          <w:lang w:val="es-MX" w:eastAsia="es-MX"/>
        </w:rPr>
        <w:t>2021-2030</w:t>
      </w:r>
      <w:r w:rsidR="00082532" w:rsidRPr="00325404">
        <w:rPr>
          <w:rFonts w:cs="Arial"/>
          <w:bCs/>
          <w:iCs/>
          <w:szCs w:val="22"/>
          <w:lang w:val="es-MX" w:eastAsia="es-MX"/>
        </w:rPr>
        <w:t>)</w:t>
      </w:r>
      <w:r w:rsidR="002D4CD8" w:rsidRPr="00325404">
        <w:rPr>
          <w:rFonts w:cs="Arial"/>
          <w:szCs w:val="22"/>
          <w:lang w:val="es-MX" w:eastAsia="es-MX"/>
        </w:rPr>
        <w:t>.</w:t>
      </w:r>
    </w:p>
    <w:p w14:paraId="481FE031" w14:textId="77777777" w:rsidR="002D4CD8" w:rsidRDefault="002D4CD8" w:rsidP="00735A70">
      <w:pPr>
        <w:ind w:left="-567" w:right="-516"/>
        <w:rPr>
          <w:rFonts w:cs="Arial"/>
          <w:bCs/>
          <w:szCs w:val="22"/>
          <w:lang w:val="es-MX"/>
        </w:rPr>
      </w:pPr>
    </w:p>
    <w:p w14:paraId="4E4B1536" w14:textId="260A47AC" w:rsidR="00845344" w:rsidRPr="00210915" w:rsidRDefault="00845344" w:rsidP="00735A70">
      <w:pPr>
        <w:ind w:left="-567" w:right="-516"/>
        <w:rPr>
          <w:rFonts w:cs="Arial"/>
          <w:bCs/>
          <w:szCs w:val="22"/>
          <w:lang w:val="es-MX"/>
        </w:rPr>
      </w:pPr>
      <w:r w:rsidRPr="003B6056">
        <w:rPr>
          <w:rFonts w:cs="Arial"/>
          <w:bCs/>
          <w:szCs w:val="22"/>
          <w:lang w:val="es-MX"/>
        </w:rPr>
        <w:t xml:space="preserve">En </w:t>
      </w:r>
      <w:r w:rsidR="00643873">
        <w:rPr>
          <w:rFonts w:cs="Arial"/>
          <w:bCs/>
          <w:szCs w:val="22"/>
          <w:lang w:val="es-MX"/>
        </w:rPr>
        <w:t>este contexto</w:t>
      </w:r>
      <w:r>
        <w:rPr>
          <w:rFonts w:cs="Arial"/>
          <w:bCs/>
          <w:szCs w:val="22"/>
          <w:lang w:val="es-MX"/>
        </w:rPr>
        <w:t xml:space="preserve">, </w:t>
      </w:r>
      <w:r w:rsidR="008F1B50">
        <w:rPr>
          <w:rFonts w:cs="Arial"/>
          <w:bCs/>
          <w:szCs w:val="22"/>
          <w:lang w:val="es-MX"/>
        </w:rPr>
        <w:t xml:space="preserve">el </w:t>
      </w:r>
      <w:r w:rsidR="00082532" w:rsidRPr="00082532">
        <w:rPr>
          <w:rFonts w:cs="Arial"/>
          <w:bCs/>
          <w:szCs w:val="22"/>
          <w:lang w:val="es-MX"/>
        </w:rPr>
        <w:t xml:space="preserve">Instituto Nacional de Estadística y Geografía </w:t>
      </w:r>
      <w:r w:rsidR="00082532">
        <w:rPr>
          <w:rFonts w:cs="Arial"/>
          <w:bCs/>
          <w:szCs w:val="22"/>
          <w:lang w:val="es-MX"/>
        </w:rPr>
        <w:t>(</w:t>
      </w:r>
      <w:r w:rsidR="008F1B50">
        <w:rPr>
          <w:rFonts w:cs="Arial"/>
          <w:bCs/>
          <w:szCs w:val="22"/>
          <w:lang w:val="es-MX"/>
        </w:rPr>
        <w:t>INEGI</w:t>
      </w:r>
      <w:r w:rsidR="00082532">
        <w:rPr>
          <w:rFonts w:cs="Arial"/>
          <w:bCs/>
          <w:szCs w:val="22"/>
          <w:lang w:val="es-MX"/>
        </w:rPr>
        <w:t>)</w:t>
      </w:r>
      <w:r w:rsidR="008F1B50">
        <w:rPr>
          <w:rFonts w:cs="Arial"/>
          <w:bCs/>
          <w:szCs w:val="22"/>
          <w:lang w:val="es-MX"/>
        </w:rPr>
        <w:t xml:space="preserve"> presenta </w:t>
      </w:r>
      <w:r w:rsidR="0030333C">
        <w:rPr>
          <w:rFonts w:cs="Arial"/>
          <w:bCs/>
          <w:szCs w:val="22"/>
          <w:lang w:val="es-MX"/>
        </w:rPr>
        <w:t>una selección de cifras</w:t>
      </w:r>
      <w:r w:rsidR="00643873">
        <w:rPr>
          <w:rFonts w:cs="Arial"/>
          <w:bCs/>
          <w:szCs w:val="22"/>
          <w:lang w:val="es-MX"/>
        </w:rPr>
        <w:t xml:space="preserve"> </w:t>
      </w:r>
      <w:r w:rsidR="003C38EC">
        <w:rPr>
          <w:rFonts w:cs="Arial"/>
          <w:bCs/>
          <w:szCs w:val="22"/>
          <w:lang w:val="es-MX"/>
        </w:rPr>
        <w:t>relacionadas con</w:t>
      </w:r>
      <w:r w:rsidR="00D255BB">
        <w:rPr>
          <w:rFonts w:cs="Arial"/>
          <w:bCs/>
          <w:szCs w:val="22"/>
          <w:lang w:val="es-MX"/>
        </w:rPr>
        <w:t xml:space="preserve"> </w:t>
      </w:r>
      <w:r w:rsidR="000B33E8">
        <w:rPr>
          <w:rFonts w:cs="Arial"/>
          <w:bCs/>
          <w:szCs w:val="22"/>
          <w:lang w:val="es-MX"/>
        </w:rPr>
        <w:t>l</w:t>
      </w:r>
      <w:r w:rsidR="0036685C">
        <w:rPr>
          <w:rFonts w:cs="Arial"/>
          <w:bCs/>
          <w:szCs w:val="22"/>
          <w:lang w:val="es-MX"/>
        </w:rPr>
        <w:t>a vegetación</w:t>
      </w:r>
      <w:r w:rsidR="000B33E8">
        <w:rPr>
          <w:rFonts w:cs="Arial"/>
          <w:bCs/>
          <w:szCs w:val="22"/>
          <w:lang w:val="es-MX"/>
        </w:rPr>
        <w:t xml:space="preserve"> en </w:t>
      </w:r>
      <w:r w:rsidR="009E6260">
        <w:rPr>
          <w:rFonts w:cs="Arial"/>
          <w:bCs/>
          <w:szCs w:val="22"/>
          <w:lang w:val="es-MX"/>
        </w:rPr>
        <w:t>el territorio mexicano</w:t>
      </w:r>
      <w:r w:rsidR="00735A70">
        <w:rPr>
          <w:rFonts w:cs="Arial"/>
          <w:bCs/>
          <w:szCs w:val="22"/>
          <w:lang w:val="es-MX"/>
        </w:rPr>
        <w:t xml:space="preserve"> (</w:t>
      </w:r>
      <w:r w:rsidR="0036685C">
        <w:rPr>
          <w:rFonts w:cs="Arial"/>
          <w:bCs/>
          <w:szCs w:val="22"/>
          <w:lang w:val="es-MX"/>
        </w:rPr>
        <w:t>I</w:t>
      </w:r>
      <w:r w:rsidR="00C83C0F">
        <w:rPr>
          <w:rFonts w:cs="Arial"/>
          <w:bCs/>
          <w:szCs w:val="22"/>
          <w:lang w:val="es-MX"/>
        </w:rPr>
        <w:t xml:space="preserve">nformación de </w:t>
      </w:r>
      <w:r w:rsidR="00C83C0F">
        <w:rPr>
          <w:rFonts w:cs="Arial"/>
          <w:szCs w:val="22"/>
        </w:rPr>
        <w:t>Uso del Suelo y Vegetación</w:t>
      </w:r>
      <w:r w:rsidR="00735A70">
        <w:rPr>
          <w:rFonts w:cs="Arial"/>
          <w:szCs w:val="22"/>
        </w:rPr>
        <w:t>,</w:t>
      </w:r>
      <w:r w:rsidR="00C83C0F">
        <w:rPr>
          <w:rFonts w:cs="Arial"/>
          <w:szCs w:val="22"/>
        </w:rPr>
        <w:t xml:space="preserve"> serie VI)</w:t>
      </w:r>
      <w:r w:rsidR="00C83C0F">
        <w:rPr>
          <w:rFonts w:cs="Arial"/>
          <w:bCs/>
          <w:szCs w:val="22"/>
          <w:lang w:val="es-MX"/>
        </w:rPr>
        <w:t>,</w:t>
      </w:r>
      <w:r w:rsidR="00C8343B">
        <w:rPr>
          <w:rFonts w:cs="Arial"/>
          <w:bCs/>
          <w:szCs w:val="22"/>
          <w:lang w:val="es-MX"/>
        </w:rPr>
        <w:t xml:space="preserve"> </w:t>
      </w:r>
      <w:r w:rsidR="00C83C0F">
        <w:rPr>
          <w:rFonts w:cs="Arial"/>
          <w:bCs/>
          <w:szCs w:val="22"/>
          <w:lang w:val="es-MX"/>
        </w:rPr>
        <w:t>el manejo de residuos (</w:t>
      </w:r>
      <w:r w:rsidR="00177BD1">
        <w:rPr>
          <w:rFonts w:cs="Arial"/>
          <w:bCs/>
          <w:szCs w:val="22"/>
          <w:lang w:val="es-MX"/>
        </w:rPr>
        <w:t>Censo Nacional de Gobiernos Municipales y Demarcaciones Territoriales de la Ciudad de México 2019</w:t>
      </w:r>
      <w:r w:rsidR="006E5B74">
        <w:rPr>
          <w:rFonts w:cs="Arial"/>
          <w:bCs/>
          <w:szCs w:val="22"/>
          <w:lang w:val="es-MX"/>
        </w:rPr>
        <w:t xml:space="preserve"> y Censos Económicos 2019</w:t>
      </w:r>
      <w:r w:rsidR="00C83C0F">
        <w:rPr>
          <w:rFonts w:cs="Arial"/>
          <w:bCs/>
          <w:szCs w:val="22"/>
          <w:lang w:val="es-MX"/>
        </w:rPr>
        <w:t>),</w:t>
      </w:r>
      <w:r w:rsidR="00643873">
        <w:rPr>
          <w:rFonts w:cs="Arial"/>
          <w:bCs/>
          <w:szCs w:val="22"/>
          <w:lang w:val="es-MX"/>
        </w:rPr>
        <w:t xml:space="preserve"> </w:t>
      </w:r>
      <w:r w:rsidR="00082532">
        <w:rPr>
          <w:rFonts w:cs="Arial"/>
          <w:bCs/>
          <w:szCs w:val="22"/>
          <w:lang w:val="es-MX"/>
        </w:rPr>
        <w:t>así como</w:t>
      </w:r>
      <w:r w:rsidR="00643873">
        <w:rPr>
          <w:rFonts w:cs="Arial"/>
          <w:bCs/>
          <w:szCs w:val="22"/>
          <w:lang w:val="es-MX"/>
        </w:rPr>
        <w:t xml:space="preserve"> </w:t>
      </w:r>
      <w:r w:rsidR="00C83C0F">
        <w:rPr>
          <w:rFonts w:cs="Arial"/>
          <w:bCs/>
          <w:szCs w:val="22"/>
          <w:lang w:val="es-MX"/>
        </w:rPr>
        <w:t>la contribución de las unidades económicas a</w:t>
      </w:r>
      <w:r w:rsidR="00B7166D">
        <w:rPr>
          <w:rFonts w:cs="Arial"/>
          <w:bCs/>
          <w:szCs w:val="22"/>
          <w:lang w:val="es-MX"/>
        </w:rPr>
        <w:t xml:space="preserve"> la conservación del</w:t>
      </w:r>
      <w:r w:rsidR="00C83C0F">
        <w:rPr>
          <w:rFonts w:cs="Arial"/>
          <w:bCs/>
          <w:szCs w:val="22"/>
          <w:lang w:val="es-MX"/>
        </w:rPr>
        <w:t xml:space="preserve"> medio ambiente (</w:t>
      </w:r>
      <w:r w:rsidR="00DA41DA">
        <w:rPr>
          <w:rFonts w:cs="Arial"/>
          <w:bCs/>
          <w:szCs w:val="22"/>
          <w:lang w:val="es-MX"/>
        </w:rPr>
        <w:t>Censos Económicos 2019</w:t>
      </w:r>
      <w:r w:rsidR="00C83C0F">
        <w:rPr>
          <w:rFonts w:cs="Arial"/>
          <w:bCs/>
          <w:szCs w:val="22"/>
          <w:lang w:val="es-MX"/>
        </w:rPr>
        <w:t>).</w:t>
      </w:r>
    </w:p>
    <w:p w14:paraId="158EDF6E" w14:textId="72B97C2A" w:rsidR="00D13DD6" w:rsidRDefault="00D13DD6" w:rsidP="00735A70">
      <w:pPr>
        <w:ind w:left="-567" w:right="-516"/>
        <w:jc w:val="left"/>
        <w:rPr>
          <w:rFonts w:eastAsiaTheme="minorHAnsi" w:cs="Arial"/>
          <w:b/>
          <w:szCs w:val="22"/>
          <w:lang w:val="es-MX" w:eastAsia="en-US"/>
        </w:rPr>
      </w:pPr>
    </w:p>
    <w:p w14:paraId="1F210F31" w14:textId="53EF11E8" w:rsidR="00643873" w:rsidRDefault="00643873" w:rsidP="00735A70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  <w:r>
        <w:rPr>
          <w:rFonts w:eastAsiaTheme="minorHAnsi" w:cs="Arial"/>
          <w:b/>
          <w:szCs w:val="22"/>
          <w:lang w:val="es-MX" w:eastAsia="en-US"/>
        </w:rPr>
        <w:t>Vegetación</w:t>
      </w:r>
    </w:p>
    <w:p w14:paraId="767C0AC7" w14:textId="77777777" w:rsidR="00643873" w:rsidRDefault="00643873" w:rsidP="00735A70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</w:p>
    <w:p w14:paraId="403C6473" w14:textId="3B71D90E" w:rsidR="00E875A9" w:rsidRDefault="00857B7E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404237">
        <w:rPr>
          <w:rFonts w:cs="Arial"/>
          <w:szCs w:val="22"/>
        </w:rPr>
        <w:t xml:space="preserve">l </w:t>
      </w:r>
      <w:r w:rsidR="00104BA1" w:rsidRPr="007C196D">
        <w:rPr>
          <w:rFonts w:cs="Arial"/>
          <w:szCs w:val="22"/>
        </w:rPr>
        <w:t>29.</w:t>
      </w:r>
      <w:r w:rsidR="007C196D">
        <w:rPr>
          <w:rFonts w:cs="Arial"/>
          <w:szCs w:val="22"/>
        </w:rPr>
        <w:t>3</w:t>
      </w:r>
      <w:r w:rsidR="00104BA1">
        <w:rPr>
          <w:rFonts w:cs="Arial"/>
          <w:szCs w:val="22"/>
        </w:rPr>
        <w:t>% de</w:t>
      </w:r>
      <w:r w:rsidR="00404237">
        <w:rPr>
          <w:rFonts w:cs="Arial"/>
          <w:szCs w:val="22"/>
        </w:rPr>
        <w:t xml:space="preserve"> la superficie </w:t>
      </w:r>
      <w:r w:rsidR="007C196D">
        <w:rPr>
          <w:rFonts w:cs="Arial"/>
          <w:szCs w:val="22"/>
        </w:rPr>
        <w:t>nacional</w:t>
      </w:r>
      <w:r w:rsidR="00404237">
        <w:rPr>
          <w:rFonts w:cs="Arial"/>
          <w:szCs w:val="22"/>
        </w:rPr>
        <w:t xml:space="preserve"> </w:t>
      </w:r>
      <w:r w:rsidR="00104BA1">
        <w:rPr>
          <w:rFonts w:cs="Arial"/>
          <w:szCs w:val="22"/>
        </w:rPr>
        <w:t>está cubiert</w:t>
      </w:r>
      <w:r w:rsidR="007C196D">
        <w:rPr>
          <w:rFonts w:cs="Arial"/>
          <w:szCs w:val="22"/>
        </w:rPr>
        <w:t>a</w:t>
      </w:r>
      <w:r w:rsidR="00104BA1">
        <w:rPr>
          <w:rFonts w:cs="Arial"/>
          <w:szCs w:val="22"/>
        </w:rPr>
        <w:t xml:space="preserve"> </w:t>
      </w:r>
      <w:r w:rsidR="00046E3B">
        <w:rPr>
          <w:rFonts w:cs="Arial"/>
          <w:szCs w:val="22"/>
        </w:rPr>
        <w:t>de</w:t>
      </w:r>
      <w:r w:rsidR="00104BA1">
        <w:rPr>
          <w:rFonts w:cs="Arial"/>
          <w:szCs w:val="22"/>
        </w:rPr>
        <w:t xml:space="preserve"> matorrales</w:t>
      </w:r>
      <w:r w:rsidR="007C196D">
        <w:rPr>
          <w:rFonts w:cs="Arial"/>
          <w:szCs w:val="22"/>
        </w:rPr>
        <w:t xml:space="preserve"> y mezquitales</w:t>
      </w:r>
      <w:r w:rsidR="00104BA1">
        <w:rPr>
          <w:rFonts w:cs="Arial"/>
          <w:szCs w:val="22"/>
        </w:rPr>
        <w:t>,</w:t>
      </w:r>
      <w:r w:rsidR="00735A70">
        <w:rPr>
          <w:rFonts w:cs="Arial"/>
          <w:szCs w:val="22"/>
        </w:rPr>
        <w:t xml:space="preserve"> </w:t>
      </w:r>
      <w:r w:rsidR="00104BA1" w:rsidRPr="007C196D">
        <w:rPr>
          <w:rFonts w:cs="Arial"/>
          <w:szCs w:val="22"/>
        </w:rPr>
        <w:t>17.6</w:t>
      </w:r>
      <w:r w:rsidR="00104BA1">
        <w:rPr>
          <w:rFonts w:cs="Arial"/>
          <w:szCs w:val="22"/>
        </w:rPr>
        <w:t>% de</w:t>
      </w:r>
      <w:r w:rsidR="00A91AC7">
        <w:rPr>
          <w:rFonts w:cs="Arial"/>
          <w:szCs w:val="22"/>
        </w:rPr>
        <w:t xml:space="preserve"> bosques</w:t>
      </w:r>
      <w:r w:rsidR="00104BA1">
        <w:rPr>
          <w:rFonts w:cs="Arial"/>
          <w:szCs w:val="22"/>
        </w:rPr>
        <w:t>,</w:t>
      </w:r>
      <w:r w:rsidR="00B7166D">
        <w:rPr>
          <w:rFonts w:cs="Arial"/>
          <w:szCs w:val="22"/>
        </w:rPr>
        <w:t xml:space="preserve"> </w:t>
      </w:r>
      <w:r w:rsidR="00104BA1" w:rsidRPr="007C196D">
        <w:rPr>
          <w:rFonts w:cs="Arial"/>
          <w:szCs w:val="22"/>
        </w:rPr>
        <w:t>16.</w:t>
      </w:r>
      <w:r w:rsidR="007C196D" w:rsidRPr="007C196D">
        <w:rPr>
          <w:rFonts w:cs="Arial"/>
          <w:szCs w:val="22"/>
        </w:rPr>
        <w:t>3</w:t>
      </w:r>
      <w:r w:rsidR="00104BA1" w:rsidRPr="007C196D">
        <w:rPr>
          <w:rFonts w:cs="Arial"/>
          <w:szCs w:val="22"/>
        </w:rPr>
        <w:t>% de</w:t>
      </w:r>
      <w:r w:rsidR="00A91AC7" w:rsidRPr="007C196D">
        <w:rPr>
          <w:rFonts w:cs="Arial"/>
          <w:szCs w:val="22"/>
        </w:rPr>
        <w:t xml:space="preserve"> selvas</w:t>
      </w:r>
      <w:r w:rsidR="007C196D">
        <w:rPr>
          <w:rFonts w:cs="Arial"/>
          <w:szCs w:val="22"/>
        </w:rPr>
        <w:t>,</w:t>
      </w:r>
      <w:r w:rsidR="00B7166D" w:rsidRPr="007C196D">
        <w:rPr>
          <w:rFonts w:cs="Arial"/>
          <w:szCs w:val="22"/>
        </w:rPr>
        <w:t xml:space="preserve"> </w:t>
      </w:r>
      <w:r w:rsidR="00104BA1" w:rsidRPr="007C196D">
        <w:rPr>
          <w:rFonts w:cs="Arial"/>
          <w:szCs w:val="22"/>
        </w:rPr>
        <w:t>6.</w:t>
      </w:r>
      <w:r w:rsidR="00404237" w:rsidRPr="007C196D">
        <w:rPr>
          <w:rFonts w:cs="Arial"/>
          <w:szCs w:val="22"/>
        </w:rPr>
        <w:t>0</w:t>
      </w:r>
      <w:r w:rsidR="00104BA1" w:rsidRPr="007C196D">
        <w:rPr>
          <w:rFonts w:cs="Arial"/>
          <w:szCs w:val="22"/>
        </w:rPr>
        <w:t>% de</w:t>
      </w:r>
      <w:r w:rsidR="009E6260" w:rsidRPr="007C196D">
        <w:rPr>
          <w:rFonts w:cs="Arial"/>
          <w:szCs w:val="22"/>
        </w:rPr>
        <w:t xml:space="preserve"> pastizales</w:t>
      </w:r>
      <w:r w:rsidR="007C196D">
        <w:rPr>
          <w:rFonts w:cs="Arial"/>
          <w:szCs w:val="22"/>
        </w:rPr>
        <w:t xml:space="preserve"> y praderas</w:t>
      </w:r>
      <w:r w:rsidR="00735A70">
        <w:rPr>
          <w:rFonts w:cs="Arial"/>
          <w:szCs w:val="22"/>
        </w:rPr>
        <w:t xml:space="preserve"> </w:t>
      </w:r>
      <w:r w:rsidR="007C196D">
        <w:rPr>
          <w:rFonts w:cs="Arial"/>
          <w:szCs w:val="22"/>
        </w:rPr>
        <w:t>y 1.3% de vegetación hidrófila (manglares, popales, tulares, entre otros tipos)</w:t>
      </w:r>
      <w:r w:rsidR="00643873" w:rsidRPr="007C196D">
        <w:rPr>
          <w:rFonts w:cs="Arial"/>
          <w:szCs w:val="22"/>
        </w:rPr>
        <w:t>.</w:t>
      </w:r>
    </w:p>
    <w:p w14:paraId="2EEE7723" w14:textId="77777777" w:rsidR="007C196D" w:rsidRDefault="007C196D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</w:p>
    <w:p w14:paraId="3D8AFDC6" w14:textId="4A76B854" w:rsidR="00883F0C" w:rsidRDefault="0074329D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  <w:r>
        <w:rPr>
          <w:rFonts w:cs="Arial"/>
          <w:szCs w:val="22"/>
        </w:rPr>
        <w:t xml:space="preserve">El INEGI ha identificado 60 000 especímenes que caracterizan las comunidades vegetales de México. </w:t>
      </w:r>
      <w:r w:rsidR="00734676">
        <w:rPr>
          <w:rFonts w:cs="Arial"/>
          <w:szCs w:val="22"/>
        </w:rPr>
        <w:t>U</w:t>
      </w:r>
      <w:r w:rsidR="00734676" w:rsidRPr="00883F0C">
        <w:rPr>
          <w:rFonts w:cs="Arial"/>
          <w:szCs w:val="22"/>
        </w:rPr>
        <w:t xml:space="preserve">n indicador de la necesidad de restauración </w:t>
      </w:r>
      <w:r w:rsidR="00734676">
        <w:rPr>
          <w:rFonts w:cs="Arial"/>
          <w:szCs w:val="22"/>
        </w:rPr>
        <w:t xml:space="preserve">de estas comunidades es el </w:t>
      </w:r>
      <w:r w:rsidR="00883F0C" w:rsidRPr="00883F0C">
        <w:rPr>
          <w:rFonts w:cs="Arial"/>
          <w:szCs w:val="22"/>
        </w:rPr>
        <w:t>número de especies en condición primaria</w:t>
      </w:r>
      <w:r w:rsidR="00C83C0F">
        <w:rPr>
          <w:rFonts w:cs="Arial"/>
          <w:szCs w:val="22"/>
        </w:rPr>
        <w:t xml:space="preserve"> (sin alteración o degradación) y</w:t>
      </w:r>
      <w:r w:rsidR="00C83C0F" w:rsidRPr="00046E3B">
        <w:rPr>
          <w:rFonts w:cs="Arial"/>
          <w:szCs w:val="22"/>
        </w:rPr>
        <w:t xml:space="preserve"> secundaria</w:t>
      </w:r>
      <w:r w:rsidR="00C83C0F" w:rsidRPr="003175FA">
        <w:rPr>
          <w:rFonts w:cs="Arial"/>
          <w:szCs w:val="22"/>
        </w:rPr>
        <w:t xml:space="preserve"> </w:t>
      </w:r>
      <w:r w:rsidR="00C83C0F">
        <w:rPr>
          <w:rFonts w:cs="Arial"/>
          <w:szCs w:val="22"/>
        </w:rPr>
        <w:t>(alterada por factores humanos o naturales)</w:t>
      </w:r>
      <w:r w:rsidR="00734676">
        <w:rPr>
          <w:rFonts w:cs="Arial"/>
          <w:szCs w:val="22"/>
        </w:rPr>
        <w:t>. La siguiente gráfica muestra la distribución</w:t>
      </w:r>
      <w:r w:rsidR="00857B7E">
        <w:rPr>
          <w:rFonts w:cs="Arial"/>
          <w:szCs w:val="22"/>
        </w:rPr>
        <w:t>,</w:t>
      </w:r>
      <w:r w:rsidR="00734676">
        <w:rPr>
          <w:rFonts w:cs="Arial"/>
          <w:szCs w:val="22"/>
        </w:rPr>
        <w:t xml:space="preserve"> </w:t>
      </w:r>
      <w:r w:rsidR="00857B7E">
        <w:rPr>
          <w:rFonts w:cs="Arial"/>
          <w:szCs w:val="22"/>
        </w:rPr>
        <w:t xml:space="preserve">en estas dos categorías, </w:t>
      </w:r>
      <w:r w:rsidR="00734676">
        <w:rPr>
          <w:rFonts w:cs="Arial"/>
          <w:szCs w:val="22"/>
        </w:rPr>
        <w:t>de las especies que</w:t>
      </w:r>
      <w:r w:rsidR="00883F0C" w:rsidRPr="00883F0C">
        <w:rPr>
          <w:rFonts w:cs="Arial"/>
          <w:szCs w:val="22"/>
        </w:rPr>
        <w:t xml:space="preserve"> se ha</w:t>
      </w:r>
      <w:r w:rsidR="00883F0C">
        <w:rPr>
          <w:rFonts w:cs="Arial"/>
          <w:szCs w:val="22"/>
        </w:rPr>
        <w:t>n</w:t>
      </w:r>
      <w:r w:rsidR="00883F0C" w:rsidRPr="00883F0C">
        <w:rPr>
          <w:rFonts w:cs="Arial"/>
          <w:szCs w:val="22"/>
        </w:rPr>
        <w:t xml:space="preserve"> incorporado hasta el momento </w:t>
      </w:r>
      <w:r w:rsidR="00C83C0F">
        <w:rPr>
          <w:rFonts w:cs="Arial"/>
          <w:szCs w:val="22"/>
        </w:rPr>
        <w:t>al</w:t>
      </w:r>
      <w:r w:rsidR="00C83C0F" w:rsidRPr="003175FA">
        <w:rPr>
          <w:rFonts w:cs="Arial"/>
          <w:szCs w:val="22"/>
        </w:rPr>
        <w:t xml:space="preserve"> Herbario INEGI</w:t>
      </w:r>
      <w:r w:rsidR="00C83C0F">
        <w:rPr>
          <w:rFonts w:cs="Arial"/>
          <w:szCs w:val="22"/>
        </w:rPr>
        <w:t>.</w:t>
      </w:r>
    </w:p>
    <w:p w14:paraId="268B2E1C" w14:textId="2DDDEDCA" w:rsidR="00FF3008" w:rsidRDefault="00FF3008" w:rsidP="00FF3008">
      <w:pPr>
        <w:jc w:val="center"/>
        <w:rPr>
          <w:b/>
          <w:bCs/>
          <w:sz w:val="20"/>
          <w:szCs w:val="20"/>
        </w:rPr>
      </w:pPr>
    </w:p>
    <w:p w14:paraId="35F82E08" w14:textId="0D0AC5F8" w:rsidR="0035794C" w:rsidRDefault="0035794C" w:rsidP="00FF3008">
      <w:pPr>
        <w:jc w:val="center"/>
        <w:rPr>
          <w:b/>
          <w:bCs/>
          <w:sz w:val="20"/>
          <w:szCs w:val="20"/>
        </w:rPr>
      </w:pPr>
    </w:p>
    <w:p w14:paraId="7159857F" w14:textId="12634124" w:rsidR="0035794C" w:rsidRDefault="0035794C" w:rsidP="00FF3008">
      <w:pPr>
        <w:jc w:val="center"/>
        <w:rPr>
          <w:b/>
          <w:bCs/>
          <w:sz w:val="20"/>
          <w:szCs w:val="20"/>
        </w:rPr>
      </w:pPr>
    </w:p>
    <w:p w14:paraId="46315725" w14:textId="77777777" w:rsidR="00735A70" w:rsidRDefault="00735A70" w:rsidP="00FF3008">
      <w:pPr>
        <w:jc w:val="center"/>
        <w:rPr>
          <w:b/>
          <w:bCs/>
          <w:smallCaps/>
          <w:sz w:val="20"/>
          <w:szCs w:val="20"/>
        </w:rPr>
      </w:pPr>
    </w:p>
    <w:p w14:paraId="1D2C5212" w14:textId="19A0BAF7" w:rsidR="00FF3008" w:rsidRPr="00082532" w:rsidRDefault="00FF3008" w:rsidP="00FF3008">
      <w:pPr>
        <w:jc w:val="center"/>
        <w:rPr>
          <w:b/>
          <w:bCs/>
          <w:smallCaps/>
          <w:sz w:val="20"/>
          <w:szCs w:val="20"/>
        </w:rPr>
      </w:pPr>
      <w:r w:rsidRPr="00082532">
        <w:rPr>
          <w:b/>
          <w:bCs/>
          <w:smallCaps/>
          <w:sz w:val="20"/>
          <w:szCs w:val="20"/>
        </w:rPr>
        <w:t>Diversidad representada en las principales comunidades vegetales de México</w:t>
      </w:r>
    </w:p>
    <w:p w14:paraId="478A3BFE" w14:textId="1FE13EFE" w:rsidR="00FF3008" w:rsidRPr="00082532" w:rsidRDefault="00FF3008" w:rsidP="00AC0941">
      <w:pPr>
        <w:jc w:val="center"/>
        <w:rPr>
          <w:rFonts w:cs="Arial"/>
          <w:smallCaps/>
          <w:szCs w:val="22"/>
        </w:rPr>
      </w:pPr>
      <w:r w:rsidRPr="00082532">
        <w:rPr>
          <w:b/>
          <w:bCs/>
          <w:smallCaps/>
          <w:sz w:val="20"/>
          <w:szCs w:val="20"/>
        </w:rPr>
        <w:t>(</w:t>
      </w:r>
      <w:r w:rsidR="00082532">
        <w:rPr>
          <w:b/>
          <w:bCs/>
          <w:smallCaps/>
          <w:sz w:val="20"/>
          <w:szCs w:val="20"/>
        </w:rPr>
        <w:t>N</w:t>
      </w:r>
      <w:r w:rsidRPr="00082532">
        <w:rPr>
          <w:b/>
          <w:bCs/>
          <w:smallCaps/>
          <w:sz w:val="20"/>
          <w:szCs w:val="20"/>
        </w:rPr>
        <w:t>úmero de especies)</w:t>
      </w:r>
    </w:p>
    <w:p w14:paraId="7002324C" w14:textId="0F704E4B" w:rsidR="00883F0C" w:rsidRDefault="00AC0941" w:rsidP="0075056F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7503B367" wp14:editId="7D68E93A">
            <wp:extent cx="5584641" cy="2289778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B407F2-4A5A-473E-8A2E-6B834ABC4E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52437C" w14:textId="63748178" w:rsidR="00AC0941" w:rsidRPr="00735A70" w:rsidRDefault="00AC0941" w:rsidP="0035794C">
      <w:pPr>
        <w:ind w:firstLine="426"/>
        <w:rPr>
          <w:b/>
          <w:sz w:val="20"/>
          <w:szCs w:val="20"/>
        </w:rPr>
      </w:pPr>
      <w:r w:rsidRPr="00735A70">
        <w:rPr>
          <w:b/>
          <w:sz w:val="20"/>
          <w:szCs w:val="20"/>
        </w:rPr>
        <w:t xml:space="preserve">Fuente: </w:t>
      </w:r>
      <w:r w:rsidRPr="00735A70">
        <w:rPr>
          <w:rFonts w:cs="Arial"/>
          <w:b/>
          <w:bCs/>
          <w:sz w:val="20"/>
          <w:szCs w:val="20"/>
          <w:lang w:val="es-MX"/>
        </w:rPr>
        <w:t xml:space="preserve">Información de </w:t>
      </w:r>
      <w:r w:rsidRPr="00735A70">
        <w:rPr>
          <w:rFonts w:cs="Arial"/>
          <w:b/>
          <w:sz w:val="20"/>
          <w:szCs w:val="20"/>
        </w:rPr>
        <w:t>Uso del Suelo y Vegetación serie VI</w:t>
      </w:r>
      <w:r w:rsidRPr="00735A70">
        <w:rPr>
          <w:b/>
          <w:sz w:val="20"/>
          <w:szCs w:val="20"/>
        </w:rPr>
        <w:t>.</w:t>
      </w:r>
    </w:p>
    <w:p w14:paraId="0BB6CE0E" w14:textId="77777777" w:rsidR="00883F0C" w:rsidRDefault="00883F0C" w:rsidP="0075056F">
      <w:pPr>
        <w:autoSpaceDE w:val="0"/>
        <w:autoSpaceDN w:val="0"/>
        <w:adjustRightInd w:val="0"/>
        <w:rPr>
          <w:rFonts w:cs="Arial"/>
          <w:szCs w:val="22"/>
        </w:rPr>
      </w:pPr>
    </w:p>
    <w:p w14:paraId="71C029D7" w14:textId="55892D16" w:rsidR="00811ABF" w:rsidRDefault="00E907AA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  <w:r w:rsidRPr="00811ABF">
        <w:rPr>
          <w:rFonts w:cs="Arial"/>
          <w:szCs w:val="22"/>
        </w:rPr>
        <w:t xml:space="preserve">En 1985 la vegetación primaria, es decir, sin alteración o degradación, </w:t>
      </w:r>
      <w:r w:rsidR="00811ABF" w:rsidRPr="00811ABF">
        <w:rPr>
          <w:rFonts w:cs="Arial"/>
          <w:szCs w:val="22"/>
        </w:rPr>
        <w:t>cubría</w:t>
      </w:r>
      <w:r w:rsidRPr="00811ABF">
        <w:rPr>
          <w:rFonts w:cs="Arial"/>
          <w:szCs w:val="22"/>
        </w:rPr>
        <w:t xml:space="preserve"> 1 543 545 km</w:t>
      </w:r>
      <w:r w:rsidRPr="00811ABF">
        <w:rPr>
          <w:rFonts w:cs="Arial"/>
          <w:szCs w:val="22"/>
          <w:vertAlign w:val="superscript"/>
        </w:rPr>
        <w:t>2</w:t>
      </w:r>
      <w:r w:rsidR="00811ABF">
        <w:rPr>
          <w:rFonts w:cs="Arial"/>
          <w:szCs w:val="22"/>
        </w:rPr>
        <w:t xml:space="preserve"> de la superficie nacional.</w:t>
      </w:r>
      <w:r w:rsidR="00811ABF" w:rsidRPr="00811ABF">
        <w:rPr>
          <w:rFonts w:cs="Arial"/>
          <w:szCs w:val="22"/>
        </w:rPr>
        <w:t xml:space="preserve"> Para</w:t>
      </w:r>
      <w:r w:rsidRPr="00811ABF">
        <w:rPr>
          <w:rFonts w:cs="Arial"/>
          <w:szCs w:val="22"/>
        </w:rPr>
        <w:t xml:space="preserve"> 2014</w:t>
      </w:r>
      <w:r w:rsidR="00735A70">
        <w:rPr>
          <w:rFonts w:cs="Arial"/>
          <w:szCs w:val="22"/>
        </w:rPr>
        <w:t>,</w:t>
      </w:r>
      <w:r w:rsidR="00811ABF" w:rsidRPr="00811ABF">
        <w:rPr>
          <w:rFonts w:cs="Arial"/>
          <w:szCs w:val="22"/>
        </w:rPr>
        <w:t xml:space="preserve"> había disminuido </w:t>
      </w:r>
      <w:r w:rsidRPr="00811ABF">
        <w:rPr>
          <w:rFonts w:cs="Arial"/>
          <w:szCs w:val="22"/>
        </w:rPr>
        <w:t>9.4</w:t>
      </w:r>
      <w:r w:rsidR="00082532">
        <w:rPr>
          <w:rFonts w:cs="Arial"/>
          <w:szCs w:val="22"/>
        </w:rPr>
        <w:t>%</w:t>
      </w:r>
      <w:r w:rsidR="00811ABF">
        <w:rPr>
          <w:rFonts w:cs="Arial"/>
          <w:szCs w:val="22"/>
        </w:rPr>
        <w:t xml:space="preserve">, </w:t>
      </w:r>
      <w:r w:rsidR="00082532">
        <w:rPr>
          <w:rFonts w:cs="Arial"/>
          <w:szCs w:val="22"/>
        </w:rPr>
        <w:t>al cubrir</w:t>
      </w:r>
      <w:r w:rsidR="00811ABF" w:rsidRPr="00811ABF">
        <w:rPr>
          <w:rFonts w:cs="Arial"/>
          <w:szCs w:val="22"/>
        </w:rPr>
        <w:t xml:space="preserve"> 1</w:t>
      </w:r>
      <w:r w:rsidR="00082532">
        <w:rPr>
          <w:rFonts w:cs="Arial"/>
          <w:szCs w:val="22"/>
        </w:rPr>
        <w:t> </w:t>
      </w:r>
      <w:r w:rsidR="00811ABF" w:rsidRPr="00811ABF">
        <w:rPr>
          <w:rFonts w:cs="Arial"/>
          <w:szCs w:val="22"/>
        </w:rPr>
        <w:t>398</w:t>
      </w:r>
      <w:r w:rsidR="00082532">
        <w:rPr>
          <w:rFonts w:cs="Arial"/>
          <w:szCs w:val="22"/>
        </w:rPr>
        <w:t> </w:t>
      </w:r>
      <w:r w:rsidR="00811ABF" w:rsidRPr="00811ABF">
        <w:rPr>
          <w:rFonts w:cs="Arial"/>
          <w:szCs w:val="22"/>
        </w:rPr>
        <w:t>394</w:t>
      </w:r>
      <w:r w:rsidR="00082532">
        <w:rPr>
          <w:rFonts w:cs="Arial"/>
          <w:szCs w:val="22"/>
        </w:rPr>
        <w:t> </w:t>
      </w:r>
      <w:r w:rsidR="00811ABF" w:rsidRPr="00811ABF">
        <w:rPr>
          <w:rFonts w:cs="Arial"/>
          <w:szCs w:val="22"/>
        </w:rPr>
        <w:t>km</w:t>
      </w:r>
      <w:r w:rsidR="00811ABF" w:rsidRPr="00811ABF">
        <w:rPr>
          <w:rFonts w:cs="Arial"/>
          <w:szCs w:val="22"/>
          <w:vertAlign w:val="superscript"/>
        </w:rPr>
        <w:t>2</w:t>
      </w:r>
      <w:r w:rsidR="00811ABF">
        <w:rPr>
          <w:rFonts w:cs="Arial"/>
          <w:szCs w:val="22"/>
        </w:rPr>
        <w:t>.</w:t>
      </w:r>
    </w:p>
    <w:p w14:paraId="074AA42E" w14:textId="77777777" w:rsidR="00735A70" w:rsidRDefault="00735A70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</w:p>
    <w:p w14:paraId="016E8B2B" w14:textId="1DFB76D4" w:rsidR="003175FA" w:rsidRPr="003175FA" w:rsidRDefault="00C83C0F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  <w:r>
        <w:rPr>
          <w:rFonts w:cs="Arial"/>
          <w:szCs w:val="22"/>
        </w:rPr>
        <w:t xml:space="preserve">Las </w:t>
      </w:r>
      <w:r w:rsidRPr="00046E3B">
        <w:rPr>
          <w:rFonts w:cs="Arial"/>
          <w:szCs w:val="22"/>
        </w:rPr>
        <w:t xml:space="preserve">comunidades </w:t>
      </w:r>
      <w:r w:rsidR="00FE28F6">
        <w:rPr>
          <w:rFonts w:cs="Arial"/>
          <w:szCs w:val="22"/>
        </w:rPr>
        <w:t>vegetales</w:t>
      </w:r>
      <w:r w:rsidRPr="00046E3B">
        <w:rPr>
          <w:rFonts w:cs="Arial"/>
          <w:szCs w:val="22"/>
        </w:rPr>
        <w:t xml:space="preserve"> </w:t>
      </w:r>
      <w:r w:rsidR="00082532">
        <w:rPr>
          <w:rFonts w:cs="Arial"/>
          <w:szCs w:val="22"/>
        </w:rPr>
        <w:t>en</w:t>
      </w:r>
      <w:r w:rsidRPr="003175FA">
        <w:rPr>
          <w:rFonts w:cs="Arial"/>
          <w:szCs w:val="22"/>
        </w:rPr>
        <w:t xml:space="preserve"> cada región</w:t>
      </w:r>
      <w:r>
        <w:rPr>
          <w:rFonts w:cs="Arial"/>
          <w:szCs w:val="22"/>
        </w:rPr>
        <w:t xml:space="preserve"> d</w:t>
      </w:r>
      <w:r w:rsidRPr="003175FA">
        <w:rPr>
          <w:rFonts w:cs="Arial"/>
          <w:szCs w:val="22"/>
        </w:rPr>
        <w:t xml:space="preserve">el país </w:t>
      </w:r>
      <w:r>
        <w:rPr>
          <w:rFonts w:cs="Arial"/>
          <w:szCs w:val="22"/>
        </w:rPr>
        <w:t xml:space="preserve">están </w:t>
      </w:r>
      <w:r w:rsidRPr="003175FA">
        <w:rPr>
          <w:rFonts w:cs="Arial"/>
          <w:szCs w:val="22"/>
        </w:rPr>
        <w:t>asociada</w:t>
      </w:r>
      <w:r>
        <w:rPr>
          <w:rFonts w:cs="Arial"/>
          <w:szCs w:val="22"/>
        </w:rPr>
        <w:t>s</w:t>
      </w:r>
      <w:r w:rsidRPr="003175F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</w:t>
      </w:r>
      <w:r w:rsidRPr="003175FA">
        <w:rPr>
          <w:rFonts w:cs="Arial"/>
          <w:szCs w:val="22"/>
        </w:rPr>
        <w:t xml:space="preserve"> la cartografía temática,</w:t>
      </w:r>
      <w:r>
        <w:rPr>
          <w:rFonts w:cs="Arial"/>
          <w:szCs w:val="22"/>
        </w:rPr>
        <w:t xml:space="preserve"> los </w:t>
      </w:r>
      <w:r w:rsidRPr="003175FA">
        <w:rPr>
          <w:rFonts w:cs="Arial"/>
          <w:szCs w:val="22"/>
        </w:rPr>
        <w:t>tipos de clima, suelo, sustrato geológico, etcétera.</w:t>
      </w:r>
      <w:r w:rsidR="00F86104">
        <w:rPr>
          <w:rFonts w:cs="Arial"/>
          <w:szCs w:val="22"/>
        </w:rPr>
        <w:t xml:space="preserve"> </w:t>
      </w:r>
      <w:r w:rsidR="00ED7629">
        <w:rPr>
          <w:rFonts w:cs="Arial"/>
          <w:szCs w:val="22"/>
        </w:rPr>
        <w:t>La colección científica reunida en el Herbario INEGI contribuye a la identificación de las especies adecuadas para la reforestación de áreas rurales y urbanas</w:t>
      </w:r>
      <w:r w:rsidR="00883F0C">
        <w:rPr>
          <w:rFonts w:cs="Arial"/>
          <w:szCs w:val="22"/>
        </w:rPr>
        <w:t>, pues a</w:t>
      </w:r>
      <w:r w:rsidR="00516548">
        <w:rPr>
          <w:rFonts w:cs="Arial"/>
          <w:szCs w:val="22"/>
        </w:rPr>
        <w:t xml:space="preserve">lgunas </w:t>
      </w:r>
      <w:r w:rsidR="003175FA" w:rsidRPr="003175FA">
        <w:rPr>
          <w:rFonts w:cs="Arial"/>
          <w:szCs w:val="22"/>
        </w:rPr>
        <w:t>especies exóticas</w:t>
      </w:r>
      <w:r w:rsidR="00883F0C">
        <w:rPr>
          <w:rFonts w:cs="Arial"/>
          <w:szCs w:val="22"/>
        </w:rPr>
        <w:t xml:space="preserve"> empleadas</w:t>
      </w:r>
      <w:r w:rsidR="00D02215">
        <w:rPr>
          <w:rFonts w:cs="Arial"/>
          <w:szCs w:val="22"/>
        </w:rPr>
        <w:t xml:space="preserve"> con frecuencia</w:t>
      </w:r>
      <w:r w:rsidR="00883F0C" w:rsidRPr="003175FA">
        <w:rPr>
          <w:rFonts w:cs="Arial"/>
          <w:szCs w:val="22"/>
        </w:rPr>
        <w:t xml:space="preserve">, como </w:t>
      </w:r>
      <w:r w:rsidR="00883F0C" w:rsidRPr="003175FA">
        <w:rPr>
          <w:rFonts w:cs="Arial"/>
          <w:i/>
          <w:iCs/>
          <w:szCs w:val="22"/>
        </w:rPr>
        <w:t>Eucaliptus</w:t>
      </w:r>
      <w:r w:rsidR="00883F0C" w:rsidRPr="003175FA">
        <w:rPr>
          <w:rFonts w:cs="Arial"/>
          <w:szCs w:val="22"/>
        </w:rPr>
        <w:t xml:space="preserve"> spp. y </w:t>
      </w:r>
      <w:r w:rsidR="00883F0C" w:rsidRPr="003175FA">
        <w:rPr>
          <w:rFonts w:cs="Arial"/>
          <w:i/>
          <w:iCs/>
          <w:szCs w:val="22"/>
        </w:rPr>
        <w:t>Casuarina</w:t>
      </w:r>
      <w:r w:rsidR="00883F0C" w:rsidRPr="003175FA">
        <w:rPr>
          <w:rFonts w:cs="Arial"/>
          <w:szCs w:val="22"/>
        </w:rPr>
        <w:t xml:space="preserve"> spp</w:t>
      </w:r>
      <w:r w:rsidR="00883F0C">
        <w:rPr>
          <w:rFonts w:cs="Arial"/>
          <w:szCs w:val="22"/>
        </w:rPr>
        <w:t>.,</w:t>
      </w:r>
      <w:r w:rsidR="003175FA" w:rsidRPr="003175FA">
        <w:rPr>
          <w:rFonts w:cs="Arial"/>
          <w:szCs w:val="22"/>
        </w:rPr>
        <w:t xml:space="preserve"> </w:t>
      </w:r>
      <w:r w:rsidR="00516548">
        <w:rPr>
          <w:rFonts w:cs="Arial"/>
          <w:szCs w:val="22"/>
        </w:rPr>
        <w:t xml:space="preserve">no sobreviven </w:t>
      </w:r>
      <w:r w:rsidR="00883F0C">
        <w:rPr>
          <w:rFonts w:cs="Arial"/>
          <w:szCs w:val="22"/>
        </w:rPr>
        <w:t>en determinadas condiciones ambientales.</w:t>
      </w:r>
    </w:p>
    <w:p w14:paraId="22A4554E" w14:textId="77777777" w:rsidR="002B4F91" w:rsidRDefault="002B4F91" w:rsidP="0035794C">
      <w:pPr>
        <w:autoSpaceDE w:val="0"/>
        <w:autoSpaceDN w:val="0"/>
        <w:adjustRightInd w:val="0"/>
        <w:ind w:right="-516"/>
        <w:rPr>
          <w:rFonts w:eastAsiaTheme="minorHAnsi" w:cs="Arial"/>
          <w:b/>
          <w:szCs w:val="22"/>
          <w:lang w:val="es-MX" w:eastAsia="en-US"/>
        </w:rPr>
      </w:pPr>
    </w:p>
    <w:p w14:paraId="789FB4C6" w14:textId="1E14E510" w:rsidR="0022142D" w:rsidRDefault="0022142D" w:rsidP="00735A70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  <w:r>
        <w:rPr>
          <w:rFonts w:eastAsiaTheme="minorHAnsi" w:cs="Arial"/>
          <w:b/>
          <w:szCs w:val="22"/>
          <w:lang w:val="es-MX" w:eastAsia="en-US"/>
        </w:rPr>
        <w:t>Agua potable y saneamiento</w:t>
      </w:r>
    </w:p>
    <w:p w14:paraId="36D8EBE4" w14:textId="77777777" w:rsidR="0022142D" w:rsidRDefault="0022142D" w:rsidP="00735A70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</w:p>
    <w:p w14:paraId="47AC5474" w14:textId="27D6452B" w:rsidR="0035794C" w:rsidRDefault="0022142D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  <w:r w:rsidRPr="0022142D">
        <w:rPr>
          <w:rFonts w:cs="Arial"/>
          <w:szCs w:val="22"/>
          <w:lang w:eastAsia="es-MX"/>
        </w:rPr>
        <w:t xml:space="preserve">A nivel nacional, </w:t>
      </w:r>
      <w:r w:rsidRPr="007F7FEE">
        <w:rPr>
          <w:rFonts w:cs="Arial"/>
          <w:szCs w:val="22"/>
          <w:lang w:eastAsia="es-MX"/>
        </w:rPr>
        <w:t>98</w:t>
      </w:r>
      <w:r w:rsidR="007F7FEE" w:rsidRPr="007F7FEE">
        <w:rPr>
          <w:rFonts w:cs="Arial"/>
          <w:szCs w:val="22"/>
          <w:lang w:eastAsia="es-MX"/>
        </w:rPr>
        <w:t>.</w:t>
      </w:r>
      <w:r w:rsidR="007F7FEE">
        <w:rPr>
          <w:rFonts w:cs="Arial"/>
          <w:szCs w:val="22"/>
          <w:lang w:eastAsia="es-MX"/>
        </w:rPr>
        <w:t>6</w:t>
      </w:r>
      <w:r w:rsidRPr="0022142D">
        <w:rPr>
          <w:rFonts w:cs="Arial"/>
          <w:szCs w:val="22"/>
          <w:lang w:eastAsia="es-MX"/>
        </w:rPr>
        <w:t>% de los municipios o demarcaciones territorial</w:t>
      </w:r>
      <w:r w:rsidRPr="00D65491">
        <w:rPr>
          <w:rFonts w:cs="Arial"/>
          <w:szCs w:val="22"/>
          <w:lang w:eastAsia="es-MX"/>
        </w:rPr>
        <w:t>es de la Ciudad</w:t>
      </w:r>
      <w:r w:rsidRPr="0022142D">
        <w:rPr>
          <w:rFonts w:cs="Arial"/>
          <w:szCs w:val="22"/>
          <w:lang w:eastAsia="es-MX"/>
        </w:rPr>
        <w:t xml:space="preserve"> de México proporcion</w:t>
      </w:r>
      <w:r w:rsidR="00312031">
        <w:rPr>
          <w:rFonts w:cs="Arial"/>
          <w:szCs w:val="22"/>
          <w:lang w:eastAsia="es-MX"/>
        </w:rPr>
        <w:t>a</w:t>
      </w:r>
      <w:r w:rsidRPr="0022142D">
        <w:rPr>
          <w:rFonts w:cs="Arial"/>
          <w:szCs w:val="22"/>
          <w:lang w:eastAsia="es-MX"/>
        </w:rPr>
        <w:t xml:space="preserve"> el servicio de agua</w:t>
      </w:r>
      <w:r>
        <w:rPr>
          <w:rFonts w:cs="Arial"/>
          <w:szCs w:val="22"/>
          <w:lang w:eastAsia="es-MX"/>
        </w:rPr>
        <w:t>. En el</w:t>
      </w:r>
      <w:r w:rsidRPr="0022142D">
        <w:rPr>
          <w:rFonts w:cs="Arial"/>
          <w:szCs w:val="22"/>
          <w:lang w:eastAsia="es-MX"/>
        </w:rPr>
        <w:t xml:space="preserve"> </w:t>
      </w:r>
      <w:r w:rsidR="007F7FEE">
        <w:rPr>
          <w:rFonts w:cs="Arial"/>
          <w:szCs w:val="22"/>
          <w:lang w:eastAsia="es-MX"/>
        </w:rPr>
        <w:t>1.4</w:t>
      </w:r>
      <w:r w:rsidRPr="0022142D">
        <w:rPr>
          <w:rFonts w:cs="Arial"/>
          <w:szCs w:val="22"/>
          <w:lang w:eastAsia="es-MX"/>
        </w:rPr>
        <w:t xml:space="preserve">% </w:t>
      </w:r>
      <w:r>
        <w:rPr>
          <w:rFonts w:cs="Arial"/>
          <w:szCs w:val="22"/>
          <w:lang w:eastAsia="es-MX"/>
        </w:rPr>
        <w:t>restante</w:t>
      </w:r>
      <w:r w:rsidRPr="0022142D">
        <w:rPr>
          <w:rFonts w:cs="Arial"/>
          <w:szCs w:val="22"/>
          <w:lang w:eastAsia="es-MX"/>
        </w:rPr>
        <w:t xml:space="preserve"> habita</w:t>
      </w:r>
      <w:r w:rsidR="00312031">
        <w:rPr>
          <w:rFonts w:cs="Arial"/>
          <w:szCs w:val="22"/>
          <w:lang w:eastAsia="es-MX"/>
        </w:rPr>
        <w:t>n</w:t>
      </w:r>
      <w:r w:rsidRPr="0022142D">
        <w:rPr>
          <w:rFonts w:cs="Arial"/>
          <w:szCs w:val="22"/>
          <w:lang w:eastAsia="es-MX"/>
        </w:rPr>
        <w:t xml:space="preserve"> alrededor de 405</w:t>
      </w:r>
      <w:r w:rsidR="00D02215">
        <w:rPr>
          <w:rFonts w:cs="Arial"/>
          <w:szCs w:val="22"/>
          <w:lang w:eastAsia="es-MX"/>
        </w:rPr>
        <w:t> </w:t>
      </w:r>
      <w:r w:rsidR="0035794C">
        <w:rPr>
          <w:rFonts w:cs="Arial"/>
          <w:szCs w:val="22"/>
          <w:lang w:eastAsia="es-MX"/>
        </w:rPr>
        <w:t>mil</w:t>
      </w:r>
      <w:r w:rsidRPr="0022142D">
        <w:rPr>
          <w:rFonts w:cs="Arial"/>
          <w:szCs w:val="22"/>
          <w:lang w:eastAsia="es-MX"/>
        </w:rPr>
        <w:t xml:space="preserve"> personas.</w:t>
      </w:r>
      <w:r w:rsidR="00D65491">
        <w:rPr>
          <w:rFonts w:cs="Arial"/>
          <w:szCs w:val="22"/>
          <w:lang w:eastAsia="es-MX"/>
        </w:rPr>
        <w:t xml:space="preserve"> </w:t>
      </w:r>
    </w:p>
    <w:p w14:paraId="1C816608" w14:textId="77777777" w:rsidR="0035794C" w:rsidRDefault="0035794C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</w:p>
    <w:p w14:paraId="7FFB6756" w14:textId="1A02DF69" w:rsidR="00177BD1" w:rsidRDefault="0022142D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  <w:r w:rsidRPr="0022142D">
        <w:rPr>
          <w:rFonts w:cs="Arial"/>
          <w:szCs w:val="22"/>
          <w:lang w:eastAsia="es-MX"/>
        </w:rPr>
        <w:t xml:space="preserve">El abastecimiento de agua para uso urbano depende de 21 728 obras de toma, de las cuales </w:t>
      </w:r>
      <w:r w:rsidRPr="007731AB">
        <w:rPr>
          <w:rFonts w:cs="Arial"/>
          <w:szCs w:val="22"/>
          <w:lang w:eastAsia="es-MX"/>
        </w:rPr>
        <w:t>9</w:t>
      </w:r>
      <w:r w:rsidR="007731AB" w:rsidRPr="007731AB">
        <w:rPr>
          <w:rFonts w:cs="Arial"/>
          <w:szCs w:val="22"/>
          <w:lang w:eastAsia="es-MX"/>
        </w:rPr>
        <w:t>4</w:t>
      </w:r>
      <w:r w:rsidR="007731AB">
        <w:rPr>
          <w:rFonts w:cs="Arial"/>
          <w:szCs w:val="22"/>
          <w:lang w:eastAsia="es-MX"/>
        </w:rPr>
        <w:t>.9</w:t>
      </w:r>
      <w:r w:rsidRPr="0022142D">
        <w:rPr>
          <w:rFonts w:cs="Arial"/>
          <w:szCs w:val="22"/>
          <w:lang w:eastAsia="es-MX"/>
        </w:rPr>
        <w:t xml:space="preserve">% </w:t>
      </w:r>
      <w:r w:rsidR="00312031">
        <w:rPr>
          <w:rFonts w:cs="Arial"/>
          <w:szCs w:val="22"/>
          <w:lang w:eastAsia="es-MX"/>
        </w:rPr>
        <w:t>es</w:t>
      </w:r>
      <w:r w:rsidRPr="0022142D">
        <w:rPr>
          <w:rFonts w:cs="Arial"/>
          <w:szCs w:val="22"/>
          <w:lang w:eastAsia="es-MX"/>
        </w:rPr>
        <w:t xml:space="preserve"> de origen subterráneo: pozos, galerías filtrantes y manantiales</w:t>
      </w:r>
      <w:r w:rsidR="00D65491">
        <w:rPr>
          <w:rFonts w:cs="Arial"/>
          <w:szCs w:val="22"/>
          <w:lang w:eastAsia="es-MX"/>
        </w:rPr>
        <w:t>.</w:t>
      </w:r>
    </w:p>
    <w:p w14:paraId="3BA07D6C" w14:textId="77777777" w:rsidR="00177BD1" w:rsidRDefault="00177BD1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</w:p>
    <w:p w14:paraId="4F191359" w14:textId="693BCA0D" w:rsidR="00AD7633" w:rsidRDefault="00177BD1" w:rsidP="00735A70">
      <w:pPr>
        <w:autoSpaceDE w:val="0"/>
        <w:autoSpaceDN w:val="0"/>
        <w:adjustRightInd w:val="0"/>
        <w:ind w:left="-567" w:right="-516"/>
        <w:rPr>
          <w:rFonts w:cs="Arial"/>
          <w:bCs/>
          <w:szCs w:val="22"/>
          <w:lang w:eastAsia="es-MX"/>
        </w:rPr>
      </w:pPr>
      <w:r>
        <w:rPr>
          <w:rFonts w:cs="Arial"/>
          <w:bCs/>
          <w:szCs w:val="22"/>
          <w:lang w:eastAsia="es-MX"/>
        </w:rPr>
        <w:t>E</w:t>
      </w:r>
      <w:r w:rsidRPr="00177BD1">
        <w:rPr>
          <w:rFonts w:cs="Arial"/>
          <w:bCs/>
          <w:szCs w:val="22"/>
          <w:lang w:eastAsia="es-MX"/>
        </w:rPr>
        <w:t xml:space="preserve">l </w:t>
      </w:r>
      <w:r w:rsidRPr="00FA41DB">
        <w:rPr>
          <w:rFonts w:cs="Arial"/>
          <w:bCs/>
          <w:szCs w:val="22"/>
          <w:lang w:eastAsia="es-MX"/>
        </w:rPr>
        <w:t>7</w:t>
      </w:r>
      <w:r w:rsidR="00FA41DB" w:rsidRPr="00FA41DB">
        <w:rPr>
          <w:rFonts w:cs="Arial"/>
          <w:bCs/>
          <w:szCs w:val="22"/>
          <w:lang w:eastAsia="es-MX"/>
        </w:rPr>
        <w:t>8</w:t>
      </w:r>
      <w:r w:rsidR="00FA41DB">
        <w:rPr>
          <w:rFonts w:cs="Arial"/>
          <w:bCs/>
          <w:szCs w:val="22"/>
          <w:lang w:eastAsia="es-MX"/>
        </w:rPr>
        <w:t>.7</w:t>
      </w:r>
      <w:r w:rsidRPr="00177BD1">
        <w:rPr>
          <w:rFonts w:cs="Arial"/>
          <w:bCs/>
          <w:szCs w:val="22"/>
          <w:lang w:eastAsia="es-MX"/>
        </w:rPr>
        <w:t>% de los municipios y demarcaciones</w:t>
      </w:r>
      <w:r>
        <w:rPr>
          <w:rFonts w:cs="Arial"/>
          <w:bCs/>
          <w:szCs w:val="22"/>
          <w:lang w:eastAsia="es-MX"/>
        </w:rPr>
        <w:t xml:space="preserve"> cuenta con</w:t>
      </w:r>
      <w:r w:rsidRPr="00177BD1">
        <w:rPr>
          <w:rFonts w:cs="Arial"/>
          <w:bCs/>
          <w:szCs w:val="22"/>
          <w:lang w:eastAsia="es-MX"/>
        </w:rPr>
        <w:t xml:space="preserve"> servicio de alcantarillado y drenaje a través de una red pública</w:t>
      </w:r>
      <w:r>
        <w:rPr>
          <w:rFonts w:cs="Arial"/>
          <w:bCs/>
          <w:szCs w:val="22"/>
          <w:lang w:eastAsia="es-MX"/>
        </w:rPr>
        <w:t>. E</w:t>
      </w:r>
      <w:r w:rsidRPr="00177BD1">
        <w:rPr>
          <w:rFonts w:cs="Arial"/>
          <w:bCs/>
          <w:szCs w:val="22"/>
          <w:lang w:eastAsia="es-MX"/>
        </w:rPr>
        <w:t xml:space="preserve">l tratamiento de aguas residuales municipales tiene lugar en </w:t>
      </w:r>
      <w:r w:rsidRPr="00FA41DB">
        <w:rPr>
          <w:rFonts w:cs="Arial"/>
          <w:bCs/>
          <w:szCs w:val="22"/>
          <w:lang w:eastAsia="es-MX"/>
        </w:rPr>
        <w:t>40</w:t>
      </w:r>
      <w:r w:rsidR="00FA41DB">
        <w:rPr>
          <w:rFonts w:cs="Arial"/>
          <w:bCs/>
          <w:szCs w:val="22"/>
          <w:lang w:eastAsia="es-MX"/>
        </w:rPr>
        <w:t>.0</w:t>
      </w:r>
      <w:r w:rsidRPr="00177BD1">
        <w:rPr>
          <w:rFonts w:cs="Arial"/>
          <w:bCs/>
          <w:szCs w:val="22"/>
          <w:lang w:eastAsia="es-MX"/>
        </w:rPr>
        <w:t xml:space="preserve">% de </w:t>
      </w:r>
      <w:r w:rsidR="00D65491">
        <w:rPr>
          <w:rFonts w:cs="Arial"/>
          <w:bCs/>
          <w:szCs w:val="22"/>
          <w:lang w:eastAsia="es-MX"/>
        </w:rPr>
        <w:t>esos</w:t>
      </w:r>
      <w:r w:rsidRPr="00177BD1">
        <w:rPr>
          <w:rFonts w:cs="Arial"/>
          <w:bCs/>
          <w:szCs w:val="22"/>
          <w:lang w:eastAsia="es-MX"/>
        </w:rPr>
        <w:t xml:space="preserve"> gobiernos locales. </w:t>
      </w:r>
    </w:p>
    <w:p w14:paraId="2239DB7A" w14:textId="77777777" w:rsidR="00AD7633" w:rsidRDefault="00AD7633" w:rsidP="00735A70">
      <w:pPr>
        <w:autoSpaceDE w:val="0"/>
        <w:autoSpaceDN w:val="0"/>
        <w:adjustRightInd w:val="0"/>
        <w:ind w:left="-567" w:right="-516"/>
        <w:rPr>
          <w:rFonts w:cs="Arial"/>
          <w:bCs/>
          <w:szCs w:val="22"/>
          <w:lang w:eastAsia="es-MX"/>
        </w:rPr>
      </w:pPr>
    </w:p>
    <w:p w14:paraId="0D856E24" w14:textId="3D47F622" w:rsidR="00177BD1" w:rsidRPr="00177BD1" w:rsidRDefault="00D02215" w:rsidP="00735A70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  <w:r>
        <w:rPr>
          <w:rFonts w:cs="Arial"/>
          <w:bCs/>
          <w:szCs w:val="22"/>
          <w:lang w:eastAsia="es-MX"/>
        </w:rPr>
        <w:t>Las</w:t>
      </w:r>
      <w:r w:rsidR="00177BD1" w:rsidRPr="00177BD1">
        <w:rPr>
          <w:rFonts w:cs="Arial"/>
          <w:bCs/>
          <w:szCs w:val="22"/>
          <w:lang w:eastAsia="es-MX"/>
        </w:rPr>
        <w:t xml:space="preserve"> aguas residuales </w:t>
      </w:r>
      <w:r>
        <w:rPr>
          <w:rFonts w:cs="Arial"/>
          <w:bCs/>
          <w:szCs w:val="22"/>
          <w:lang w:eastAsia="es-MX"/>
        </w:rPr>
        <w:t xml:space="preserve">vertidas </w:t>
      </w:r>
      <w:r w:rsidR="00177BD1" w:rsidRPr="00177BD1">
        <w:rPr>
          <w:rFonts w:cs="Arial"/>
          <w:bCs/>
          <w:szCs w:val="22"/>
          <w:lang w:eastAsia="es-MX"/>
        </w:rPr>
        <w:t>sin tratamiento puede</w:t>
      </w:r>
      <w:r w:rsidR="00D13DD6">
        <w:rPr>
          <w:rFonts w:cs="Arial"/>
          <w:bCs/>
          <w:szCs w:val="22"/>
          <w:lang w:eastAsia="es-MX"/>
        </w:rPr>
        <w:t>n</w:t>
      </w:r>
      <w:r w:rsidR="00177BD1" w:rsidRPr="00177BD1">
        <w:rPr>
          <w:rFonts w:cs="Arial"/>
          <w:bCs/>
          <w:szCs w:val="22"/>
          <w:lang w:eastAsia="es-MX"/>
        </w:rPr>
        <w:t xml:space="preserve"> representar serios problemas ambientales y de salud.  En nuestro país se reportan 5 </w:t>
      </w:r>
      <w:r w:rsidR="0035794C">
        <w:rPr>
          <w:rFonts w:cs="Arial"/>
          <w:bCs/>
          <w:szCs w:val="22"/>
          <w:lang w:eastAsia="es-MX"/>
        </w:rPr>
        <w:t>mil</w:t>
      </w:r>
      <w:r w:rsidR="00177BD1" w:rsidRPr="00177BD1">
        <w:rPr>
          <w:rFonts w:cs="Arial"/>
          <w:bCs/>
          <w:szCs w:val="22"/>
          <w:lang w:eastAsia="es-MX"/>
        </w:rPr>
        <w:t xml:space="preserve"> puntos de descarga de aguas residuales municipales </w:t>
      </w:r>
      <w:r>
        <w:rPr>
          <w:rFonts w:cs="Arial"/>
          <w:bCs/>
          <w:szCs w:val="22"/>
          <w:lang w:eastAsia="es-MX"/>
        </w:rPr>
        <w:t>en esas condiciones</w:t>
      </w:r>
      <w:r w:rsidR="00177BD1" w:rsidRPr="00177BD1">
        <w:rPr>
          <w:rFonts w:cs="Arial"/>
          <w:bCs/>
          <w:szCs w:val="22"/>
          <w:lang w:eastAsia="es-MX"/>
        </w:rPr>
        <w:t>; la mitad de éstos se ubica en ríos o arroyos y poco más de una cuarta parte en suelos o barrancas.</w:t>
      </w:r>
    </w:p>
    <w:p w14:paraId="56257A7F" w14:textId="44BF8BCC" w:rsidR="00177BD1" w:rsidRDefault="00177BD1" w:rsidP="00735A70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</w:p>
    <w:p w14:paraId="3BB63252" w14:textId="0CBA5D62" w:rsidR="00EB5809" w:rsidRPr="00BB6DED" w:rsidRDefault="00EB5809" w:rsidP="00735A70">
      <w:pPr>
        <w:ind w:left="-567" w:right="-516"/>
      </w:pPr>
      <w:r w:rsidRPr="00176E50">
        <w:t>En cuanto al destino de las aguas residuales</w:t>
      </w:r>
      <w:r w:rsidR="00AD7633">
        <w:t xml:space="preserve"> </w:t>
      </w:r>
      <w:r w:rsidR="00DB1658">
        <w:t>derivadas de la producción en</w:t>
      </w:r>
      <w:r w:rsidR="00AD7633">
        <w:t xml:space="preserve"> unidades económicas grandes</w:t>
      </w:r>
      <w:r w:rsidRPr="00176E50">
        <w:t>, en 2018 el 63.6% se descargó a la red pública, 16.3% se empleó en sistemas de enfriamiento, 13.6% se reutilizó para jardinería y limpieza y 5.8% se recicló en el proceso</w:t>
      </w:r>
      <w:r>
        <w:t xml:space="preserve"> productivo.</w:t>
      </w:r>
    </w:p>
    <w:p w14:paraId="076B6DB6" w14:textId="77777777" w:rsidR="00EB5809" w:rsidRDefault="00EB5809" w:rsidP="00EB5809">
      <w:pPr>
        <w:rPr>
          <w:b/>
          <w:bCs/>
          <w:sz w:val="18"/>
          <w:szCs w:val="18"/>
        </w:rPr>
      </w:pPr>
    </w:p>
    <w:p w14:paraId="57B54DC7" w14:textId="5E71ADA3" w:rsidR="00EB5809" w:rsidRPr="00D02215" w:rsidRDefault="00AD7633" w:rsidP="00AD7633">
      <w:pPr>
        <w:jc w:val="center"/>
        <w:rPr>
          <w:b/>
          <w:bCs/>
          <w:smallCaps/>
          <w:sz w:val="20"/>
          <w:szCs w:val="20"/>
        </w:rPr>
      </w:pPr>
      <w:r w:rsidRPr="00D02215">
        <w:rPr>
          <w:b/>
          <w:bCs/>
          <w:smallCaps/>
          <w:sz w:val="20"/>
          <w:szCs w:val="20"/>
        </w:rPr>
        <w:t>U</w:t>
      </w:r>
      <w:r w:rsidR="00EB5809" w:rsidRPr="00D02215">
        <w:rPr>
          <w:b/>
          <w:bCs/>
          <w:smallCaps/>
          <w:sz w:val="20"/>
          <w:szCs w:val="20"/>
        </w:rPr>
        <w:t>so principal de las aguas residuales en las unidades económicas grandes, 2008-2018</w:t>
      </w:r>
    </w:p>
    <w:p w14:paraId="6175AAE6" w14:textId="591A625A" w:rsidR="00EB5809" w:rsidRPr="00D02215" w:rsidRDefault="00EB5809" w:rsidP="00AD7633">
      <w:pPr>
        <w:jc w:val="center"/>
        <w:rPr>
          <w:b/>
          <w:bCs/>
          <w:smallCaps/>
          <w:sz w:val="20"/>
          <w:szCs w:val="20"/>
        </w:rPr>
      </w:pPr>
      <w:r w:rsidRPr="00D02215">
        <w:rPr>
          <w:b/>
          <w:bCs/>
          <w:smallCaps/>
          <w:sz w:val="20"/>
          <w:szCs w:val="20"/>
        </w:rPr>
        <w:t>(</w:t>
      </w:r>
      <w:r w:rsidR="00D02215">
        <w:rPr>
          <w:b/>
          <w:bCs/>
          <w:smallCaps/>
          <w:sz w:val="20"/>
          <w:szCs w:val="20"/>
        </w:rPr>
        <w:t>P</w:t>
      </w:r>
      <w:r w:rsidRPr="00D02215">
        <w:rPr>
          <w:b/>
          <w:bCs/>
          <w:smallCaps/>
          <w:sz w:val="20"/>
          <w:szCs w:val="20"/>
        </w:rPr>
        <w:t>orcentajes)</w:t>
      </w:r>
    </w:p>
    <w:p w14:paraId="3FA92827" w14:textId="77777777" w:rsidR="00EB5809" w:rsidRDefault="00EB5809" w:rsidP="006E54C1">
      <w:pPr>
        <w:jc w:val="center"/>
      </w:pPr>
      <w:r>
        <w:rPr>
          <w:noProof/>
          <w:lang w:eastAsia="es-MX"/>
        </w:rPr>
        <w:drawing>
          <wp:inline distT="0" distB="0" distL="0" distR="0" wp14:anchorId="3C646B1A" wp14:editId="6A6F9199">
            <wp:extent cx="5486400" cy="2164080"/>
            <wp:effectExtent l="0" t="0" r="0" b="762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80C4EF" w14:textId="373ED442" w:rsidR="00AD7633" w:rsidRPr="0035794C" w:rsidRDefault="00AD7633" w:rsidP="0035794C">
      <w:pPr>
        <w:ind w:firstLine="426"/>
        <w:rPr>
          <w:b/>
          <w:sz w:val="20"/>
          <w:szCs w:val="20"/>
        </w:rPr>
      </w:pPr>
      <w:r w:rsidRPr="0035794C">
        <w:rPr>
          <w:b/>
          <w:sz w:val="20"/>
          <w:szCs w:val="20"/>
        </w:rPr>
        <w:t>Fuente: Censos Económicos 2019.</w:t>
      </w:r>
    </w:p>
    <w:p w14:paraId="57762507" w14:textId="77777777" w:rsidR="00EB5809" w:rsidRDefault="00EB5809" w:rsidP="00EB5809">
      <w:pPr>
        <w:rPr>
          <w:rFonts w:cs="Arial"/>
          <w:sz w:val="20"/>
          <w:szCs w:val="20"/>
          <w:lang w:eastAsia="es-MX"/>
        </w:rPr>
      </w:pPr>
    </w:p>
    <w:p w14:paraId="448525EE" w14:textId="77777777" w:rsidR="00571042" w:rsidRDefault="00571042" w:rsidP="002D0A1E"/>
    <w:p w14:paraId="094A3FA2" w14:textId="3AEBE3B2" w:rsidR="00177BD1" w:rsidRDefault="00177BD1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  <w:r>
        <w:rPr>
          <w:rFonts w:eastAsiaTheme="minorHAnsi" w:cs="Arial"/>
          <w:b/>
          <w:szCs w:val="22"/>
          <w:lang w:val="es-MX" w:eastAsia="en-US"/>
        </w:rPr>
        <w:t>Residuos sólidos urbanos</w:t>
      </w:r>
    </w:p>
    <w:p w14:paraId="0FC0A4B8" w14:textId="77777777" w:rsidR="00177BD1" w:rsidRDefault="00177BD1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</w:p>
    <w:p w14:paraId="7FEC7701" w14:textId="4308A07F" w:rsidR="00420119" w:rsidRDefault="00420119" w:rsidP="0035794C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  <w:r>
        <w:rPr>
          <w:rFonts w:cs="Arial"/>
          <w:szCs w:val="22"/>
          <w:lang w:eastAsia="es-MX"/>
        </w:rPr>
        <w:t>El</w:t>
      </w:r>
      <w:r w:rsidR="00177BD1" w:rsidRPr="00177BD1">
        <w:rPr>
          <w:rFonts w:cs="Arial"/>
          <w:szCs w:val="22"/>
          <w:lang w:eastAsia="es-MX"/>
        </w:rPr>
        <w:t xml:space="preserve"> </w:t>
      </w:r>
      <w:r w:rsidR="00177BD1" w:rsidRPr="007731AB">
        <w:rPr>
          <w:rFonts w:cs="Arial"/>
          <w:szCs w:val="22"/>
          <w:lang w:eastAsia="es-MX"/>
        </w:rPr>
        <w:t>92</w:t>
      </w:r>
      <w:r w:rsidR="007731AB">
        <w:rPr>
          <w:rFonts w:cs="Arial"/>
          <w:szCs w:val="22"/>
          <w:lang w:eastAsia="es-MX"/>
        </w:rPr>
        <w:t>.1</w:t>
      </w:r>
      <w:r w:rsidR="00177BD1" w:rsidRPr="00177BD1">
        <w:rPr>
          <w:rFonts w:cs="Arial"/>
          <w:szCs w:val="22"/>
          <w:lang w:eastAsia="es-MX"/>
        </w:rPr>
        <w:t xml:space="preserve">% de los municipios y demarcaciones territoriales del país </w:t>
      </w:r>
      <w:r>
        <w:rPr>
          <w:rFonts w:cs="Arial"/>
          <w:szCs w:val="22"/>
          <w:lang w:eastAsia="es-MX"/>
        </w:rPr>
        <w:t>cuenta</w:t>
      </w:r>
      <w:r w:rsidR="00177BD1" w:rsidRPr="00177BD1">
        <w:rPr>
          <w:rFonts w:cs="Arial"/>
          <w:szCs w:val="22"/>
          <w:lang w:eastAsia="es-MX"/>
        </w:rPr>
        <w:t xml:space="preserve"> con servicio de recolección </w:t>
      </w:r>
      <w:r w:rsidRPr="00177BD1">
        <w:rPr>
          <w:rFonts w:cs="Arial"/>
          <w:szCs w:val="22"/>
          <w:lang w:eastAsia="es-MX"/>
        </w:rPr>
        <w:t xml:space="preserve">domiciliaria </w:t>
      </w:r>
      <w:r w:rsidR="00177BD1" w:rsidRPr="00177BD1">
        <w:rPr>
          <w:rFonts w:cs="Arial"/>
          <w:szCs w:val="22"/>
          <w:lang w:eastAsia="es-MX"/>
        </w:rPr>
        <w:t xml:space="preserve">de residuos generados en casas-habitación, establecimientos, mercados o barrido de la vía pública. El servicio </w:t>
      </w:r>
      <w:r>
        <w:rPr>
          <w:rFonts w:cs="Arial"/>
          <w:szCs w:val="22"/>
          <w:lang w:eastAsia="es-MX"/>
        </w:rPr>
        <w:t>es proporcionado</w:t>
      </w:r>
      <w:r w:rsidR="00177BD1" w:rsidRPr="00177BD1">
        <w:rPr>
          <w:rFonts w:cs="Arial"/>
          <w:szCs w:val="22"/>
          <w:lang w:eastAsia="es-MX"/>
        </w:rPr>
        <w:t xml:space="preserve"> por 2 542 prestadores</w:t>
      </w:r>
      <w:r w:rsidR="0035794C">
        <w:rPr>
          <w:rFonts w:cs="Arial"/>
          <w:szCs w:val="22"/>
          <w:lang w:eastAsia="es-MX"/>
        </w:rPr>
        <w:t>,</w:t>
      </w:r>
      <w:r w:rsidR="00177BD1" w:rsidRPr="00177BD1">
        <w:rPr>
          <w:rFonts w:cs="Arial"/>
          <w:szCs w:val="22"/>
          <w:lang w:eastAsia="es-MX"/>
        </w:rPr>
        <w:t xml:space="preserve"> casi </w:t>
      </w:r>
      <w:r w:rsidR="00177BD1" w:rsidRPr="007731AB">
        <w:rPr>
          <w:rFonts w:cs="Arial"/>
          <w:szCs w:val="22"/>
          <w:lang w:eastAsia="es-MX"/>
        </w:rPr>
        <w:t>8</w:t>
      </w:r>
      <w:r w:rsidR="007731AB" w:rsidRPr="007731AB">
        <w:rPr>
          <w:rFonts w:cs="Arial"/>
          <w:szCs w:val="22"/>
          <w:lang w:eastAsia="es-MX"/>
        </w:rPr>
        <w:t>6</w:t>
      </w:r>
      <w:r w:rsidR="007731AB">
        <w:rPr>
          <w:rFonts w:cs="Arial"/>
          <w:szCs w:val="22"/>
          <w:lang w:eastAsia="es-MX"/>
        </w:rPr>
        <w:t>.9</w:t>
      </w:r>
      <w:r w:rsidR="00177BD1" w:rsidRPr="00177BD1">
        <w:rPr>
          <w:rFonts w:cs="Arial"/>
          <w:szCs w:val="22"/>
          <w:lang w:eastAsia="es-MX"/>
        </w:rPr>
        <w:t>% de ellos pertenec</w:t>
      </w:r>
      <w:r w:rsidR="00312031">
        <w:rPr>
          <w:rFonts w:cs="Arial"/>
          <w:szCs w:val="22"/>
          <w:lang w:eastAsia="es-MX"/>
        </w:rPr>
        <w:t>e</w:t>
      </w:r>
      <w:r w:rsidR="00177BD1" w:rsidRPr="00177BD1">
        <w:rPr>
          <w:rFonts w:cs="Arial"/>
          <w:szCs w:val="22"/>
          <w:lang w:eastAsia="es-MX"/>
        </w:rPr>
        <w:t xml:space="preserve"> al sector público. </w:t>
      </w:r>
      <w:r w:rsidRPr="00177BD1">
        <w:rPr>
          <w:rFonts w:cs="Arial"/>
          <w:szCs w:val="22"/>
          <w:lang w:eastAsia="es-MX"/>
        </w:rPr>
        <w:t>El parque vehicular en operación para la prestación del servicio est</w:t>
      </w:r>
      <w:r>
        <w:rPr>
          <w:rFonts w:cs="Arial"/>
          <w:szCs w:val="22"/>
          <w:lang w:eastAsia="es-MX"/>
        </w:rPr>
        <w:t>á</w:t>
      </w:r>
      <w:r w:rsidRPr="00177BD1">
        <w:rPr>
          <w:rFonts w:cs="Arial"/>
          <w:szCs w:val="22"/>
          <w:lang w:eastAsia="es-MX"/>
        </w:rPr>
        <w:t xml:space="preserve"> conformado por 16 626 vehículos, de los cuales, </w:t>
      </w:r>
      <w:r w:rsidRPr="007731AB">
        <w:rPr>
          <w:rFonts w:cs="Arial"/>
          <w:szCs w:val="22"/>
          <w:lang w:eastAsia="es-MX"/>
        </w:rPr>
        <w:t>60</w:t>
      </w:r>
      <w:r w:rsidR="007731AB">
        <w:rPr>
          <w:rFonts w:cs="Arial"/>
          <w:szCs w:val="22"/>
          <w:lang w:eastAsia="es-MX"/>
        </w:rPr>
        <w:t>.4</w:t>
      </w:r>
      <w:r w:rsidRPr="00177BD1">
        <w:rPr>
          <w:rFonts w:cs="Arial"/>
          <w:szCs w:val="22"/>
          <w:lang w:eastAsia="es-MX"/>
        </w:rPr>
        <w:t xml:space="preserve">% </w:t>
      </w:r>
      <w:r>
        <w:rPr>
          <w:rFonts w:cs="Arial"/>
          <w:szCs w:val="22"/>
          <w:lang w:eastAsia="es-MX"/>
        </w:rPr>
        <w:t>tiene</w:t>
      </w:r>
      <w:r w:rsidRPr="00177BD1">
        <w:rPr>
          <w:rFonts w:cs="Arial"/>
          <w:szCs w:val="22"/>
          <w:lang w:eastAsia="es-MX"/>
        </w:rPr>
        <w:t xml:space="preserve"> un mecanismo para compactar los residuos.</w:t>
      </w:r>
    </w:p>
    <w:p w14:paraId="2CE72DE5" w14:textId="77777777" w:rsidR="00420119" w:rsidRDefault="00420119" w:rsidP="0035794C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</w:p>
    <w:p w14:paraId="7736DD5A" w14:textId="06C0258E" w:rsidR="00177BD1" w:rsidRDefault="007D28B1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  <w:r>
        <w:rPr>
          <w:rFonts w:cs="Arial"/>
          <w:szCs w:val="22"/>
          <w:lang w:eastAsia="es-MX"/>
        </w:rPr>
        <w:t>En promedio</w:t>
      </w:r>
      <w:r w:rsidR="00312031">
        <w:rPr>
          <w:rFonts w:cs="Arial"/>
          <w:szCs w:val="22"/>
          <w:lang w:eastAsia="es-MX"/>
        </w:rPr>
        <w:t>,</w:t>
      </w:r>
      <w:r>
        <w:rPr>
          <w:rFonts w:cs="Arial"/>
          <w:szCs w:val="22"/>
          <w:lang w:eastAsia="es-MX"/>
        </w:rPr>
        <w:t xml:space="preserve"> cada día f</w:t>
      </w:r>
      <w:r w:rsidR="00420119" w:rsidRPr="00177BD1">
        <w:rPr>
          <w:rFonts w:cs="Arial"/>
          <w:szCs w:val="22"/>
          <w:lang w:eastAsia="es-MX"/>
        </w:rPr>
        <w:t xml:space="preserve">ueron recolectados 107 055 547 </w:t>
      </w:r>
      <w:r w:rsidR="00A46266">
        <w:rPr>
          <w:rFonts w:cs="Arial"/>
          <w:szCs w:val="22"/>
          <w:lang w:eastAsia="es-MX"/>
        </w:rPr>
        <w:t>kg</w:t>
      </w:r>
      <w:r w:rsidR="00420119" w:rsidRPr="00177BD1">
        <w:rPr>
          <w:rFonts w:cs="Arial"/>
          <w:szCs w:val="22"/>
          <w:lang w:eastAsia="es-MX"/>
        </w:rPr>
        <w:t xml:space="preserve"> </w:t>
      </w:r>
      <w:r w:rsidR="00420119">
        <w:rPr>
          <w:rFonts w:cs="Arial"/>
          <w:szCs w:val="22"/>
          <w:lang w:eastAsia="es-MX"/>
        </w:rPr>
        <w:t>de residuos</w:t>
      </w:r>
      <w:r w:rsidR="006E5B74">
        <w:rPr>
          <w:rFonts w:cs="Arial"/>
          <w:szCs w:val="22"/>
          <w:lang w:eastAsia="es-MX"/>
        </w:rPr>
        <w:t>,</w:t>
      </w:r>
      <w:r w:rsidR="00420119">
        <w:rPr>
          <w:rFonts w:cs="Arial"/>
          <w:szCs w:val="22"/>
          <w:lang w:eastAsia="es-MX"/>
        </w:rPr>
        <w:t xml:space="preserve"> </w:t>
      </w:r>
      <w:r w:rsidR="00420119" w:rsidRPr="00177BD1">
        <w:rPr>
          <w:rFonts w:cs="Arial"/>
          <w:szCs w:val="22"/>
          <w:lang w:eastAsia="es-MX"/>
        </w:rPr>
        <w:t>lo que representa 865 g por persona</w:t>
      </w:r>
      <w:r w:rsidR="00D02215">
        <w:rPr>
          <w:rFonts w:cs="Arial"/>
          <w:szCs w:val="22"/>
          <w:lang w:eastAsia="es-MX"/>
        </w:rPr>
        <w:t>, si se</w:t>
      </w:r>
      <w:r w:rsidR="00420119" w:rsidRPr="00177BD1">
        <w:rPr>
          <w:rFonts w:cs="Arial"/>
          <w:szCs w:val="22"/>
          <w:lang w:eastAsia="es-MX"/>
        </w:rPr>
        <w:t xml:space="preserve"> considera la población que habita en los municipios y demarcaciones territoriales donde se presta el servicio.</w:t>
      </w:r>
      <w:r w:rsidR="00BF7432" w:rsidRPr="00BF7432">
        <w:rPr>
          <w:rFonts w:cs="Arial"/>
          <w:szCs w:val="22"/>
          <w:lang w:eastAsia="es-MX"/>
        </w:rPr>
        <w:t xml:space="preserve"> </w:t>
      </w:r>
      <w:r w:rsidR="00D02215">
        <w:rPr>
          <w:rFonts w:cs="Arial"/>
          <w:szCs w:val="22"/>
          <w:lang w:eastAsia="es-MX"/>
        </w:rPr>
        <w:t>Al recoger</w:t>
      </w:r>
      <w:r w:rsidR="00BD22D8">
        <w:rPr>
          <w:rFonts w:cs="Arial"/>
          <w:szCs w:val="22"/>
          <w:lang w:eastAsia="es-MX"/>
        </w:rPr>
        <w:t xml:space="preserve"> </w:t>
      </w:r>
      <w:r w:rsidR="00D02215">
        <w:rPr>
          <w:rFonts w:cs="Arial"/>
          <w:szCs w:val="22"/>
          <w:lang w:eastAsia="es-MX"/>
        </w:rPr>
        <w:t>los</w:t>
      </w:r>
      <w:r w:rsidR="00BD22D8">
        <w:rPr>
          <w:rFonts w:cs="Arial"/>
          <w:szCs w:val="22"/>
          <w:lang w:eastAsia="es-MX"/>
        </w:rPr>
        <w:t xml:space="preserve"> materiales</w:t>
      </w:r>
      <w:r w:rsidR="00D02215">
        <w:rPr>
          <w:rFonts w:cs="Arial"/>
          <w:szCs w:val="22"/>
          <w:lang w:eastAsia="es-MX"/>
        </w:rPr>
        <w:t>, s</w:t>
      </w:r>
      <w:r w:rsidR="00BF7432">
        <w:rPr>
          <w:rFonts w:cs="Arial"/>
          <w:szCs w:val="22"/>
          <w:lang w:eastAsia="es-MX"/>
        </w:rPr>
        <w:t>ólo</w:t>
      </w:r>
      <w:r w:rsidR="00312031">
        <w:rPr>
          <w:rFonts w:cs="Arial"/>
          <w:szCs w:val="22"/>
          <w:lang w:eastAsia="es-MX"/>
        </w:rPr>
        <w:t xml:space="preserve"> </w:t>
      </w:r>
      <w:r w:rsidR="00BF7432" w:rsidRPr="00177BD1">
        <w:rPr>
          <w:rFonts w:cs="Arial"/>
          <w:szCs w:val="22"/>
          <w:lang w:eastAsia="es-MX"/>
        </w:rPr>
        <w:t>12</w:t>
      </w:r>
      <w:r w:rsidR="00FE088F">
        <w:rPr>
          <w:rFonts w:cs="Arial"/>
          <w:szCs w:val="22"/>
          <w:lang w:eastAsia="es-MX"/>
        </w:rPr>
        <w:t>.1</w:t>
      </w:r>
      <w:r w:rsidR="00BF7432" w:rsidRPr="00177BD1">
        <w:rPr>
          <w:rFonts w:cs="Arial"/>
          <w:szCs w:val="22"/>
          <w:lang w:eastAsia="es-MX"/>
        </w:rPr>
        <w:t>% de los residuos sólidos urbanos fue separa</w:t>
      </w:r>
      <w:r w:rsidR="00D02215">
        <w:rPr>
          <w:rFonts w:cs="Arial"/>
          <w:szCs w:val="22"/>
          <w:lang w:eastAsia="es-MX"/>
        </w:rPr>
        <w:t>do</w:t>
      </w:r>
      <w:r w:rsidR="00BF7432" w:rsidRPr="00177BD1">
        <w:rPr>
          <w:rFonts w:cs="Arial"/>
          <w:szCs w:val="22"/>
          <w:lang w:eastAsia="es-MX"/>
        </w:rPr>
        <w:t xml:space="preserve"> o clasifica</w:t>
      </w:r>
      <w:r w:rsidR="00D02215">
        <w:rPr>
          <w:rFonts w:cs="Arial"/>
          <w:szCs w:val="22"/>
          <w:lang w:eastAsia="es-MX"/>
        </w:rPr>
        <w:t>do</w:t>
      </w:r>
      <w:r w:rsidR="00BF7432" w:rsidRPr="00177BD1">
        <w:rPr>
          <w:rFonts w:cs="Arial"/>
          <w:szCs w:val="22"/>
          <w:lang w:eastAsia="es-MX"/>
        </w:rPr>
        <w:t xml:space="preserve"> desde las viviendas.</w:t>
      </w:r>
    </w:p>
    <w:p w14:paraId="5E481356" w14:textId="77777777" w:rsidR="00177BD1" w:rsidRDefault="00177BD1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</w:p>
    <w:p w14:paraId="6E61ABA8" w14:textId="43CDE7DB" w:rsidR="00177BD1" w:rsidRDefault="00177BD1" w:rsidP="0035794C">
      <w:pPr>
        <w:autoSpaceDE w:val="0"/>
        <w:autoSpaceDN w:val="0"/>
        <w:adjustRightInd w:val="0"/>
        <w:ind w:left="-567" w:right="-516"/>
        <w:rPr>
          <w:rFonts w:cs="Arial"/>
          <w:szCs w:val="22"/>
          <w:lang w:eastAsia="es-MX"/>
        </w:rPr>
      </w:pPr>
      <w:r w:rsidRPr="00177BD1">
        <w:rPr>
          <w:rFonts w:cs="Arial"/>
          <w:szCs w:val="22"/>
          <w:lang w:eastAsia="es-MX"/>
        </w:rPr>
        <w:t>En 51 municipios y demarcaciones territoriales se env</w:t>
      </w:r>
      <w:r w:rsidR="00420119">
        <w:rPr>
          <w:rFonts w:cs="Arial"/>
          <w:szCs w:val="22"/>
          <w:lang w:eastAsia="es-MX"/>
        </w:rPr>
        <w:t>í</w:t>
      </w:r>
      <w:r w:rsidRPr="00177BD1">
        <w:rPr>
          <w:rFonts w:cs="Arial"/>
          <w:szCs w:val="22"/>
          <w:lang w:eastAsia="es-MX"/>
        </w:rPr>
        <w:t>a al menos una fracción de la recolección a 28 plantas de tratamiento. En promedio, fueron llevados a estas instalaciones 7 339 967 k</w:t>
      </w:r>
      <w:r w:rsidR="00A46266">
        <w:rPr>
          <w:rFonts w:cs="Arial"/>
          <w:szCs w:val="22"/>
          <w:lang w:eastAsia="es-MX"/>
        </w:rPr>
        <w:t>g</w:t>
      </w:r>
      <w:r w:rsidRPr="00177BD1">
        <w:rPr>
          <w:rFonts w:cs="Arial"/>
          <w:szCs w:val="22"/>
          <w:lang w:eastAsia="es-MX"/>
        </w:rPr>
        <w:t xml:space="preserve"> de residuos sólidos urbanos diariamente, lo que representa </w:t>
      </w:r>
      <w:r w:rsidR="00A145C4">
        <w:rPr>
          <w:rFonts w:cs="Arial"/>
          <w:szCs w:val="22"/>
          <w:lang w:eastAsia="es-MX"/>
        </w:rPr>
        <w:t>6.9</w:t>
      </w:r>
      <w:r w:rsidRPr="00177BD1">
        <w:rPr>
          <w:rFonts w:cs="Arial"/>
          <w:szCs w:val="22"/>
          <w:lang w:eastAsia="es-MX"/>
        </w:rPr>
        <w:t xml:space="preserve">% de la recolección; de éstos, </w:t>
      </w:r>
      <w:r w:rsidR="00420119" w:rsidRPr="00177BD1">
        <w:rPr>
          <w:rFonts w:cs="Arial"/>
          <w:szCs w:val="22"/>
          <w:lang w:eastAsia="es-MX"/>
        </w:rPr>
        <w:t xml:space="preserve">1 948 168 kg </w:t>
      </w:r>
      <w:r w:rsidR="00420119">
        <w:rPr>
          <w:rFonts w:cs="Arial"/>
          <w:szCs w:val="22"/>
          <w:lang w:eastAsia="es-MX"/>
        </w:rPr>
        <w:t>fueron</w:t>
      </w:r>
      <w:r w:rsidRPr="00177BD1">
        <w:rPr>
          <w:rFonts w:cs="Arial"/>
          <w:szCs w:val="22"/>
          <w:lang w:eastAsia="es-MX"/>
        </w:rPr>
        <w:t xml:space="preserve"> recuperados como materiales útiles.</w:t>
      </w:r>
    </w:p>
    <w:p w14:paraId="1ED2D381" w14:textId="77777777" w:rsidR="007D28B1" w:rsidRDefault="007D28B1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</w:p>
    <w:p w14:paraId="2F9428D5" w14:textId="5A818BC2" w:rsidR="0041545A" w:rsidRDefault="00177BD1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  <w:r w:rsidRPr="00177BD1">
        <w:rPr>
          <w:rFonts w:cs="Arial"/>
          <w:szCs w:val="22"/>
          <w:lang w:eastAsia="es-MX"/>
        </w:rPr>
        <w:t xml:space="preserve">La recolección de residuos sólidos urbanos </w:t>
      </w:r>
      <w:r w:rsidR="00420119">
        <w:rPr>
          <w:rFonts w:cs="Arial"/>
          <w:szCs w:val="22"/>
          <w:lang w:eastAsia="es-MX"/>
        </w:rPr>
        <w:t>es</w:t>
      </w:r>
      <w:r w:rsidRPr="00177BD1">
        <w:rPr>
          <w:rFonts w:cs="Arial"/>
          <w:szCs w:val="22"/>
          <w:lang w:eastAsia="es-MX"/>
        </w:rPr>
        <w:t xml:space="preserve"> remitida a 2 215 sitios </w:t>
      </w:r>
      <w:r w:rsidR="007D28B1">
        <w:rPr>
          <w:rFonts w:cs="Arial"/>
          <w:szCs w:val="22"/>
          <w:lang w:eastAsia="es-MX"/>
        </w:rPr>
        <w:t xml:space="preserve">para su </w:t>
      </w:r>
      <w:r w:rsidRPr="00177BD1">
        <w:rPr>
          <w:rFonts w:cs="Arial"/>
          <w:szCs w:val="22"/>
          <w:lang w:eastAsia="es-MX"/>
        </w:rPr>
        <w:t xml:space="preserve">disposición final, de los cuales 322 </w:t>
      </w:r>
      <w:r w:rsidR="00420119">
        <w:rPr>
          <w:rFonts w:cs="Arial"/>
          <w:szCs w:val="22"/>
          <w:lang w:eastAsia="es-MX"/>
        </w:rPr>
        <w:t>tienen</w:t>
      </w:r>
      <w:r w:rsidRPr="00177BD1">
        <w:rPr>
          <w:rFonts w:cs="Arial"/>
          <w:szCs w:val="22"/>
          <w:lang w:eastAsia="es-MX"/>
        </w:rPr>
        <w:t xml:space="preserve"> geomembrana como parte de su sistema de impermeabilización. Respecto al control de lixiviados, en 226 sitios se efect</w:t>
      </w:r>
      <w:r w:rsidR="00420119">
        <w:rPr>
          <w:rFonts w:cs="Arial"/>
          <w:szCs w:val="22"/>
          <w:lang w:eastAsia="es-MX"/>
        </w:rPr>
        <w:t>ú</w:t>
      </w:r>
      <w:r w:rsidRPr="00177BD1">
        <w:rPr>
          <w:rFonts w:cs="Arial"/>
          <w:szCs w:val="22"/>
          <w:lang w:eastAsia="es-MX"/>
        </w:rPr>
        <w:t xml:space="preserve">a la recirculación de este líquido y en 143 sitios se le da algún tratamiento. Como parte de su infraestructura, 236 sitios </w:t>
      </w:r>
      <w:r w:rsidR="00420119">
        <w:rPr>
          <w:rFonts w:cs="Arial"/>
          <w:szCs w:val="22"/>
          <w:lang w:eastAsia="es-MX"/>
        </w:rPr>
        <w:t>cuentan</w:t>
      </w:r>
      <w:r w:rsidRPr="00177BD1">
        <w:rPr>
          <w:rFonts w:cs="Arial"/>
          <w:szCs w:val="22"/>
          <w:lang w:eastAsia="es-MX"/>
        </w:rPr>
        <w:t xml:space="preserve"> con un sistema de control de biogás y solamente en 6 de estos se aprovecha para generar electricidad.</w:t>
      </w:r>
    </w:p>
    <w:p w14:paraId="307E5C8A" w14:textId="534A088D" w:rsidR="0041545A" w:rsidRDefault="0041545A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</w:p>
    <w:p w14:paraId="09EAA95F" w14:textId="6D6EC70D" w:rsidR="00AD7633" w:rsidRDefault="00AD7633" w:rsidP="0035794C">
      <w:pPr>
        <w:ind w:left="-567" w:right="-516"/>
      </w:pPr>
      <w:r w:rsidRPr="0002396F">
        <w:t>E</w:t>
      </w:r>
      <w:r w:rsidR="0044118F">
        <w:t xml:space="preserve">n </w:t>
      </w:r>
      <w:r w:rsidR="00EC5C12">
        <w:t xml:space="preserve">2018, </w:t>
      </w:r>
      <w:r w:rsidRPr="0002396F">
        <w:t xml:space="preserve">65.1% de los materiales de desecho </w:t>
      </w:r>
      <w:r w:rsidR="00EC5C12">
        <w:t>generados por las unidades económicas</w:t>
      </w:r>
      <w:r w:rsidRPr="0002396F">
        <w:t xml:space="preserve"> se destin</w:t>
      </w:r>
      <w:r w:rsidR="00312031">
        <w:t>ó</w:t>
      </w:r>
      <w:r w:rsidRPr="0002396F">
        <w:t xml:space="preserve"> al relleno sanitario; 29.4% se entreg</w:t>
      </w:r>
      <w:r w:rsidR="00312031">
        <w:t>ó</w:t>
      </w:r>
      <w:r w:rsidRPr="0002396F">
        <w:t xml:space="preserve"> a empresas de servicio de manejo</w:t>
      </w:r>
      <w:r>
        <w:t xml:space="preserve"> y transporte de residuos</w:t>
      </w:r>
      <w:r w:rsidR="00EC5C12">
        <w:t xml:space="preserve"> (una disminución de 11</w:t>
      </w:r>
      <w:r w:rsidR="007D28B1">
        <w:t>%</w:t>
      </w:r>
      <w:r w:rsidR="00EC5C12">
        <w:t xml:space="preserve"> respecto a 2013) y</w:t>
      </w:r>
      <w:r>
        <w:t xml:space="preserve"> 1.9% se recicl</w:t>
      </w:r>
      <w:r w:rsidR="00312031">
        <w:t>ó</w:t>
      </w:r>
      <w:r>
        <w:t xml:space="preserve"> en el proceso de producción</w:t>
      </w:r>
      <w:r w:rsidR="00EC5C12">
        <w:t xml:space="preserve"> (</w:t>
      </w:r>
      <w:r w:rsidR="007D28B1">
        <w:t>1%</w:t>
      </w:r>
      <w:r w:rsidR="00EC5C12">
        <w:t xml:space="preserve"> menos en relación con 2013)</w:t>
      </w:r>
      <w:r>
        <w:t>.</w:t>
      </w:r>
    </w:p>
    <w:p w14:paraId="0A705B0F" w14:textId="77777777" w:rsidR="00AD7633" w:rsidRDefault="00AD7633" w:rsidP="0035794C">
      <w:pPr>
        <w:ind w:left="-567" w:right="-516"/>
      </w:pPr>
    </w:p>
    <w:p w14:paraId="473FA123" w14:textId="2492CF91" w:rsidR="00AD7633" w:rsidRDefault="00AD7633" w:rsidP="0035794C">
      <w:pPr>
        <w:ind w:left="-567" w:right="-516"/>
        <w:jc w:val="center"/>
        <w:rPr>
          <w:b/>
          <w:bCs/>
          <w:sz w:val="18"/>
          <w:szCs w:val="18"/>
        </w:rPr>
      </w:pPr>
    </w:p>
    <w:p w14:paraId="76062E03" w14:textId="37FC69BA" w:rsidR="0075056F" w:rsidRDefault="006C57B5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val="es-MX" w:eastAsia="en-US"/>
        </w:rPr>
      </w:pPr>
      <w:r>
        <w:rPr>
          <w:rFonts w:eastAsiaTheme="minorHAnsi" w:cs="Arial"/>
          <w:b/>
          <w:szCs w:val="22"/>
          <w:lang w:val="es-MX" w:eastAsia="en-US"/>
        </w:rPr>
        <w:t>Compromiso</w:t>
      </w:r>
      <w:r w:rsidR="008E17AE">
        <w:rPr>
          <w:rFonts w:eastAsiaTheme="minorHAnsi" w:cs="Arial"/>
          <w:b/>
          <w:szCs w:val="22"/>
          <w:lang w:val="es-MX" w:eastAsia="en-US"/>
        </w:rPr>
        <w:t xml:space="preserve"> de las u</w:t>
      </w:r>
      <w:r w:rsidR="0075056F">
        <w:rPr>
          <w:rFonts w:eastAsiaTheme="minorHAnsi" w:cs="Arial"/>
          <w:b/>
          <w:szCs w:val="22"/>
          <w:lang w:val="es-MX" w:eastAsia="en-US"/>
        </w:rPr>
        <w:t xml:space="preserve">nidades económicas </w:t>
      </w:r>
      <w:r>
        <w:rPr>
          <w:rFonts w:eastAsiaTheme="minorHAnsi" w:cs="Arial"/>
          <w:b/>
          <w:szCs w:val="22"/>
          <w:lang w:val="es-MX" w:eastAsia="en-US"/>
        </w:rPr>
        <w:t>con</w:t>
      </w:r>
      <w:r w:rsidR="0075056F">
        <w:rPr>
          <w:rFonts w:eastAsiaTheme="minorHAnsi" w:cs="Arial"/>
          <w:b/>
          <w:szCs w:val="22"/>
          <w:lang w:val="es-MX" w:eastAsia="en-US"/>
        </w:rPr>
        <w:t xml:space="preserve"> la conservación</w:t>
      </w:r>
      <w:r w:rsidR="00C41F4C">
        <w:rPr>
          <w:rFonts w:eastAsiaTheme="minorHAnsi" w:cs="Arial"/>
          <w:b/>
          <w:szCs w:val="22"/>
          <w:lang w:val="es-MX" w:eastAsia="en-US"/>
        </w:rPr>
        <w:t xml:space="preserve"> </w:t>
      </w:r>
      <w:r w:rsidR="008E17AE">
        <w:rPr>
          <w:rFonts w:eastAsiaTheme="minorHAnsi" w:cs="Arial"/>
          <w:b/>
          <w:szCs w:val="22"/>
          <w:lang w:val="es-MX" w:eastAsia="en-US"/>
        </w:rPr>
        <w:t>del medio ambiente</w:t>
      </w:r>
    </w:p>
    <w:p w14:paraId="4B00BAAC" w14:textId="77777777" w:rsidR="0075056F" w:rsidRDefault="0075056F" w:rsidP="0035794C">
      <w:pPr>
        <w:autoSpaceDE w:val="0"/>
        <w:autoSpaceDN w:val="0"/>
        <w:adjustRightInd w:val="0"/>
        <w:ind w:left="-567" w:right="-516"/>
        <w:rPr>
          <w:rFonts w:eastAsiaTheme="minorHAnsi" w:cs="Arial"/>
          <w:b/>
          <w:szCs w:val="22"/>
          <w:lang w:eastAsia="en-US"/>
        </w:rPr>
      </w:pPr>
    </w:p>
    <w:p w14:paraId="15A2AA89" w14:textId="07CD93FC" w:rsidR="006B1C19" w:rsidRPr="0041545A" w:rsidRDefault="006B1C19" w:rsidP="0035794C">
      <w:pPr>
        <w:autoSpaceDE w:val="0"/>
        <w:autoSpaceDN w:val="0"/>
        <w:adjustRightInd w:val="0"/>
        <w:ind w:left="-567" w:right="-516"/>
        <w:rPr>
          <w:rFonts w:cs="Arial"/>
          <w:szCs w:val="22"/>
        </w:rPr>
      </w:pPr>
      <w:r w:rsidRPr="0041545A">
        <w:rPr>
          <w:szCs w:val="22"/>
        </w:rPr>
        <w:t>En 2018,</w:t>
      </w:r>
      <w:r w:rsidR="00EA740B">
        <w:rPr>
          <w:szCs w:val="22"/>
        </w:rPr>
        <w:t xml:space="preserve"> </w:t>
      </w:r>
      <w:r w:rsidRPr="0041545A">
        <w:rPr>
          <w:szCs w:val="22"/>
        </w:rPr>
        <w:t>15.9% de las unidades económicas report</w:t>
      </w:r>
      <w:r w:rsidR="00EA740B">
        <w:rPr>
          <w:szCs w:val="22"/>
        </w:rPr>
        <w:t>ó</w:t>
      </w:r>
      <w:r w:rsidRPr="0041545A">
        <w:rPr>
          <w:szCs w:val="22"/>
        </w:rPr>
        <w:t xml:space="preserve"> que sí cumpli</w:t>
      </w:r>
      <w:r w:rsidR="00EA740B">
        <w:rPr>
          <w:szCs w:val="22"/>
        </w:rPr>
        <w:t>ó</w:t>
      </w:r>
      <w:r w:rsidRPr="0041545A">
        <w:rPr>
          <w:szCs w:val="22"/>
        </w:rPr>
        <w:t xml:space="preserve"> con las normas ambientales, 56.6% que no está sujet</w:t>
      </w:r>
      <w:r w:rsidR="00EA740B">
        <w:rPr>
          <w:szCs w:val="22"/>
        </w:rPr>
        <w:t>o</w:t>
      </w:r>
      <w:r w:rsidRPr="0041545A">
        <w:rPr>
          <w:szCs w:val="22"/>
        </w:rPr>
        <w:t xml:space="preserve"> a una norma ambiental y 27.5% desconoce si debe cumplir con la normatividad en materia ambiental.</w:t>
      </w:r>
    </w:p>
    <w:p w14:paraId="376E4303" w14:textId="77777777" w:rsidR="006B1C19" w:rsidRDefault="006B1C19" w:rsidP="0035794C">
      <w:pPr>
        <w:ind w:left="-567" w:right="-516"/>
      </w:pPr>
    </w:p>
    <w:p w14:paraId="31D56A3D" w14:textId="46118C83" w:rsidR="008B08CF" w:rsidRDefault="001C41EC" w:rsidP="0035794C">
      <w:pPr>
        <w:ind w:left="-567" w:right="-516"/>
      </w:pPr>
      <w:r w:rsidRPr="001C41EC">
        <w:t xml:space="preserve">El consumo de </w:t>
      </w:r>
      <w:r w:rsidRPr="00277ADE">
        <w:t>agua de</w:t>
      </w:r>
      <w:r w:rsidR="00277ADE" w:rsidRPr="00277ADE">
        <w:t>l</w:t>
      </w:r>
      <w:r w:rsidR="008B08CF" w:rsidRPr="00277ADE">
        <w:t xml:space="preserve"> sector privado y paraestatal</w:t>
      </w:r>
      <w:r w:rsidR="008B08CF" w:rsidRPr="001C41EC">
        <w:t xml:space="preserve"> </w:t>
      </w:r>
      <w:r w:rsidRPr="001C41EC">
        <w:t>fue por</w:t>
      </w:r>
      <w:r w:rsidR="008B08CF" w:rsidRPr="001C41EC">
        <w:t xml:space="preserve"> un total de 74 715 millones</w:t>
      </w:r>
      <w:r w:rsidR="008B08CF">
        <w:t xml:space="preserve"> de pesos. La refinación de petróleo</w:t>
      </w:r>
      <w:r w:rsidR="008B08CF" w:rsidRPr="00A179FB">
        <w:t xml:space="preserve"> </w:t>
      </w:r>
      <w:r w:rsidR="008B08CF">
        <w:t>es la actividad que más agua consume, con 12.5% del total nacional. Le sigue la fabricación de automóviles y camionetas con 9.0</w:t>
      </w:r>
      <w:r w:rsidR="0040750A">
        <w:t xml:space="preserve"> por ciento</w:t>
      </w:r>
      <w:r w:rsidR="008B08CF">
        <w:t>.</w:t>
      </w:r>
    </w:p>
    <w:p w14:paraId="79D88575" w14:textId="77777777" w:rsidR="008B08CF" w:rsidRDefault="008B08CF" w:rsidP="0035794C">
      <w:pPr>
        <w:ind w:left="-567" w:right="-516"/>
      </w:pPr>
    </w:p>
    <w:p w14:paraId="774A7C56" w14:textId="46EDB6D9" w:rsidR="007C37CE" w:rsidRDefault="001C41EC" w:rsidP="0035794C">
      <w:pPr>
        <w:ind w:left="-567" w:right="-516"/>
      </w:pPr>
      <w:r>
        <w:t>Respecto a la energía eléctrica, l</w:t>
      </w:r>
      <w:r w:rsidR="007C37CE">
        <w:t xml:space="preserve">a actividad que más consumo reportó fue la de </w:t>
      </w:r>
      <w:r w:rsidR="0040750A">
        <w:t>c</w:t>
      </w:r>
      <w:r w:rsidR="007C37CE">
        <w:t>aptación, tratamiento y suministro de agua realizados por el sector público, con 13</w:t>
      </w:r>
      <w:r w:rsidR="002660FA">
        <w:t xml:space="preserve"> </w:t>
      </w:r>
      <w:r w:rsidR="007C37CE">
        <w:t>837</w:t>
      </w:r>
      <w:r w:rsidR="002660FA">
        <w:t xml:space="preserve"> </w:t>
      </w:r>
      <w:r w:rsidR="00F62FD0">
        <w:t>millones</w:t>
      </w:r>
      <w:r w:rsidR="007C37CE">
        <w:t xml:space="preserve"> de pesos, seguida </w:t>
      </w:r>
      <w:r w:rsidR="00E873F9">
        <w:t>por</w:t>
      </w:r>
      <w:r w:rsidR="007D28B1">
        <w:t xml:space="preserve"> </w:t>
      </w:r>
      <w:r w:rsidR="007C37CE">
        <w:t xml:space="preserve">el </w:t>
      </w:r>
      <w:r w:rsidR="0040750A">
        <w:t>c</w:t>
      </w:r>
      <w:r w:rsidR="007C37CE">
        <w:t>omercio al por menor en supermercados con 9</w:t>
      </w:r>
      <w:r w:rsidR="002660FA">
        <w:t xml:space="preserve"> </w:t>
      </w:r>
      <w:r w:rsidR="007C37CE">
        <w:t>795</w:t>
      </w:r>
      <w:r w:rsidR="002660FA">
        <w:t xml:space="preserve"> </w:t>
      </w:r>
      <w:r w:rsidR="00F62FD0">
        <w:t>millones</w:t>
      </w:r>
      <w:r w:rsidR="007C37CE">
        <w:t xml:space="preserve"> de pesos y la </w:t>
      </w:r>
      <w:r w:rsidR="0040750A">
        <w:t>r</w:t>
      </w:r>
      <w:r w:rsidR="007C37CE">
        <w:t xml:space="preserve">efinación de petróleo con 9 469 </w:t>
      </w:r>
      <w:r w:rsidR="00F62FD0">
        <w:t>millones</w:t>
      </w:r>
      <w:r w:rsidR="007C37CE">
        <w:t xml:space="preserve"> de pesos.</w:t>
      </w:r>
    </w:p>
    <w:p w14:paraId="5350375C" w14:textId="77777777" w:rsidR="00312031" w:rsidRDefault="00312031" w:rsidP="0035794C">
      <w:pPr>
        <w:ind w:left="-567" w:right="-516"/>
      </w:pPr>
    </w:p>
    <w:p w14:paraId="7B2F9D66" w14:textId="77777777" w:rsidR="006E54C1" w:rsidRPr="007D28B1" w:rsidRDefault="006E54C1" w:rsidP="00E873F9">
      <w:pPr>
        <w:keepNext/>
        <w:jc w:val="center"/>
        <w:rPr>
          <w:b/>
          <w:bCs/>
          <w:smallCaps/>
          <w:sz w:val="20"/>
          <w:szCs w:val="20"/>
        </w:rPr>
      </w:pPr>
      <w:r w:rsidRPr="007D28B1">
        <w:rPr>
          <w:b/>
          <w:bCs/>
          <w:smallCaps/>
          <w:sz w:val="20"/>
          <w:szCs w:val="20"/>
        </w:rPr>
        <w:t>Principales clases de actividad según el valor de la energía eléctrica consumida, 2018</w:t>
      </w:r>
    </w:p>
    <w:p w14:paraId="6CB638E4" w14:textId="67C0AAF6" w:rsidR="006E54C1" w:rsidRPr="007D28B1" w:rsidRDefault="006E54C1" w:rsidP="006E54C1">
      <w:pPr>
        <w:jc w:val="center"/>
        <w:rPr>
          <w:b/>
          <w:bCs/>
          <w:smallCaps/>
          <w:sz w:val="20"/>
          <w:szCs w:val="20"/>
        </w:rPr>
      </w:pPr>
      <w:r w:rsidRPr="007D28B1">
        <w:rPr>
          <w:smallCaps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536AD8F5" wp14:editId="5EC2955D">
            <wp:simplePos x="0" y="0"/>
            <wp:positionH relativeFrom="page">
              <wp:posOffset>233680</wp:posOffset>
            </wp:positionH>
            <wp:positionV relativeFrom="paragraph">
              <wp:posOffset>184785</wp:posOffset>
            </wp:positionV>
            <wp:extent cx="7019925" cy="2387600"/>
            <wp:effectExtent l="0" t="0" r="0" b="0"/>
            <wp:wrapSquare wrapText="bothSides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8B1">
        <w:rPr>
          <w:b/>
          <w:bCs/>
          <w:smallCaps/>
          <w:sz w:val="20"/>
          <w:szCs w:val="20"/>
        </w:rPr>
        <w:t>(</w:t>
      </w:r>
      <w:r w:rsidR="007D28B1">
        <w:rPr>
          <w:b/>
          <w:bCs/>
          <w:smallCaps/>
          <w:sz w:val="20"/>
          <w:szCs w:val="20"/>
        </w:rPr>
        <w:t>M</w:t>
      </w:r>
      <w:r w:rsidR="00F62FD0" w:rsidRPr="007D28B1">
        <w:rPr>
          <w:b/>
          <w:bCs/>
          <w:smallCaps/>
          <w:sz w:val="20"/>
          <w:szCs w:val="20"/>
        </w:rPr>
        <w:t>illones</w:t>
      </w:r>
      <w:r w:rsidRPr="007D28B1">
        <w:rPr>
          <w:b/>
          <w:bCs/>
          <w:smallCaps/>
          <w:sz w:val="20"/>
          <w:szCs w:val="20"/>
        </w:rPr>
        <w:t xml:space="preserve"> de pesos)</w:t>
      </w:r>
    </w:p>
    <w:p w14:paraId="24DD2896" w14:textId="6B3A6834" w:rsidR="006E54C1" w:rsidRPr="00EA740B" w:rsidRDefault="00875CBE" w:rsidP="00EA740B">
      <w:pPr>
        <w:spacing w:before="240"/>
        <w:ind w:left="-284"/>
        <w:jc w:val="left"/>
        <w:rPr>
          <w:b/>
          <w:sz w:val="20"/>
          <w:szCs w:val="20"/>
        </w:rPr>
      </w:pPr>
      <w:r w:rsidRPr="00EA740B">
        <w:rPr>
          <w:b/>
          <w:sz w:val="20"/>
          <w:szCs w:val="20"/>
        </w:rPr>
        <w:t xml:space="preserve">         </w:t>
      </w:r>
      <w:r w:rsidR="006E54C1" w:rsidRPr="00EA740B">
        <w:rPr>
          <w:b/>
          <w:sz w:val="20"/>
          <w:szCs w:val="20"/>
        </w:rPr>
        <w:t xml:space="preserve">Nota: Excluye actividades de generación, venta y suministro de </w:t>
      </w:r>
      <w:r w:rsidR="009E08D1" w:rsidRPr="00EA740B">
        <w:rPr>
          <w:b/>
          <w:sz w:val="20"/>
          <w:szCs w:val="20"/>
        </w:rPr>
        <w:t>e</w:t>
      </w:r>
      <w:r w:rsidR="006E54C1" w:rsidRPr="00EA740B">
        <w:rPr>
          <w:b/>
          <w:sz w:val="20"/>
          <w:szCs w:val="20"/>
        </w:rPr>
        <w:t xml:space="preserve">nergía </w:t>
      </w:r>
      <w:r w:rsidR="009E08D1" w:rsidRPr="00EA740B">
        <w:rPr>
          <w:b/>
          <w:sz w:val="20"/>
          <w:szCs w:val="20"/>
        </w:rPr>
        <w:t>e</w:t>
      </w:r>
      <w:r w:rsidR="006E54C1" w:rsidRPr="00EA740B">
        <w:rPr>
          <w:b/>
          <w:sz w:val="20"/>
          <w:szCs w:val="20"/>
        </w:rPr>
        <w:t>léctrica.</w:t>
      </w:r>
    </w:p>
    <w:p w14:paraId="63D76653" w14:textId="684DF190" w:rsidR="00875CBE" w:rsidRPr="00EA740B" w:rsidRDefault="00875CBE" w:rsidP="00EA740B">
      <w:pPr>
        <w:ind w:left="-284"/>
        <w:rPr>
          <w:b/>
          <w:sz w:val="20"/>
          <w:szCs w:val="20"/>
        </w:rPr>
      </w:pPr>
      <w:r w:rsidRPr="00EA740B">
        <w:rPr>
          <w:b/>
          <w:sz w:val="20"/>
          <w:szCs w:val="20"/>
        </w:rPr>
        <w:t xml:space="preserve">        </w:t>
      </w:r>
      <w:r w:rsidR="00EA740B">
        <w:rPr>
          <w:b/>
          <w:sz w:val="20"/>
          <w:szCs w:val="20"/>
        </w:rPr>
        <w:t xml:space="preserve"> </w:t>
      </w:r>
      <w:r w:rsidRPr="00EA740B">
        <w:rPr>
          <w:b/>
          <w:sz w:val="20"/>
          <w:szCs w:val="20"/>
        </w:rPr>
        <w:t>Fuente: Censos Económicos 2019.</w:t>
      </w:r>
    </w:p>
    <w:p w14:paraId="403ED2AC" w14:textId="77777777" w:rsidR="00AC0941" w:rsidRDefault="00AC0941" w:rsidP="008B08CF">
      <w:pPr>
        <w:jc w:val="center"/>
        <w:rPr>
          <w:b/>
          <w:bCs/>
          <w:sz w:val="20"/>
          <w:szCs w:val="20"/>
        </w:rPr>
      </w:pPr>
    </w:p>
    <w:p w14:paraId="202EBB8C" w14:textId="77777777" w:rsidR="0040750A" w:rsidRDefault="0040750A" w:rsidP="0040750A">
      <w:pPr>
        <w:ind w:left="-567" w:right="-516"/>
      </w:pPr>
    </w:p>
    <w:p w14:paraId="7E3D3CC8" w14:textId="3BDD9C96" w:rsidR="006E54C1" w:rsidRDefault="009E08D1" w:rsidP="0040750A">
      <w:pPr>
        <w:ind w:left="-567" w:right="-516"/>
      </w:pPr>
      <w:r>
        <w:t>En 2018</w:t>
      </w:r>
      <w:r w:rsidR="006E54C1">
        <w:t xml:space="preserve"> se registraron 286 plantas generadoras de energía eléctrica en el país de distinto tipo. La mayor parte de la energía eléctrica es producida en plantas </w:t>
      </w:r>
      <w:r w:rsidR="006E54C1" w:rsidRPr="00EE2D86">
        <w:t xml:space="preserve">termoeléctricas de ciclo combinado </w:t>
      </w:r>
      <w:r w:rsidR="006E54C1">
        <w:t>(</w:t>
      </w:r>
      <w:r w:rsidR="006E54C1" w:rsidRPr="00EE2D86">
        <w:t>50.9%</w:t>
      </w:r>
      <w:r w:rsidR="006E54C1">
        <w:t>), plantas termoeléctricas de vapor (15.6%) y plantas hidroeléctricas (11.8%).</w:t>
      </w:r>
    </w:p>
    <w:p w14:paraId="3FCCFF35" w14:textId="3667707E" w:rsidR="0040750A" w:rsidRDefault="0040750A" w:rsidP="0040750A">
      <w:pPr>
        <w:ind w:left="-567" w:right="-516"/>
      </w:pPr>
    </w:p>
    <w:p w14:paraId="39535C41" w14:textId="4E06F238" w:rsidR="0040750A" w:rsidRDefault="0040750A" w:rsidP="0040750A">
      <w:pPr>
        <w:ind w:left="-567" w:right="-516"/>
      </w:pPr>
    </w:p>
    <w:p w14:paraId="7B87288E" w14:textId="0B2BC41A" w:rsidR="0040750A" w:rsidRDefault="0040750A" w:rsidP="0040750A">
      <w:pPr>
        <w:ind w:left="-567" w:right="-516"/>
      </w:pPr>
    </w:p>
    <w:p w14:paraId="290EDE4E" w14:textId="3A732D67" w:rsidR="0040750A" w:rsidRDefault="0040750A" w:rsidP="0040750A">
      <w:pPr>
        <w:ind w:left="-567" w:right="-516"/>
      </w:pPr>
    </w:p>
    <w:p w14:paraId="6FA1A4CD" w14:textId="273C4B41" w:rsidR="0040750A" w:rsidRDefault="0040750A" w:rsidP="0040750A">
      <w:pPr>
        <w:ind w:left="-567" w:right="-516"/>
      </w:pPr>
    </w:p>
    <w:p w14:paraId="4F1FBCFA" w14:textId="0FA19DC9" w:rsidR="0040750A" w:rsidRDefault="0040750A" w:rsidP="0040750A">
      <w:pPr>
        <w:ind w:left="-567" w:right="-516"/>
      </w:pPr>
    </w:p>
    <w:p w14:paraId="462EEF20" w14:textId="119886EE" w:rsidR="0040750A" w:rsidRDefault="0040750A" w:rsidP="0040750A">
      <w:pPr>
        <w:ind w:left="-567" w:right="-516"/>
      </w:pPr>
    </w:p>
    <w:p w14:paraId="237D05F2" w14:textId="77777777" w:rsidR="0040750A" w:rsidRPr="00EE2D86" w:rsidRDefault="0040750A" w:rsidP="0040750A">
      <w:pPr>
        <w:ind w:left="-567" w:right="-516"/>
      </w:pPr>
    </w:p>
    <w:p w14:paraId="0E51CAA2" w14:textId="77777777" w:rsidR="006E54C1" w:rsidRDefault="006E54C1" w:rsidP="006E54C1">
      <w:pPr>
        <w:jc w:val="center"/>
        <w:rPr>
          <w:b/>
          <w:bCs/>
          <w:sz w:val="20"/>
          <w:szCs w:val="20"/>
        </w:rPr>
      </w:pPr>
    </w:p>
    <w:p w14:paraId="4AF7005B" w14:textId="7414C96A" w:rsidR="008B08CF" w:rsidRPr="009E08D1" w:rsidRDefault="008B08CF" w:rsidP="008B08CF">
      <w:pPr>
        <w:jc w:val="center"/>
        <w:rPr>
          <w:b/>
          <w:bCs/>
          <w:smallCaps/>
          <w:sz w:val="20"/>
          <w:szCs w:val="20"/>
        </w:rPr>
      </w:pPr>
      <w:r w:rsidRPr="009E08D1">
        <w:rPr>
          <w:b/>
          <w:bCs/>
          <w:smallCaps/>
          <w:sz w:val="20"/>
          <w:szCs w:val="20"/>
        </w:rPr>
        <w:t>Volumen de la energía eléctrica generada por tipo de planta, 2018</w:t>
      </w:r>
    </w:p>
    <w:p w14:paraId="00D57EB3" w14:textId="6BA69C9B" w:rsidR="008B08CF" w:rsidRPr="009E08D1" w:rsidRDefault="008B08CF" w:rsidP="008B08CF">
      <w:pPr>
        <w:jc w:val="center"/>
        <w:rPr>
          <w:b/>
          <w:bCs/>
          <w:smallCaps/>
          <w:sz w:val="20"/>
          <w:szCs w:val="20"/>
        </w:rPr>
      </w:pPr>
      <w:r w:rsidRPr="009E08D1">
        <w:rPr>
          <w:b/>
          <w:bCs/>
          <w:smallCaps/>
          <w:sz w:val="20"/>
          <w:szCs w:val="20"/>
        </w:rPr>
        <w:t>(</w:t>
      </w:r>
      <w:r w:rsidR="009E08D1">
        <w:rPr>
          <w:b/>
          <w:bCs/>
          <w:smallCaps/>
          <w:sz w:val="20"/>
          <w:szCs w:val="20"/>
        </w:rPr>
        <w:t>A</w:t>
      </w:r>
      <w:r w:rsidRPr="009E08D1">
        <w:rPr>
          <w:b/>
          <w:bCs/>
          <w:smallCaps/>
          <w:sz w:val="20"/>
          <w:szCs w:val="20"/>
        </w:rPr>
        <w:t>bsolutos y porcentajes)</w:t>
      </w:r>
    </w:p>
    <w:p w14:paraId="4CB0C289" w14:textId="77777777" w:rsidR="00371C33" w:rsidRDefault="00371C33" w:rsidP="008B08CF">
      <w:pPr>
        <w:jc w:val="center"/>
        <w:rPr>
          <w:b/>
          <w:bCs/>
          <w:sz w:val="20"/>
          <w:szCs w:val="20"/>
        </w:rPr>
      </w:pPr>
    </w:p>
    <w:tbl>
      <w:tblPr>
        <w:tblW w:w="947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4111"/>
        <w:gridCol w:w="830"/>
      </w:tblGrid>
      <w:tr w:rsidR="00371C33" w:rsidRPr="00371C33" w14:paraId="132BBD5F" w14:textId="77777777" w:rsidTr="00371C33">
        <w:trPr>
          <w:gridAfter w:val="1"/>
          <w:wAfter w:w="830" w:type="dxa"/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404040"/>
            <w:noWrap/>
            <w:vAlign w:val="bottom"/>
            <w:hideMark/>
          </w:tcPr>
          <w:p w14:paraId="05CAB24E" w14:textId="77777777" w:rsidR="00371C33" w:rsidRPr="00371C33" w:rsidRDefault="00371C33" w:rsidP="00371C33">
            <w:pPr>
              <w:jc w:val="left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s-MX" w:eastAsia="es-MX"/>
              </w:rPr>
              <w:t>Tipo de planta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04040"/>
            <w:noWrap/>
            <w:vAlign w:val="bottom"/>
            <w:hideMark/>
          </w:tcPr>
          <w:p w14:paraId="4C2702B9" w14:textId="77777777" w:rsidR="00371C33" w:rsidRPr="00371C33" w:rsidRDefault="00371C33" w:rsidP="00371C33">
            <w:pPr>
              <w:jc w:val="left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s-MX" w:eastAsia="es-MX"/>
              </w:rPr>
              <w:t>Número de plantas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961" w14:textId="77777777" w:rsidR="00371C33" w:rsidRPr="00371C33" w:rsidRDefault="00371C33" w:rsidP="00371C3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>Energía eléctrica generada (mwh)</w:t>
            </w:r>
          </w:p>
        </w:tc>
      </w:tr>
      <w:tr w:rsidR="00371C33" w:rsidRPr="00371C33" w14:paraId="1BED4AB3" w14:textId="77777777" w:rsidTr="00371C33">
        <w:trPr>
          <w:gridAfter w:val="1"/>
          <w:wAfter w:w="830" w:type="dxa"/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0CA2A8" w14:textId="77777777" w:rsidR="00371C33" w:rsidRPr="00371C33" w:rsidRDefault="00371C33" w:rsidP="00371C33">
            <w:pPr>
              <w:jc w:val="left"/>
              <w:rPr>
                <w:rFonts w:ascii="Calibri" w:hAnsi="Calibri"/>
                <w:b/>
                <w:bCs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b/>
                <w:bCs/>
                <w:color w:val="404040" w:themeColor="text1" w:themeTint="BF"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C8C2E6" w14:textId="77777777" w:rsidR="00371C33" w:rsidRPr="00371C33" w:rsidRDefault="00371C33" w:rsidP="00371C33">
            <w:pPr>
              <w:jc w:val="center"/>
              <w:rPr>
                <w:rFonts w:ascii="Calibri" w:hAnsi="Calibri"/>
                <w:b/>
                <w:bCs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b/>
                <w:bCs/>
                <w:color w:val="404040" w:themeColor="text1" w:themeTint="BF"/>
                <w:sz w:val="18"/>
                <w:szCs w:val="18"/>
                <w:lang w:val="es-MX" w:eastAsia="es-MX"/>
              </w:rPr>
              <w:t>286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069" w14:textId="77777777" w:rsidR="00371C33" w:rsidRPr="00371C33" w:rsidRDefault="00371C33" w:rsidP="00371C3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>(porcentajes)</w:t>
            </w:r>
          </w:p>
        </w:tc>
      </w:tr>
      <w:tr w:rsidR="00371C33" w:rsidRPr="00371C33" w14:paraId="5FBEE2C4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5786D9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Termoeléctricas de ciclo combinado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D1A29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60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5CF5" w14:textId="53D70820" w:rsidR="00371C33" w:rsidRPr="00371C33" w:rsidRDefault="00371C33" w:rsidP="00371C33">
            <w:pPr>
              <w:jc w:val="left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  <w:r w:rsidRPr="00371C33">
              <w:rPr>
                <w:rFonts w:ascii="Calibri" w:hAnsi="Calibri"/>
                <w:noProof/>
                <w:color w:val="000000"/>
                <w:szCs w:val="22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31E05286" wp14:editId="060946B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150495</wp:posOffset>
                  </wp:positionV>
                  <wp:extent cx="2644775" cy="2091690"/>
                  <wp:effectExtent l="0" t="0" r="3175" b="3810"/>
                  <wp:wrapNone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1E0C37-B92F-4A4E-B6A9-2B0267E9E3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371C33" w:rsidRPr="00371C33" w14:paraId="2F17A959" w14:textId="77777777">
              <w:trPr>
                <w:trHeight w:val="300"/>
                <w:tblCellSpacing w:w="0" w:type="dxa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7D01C" w14:textId="77777777" w:rsidR="00371C33" w:rsidRPr="00371C33" w:rsidRDefault="00371C33" w:rsidP="00371C33">
                  <w:pPr>
                    <w:jc w:val="left"/>
                    <w:rPr>
                      <w:rFonts w:ascii="Calibri" w:hAnsi="Calibri"/>
                      <w:color w:val="000000"/>
                      <w:szCs w:val="22"/>
                      <w:lang w:val="es-MX" w:eastAsia="es-MX"/>
                    </w:rPr>
                  </w:pPr>
                </w:p>
              </w:tc>
            </w:tr>
          </w:tbl>
          <w:p w14:paraId="39C899BE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000000"/>
                <w:szCs w:val="22"/>
                <w:lang w:val="es-MX" w:eastAsia="es-MX"/>
              </w:rPr>
            </w:pPr>
          </w:p>
        </w:tc>
      </w:tr>
      <w:tr w:rsidR="00371C33" w:rsidRPr="00371C33" w14:paraId="79E05007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0E63C0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Termoeléctricas de vapor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15A1D3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26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1D20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1077BE42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6B230A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Hidroeléctricas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C1246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70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C086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28D62605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CAB1D5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Nucleoeléctricas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1519A2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5337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0BCD9F16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7D5AC5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Carboeléctricas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FFFF2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D296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2D4F2EC9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5CB341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Eoloeléctricas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55C186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37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DD4A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1ABCF8E3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C29E39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Termoeléctricas turbo gas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DC4E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53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FE1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3546749A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A4D063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Geotérmicas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DB6172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3971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54225FF4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F3F589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Termoeléctricas combustión interna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F6E73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7FC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454344CA" w14:textId="77777777" w:rsidTr="00371C33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C7F293" w14:textId="77777777" w:rsidR="00371C33" w:rsidRPr="00371C33" w:rsidRDefault="00371C33" w:rsidP="00371C33">
            <w:pPr>
              <w:jc w:val="left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Solar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B1D090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</w:pPr>
            <w:r w:rsidRPr="00371C33">
              <w:rPr>
                <w:rFonts w:ascii="Calibri" w:hAnsi="Calibri"/>
                <w:color w:val="404040" w:themeColor="text1" w:themeTint="BF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F204" w14:textId="77777777" w:rsidR="00371C33" w:rsidRPr="00371C33" w:rsidRDefault="00371C33" w:rsidP="00371C33">
            <w:pPr>
              <w:jc w:val="center"/>
              <w:rPr>
                <w:rFonts w:ascii="Calibri" w:hAnsi="Calibri"/>
                <w:color w:val="404040"/>
                <w:sz w:val="18"/>
                <w:szCs w:val="18"/>
                <w:lang w:val="es-MX" w:eastAsia="es-MX"/>
              </w:rPr>
            </w:pPr>
          </w:p>
        </w:tc>
      </w:tr>
      <w:tr w:rsidR="00371C33" w:rsidRPr="00371C33" w14:paraId="26498C45" w14:textId="77777777" w:rsidTr="00371C3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E235" w14:textId="77777777" w:rsidR="00371C33" w:rsidRPr="00371C33" w:rsidRDefault="00371C33" w:rsidP="00371C33">
            <w:pPr>
              <w:jc w:val="left"/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984" w14:textId="77777777" w:rsidR="00371C33" w:rsidRPr="00371C33" w:rsidRDefault="00371C33" w:rsidP="00371C33">
            <w:pPr>
              <w:jc w:val="left"/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33C4" w14:textId="77777777" w:rsidR="00371C33" w:rsidRPr="00371C33" w:rsidRDefault="00371C33" w:rsidP="00371C33">
            <w:pPr>
              <w:jc w:val="left"/>
              <w:rPr>
                <w:rFonts w:ascii="Times New Roman" w:hAnsi="Times New Roman"/>
                <w:sz w:val="20"/>
                <w:szCs w:val="20"/>
                <w:lang w:val="es-MX" w:eastAsia="es-MX"/>
              </w:rPr>
            </w:pPr>
          </w:p>
        </w:tc>
      </w:tr>
    </w:tbl>
    <w:p w14:paraId="1EDD58D7" w14:textId="77777777" w:rsidR="008B08CF" w:rsidRPr="002D0A1E" w:rsidRDefault="008B08CF" w:rsidP="008B08C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2D0A1E">
        <w:rPr>
          <w:sz w:val="20"/>
          <w:szCs w:val="20"/>
        </w:rPr>
        <w:t xml:space="preserve">Fuente: </w:t>
      </w:r>
      <w:r>
        <w:rPr>
          <w:sz w:val="20"/>
          <w:szCs w:val="20"/>
        </w:rPr>
        <w:t>Censos Económicos 2019.</w:t>
      </w:r>
    </w:p>
    <w:p w14:paraId="22A1FA75" w14:textId="77777777" w:rsidR="008B08CF" w:rsidRDefault="008B08CF" w:rsidP="008B08CF">
      <w:pPr>
        <w:spacing w:line="259" w:lineRule="auto"/>
      </w:pPr>
    </w:p>
    <w:p w14:paraId="3E32E118" w14:textId="77777777" w:rsidR="008B08CF" w:rsidRDefault="008B08CF" w:rsidP="007C37CE">
      <w:pPr>
        <w:rPr>
          <w:sz w:val="18"/>
          <w:szCs w:val="18"/>
        </w:rPr>
      </w:pPr>
    </w:p>
    <w:p w14:paraId="2CD582F7" w14:textId="39F02654" w:rsidR="00371C33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-</w:t>
      </w:r>
      <w:proofErr w:type="spellStart"/>
      <w:r>
        <w:rPr>
          <w:rFonts w:cs="Arial"/>
          <w:b/>
          <w:szCs w:val="22"/>
        </w:rPr>
        <w:t>oOo</w:t>
      </w:r>
      <w:proofErr w:type="spellEnd"/>
      <w:r>
        <w:rPr>
          <w:rFonts w:cs="Arial"/>
          <w:b/>
          <w:szCs w:val="22"/>
        </w:rPr>
        <w:t>-</w:t>
      </w:r>
    </w:p>
    <w:p w14:paraId="4CFB2E52" w14:textId="5B2CD668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622A2CB8" w14:textId="07027FFD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05F4CB08" w14:textId="1B1D9546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58F46E14" w14:textId="342FD254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29A4AAEC" w14:textId="2D3DE15F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39FBD7D9" w14:textId="0D946D9C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123DC1FB" w14:textId="66477886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5EE78B50" w14:textId="73D865B5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4FC2D54D" w14:textId="007DD141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65876214" w14:textId="77777777" w:rsidR="0040750A" w:rsidRDefault="0040750A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0D22E1FA" w14:textId="77777777" w:rsidR="004011D7" w:rsidRDefault="004011D7" w:rsidP="0075056F">
      <w:pPr>
        <w:autoSpaceDE w:val="0"/>
        <w:autoSpaceDN w:val="0"/>
        <w:adjustRightInd w:val="0"/>
        <w:ind w:firstLine="142"/>
        <w:jc w:val="center"/>
        <w:rPr>
          <w:rStyle w:val="Hipervnculo"/>
          <w:rFonts w:cs="Arial"/>
          <w:szCs w:val="22"/>
        </w:rPr>
      </w:pPr>
      <w:r w:rsidRPr="005B4BF6">
        <w:rPr>
          <w:rFonts w:cs="Arial"/>
          <w:szCs w:val="22"/>
        </w:rPr>
        <w:t xml:space="preserve">Para consultas de medios y periodistas, contactar a: </w:t>
      </w:r>
      <w:hyperlink r:id="rId12" w:history="1">
        <w:r w:rsidRPr="005B4BF6">
          <w:rPr>
            <w:rStyle w:val="Hipervnculo"/>
            <w:rFonts w:cs="Arial"/>
            <w:szCs w:val="22"/>
          </w:rPr>
          <w:t>comunicacionsocial@inegi.org.mx</w:t>
        </w:r>
      </w:hyperlink>
    </w:p>
    <w:p w14:paraId="5C8911BD" w14:textId="77777777" w:rsidR="004011D7" w:rsidRDefault="004011D7" w:rsidP="0075056F">
      <w:pPr>
        <w:autoSpaceDE w:val="0"/>
        <w:autoSpaceDN w:val="0"/>
        <w:adjustRightInd w:val="0"/>
        <w:ind w:firstLine="142"/>
        <w:jc w:val="center"/>
        <w:rPr>
          <w:rStyle w:val="Hipervnculo"/>
          <w:rFonts w:cs="Arial"/>
          <w:szCs w:val="22"/>
        </w:rPr>
      </w:pPr>
    </w:p>
    <w:p w14:paraId="488224EE" w14:textId="77777777" w:rsidR="004011D7" w:rsidRDefault="004011D7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  <w:r w:rsidRPr="005B4BF6">
        <w:rPr>
          <w:rFonts w:cs="Arial"/>
          <w:szCs w:val="22"/>
        </w:rPr>
        <w:t>o llamar al teléfono (55) 52-78-10-00, ext. 1134, 1260 y 1241.</w:t>
      </w:r>
    </w:p>
    <w:p w14:paraId="0EED09D2" w14:textId="77777777" w:rsidR="004011D7" w:rsidRDefault="004011D7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</w:p>
    <w:p w14:paraId="085EE37C" w14:textId="43CF9DFF" w:rsidR="004011D7" w:rsidRPr="004011D7" w:rsidRDefault="004011D7" w:rsidP="0075056F">
      <w:pPr>
        <w:autoSpaceDE w:val="0"/>
        <w:autoSpaceDN w:val="0"/>
        <w:adjustRightInd w:val="0"/>
        <w:ind w:firstLine="142"/>
        <w:jc w:val="center"/>
        <w:rPr>
          <w:rFonts w:cs="Arial"/>
          <w:b/>
          <w:szCs w:val="22"/>
        </w:rPr>
      </w:pPr>
      <w:r w:rsidRPr="005B4BF6">
        <w:rPr>
          <w:rFonts w:cs="Arial"/>
        </w:rPr>
        <w:t>Dirección de Atención a Medios / Dirección General Adjunta de Comunicación</w:t>
      </w:r>
    </w:p>
    <w:p w14:paraId="3B49B5DC" w14:textId="77777777" w:rsidR="004011D7" w:rsidRPr="00F83AA4" w:rsidRDefault="004011D7" w:rsidP="0075056F">
      <w:pPr>
        <w:contextualSpacing/>
        <w:jc w:val="left"/>
        <w:rPr>
          <w:rFonts w:cs="Arial"/>
          <w:sz w:val="18"/>
          <w:szCs w:val="18"/>
        </w:rPr>
      </w:pPr>
    </w:p>
    <w:p w14:paraId="15D27A0A" w14:textId="212234FE" w:rsidR="004011D7" w:rsidRPr="00C25443" w:rsidRDefault="004011D7" w:rsidP="0075056F">
      <w:r>
        <w:rPr>
          <w:noProof/>
          <w:lang w:eastAsia="es-MX"/>
        </w:rPr>
        <w:t xml:space="preserve">                                                 </w:t>
      </w:r>
    </w:p>
    <w:p w14:paraId="3F58C775" w14:textId="7F2185E3" w:rsidR="00BD7E93" w:rsidRPr="00932DB0" w:rsidRDefault="00BD7E93" w:rsidP="0075056F">
      <w:pPr>
        <w:contextualSpacing/>
        <w:jc w:val="center"/>
        <w:rPr>
          <w:rFonts w:cs="Arial"/>
          <w:b/>
          <w:szCs w:val="22"/>
        </w:rPr>
      </w:pPr>
      <w:r w:rsidRPr="00C5485B">
        <w:rPr>
          <w:rFonts w:cs="Arial"/>
          <w:noProof/>
          <w:szCs w:val="22"/>
          <w:lang w:val="es-MX" w:eastAsia="es-MX"/>
        </w:rPr>
        <w:drawing>
          <wp:inline distT="0" distB="0" distL="0" distR="0" wp14:anchorId="4BE899F0" wp14:editId="35665C23">
            <wp:extent cx="310356" cy="323850"/>
            <wp:effectExtent l="0" t="0" r="0" b="0"/>
            <wp:docPr id="18" name="Imagen 18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85B">
        <w:rPr>
          <w:rFonts w:cs="Arial"/>
          <w:noProof/>
          <w:szCs w:val="22"/>
          <w:lang w:eastAsia="es-MX"/>
        </w:rPr>
        <w:t xml:space="preserve"> </w:t>
      </w:r>
      <w:r w:rsidRPr="00C5485B">
        <w:rPr>
          <w:rFonts w:cs="Arial"/>
          <w:noProof/>
          <w:szCs w:val="22"/>
          <w:lang w:val="es-MX" w:eastAsia="es-MX"/>
        </w:rPr>
        <w:drawing>
          <wp:inline distT="0" distB="0" distL="0" distR="0" wp14:anchorId="32E97D49" wp14:editId="427839CD">
            <wp:extent cx="314325" cy="314325"/>
            <wp:effectExtent l="0" t="0" r="9525" b="9525"/>
            <wp:docPr id="15" name="Imagen 15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B1">
        <w:rPr>
          <w:rFonts w:cs="Arial"/>
          <w:noProof/>
          <w:lang w:eastAsia="es-MX"/>
        </w:rPr>
        <w:t xml:space="preserve"> </w:t>
      </w:r>
      <w:r w:rsidRPr="006E3FB1">
        <w:rPr>
          <w:rFonts w:cs="Arial"/>
          <w:noProof/>
          <w:lang w:val="es-MX" w:eastAsia="es-MX"/>
        </w:rPr>
        <w:drawing>
          <wp:inline distT="0" distB="0" distL="0" distR="0" wp14:anchorId="194E56F9" wp14:editId="6D6B5EB4">
            <wp:extent cx="323850" cy="323850"/>
            <wp:effectExtent l="0" t="0" r="0" b="0"/>
            <wp:docPr id="44" name="Imagen 44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B1">
        <w:rPr>
          <w:rFonts w:cs="Arial"/>
          <w:noProof/>
          <w:lang w:eastAsia="es-MX"/>
        </w:rPr>
        <w:t xml:space="preserve"> </w:t>
      </w:r>
      <w:r w:rsidRPr="006E3FB1">
        <w:rPr>
          <w:rFonts w:cs="Arial"/>
          <w:noProof/>
          <w:lang w:val="es-MX" w:eastAsia="es-MX"/>
        </w:rPr>
        <w:drawing>
          <wp:inline distT="0" distB="0" distL="0" distR="0" wp14:anchorId="4B1D0DD6" wp14:editId="34A89AB1">
            <wp:extent cx="323850" cy="323850"/>
            <wp:effectExtent l="0" t="0" r="0" b="0"/>
            <wp:docPr id="45" name="Imagen 45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B1">
        <w:rPr>
          <w:rFonts w:cs="Arial"/>
          <w:noProof/>
          <w:lang w:eastAsia="es-MX"/>
        </w:rPr>
        <w:t xml:space="preserve">  </w:t>
      </w:r>
      <w:r w:rsidRPr="006E3FB1">
        <w:rPr>
          <w:rFonts w:cs="Arial"/>
          <w:noProof/>
          <w:sz w:val="14"/>
          <w:szCs w:val="18"/>
          <w:lang w:val="es-MX" w:eastAsia="es-MX"/>
        </w:rPr>
        <w:drawing>
          <wp:inline distT="0" distB="0" distL="0" distR="0" wp14:anchorId="43434ADF" wp14:editId="079C2D4C">
            <wp:extent cx="2286000" cy="274320"/>
            <wp:effectExtent l="0" t="0" r="0" b="0"/>
            <wp:docPr id="47" name="Imagen 4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E93" w:rsidRPr="00932DB0" w:rsidSect="0075056F">
      <w:headerReference w:type="default" r:id="rId23"/>
      <w:footerReference w:type="default" r:id="rId24"/>
      <w:headerReference w:type="first" r:id="rId25"/>
      <w:footerReference w:type="first" r:id="rId26"/>
      <w:footnotePr>
        <w:numRestart w:val="eachSect"/>
      </w:footnotePr>
      <w:pgSz w:w="12242" w:h="15842" w:code="1"/>
      <w:pgMar w:top="1418" w:right="1701" w:bottom="1418" w:left="1701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18CD" w14:textId="77777777" w:rsidR="00397DAF" w:rsidRDefault="00397DAF">
      <w:r>
        <w:separator/>
      </w:r>
    </w:p>
  </w:endnote>
  <w:endnote w:type="continuationSeparator" w:id="0">
    <w:p w14:paraId="7D57726E" w14:textId="77777777" w:rsidR="00397DAF" w:rsidRDefault="0039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FEE1" w14:textId="11B935DE" w:rsidR="00325404" w:rsidRPr="00735A70" w:rsidRDefault="00735A70" w:rsidP="00735A70">
    <w:pPr>
      <w:pStyle w:val="Piedepgina"/>
      <w:tabs>
        <w:tab w:val="clear" w:pos="4419"/>
        <w:tab w:val="clear" w:pos="8838"/>
        <w:tab w:val="left" w:pos="3750"/>
      </w:tabs>
      <w:ind w:left="-567" w:right="-516"/>
      <w:jc w:val="center"/>
      <w:rPr>
        <w:b/>
        <w:sz w:val="20"/>
        <w:szCs w:val="20"/>
      </w:rPr>
    </w:pPr>
    <w:r w:rsidRPr="00735A70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A444" w14:textId="0CC4AAE1" w:rsidR="00325404" w:rsidRPr="00735A70" w:rsidRDefault="00325404" w:rsidP="00735A70">
    <w:pPr>
      <w:pStyle w:val="Piedepgina"/>
      <w:tabs>
        <w:tab w:val="clear" w:pos="4419"/>
        <w:tab w:val="clear" w:pos="8838"/>
        <w:tab w:val="left" w:pos="3630"/>
      </w:tabs>
      <w:ind w:left="-567" w:right="-516"/>
      <w:jc w:val="center"/>
      <w:rPr>
        <w:b/>
        <w:sz w:val="20"/>
        <w:szCs w:val="20"/>
      </w:rPr>
    </w:pPr>
    <w:r w:rsidRPr="00735A70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5141" w14:textId="77777777" w:rsidR="00397DAF" w:rsidRDefault="00397DAF">
      <w:r>
        <w:separator/>
      </w:r>
    </w:p>
  </w:footnote>
  <w:footnote w:type="continuationSeparator" w:id="0">
    <w:p w14:paraId="12878EFC" w14:textId="77777777" w:rsidR="00397DAF" w:rsidRDefault="0039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C3A8" w14:textId="1B3225B6" w:rsidR="00325404" w:rsidRDefault="00325404" w:rsidP="00325404">
    <w:pPr>
      <w:pStyle w:val="Encabezado"/>
      <w:ind w:hanging="426"/>
      <w:jc w:val="center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7F59698" wp14:editId="356C7C48">
          <wp:simplePos x="0" y="0"/>
          <wp:positionH relativeFrom="margin">
            <wp:posOffset>-285750</wp:posOffset>
          </wp:positionH>
          <wp:positionV relativeFrom="topMargin">
            <wp:posOffset>567690</wp:posOffset>
          </wp:positionV>
          <wp:extent cx="771525" cy="80073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8AEE8" w14:textId="74F75C21" w:rsidR="00325404" w:rsidRPr="0099258B" w:rsidRDefault="00325404" w:rsidP="00325404">
    <w:pPr>
      <w:ind w:left="-567" w:right="-516"/>
      <w:jc w:val="right"/>
      <w:rPr>
        <w:sz w:val="24"/>
      </w:rPr>
    </w:pPr>
    <w:r w:rsidRPr="0099258B">
      <w:rPr>
        <w:b/>
        <w:color w:val="002060"/>
        <w:sz w:val="24"/>
      </w:rPr>
      <w:t>COMUNICADO</w:t>
    </w:r>
    <w:r w:rsidRPr="0099258B">
      <w:rPr>
        <w:b/>
        <w:color w:val="002060"/>
        <w:spacing w:val="-11"/>
        <w:sz w:val="24"/>
      </w:rPr>
      <w:t xml:space="preserve"> </w:t>
    </w:r>
    <w:r w:rsidRPr="0099258B">
      <w:rPr>
        <w:b/>
        <w:color w:val="002060"/>
        <w:sz w:val="24"/>
      </w:rPr>
      <w:t>DE</w:t>
    </w:r>
    <w:r w:rsidRPr="0099258B">
      <w:rPr>
        <w:b/>
        <w:color w:val="002060"/>
        <w:spacing w:val="-11"/>
        <w:sz w:val="24"/>
      </w:rPr>
      <w:t xml:space="preserve"> P</w:t>
    </w:r>
    <w:r w:rsidRPr="0099258B">
      <w:rPr>
        <w:b/>
        <w:color w:val="002060"/>
        <w:spacing w:val="-1"/>
        <w:sz w:val="24"/>
      </w:rPr>
      <w:t>RENSA</w:t>
    </w:r>
    <w:r w:rsidRPr="0099258B">
      <w:rPr>
        <w:b/>
        <w:color w:val="002060"/>
        <w:spacing w:val="-11"/>
        <w:sz w:val="24"/>
      </w:rPr>
      <w:t xml:space="preserve"> </w:t>
    </w:r>
    <w:r w:rsidRPr="0099258B">
      <w:rPr>
        <w:b/>
        <w:color w:val="002060"/>
        <w:sz w:val="24"/>
      </w:rPr>
      <w:t xml:space="preserve">NÚM. </w:t>
    </w:r>
    <w:r>
      <w:rPr>
        <w:b/>
        <w:color w:val="002060"/>
        <w:sz w:val="24"/>
      </w:rPr>
      <w:t>333</w:t>
    </w:r>
    <w:r w:rsidRPr="0099258B">
      <w:rPr>
        <w:b/>
        <w:color w:val="002060"/>
        <w:sz w:val="24"/>
      </w:rPr>
      <w:t>/</w:t>
    </w:r>
    <w:r>
      <w:rPr>
        <w:b/>
        <w:color w:val="002060"/>
        <w:sz w:val="24"/>
      </w:rPr>
      <w:t>21</w:t>
    </w:r>
    <w:r w:rsidRPr="0099258B">
      <w:rPr>
        <w:b/>
        <w:color w:val="002060"/>
        <w:spacing w:val="-11"/>
        <w:sz w:val="24"/>
      </w:rPr>
      <w:t xml:space="preserve"> </w:t>
    </w:r>
  </w:p>
  <w:p w14:paraId="0DAAF2FE" w14:textId="510BCC98" w:rsidR="00325404" w:rsidRPr="0099258B" w:rsidRDefault="00325404" w:rsidP="00325404">
    <w:pPr>
      <w:ind w:right="-516"/>
      <w:jc w:val="right"/>
      <w:rPr>
        <w:sz w:val="24"/>
      </w:rPr>
    </w:pPr>
    <w:r>
      <w:rPr>
        <w:b/>
        <w:color w:val="002060"/>
        <w:sz w:val="24"/>
      </w:rPr>
      <w:t>3</w:t>
    </w:r>
    <w:r w:rsidRPr="0099258B">
      <w:rPr>
        <w:b/>
        <w:color w:val="002060"/>
        <w:sz w:val="24"/>
      </w:rPr>
      <w:t xml:space="preserve"> DE </w:t>
    </w:r>
    <w:r>
      <w:rPr>
        <w:b/>
        <w:color w:val="002060"/>
        <w:sz w:val="24"/>
      </w:rPr>
      <w:t>JUNIO</w:t>
    </w:r>
    <w:r w:rsidRPr="0099258B">
      <w:rPr>
        <w:b/>
        <w:color w:val="002060"/>
        <w:spacing w:val="-6"/>
        <w:sz w:val="24"/>
      </w:rPr>
      <w:t xml:space="preserve"> </w:t>
    </w:r>
    <w:r w:rsidRPr="0099258B">
      <w:rPr>
        <w:b/>
        <w:color w:val="002060"/>
        <w:sz w:val="24"/>
      </w:rPr>
      <w:t>DE</w:t>
    </w:r>
    <w:r w:rsidRPr="0099258B">
      <w:rPr>
        <w:b/>
        <w:color w:val="002060"/>
        <w:spacing w:val="-5"/>
        <w:sz w:val="24"/>
      </w:rPr>
      <w:t xml:space="preserve"> </w:t>
    </w:r>
    <w:r w:rsidRPr="0099258B">
      <w:rPr>
        <w:b/>
        <w:color w:val="002060"/>
        <w:sz w:val="24"/>
      </w:rPr>
      <w:t>20</w:t>
    </w:r>
    <w:r>
      <w:rPr>
        <w:b/>
        <w:color w:val="002060"/>
        <w:sz w:val="24"/>
      </w:rPr>
      <w:t>21</w:t>
    </w:r>
  </w:p>
  <w:p w14:paraId="7238C5A6" w14:textId="256B2068" w:rsidR="00325404" w:rsidRPr="0099258B" w:rsidRDefault="00325404" w:rsidP="00325404">
    <w:pPr>
      <w:ind w:right="-516"/>
      <w:jc w:val="right"/>
      <w:rPr>
        <w:sz w:val="24"/>
      </w:rPr>
    </w:pPr>
    <w:r w:rsidRPr="0099258B">
      <w:rPr>
        <w:b/>
        <w:color w:val="002060"/>
        <w:sz w:val="24"/>
      </w:rPr>
      <w:t>PÁGINA</w:t>
    </w:r>
    <w:r w:rsidRPr="0099258B">
      <w:rPr>
        <w:b/>
        <w:color w:val="002060"/>
        <w:spacing w:val="-13"/>
        <w:sz w:val="24"/>
      </w:rPr>
      <w:t xml:space="preserve"> </w:t>
    </w:r>
    <w:r w:rsidRPr="0099258B">
      <w:rPr>
        <w:sz w:val="24"/>
      </w:rPr>
      <w:fldChar w:fldCharType="begin"/>
    </w:r>
    <w:r w:rsidRPr="0099258B">
      <w:rPr>
        <w:b/>
        <w:color w:val="002060"/>
        <w:sz w:val="24"/>
      </w:rPr>
      <w:instrText xml:space="preserve"> PAGE </w:instrText>
    </w:r>
    <w:r w:rsidRPr="0099258B">
      <w:rPr>
        <w:sz w:val="24"/>
      </w:rPr>
      <w:fldChar w:fldCharType="separate"/>
    </w:r>
    <w:r>
      <w:rPr>
        <w:sz w:val="24"/>
      </w:rPr>
      <w:t>1</w:t>
    </w:r>
    <w:r w:rsidRPr="0099258B">
      <w:rPr>
        <w:sz w:val="24"/>
      </w:rPr>
      <w:fldChar w:fldCharType="end"/>
    </w:r>
    <w:r w:rsidRPr="0099258B">
      <w:rPr>
        <w:b/>
        <w:color w:val="002060"/>
        <w:sz w:val="24"/>
      </w:rPr>
      <w:t>/</w:t>
    </w:r>
    <w:r>
      <w:rPr>
        <w:b/>
        <w:color w:val="002060"/>
        <w:sz w:val="24"/>
      </w:rPr>
      <w:t>5</w:t>
    </w:r>
  </w:p>
  <w:p w14:paraId="0703672C" w14:textId="77777777" w:rsidR="00325404" w:rsidRDefault="00325404" w:rsidP="00325404">
    <w:pPr>
      <w:pStyle w:val="Textoindependiente"/>
      <w:spacing w:line="14" w:lineRule="auto"/>
      <w:rPr>
        <w:sz w:val="20"/>
      </w:rPr>
    </w:pPr>
  </w:p>
  <w:p w14:paraId="2899ABD2" w14:textId="77777777" w:rsidR="00325404" w:rsidRPr="0099258B" w:rsidRDefault="00325404" w:rsidP="00325404">
    <w:pPr>
      <w:ind w:left="-567" w:right="15"/>
      <w:jc w:val="right"/>
      <w:rPr>
        <w:sz w:val="24"/>
      </w:rPr>
    </w:pPr>
  </w:p>
  <w:p w14:paraId="31E61004" w14:textId="77777777" w:rsidR="008658A3" w:rsidRDefault="00397DAF" w:rsidP="00325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E564" w14:textId="77777777" w:rsidR="00325404" w:rsidRDefault="00325404" w:rsidP="00325404">
    <w:pPr>
      <w:ind w:left="-567" w:right="-516"/>
      <w:jc w:val="right"/>
      <w:rPr>
        <w:b/>
        <w:color w:val="002060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91782C6" wp14:editId="18CBCE05">
          <wp:simplePos x="0" y="0"/>
          <wp:positionH relativeFrom="margin">
            <wp:posOffset>-285750</wp:posOffset>
          </wp:positionH>
          <wp:positionV relativeFrom="topMargin">
            <wp:posOffset>533400</wp:posOffset>
          </wp:positionV>
          <wp:extent cx="771525" cy="800735"/>
          <wp:effectExtent l="0" t="0" r="9525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</w:rPr>
      <w:tab/>
    </w:r>
    <w:r>
      <w:rPr>
        <w:b/>
        <w:color w:val="002060"/>
      </w:rPr>
      <w:tab/>
    </w:r>
    <w:r>
      <w:rPr>
        <w:b/>
        <w:color w:val="002060"/>
      </w:rPr>
      <w:tab/>
    </w:r>
    <w:r>
      <w:rPr>
        <w:b/>
        <w:color w:val="002060"/>
      </w:rPr>
      <w:tab/>
    </w:r>
  </w:p>
  <w:p w14:paraId="7EB18B98" w14:textId="7BE40F1C" w:rsidR="00325404" w:rsidRPr="0099258B" w:rsidRDefault="00325404" w:rsidP="00325404">
    <w:pPr>
      <w:ind w:left="-567" w:right="-516"/>
      <w:jc w:val="right"/>
      <w:rPr>
        <w:sz w:val="24"/>
      </w:rPr>
    </w:pPr>
    <w:r w:rsidRPr="0099258B">
      <w:rPr>
        <w:b/>
        <w:color w:val="002060"/>
        <w:sz w:val="24"/>
      </w:rPr>
      <w:t>COMUNICADO</w:t>
    </w:r>
    <w:r w:rsidRPr="0099258B">
      <w:rPr>
        <w:b/>
        <w:color w:val="002060"/>
        <w:spacing w:val="-11"/>
        <w:sz w:val="24"/>
      </w:rPr>
      <w:t xml:space="preserve"> </w:t>
    </w:r>
    <w:r w:rsidRPr="0099258B">
      <w:rPr>
        <w:b/>
        <w:color w:val="002060"/>
        <w:sz w:val="24"/>
      </w:rPr>
      <w:t>DE</w:t>
    </w:r>
    <w:r w:rsidRPr="0099258B">
      <w:rPr>
        <w:b/>
        <w:color w:val="002060"/>
        <w:spacing w:val="-11"/>
        <w:sz w:val="24"/>
      </w:rPr>
      <w:t xml:space="preserve"> P</w:t>
    </w:r>
    <w:r w:rsidRPr="0099258B">
      <w:rPr>
        <w:b/>
        <w:color w:val="002060"/>
        <w:spacing w:val="-1"/>
        <w:sz w:val="24"/>
      </w:rPr>
      <w:t>RENSA</w:t>
    </w:r>
    <w:r w:rsidRPr="0099258B">
      <w:rPr>
        <w:b/>
        <w:color w:val="002060"/>
        <w:spacing w:val="-11"/>
        <w:sz w:val="24"/>
      </w:rPr>
      <w:t xml:space="preserve"> </w:t>
    </w:r>
    <w:r w:rsidRPr="0099258B">
      <w:rPr>
        <w:b/>
        <w:color w:val="002060"/>
        <w:sz w:val="24"/>
      </w:rPr>
      <w:t xml:space="preserve">NÚM. </w:t>
    </w:r>
    <w:r>
      <w:rPr>
        <w:b/>
        <w:color w:val="002060"/>
        <w:sz w:val="24"/>
      </w:rPr>
      <w:t>333</w:t>
    </w:r>
    <w:r w:rsidRPr="0099258B">
      <w:rPr>
        <w:b/>
        <w:color w:val="002060"/>
        <w:sz w:val="24"/>
      </w:rPr>
      <w:t>/</w:t>
    </w:r>
    <w:r>
      <w:rPr>
        <w:b/>
        <w:color w:val="002060"/>
        <w:sz w:val="24"/>
      </w:rPr>
      <w:t>21</w:t>
    </w:r>
    <w:r w:rsidRPr="0099258B">
      <w:rPr>
        <w:b/>
        <w:color w:val="002060"/>
        <w:spacing w:val="-11"/>
        <w:sz w:val="24"/>
      </w:rPr>
      <w:t xml:space="preserve"> </w:t>
    </w:r>
  </w:p>
  <w:p w14:paraId="7C453BDA" w14:textId="7BF8FEBD" w:rsidR="00325404" w:rsidRPr="0099258B" w:rsidRDefault="00325404" w:rsidP="00325404">
    <w:pPr>
      <w:ind w:right="-516"/>
      <w:jc w:val="right"/>
      <w:rPr>
        <w:sz w:val="24"/>
      </w:rPr>
    </w:pPr>
    <w:r>
      <w:rPr>
        <w:b/>
        <w:color w:val="002060"/>
        <w:sz w:val="24"/>
      </w:rPr>
      <w:t>3</w:t>
    </w:r>
    <w:r w:rsidRPr="0099258B">
      <w:rPr>
        <w:b/>
        <w:color w:val="002060"/>
        <w:sz w:val="24"/>
      </w:rPr>
      <w:t xml:space="preserve"> DE </w:t>
    </w:r>
    <w:r>
      <w:rPr>
        <w:b/>
        <w:color w:val="002060"/>
        <w:sz w:val="24"/>
      </w:rPr>
      <w:t>JUNIO</w:t>
    </w:r>
    <w:r w:rsidRPr="0099258B">
      <w:rPr>
        <w:b/>
        <w:color w:val="002060"/>
        <w:spacing w:val="-6"/>
        <w:sz w:val="24"/>
      </w:rPr>
      <w:t xml:space="preserve"> </w:t>
    </w:r>
    <w:r w:rsidRPr="0099258B">
      <w:rPr>
        <w:b/>
        <w:color w:val="002060"/>
        <w:sz w:val="24"/>
      </w:rPr>
      <w:t>DE</w:t>
    </w:r>
    <w:r w:rsidRPr="0099258B">
      <w:rPr>
        <w:b/>
        <w:color w:val="002060"/>
        <w:spacing w:val="-5"/>
        <w:sz w:val="24"/>
      </w:rPr>
      <w:t xml:space="preserve"> </w:t>
    </w:r>
    <w:r w:rsidRPr="0099258B">
      <w:rPr>
        <w:b/>
        <w:color w:val="002060"/>
        <w:sz w:val="24"/>
      </w:rPr>
      <w:t>20</w:t>
    </w:r>
    <w:r>
      <w:rPr>
        <w:b/>
        <w:color w:val="002060"/>
        <w:sz w:val="24"/>
      </w:rPr>
      <w:t>21</w:t>
    </w:r>
  </w:p>
  <w:p w14:paraId="0716214B" w14:textId="3A60A8BE" w:rsidR="00325404" w:rsidRPr="0099258B" w:rsidRDefault="00325404" w:rsidP="00325404">
    <w:pPr>
      <w:ind w:right="-516"/>
      <w:jc w:val="right"/>
      <w:rPr>
        <w:sz w:val="24"/>
      </w:rPr>
    </w:pPr>
    <w:r w:rsidRPr="0099258B">
      <w:rPr>
        <w:b/>
        <w:color w:val="002060"/>
        <w:sz w:val="24"/>
      </w:rPr>
      <w:t>PÁGINA</w:t>
    </w:r>
    <w:r w:rsidRPr="0099258B">
      <w:rPr>
        <w:b/>
        <w:color w:val="002060"/>
        <w:spacing w:val="-13"/>
        <w:sz w:val="24"/>
      </w:rPr>
      <w:t xml:space="preserve"> </w:t>
    </w:r>
    <w:r w:rsidRPr="0099258B">
      <w:rPr>
        <w:sz w:val="24"/>
      </w:rPr>
      <w:fldChar w:fldCharType="begin"/>
    </w:r>
    <w:r w:rsidRPr="0099258B">
      <w:rPr>
        <w:b/>
        <w:color w:val="002060"/>
        <w:sz w:val="24"/>
      </w:rPr>
      <w:instrText xml:space="preserve"> PAGE </w:instrText>
    </w:r>
    <w:r w:rsidRPr="0099258B">
      <w:rPr>
        <w:sz w:val="24"/>
      </w:rPr>
      <w:fldChar w:fldCharType="separate"/>
    </w:r>
    <w:r>
      <w:rPr>
        <w:sz w:val="24"/>
      </w:rPr>
      <w:t>1</w:t>
    </w:r>
    <w:r w:rsidRPr="0099258B">
      <w:rPr>
        <w:sz w:val="24"/>
      </w:rPr>
      <w:fldChar w:fldCharType="end"/>
    </w:r>
    <w:r w:rsidRPr="0099258B">
      <w:rPr>
        <w:b/>
        <w:color w:val="002060"/>
        <w:sz w:val="24"/>
      </w:rPr>
      <w:t>/</w:t>
    </w:r>
    <w:r>
      <w:rPr>
        <w:b/>
        <w:color w:val="002060"/>
        <w:sz w:val="24"/>
      </w:rPr>
      <w:t>5</w:t>
    </w:r>
  </w:p>
  <w:p w14:paraId="770800E7" w14:textId="77777777" w:rsidR="00325404" w:rsidRDefault="00325404" w:rsidP="00325404">
    <w:pPr>
      <w:pStyle w:val="Textoindependiente"/>
      <w:spacing w:line="14" w:lineRule="auto"/>
      <w:rPr>
        <w:sz w:val="20"/>
      </w:rPr>
    </w:pPr>
  </w:p>
  <w:p w14:paraId="3EAEB333" w14:textId="51AA54C3" w:rsidR="00325404" w:rsidRPr="0099258B" w:rsidRDefault="00325404" w:rsidP="00325404">
    <w:pPr>
      <w:ind w:left="-567" w:right="15"/>
      <w:jc w:val="right"/>
      <w:rPr>
        <w:sz w:val="24"/>
      </w:rPr>
    </w:pPr>
  </w:p>
  <w:p w14:paraId="477D63E3" w14:textId="77777777" w:rsidR="008658A3" w:rsidRDefault="00397DAF" w:rsidP="00CE7FF1">
    <w:pPr>
      <w:pStyle w:val="Encabezado"/>
      <w:ind w:hanging="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45F"/>
    <w:multiLevelType w:val="hybridMultilevel"/>
    <w:tmpl w:val="5230941E"/>
    <w:lvl w:ilvl="0" w:tplc="08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6542F49"/>
    <w:multiLevelType w:val="hybridMultilevel"/>
    <w:tmpl w:val="39C6B6C6"/>
    <w:lvl w:ilvl="0" w:tplc="1A00B716">
      <w:start w:val="5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3" w15:restartNumberingAfterBreak="0">
    <w:nsid w:val="703B6493"/>
    <w:multiLevelType w:val="hybridMultilevel"/>
    <w:tmpl w:val="6B0AB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44"/>
    <w:rsid w:val="0000378F"/>
    <w:rsid w:val="00011DC2"/>
    <w:rsid w:val="0001260C"/>
    <w:rsid w:val="0001321B"/>
    <w:rsid w:val="00014BEB"/>
    <w:rsid w:val="00027CD2"/>
    <w:rsid w:val="00035002"/>
    <w:rsid w:val="00046E3B"/>
    <w:rsid w:val="00047437"/>
    <w:rsid w:val="00080DC7"/>
    <w:rsid w:val="00082532"/>
    <w:rsid w:val="00083C35"/>
    <w:rsid w:val="00084A4C"/>
    <w:rsid w:val="000A28A9"/>
    <w:rsid w:val="000A2E82"/>
    <w:rsid w:val="000A661B"/>
    <w:rsid w:val="000B263E"/>
    <w:rsid w:val="000B33E8"/>
    <w:rsid w:val="000D0D0F"/>
    <w:rsid w:val="000D5F3D"/>
    <w:rsid w:val="000E1724"/>
    <w:rsid w:val="001015DD"/>
    <w:rsid w:val="0010345B"/>
    <w:rsid w:val="00104BA1"/>
    <w:rsid w:val="00107EC6"/>
    <w:rsid w:val="00113C7A"/>
    <w:rsid w:val="00123584"/>
    <w:rsid w:val="0013604F"/>
    <w:rsid w:val="00146982"/>
    <w:rsid w:val="00153DD1"/>
    <w:rsid w:val="00164A3A"/>
    <w:rsid w:val="00164CB0"/>
    <w:rsid w:val="00177BD1"/>
    <w:rsid w:val="00184ECB"/>
    <w:rsid w:val="001A37C5"/>
    <w:rsid w:val="001A4088"/>
    <w:rsid w:val="001A504E"/>
    <w:rsid w:val="001A66FD"/>
    <w:rsid w:val="001B11DD"/>
    <w:rsid w:val="001B4A1D"/>
    <w:rsid w:val="001C41EC"/>
    <w:rsid w:val="001D5889"/>
    <w:rsid w:val="001E1793"/>
    <w:rsid w:val="001F01DB"/>
    <w:rsid w:val="001F1942"/>
    <w:rsid w:val="0021770A"/>
    <w:rsid w:val="002206BA"/>
    <w:rsid w:val="0022142D"/>
    <w:rsid w:val="00232E50"/>
    <w:rsid w:val="0024377E"/>
    <w:rsid w:val="0024703E"/>
    <w:rsid w:val="00251F6F"/>
    <w:rsid w:val="00253E5E"/>
    <w:rsid w:val="002660FA"/>
    <w:rsid w:val="002665A9"/>
    <w:rsid w:val="00277ADE"/>
    <w:rsid w:val="00297C73"/>
    <w:rsid w:val="002A2CCC"/>
    <w:rsid w:val="002B4F91"/>
    <w:rsid w:val="002B5FA1"/>
    <w:rsid w:val="002B7026"/>
    <w:rsid w:val="002D0A1E"/>
    <w:rsid w:val="002D4CD8"/>
    <w:rsid w:val="00302B4A"/>
    <w:rsid w:val="0030333C"/>
    <w:rsid w:val="0030687E"/>
    <w:rsid w:val="00310811"/>
    <w:rsid w:val="00312031"/>
    <w:rsid w:val="0031229E"/>
    <w:rsid w:val="003175FA"/>
    <w:rsid w:val="00325404"/>
    <w:rsid w:val="00326193"/>
    <w:rsid w:val="00327250"/>
    <w:rsid w:val="00336284"/>
    <w:rsid w:val="00342E04"/>
    <w:rsid w:val="0035238A"/>
    <w:rsid w:val="0035794C"/>
    <w:rsid w:val="0036685C"/>
    <w:rsid w:val="003676F9"/>
    <w:rsid w:val="00371C33"/>
    <w:rsid w:val="003730A0"/>
    <w:rsid w:val="00374D47"/>
    <w:rsid w:val="00385AEC"/>
    <w:rsid w:val="00385E69"/>
    <w:rsid w:val="00391E2E"/>
    <w:rsid w:val="00393324"/>
    <w:rsid w:val="00397DAF"/>
    <w:rsid w:val="003A2D0D"/>
    <w:rsid w:val="003A6132"/>
    <w:rsid w:val="003B477C"/>
    <w:rsid w:val="003C0939"/>
    <w:rsid w:val="003C0B5F"/>
    <w:rsid w:val="003C38EC"/>
    <w:rsid w:val="003C3B83"/>
    <w:rsid w:val="003C4620"/>
    <w:rsid w:val="003F07B4"/>
    <w:rsid w:val="004011D7"/>
    <w:rsid w:val="0040139F"/>
    <w:rsid w:val="00404237"/>
    <w:rsid w:val="00407042"/>
    <w:rsid w:val="0040750A"/>
    <w:rsid w:val="0041084F"/>
    <w:rsid w:val="004113AC"/>
    <w:rsid w:val="004153C6"/>
    <w:rsid w:val="0041545A"/>
    <w:rsid w:val="00420119"/>
    <w:rsid w:val="004230AE"/>
    <w:rsid w:val="0043181B"/>
    <w:rsid w:val="0044118F"/>
    <w:rsid w:val="00444C48"/>
    <w:rsid w:val="004461AA"/>
    <w:rsid w:val="004469AD"/>
    <w:rsid w:val="004631F0"/>
    <w:rsid w:val="00465832"/>
    <w:rsid w:val="00466038"/>
    <w:rsid w:val="004769B2"/>
    <w:rsid w:val="004918CE"/>
    <w:rsid w:val="00497C78"/>
    <w:rsid w:val="004B1FD7"/>
    <w:rsid w:val="004B65C2"/>
    <w:rsid w:val="004C5DEC"/>
    <w:rsid w:val="004D3C3A"/>
    <w:rsid w:val="004D58B7"/>
    <w:rsid w:val="004F2DC2"/>
    <w:rsid w:val="0050020B"/>
    <w:rsid w:val="00501F52"/>
    <w:rsid w:val="00502D7C"/>
    <w:rsid w:val="0050393F"/>
    <w:rsid w:val="005071C2"/>
    <w:rsid w:val="00516548"/>
    <w:rsid w:val="00522636"/>
    <w:rsid w:val="00527C05"/>
    <w:rsid w:val="00533222"/>
    <w:rsid w:val="005437B2"/>
    <w:rsid w:val="00550FE4"/>
    <w:rsid w:val="005578CC"/>
    <w:rsid w:val="005673FB"/>
    <w:rsid w:val="00571042"/>
    <w:rsid w:val="00590117"/>
    <w:rsid w:val="00594EB4"/>
    <w:rsid w:val="005A05B0"/>
    <w:rsid w:val="005A0827"/>
    <w:rsid w:val="005A5B8B"/>
    <w:rsid w:val="005A64D5"/>
    <w:rsid w:val="005B104B"/>
    <w:rsid w:val="005B5A00"/>
    <w:rsid w:val="005C7714"/>
    <w:rsid w:val="005D378B"/>
    <w:rsid w:val="005E3840"/>
    <w:rsid w:val="005E655A"/>
    <w:rsid w:val="006072CD"/>
    <w:rsid w:val="006139D2"/>
    <w:rsid w:val="006227CA"/>
    <w:rsid w:val="00623F3E"/>
    <w:rsid w:val="0062498D"/>
    <w:rsid w:val="00643873"/>
    <w:rsid w:val="00644D47"/>
    <w:rsid w:val="00654B66"/>
    <w:rsid w:val="00666244"/>
    <w:rsid w:val="006713CA"/>
    <w:rsid w:val="00680F3E"/>
    <w:rsid w:val="00686F36"/>
    <w:rsid w:val="00693F2C"/>
    <w:rsid w:val="006A2FAB"/>
    <w:rsid w:val="006B1C19"/>
    <w:rsid w:val="006B2036"/>
    <w:rsid w:val="006B7E0E"/>
    <w:rsid w:val="006C19B4"/>
    <w:rsid w:val="006C57B5"/>
    <w:rsid w:val="006E54C1"/>
    <w:rsid w:val="006E5B74"/>
    <w:rsid w:val="006E767C"/>
    <w:rsid w:val="006E7C90"/>
    <w:rsid w:val="006F1A40"/>
    <w:rsid w:val="006F2538"/>
    <w:rsid w:val="006F3676"/>
    <w:rsid w:val="0070338C"/>
    <w:rsid w:val="00711E9C"/>
    <w:rsid w:val="00714C48"/>
    <w:rsid w:val="00717960"/>
    <w:rsid w:val="0072298F"/>
    <w:rsid w:val="00724FB1"/>
    <w:rsid w:val="00730815"/>
    <w:rsid w:val="00734676"/>
    <w:rsid w:val="00735A70"/>
    <w:rsid w:val="00741488"/>
    <w:rsid w:val="0074329D"/>
    <w:rsid w:val="007456B3"/>
    <w:rsid w:val="0075056F"/>
    <w:rsid w:val="007551B0"/>
    <w:rsid w:val="007613DE"/>
    <w:rsid w:val="007731AB"/>
    <w:rsid w:val="007772D6"/>
    <w:rsid w:val="007C196D"/>
    <w:rsid w:val="007C367F"/>
    <w:rsid w:val="007C37CE"/>
    <w:rsid w:val="007C5825"/>
    <w:rsid w:val="007C58E4"/>
    <w:rsid w:val="007D1371"/>
    <w:rsid w:val="007D242E"/>
    <w:rsid w:val="007D28B1"/>
    <w:rsid w:val="007D6D53"/>
    <w:rsid w:val="007E4DC0"/>
    <w:rsid w:val="007E6A90"/>
    <w:rsid w:val="007F7FEE"/>
    <w:rsid w:val="008036C2"/>
    <w:rsid w:val="00811ABF"/>
    <w:rsid w:val="008221F8"/>
    <w:rsid w:val="00833CF5"/>
    <w:rsid w:val="0083457C"/>
    <w:rsid w:val="00845344"/>
    <w:rsid w:val="008458DA"/>
    <w:rsid w:val="00846EED"/>
    <w:rsid w:val="00851160"/>
    <w:rsid w:val="00857885"/>
    <w:rsid w:val="00857B7E"/>
    <w:rsid w:val="00861351"/>
    <w:rsid w:val="00870385"/>
    <w:rsid w:val="00873166"/>
    <w:rsid w:val="00875CBE"/>
    <w:rsid w:val="00883E3A"/>
    <w:rsid w:val="00883F0C"/>
    <w:rsid w:val="008842A7"/>
    <w:rsid w:val="008878E9"/>
    <w:rsid w:val="00891FEC"/>
    <w:rsid w:val="0089732E"/>
    <w:rsid w:val="008A0BE4"/>
    <w:rsid w:val="008B08CF"/>
    <w:rsid w:val="008B1ECD"/>
    <w:rsid w:val="008C778D"/>
    <w:rsid w:val="008C788A"/>
    <w:rsid w:val="008E17AE"/>
    <w:rsid w:val="008E6776"/>
    <w:rsid w:val="008F1B50"/>
    <w:rsid w:val="008F7DEA"/>
    <w:rsid w:val="009018F6"/>
    <w:rsid w:val="00903B92"/>
    <w:rsid w:val="00912050"/>
    <w:rsid w:val="00915B7E"/>
    <w:rsid w:val="0092172A"/>
    <w:rsid w:val="009379A7"/>
    <w:rsid w:val="00946FB9"/>
    <w:rsid w:val="00966D30"/>
    <w:rsid w:val="00976AD1"/>
    <w:rsid w:val="00977B1A"/>
    <w:rsid w:val="009909E5"/>
    <w:rsid w:val="009928EF"/>
    <w:rsid w:val="00992F08"/>
    <w:rsid w:val="009B21DB"/>
    <w:rsid w:val="009B4E23"/>
    <w:rsid w:val="009C2359"/>
    <w:rsid w:val="009C50CF"/>
    <w:rsid w:val="009D146B"/>
    <w:rsid w:val="009E08D1"/>
    <w:rsid w:val="009E3F96"/>
    <w:rsid w:val="009E5967"/>
    <w:rsid w:val="009E6260"/>
    <w:rsid w:val="009F21A7"/>
    <w:rsid w:val="00A00B4A"/>
    <w:rsid w:val="00A0672F"/>
    <w:rsid w:val="00A077F3"/>
    <w:rsid w:val="00A121EE"/>
    <w:rsid w:val="00A13246"/>
    <w:rsid w:val="00A145C4"/>
    <w:rsid w:val="00A179FB"/>
    <w:rsid w:val="00A2514B"/>
    <w:rsid w:val="00A271EF"/>
    <w:rsid w:val="00A33A90"/>
    <w:rsid w:val="00A46266"/>
    <w:rsid w:val="00A72E18"/>
    <w:rsid w:val="00A91AC7"/>
    <w:rsid w:val="00A970D2"/>
    <w:rsid w:val="00AA6C1B"/>
    <w:rsid w:val="00AB5A4D"/>
    <w:rsid w:val="00AB7FC7"/>
    <w:rsid w:val="00AC0941"/>
    <w:rsid w:val="00AD5019"/>
    <w:rsid w:val="00AD7633"/>
    <w:rsid w:val="00AE3571"/>
    <w:rsid w:val="00B10761"/>
    <w:rsid w:val="00B20794"/>
    <w:rsid w:val="00B258A9"/>
    <w:rsid w:val="00B275F9"/>
    <w:rsid w:val="00B35A2D"/>
    <w:rsid w:val="00B406BB"/>
    <w:rsid w:val="00B42D5B"/>
    <w:rsid w:val="00B62C6F"/>
    <w:rsid w:val="00B7166D"/>
    <w:rsid w:val="00B939F1"/>
    <w:rsid w:val="00BA0726"/>
    <w:rsid w:val="00BA3557"/>
    <w:rsid w:val="00BB0903"/>
    <w:rsid w:val="00BB6468"/>
    <w:rsid w:val="00BC2A94"/>
    <w:rsid w:val="00BD22D8"/>
    <w:rsid w:val="00BD3CD7"/>
    <w:rsid w:val="00BD7E93"/>
    <w:rsid w:val="00BE3577"/>
    <w:rsid w:val="00BE5F5F"/>
    <w:rsid w:val="00BF7432"/>
    <w:rsid w:val="00C01B82"/>
    <w:rsid w:val="00C0494C"/>
    <w:rsid w:val="00C05FAB"/>
    <w:rsid w:val="00C1190F"/>
    <w:rsid w:val="00C178FD"/>
    <w:rsid w:val="00C20509"/>
    <w:rsid w:val="00C21A3C"/>
    <w:rsid w:val="00C41F4C"/>
    <w:rsid w:val="00C51CDD"/>
    <w:rsid w:val="00C6594E"/>
    <w:rsid w:val="00C71B5A"/>
    <w:rsid w:val="00C769AA"/>
    <w:rsid w:val="00C8343B"/>
    <w:rsid w:val="00C83C0F"/>
    <w:rsid w:val="00C84C1C"/>
    <w:rsid w:val="00C94168"/>
    <w:rsid w:val="00CA32D0"/>
    <w:rsid w:val="00CA7D6C"/>
    <w:rsid w:val="00CB0124"/>
    <w:rsid w:val="00CB7A2D"/>
    <w:rsid w:val="00CB7DF8"/>
    <w:rsid w:val="00CC476D"/>
    <w:rsid w:val="00CD357A"/>
    <w:rsid w:val="00CD6F74"/>
    <w:rsid w:val="00CE2C6A"/>
    <w:rsid w:val="00D02215"/>
    <w:rsid w:val="00D13DD6"/>
    <w:rsid w:val="00D20E33"/>
    <w:rsid w:val="00D22BF7"/>
    <w:rsid w:val="00D230B3"/>
    <w:rsid w:val="00D23546"/>
    <w:rsid w:val="00D25435"/>
    <w:rsid w:val="00D25586"/>
    <w:rsid w:val="00D255BB"/>
    <w:rsid w:val="00D34E20"/>
    <w:rsid w:val="00D367CC"/>
    <w:rsid w:val="00D37942"/>
    <w:rsid w:val="00D457F3"/>
    <w:rsid w:val="00D65491"/>
    <w:rsid w:val="00D77F4D"/>
    <w:rsid w:val="00D81519"/>
    <w:rsid w:val="00D840EB"/>
    <w:rsid w:val="00D9335D"/>
    <w:rsid w:val="00D96F3D"/>
    <w:rsid w:val="00DA41DA"/>
    <w:rsid w:val="00DA6C78"/>
    <w:rsid w:val="00DB1658"/>
    <w:rsid w:val="00DB229D"/>
    <w:rsid w:val="00DB38BE"/>
    <w:rsid w:val="00DC1B1C"/>
    <w:rsid w:val="00DF24AB"/>
    <w:rsid w:val="00DF7B5A"/>
    <w:rsid w:val="00E20DC7"/>
    <w:rsid w:val="00E22595"/>
    <w:rsid w:val="00E23F20"/>
    <w:rsid w:val="00E259EA"/>
    <w:rsid w:val="00E26911"/>
    <w:rsid w:val="00E340FF"/>
    <w:rsid w:val="00E41707"/>
    <w:rsid w:val="00E45144"/>
    <w:rsid w:val="00E511CE"/>
    <w:rsid w:val="00E666E1"/>
    <w:rsid w:val="00E81C4E"/>
    <w:rsid w:val="00E81D1E"/>
    <w:rsid w:val="00E82B34"/>
    <w:rsid w:val="00E8355D"/>
    <w:rsid w:val="00E873F9"/>
    <w:rsid w:val="00E875A9"/>
    <w:rsid w:val="00E907AA"/>
    <w:rsid w:val="00E959FB"/>
    <w:rsid w:val="00E96A0F"/>
    <w:rsid w:val="00EA57DA"/>
    <w:rsid w:val="00EA740B"/>
    <w:rsid w:val="00EB3612"/>
    <w:rsid w:val="00EB5809"/>
    <w:rsid w:val="00EC1295"/>
    <w:rsid w:val="00EC5257"/>
    <w:rsid w:val="00EC5C12"/>
    <w:rsid w:val="00ED249B"/>
    <w:rsid w:val="00ED6650"/>
    <w:rsid w:val="00ED7629"/>
    <w:rsid w:val="00EE3B9B"/>
    <w:rsid w:val="00EE66DD"/>
    <w:rsid w:val="00EF0578"/>
    <w:rsid w:val="00EF65AD"/>
    <w:rsid w:val="00F00360"/>
    <w:rsid w:val="00F06F01"/>
    <w:rsid w:val="00F105AE"/>
    <w:rsid w:val="00F113AF"/>
    <w:rsid w:val="00F20936"/>
    <w:rsid w:val="00F21FF7"/>
    <w:rsid w:val="00F22E73"/>
    <w:rsid w:val="00F3465F"/>
    <w:rsid w:val="00F41B98"/>
    <w:rsid w:val="00F53C2E"/>
    <w:rsid w:val="00F56214"/>
    <w:rsid w:val="00F62FD0"/>
    <w:rsid w:val="00F65C0A"/>
    <w:rsid w:val="00F837F6"/>
    <w:rsid w:val="00F86104"/>
    <w:rsid w:val="00F94DFD"/>
    <w:rsid w:val="00F97558"/>
    <w:rsid w:val="00FA41DB"/>
    <w:rsid w:val="00FA4D06"/>
    <w:rsid w:val="00FD7809"/>
    <w:rsid w:val="00FE088F"/>
    <w:rsid w:val="00FE28F6"/>
    <w:rsid w:val="00FE74E5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0FB4C"/>
  <w15:chartTrackingRefBased/>
  <w15:docId w15:val="{BA4A84BD-3095-4E8A-9E54-111828BB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4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45344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453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45344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45344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845344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45344"/>
    <w:rPr>
      <w:rFonts w:ascii="Arial" w:eastAsia="Times New Roman" w:hAnsi="Arial" w:cs="Arial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4534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453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B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B1C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2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2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2E5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2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2E5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E6A90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933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35D"/>
    <w:rPr>
      <w:rFonts w:ascii="Arial" w:eastAsia="Times New Roman" w:hAnsi="Arial" w:cs="Times New Roman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7F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7F4D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7F4D"/>
    <w:rPr>
      <w:vertAlign w:val="superscript"/>
    </w:rPr>
  </w:style>
  <w:style w:type="paragraph" w:styleId="NormalWeb">
    <w:name w:val="Normal (Web)"/>
    <w:basedOn w:val="Normal"/>
    <w:uiPriority w:val="99"/>
    <w:rsid w:val="00BD7E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Default">
    <w:name w:val="Default"/>
    <w:rsid w:val="00502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Condición primaria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Hoja1!$B$3:$B$8</c:f>
              <c:strCache>
                <c:ptCount val="6"/>
                <c:pt idx="0">
                  <c:v>Bosques</c:v>
                </c:pt>
                <c:pt idx="1">
                  <c:v>Chaparral</c:v>
                </c:pt>
                <c:pt idx="2">
                  <c:v>Manglares</c:v>
                </c:pt>
                <c:pt idx="3">
                  <c:v>Matorrales</c:v>
                </c:pt>
                <c:pt idx="4">
                  <c:v>Pastizales</c:v>
                </c:pt>
                <c:pt idx="5">
                  <c:v>Selvas</c:v>
                </c:pt>
              </c:strCache>
            </c:strRef>
          </c:cat>
          <c:val>
            <c:numRef>
              <c:f>Hoja1!$C$3:$C$8</c:f>
              <c:numCache>
                <c:formatCode>General</c:formatCode>
                <c:ptCount val="6"/>
                <c:pt idx="0">
                  <c:v>4512</c:v>
                </c:pt>
                <c:pt idx="1">
                  <c:v>320</c:v>
                </c:pt>
                <c:pt idx="2">
                  <c:v>181</c:v>
                </c:pt>
                <c:pt idx="3">
                  <c:v>2234</c:v>
                </c:pt>
                <c:pt idx="4">
                  <c:v>725</c:v>
                </c:pt>
                <c:pt idx="5">
                  <c:v>4241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18-46C9-B813-F71D2503EF42}"/>
            </c:ext>
          </c:extLst>
        </c:ser>
        <c:ser>
          <c:idx val="1"/>
          <c:order val="1"/>
          <c:tx>
            <c:strRef>
              <c:f>Hoja1!$D$2</c:f>
              <c:strCache>
                <c:ptCount val="1"/>
                <c:pt idx="0">
                  <c:v>Condición secundaria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Hoja1!$B$3:$B$8</c:f>
              <c:strCache>
                <c:ptCount val="6"/>
                <c:pt idx="0">
                  <c:v>Bosques</c:v>
                </c:pt>
                <c:pt idx="1">
                  <c:v>Chaparral</c:v>
                </c:pt>
                <c:pt idx="2">
                  <c:v>Manglares</c:v>
                </c:pt>
                <c:pt idx="3">
                  <c:v>Matorrales</c:v>
                </c:pt>
                <c:pt idx="4">
                  <c:v>Pastizales</c:v>
                </c:pt>
                <c:pt idx="5">
                  <c:v>Selvas</c:v>
                </c:pt>
              </c:strCache>
            </c:strRef>
          </c:cat>
          <c:val>
            <c:numRef>
              <c:f>Hoja1!$D$3:$D$8</c:f>
              <c:numCache>
                <c:formatCode>General</c:formatCode>
                <c:ptCount val="6"/>
                <c:pt idx="0">
                  <c:v>1580</c:v>
                </c:pt>
                <c:pt idx="1">
                  <c:v>71</c:v>
                </c:pt>
                <c:pt idx="2">
                  <c:v>25</c:v>
                </c:pt>
                <c:pt idx="3">
                  <c:v>514</c:v>
                </c:pt>
                <c:pt idx="4">
                  <c:v>419</c:v>
                </c:pt>
                <c:pt idx="5">
                  <c:v>2382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18-46C9-B813-F71D2503E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6"/>
        <c:axId val="1051262783"/>
        <c:axId val="1051255711"/>
      </c:barChart>
      <c:catAx>
        <c:axId val="1051262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51255711"/>
        <c:crosses val="autoZero"/>
        <c:auto val="1"/>
        <c:lblAlgn val="ctr"/>
        <c:lblOffset val="100"/>
        <c:noMultiLvlLbl val="0"/>
      </c:catAx>
      <c:valAx>
        <c:axId val="105125571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51262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Proceso productivo</c:v>
                </c:pt>
                <c:pt idx="1">
                  <c:v>Sistema de enfriamiento</c:v>
                </c:pt>
                <c:pt idx="2">
                  <c:v>Jardinería y limpieza</c:v>
                </c:pt>
                <c:pt idx="3">
                  <c:v>Descarga a la red pública</c:v>
                </c:pt>
                <c:pt idx="4">
                  <c:v>Otro uso o destino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17.399999999999999</c:v>
                </c:pt>
                <c:pt idx="1">
                  <c:v>3.9</c:v>
                </c:pt>
                <c:pt idx="2">
                  <c:v>28.5</c:v>
                </c:pt>
                <c:pt idx="3">
                  <c:v>38.5</c:v>
                </c:pt>
                <c:pt idx="4">
                  <c:v>11.7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45-485A-BA2A-BEBCDAEAD42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Proceso productivo</c:v>
                </c:pt>
                <c:pt idx="1">
                  <c:v>Sistema de enfriamiento</c:v>
                </c:pt>
                <c:pt idx="2">
                  <c:v>Jardinería y limpieza</c:v>
                </c:pt>
                <c:pt idx="3">
                  <c:v>Descarga a la red pública</c:v>
                </c:pt>
                <c:pt idx="4">
                  <c:v>Otro uso o destino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27.5</c:v>
                </c:pt>
                <c:pt idx="1">
                  <c:v>6.7</c:v>
                </c:pt>
                <c:pt idx="2">
                  <c:v>33.799999999999997</c:v>
                </c:pt>
                <c:pt idx="3">
                  <c:v>29.8</c:v>
                </c:pt>
                <c:pt idx="4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45-485A-BA2A-BEBCDAEAD42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Proceso productivo</c:v>
                </c:pt>
                <c:pt idx="1">
                  <c:v>Sistema de enfriamiento</c:v>
                </c:pt>
                <c:pt idx="2">
                  <c:v>Jardinería y limpieza</c:v>
                </c:pt>
                <c:pt idx="3">
                  <c:v>Descarga a la red pública</c:v>
                </c:pt>
                <c:pt idx="4">
                  <c:v>Otro uso o destino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0">
                  <c:v>5.8</c:v>
                </c:pt>
                <c:pt idx="1">
                  <c:v>16.3</c:v>
                </c:pt>
                <c:pt idx="2">
                  <c:v>13.6</c:v>
                </c:pt>
                <c:pt idx="3">
                  <c:v>63.6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45-485A-BA2A-BEBCDAEAD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-27"/>
        <c:axId val="-1398398112"/>
        <c:axId val="-1398397568"/>
      </c:barChart>
      <c:catAx>
        <c:axId val="-139839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398397568"/>
        <c:crosses val="autoZero"/>
        <c:auto val="1"/>
        <c:lblAlgn val="ctr"/>
        <c:lblOffset val="100"/>
        <c:noMultiLvlLbl val="0"/>
      </c:catAx>
      <c:valAx>
        <c:axId val="-1398397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39839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264498459431701"/>
          <c:y val="3.2621402410191916E-2"/>
          <c:w val="0.31644197192742213"/>
          <c:h val="0.9381562221802195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9"/>
                <c:pt idx="0">
                  <c:v>Fabricación de equipo eléctrico y electrónico y sus partes para vehículos automotores</c:v>
                </c:pt>
                <c:pt idx="1">
                  <c:v>Minería de cobre</c:v>
                </c:pt>
                <c:pt idx="2">
                  <c:v>Comercio al por menor en minisupers</c:v>
                </c:pt>
                <c:pt idx="3">
                  <c:v>Comercio al por menor en tiendas de abarrotes, ultramarinos y misceláneas</c:v>
                </c:pt>
                <c:pt idx="4">
                  <c:v>Fabricación de camiones y tractocamiones</c:v>
                </c:pt>
                <c:pt idx="5">
                  <c:v>Fabricación de otras partes para vehículos automotrices</c:v>
                </c:pt>
                <c:pt idx="6">
                  <c:v>Refinación de petróleo</c:v>
                </c:pt>
                <c:pt idx="7">
                  <c:v>Comercio al por menor en supermercados</c:v>
                </c:pt>
                <c:pt idx="8">
                  <c:v>Captación, tratamiento y suministro de agua realizados por el sector público</c:v>
                </c:pt>
              </c:strCache>
            </c:strRef>
          </c:cat>
          <c:val>
            <c:numRef>
              <c:f>Hoja1!$C$2:$C$10</c:f>
              <c:numCache>
                <c:formatCode>_-* #,##0_-;\-* #,##0_-;_-* "-"??_-;_-@_-</c:formatCode>
                <c:ptCount val="9"/>
                <c:pt idx="0">
                  <c:v>4590.3280000000004</c:v>
                </c:pt>
                <c:pt idx="1">
                  <c:v>5136.7460000000001</c:v>
                </c:pt>
                <c:pt idx="2">
                  <c:v>5315.6270000000004</c:v>
                </c:pt>
                <c:pt idx="3">
                  <c:v>5339.9530000000004</c:v>
                </c:pt>
                <c:pt idx="4">
                  <c:v>6157.9219999999996</c:v>
                </c:pt>
                <c:pt idx="5">
                  <c:v>7141.7269999999999</c:v>
                </c:pt>
                <c:pt idx="6">
                  <c:v>9469.3889999999992</c:v>
                </c:pt>
                <c:pt idx="7">
                  <c:v>9795.3850000000002</c:v>
                </c:pt>
                <c:pt idx="8">
                  <c:v>13837.052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DD-468E-B3AF-39E46AC43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100"/>
        <c:axId val="-1582978416"/>
        <c:axId val="-1582976784"/>
      </c:barChart>
      <c:catAx>
        <c:axId val="-1582978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0"/>
          <a:lstStyle/>
          <a:p>
            <a:pPr algn="r">
              <a:defRPr sz="8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582976784"/>
        <c:crosses val="autoZero"/>
        <c:auto val="1"/>
        <c:lblAlgn val="r"/>
        <c:lblOffset val="100"/>
        <c:noMultiLvlLbl val="0"/>
      </c:catAx>
      <c:valAx>
        <c:axId val="-1582976784"/>
        <c:scaling>
          <c:orientation val="minMax"/>
        </c:scaling>
        <c:delete val="1"/>
        <c:axPos val="b"/>
        <c:numFmt formatCode="_-* #,##0_-;\-* #,##0_-;_-* &quot;-&quot;??_-;_-@_-" sourceLinked="1"/>
        <c:majorTickMark val="none"/>
        <c:minorTickMark val="none"/>
        <c:tickLblPos val="nextTo"/>
        <c:crossAx val="-158297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 sz="700" b="1">
          <a:solidFill>
            <a:schemeClr val="tx1">
              <a:lumMod val="75000"/>
              <a:lumOff val="25000"/>
            </a:schemeClr>
          </a:solidFill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078853046594981E-2"/>
          <c:y val="1.0951410231204103E-2"/>
          <c:w val="0.91730465949820783"/>
          <c:h val="0.9352788770393771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Hoja1!$B$23:$B$32</c:f>
              <c:strCache>
                <c:ptCount val="10"/>
                <c:pt idx="0">
                  <c:v>Termoeléctricas de ciclo combinado</c:v>
                </c:pt>
                <c:pt idx="1">
                  <c:v>Termoeléctricas de vapor</c:v>
                </c:pt>
                <c:pt idx="2">
                  <c:v>Hidroeléctricas</c:v>
                </c:pt>
                <c:pt idx="3">
                  <c:v>Nucleoeléctricas</c:v>
                </c:pt>
                <c:pt idx="4">
                  <c:v>Carboeléctricas</c:v>
                </c:pt>
                <c:pt idx="5">
                  <c:v>Eoloeléctricas</c:v>
                </c:pt>
                <c:pt idx="6">
                  <c:v>Termoeléctricas turbo gas</c:v>
                </c:pt>
                <c:pt idx="7">
                  <c:v>Geotérmicas</c:v>
                </c:pt>
                <c:pt idx="8">
                  <c:v>Termoeléctricas combustión interna</c:v>
                </c:pt>
                <c:pt idx="9">
                  <c:v>Solar</c:v>
                </c:pt>
              </c:strCache>
            </c:strRef>
          </c:cat>
          <c:val>
            <c:numRef>
              <c:f>Hoja1!$L$23:$L$32</c:f>
              <c:numCache>
                <c:formatCode>General</c:formatCode>
                <c:ptCount val="10"/>
                <c:pt idx="0">
                  <c:v>50.9</c:v>
                </c:pt>
                <c:pt idx="1">
                  <c:v>15.6</c:v>
                </c:pt>
                <c:pt idx="2">
                  <c:v>11.8</c:v>
                </c:pt>
                <c:pt idx="3">
                  <c:v>5.2</c:v>
                </c:pt>
                <c:pt idx="4">
                  <c:v>4.5</c:v>
                </c:pt>
                <c:pt idx="5">
                  <c:v>4.5</c:v>
                </c:pt>
                <c:pt idx="6" formatCode="0.0">
                  <c:v>3</c:v>
                </c:pt>
                <c:pt idx="7">
                  <c:v>1.9</c:v>
                </c:pt>
                <c:pt idx="8">
                  <c:v>1.8</c:v>
                </c:pt>
                <c:pt idx="9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3F-4689-99F1-9ACC30448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0"/>
        <c:overlap val="100"/>
        <c:axId val="1378970687"/>
        <c:axId val="1378962783"/>
      </c:barChart>
      <c:catAx>
        <c:axId val="1378970687"/>
        <c:scaling>
          <c:orientation val="maxMin"/>
        </c:scaling>
        <c:delete val="1"/>
        <c:axPos val="l"/>
        <c:numFmt formatCode="General" sourceLinked="1"/>
        <c:majorTickMark val="none"/>
        <c:minorTickMark val="none"/>
        <c:tickLblPos val="nextTo"/>
        <c:crossAx val="1378962783"/>
        <c:crosses val="autoZero"/>
        <c:auto val="1"/>
        <c:lblAlgn val="ctr"/>
        <c:lblOffset val="100"/>
        <c:noMultiLvlLbl val="0"/>
      </c:catAx>
      <c:valAx>
        <c:axId val="137896278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78970687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94D6-7AC5-4EE0-98FF-B95E977D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1398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LUEVANO SERAFIN REBECA</cp:lastModifiedBy>
  <cp:revision>3</cp:revision>
  <cp:lastPrinted>2021-06-03T13:50:00Z</cp:lastPrinted>
  <dcterms:created xsi:type="dcterms:W3CDTF">2021-06-03T13:49:00Z</dcterms:created>
  <dcterms:modified xsi:type="dcterms:W3CDTF">2021-06-03T13:54:00Z</dcterms:modified>
</cp:coreProperties>
</file>