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drawings/drawing4.xml" ContentType="application/vnd.openxmlformats-officedocument.drawingml.chartshapes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1.xml" ContentType="application/vnd.openxmlformats-officedocument.themeOverride+xml"/>
  <Override PartName="/word/drawings/drawing5.xml" ContentType="application/vnd.openxmlformats-officedocument.drawingml.chartshapes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drawings/drawing6.xml" ContentType="application/vnd.openxmlformats-officedocument.drawingml.chartshapes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drawings/drawing7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C36DB" w14:textId="77777777" w:rsidR="00016205" w:rsidRDefault="00016205" w:rsidP="004B7B11">
      <w:pPr>
        <w:autoSpaceDE w:val="0"/>
        <w:autoSpaceDN w:val="0"/>
        <w:adjustRightInd w:val="0"/>
        <w:spacing w:after="0" w:line="240" w:lineRule="auto"/>
        <w:ind w:left="-567" w:right="-518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38ACFD4" w14:textId="7BA30177" w:rsidR="004B7B11" w:rsidRDefault="00A4255C" w:rsidP="003E4E32">
      <w:pPr>
        <w:autoSpaceDE w:val="0"/>
        <w:autoSpaceDN w:val="0"/>
        <w:adjustRightInd w:val="0"/>
        <w:spacing w:after="0" w:line="240" w:lineRule="auto"/>
        <w:ind w:left="-567" w:right="-518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A2480F">
        <w:rPr>
          <w:rFonts w:ascii="Arial" w:hAnsi="Arial" w:cs="Arial"/>
          <w:b/>
          <w:bCs/>
          <w:color w:val="000000"/>
          <w:sz w:val="24"/>
          <w:szCs w:val="24"/>
        </w:rPr>
        <w:t>ESTADÍSTICAS A PROPÓSITO DEL DÍA INTERNACIONAL</w:t>
      </w:r>
      <w:r w:rsidR="004B7B11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A2480F">
        <w:rPr>
          <w:rFonts w:ascii="Arial" w:hAnsi="Arial" w:cs="Arial"/>
          <w:b/>
          <w:bCs/>
          <w:color w:val="000000"/>
          <w:sz w:val="24"/>
          <w:szCs w:val="24"/>
        </w:rPr>
        <w:t xml:space="preserve">DE LA ELIMINACIÓN DE </w:t>
      </w:r>
    </w:p>
    <w:p w14:paraId="1FEE38E5" w14:textId="1BDD35C4" w:rsidR="00A4255C" w:rsidRDefault="00A4255C" w:rsidP="003E4E32">
      <w:pPr>
        <w:autoSpaceDE w:val="0"/>
        <w:autoSpaceDN w:val="0"/>
        <w:adjustRightInd w:val="0"/>
        <w:spacing w:after="0" w:line="240" w:lineRule="auto"/>
        <w:ind w:left="-567" w:right="-518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A2480F">
        <w:rPr>
          <w:rFonts w:ascii="Arial" w:hAnsi="Arial" w:cs="Arial"/>
          <w:b/>
          <w:bCs/>
          <w:color w:val="000000"/>
          <w:sz w:val="24"/>
          <w:szCs w:val="24"/>
        </w:rPr>
        <w:t>LA VIOLENCIA CONTRA LA MUJER</w:t>
      </w:r>
      <w:r w:rsidR="004B7B11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A2480F">
        <w:rPr>
          <w:rFonts w:ascii="Arial" w:hAnsi="Arial" w:cs="Arial"/>
          <w:b/>
          <w:bCs/>
          <w:color w:val="000000"/>
          <w:sz w:val="24"/>
          <w:szCs w:val="24"/>
        </w:rPr>
        <w:t>(25 DE NOVIEMBRE)</w:t>
      </w:r>
    </w:p>
    <w:p w14:paraId="07BF1D13" w14:textId="1D61A523" w:rsidR="00792F10" w:rsidRPr="00792F10" w:rsidRDefault="00792F10" w:rsidP="00792F1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42" w:hanging="284"/>
        <w:rPr>
          <w:rFonts w:ascii="Arial" w:eastAsia="Times New Roman" w:hAnsi="Arial" w:cs="Arial"/>
          <w:color w:val="000000" w:themeColor="text1"/>
          <w:lang w:eastAsia="es-MX"/>
        </w:rPr>
      </w:pPr>
      <w:r w:rsidRPr="00792F10">
        <w:rPr>
          <w:rFonts w:ascii="Arial" w:eastAsia="Times New Roman" w:hAnsi="Arial" w:cs="Arial"/>
          <w:bCs/>
          <w:color w:val="000000" w:themeColor="text1"/>
          <w:lang w:eastAsia="es-MX"/>
        </w:rPr>
        <w:t>En 2021, 20% de mujeres</w:t>
      </w:r>
      <w:r>
        <w:rPr>
          <w:rFonts w:ascii="Arial" w:eastAsia="Times New Roman" w:hAnsi="Arial" w:cs="Arial"/>
          <w:bCs/>
          <w:color w:val="000000" w:themeColor="text1"/>
          <w:lang w:eastAsia="es-MX"/>
        </w:rPr>
        <w:t xml:space="preserve"> de 18 años o más </w:t>
      </w:r>
      <w:r w:rsidRPr="00792F10">
        <w:rPr>
          <w:rFonts w:ascii="Arial" w:eastAsia="Times New Roman" w:hAnsi="Arial" w:cs="Arial"/>
          <w:bCs/>
          <w:color w:val="000000" w:themeColor="text1"/>
          <w:lang w:eastAsia="es-MX"/>
        </w:rPr>
        <w:t>reportó percepción de inseguridad en casa.</w:t>
      </w:r>
    </w:p>
    <w:p w14:paraId="40FC582F" w14:textId="0B24BFC2" w:rsidR="003B2D0F" w:rsidRPr="00F33052" w:rsidRDefault="007A2BCD" w:rsidP="00792F10">
      <w:pPr>
        <w:pStyle w:val="Prrafodelista"/>
        <w:numPr>
          <w:ilvl w:val="0"/>
          <w:numId w:val="2"/>
        </w:numPr>
        <w:spacing w:after="0" w:line="240" w:lineRule="auto"/>
        <w:ind w:left="142" w:hanging="284"/>
        <w:jc w:val="both"/>
        <w:rPr>
          <w:rFonts w:ascii="Arial" w:hAnsi="Arial" w:cs="Arial"/>
          <w:bCs/>
        </w:rPr>
      </w:pPr>
      <w:r w:rsidRPr="00F33052">
        <w:rPr>
          <w:rFonts w:ascii="Arial" w:hAnsi="Arial" w:cs="Arial"/>
          <w:bCs/>
        </w:rPr>
        <w:t>En 2020</w:t>
      </w:r>
      <w:r w:rsidR="004B7B11">
        <w:rPr>
          <w:rFonts w:ascii="Arial" w:hAnsi="Arial" w:cs="Arial"/>
          <w:bCs/>
        </w:rPr>
        <w:t xml:space="preserve">, </w:t>
      </w:r>
      <w:r w:rsidR="003B2D0F" w:rsidRPr="00F33052">
        <w:rPr>
          <w:rFonts w:ascii="Arial" w:hAnsi="Arial" w:cs="Arial"/>
          <w:bCs/>
        </w:rPr>
        <w:t xml:space="preserve">10.8% de los delitos cometidos en contra de las mujeres </w:t>
      </w:r>
      <w:r w:rsidR="00861726" w:rsidRPr="00F33052">
        <w:rPr>
          <w:rFonts w:ascii="Arial" w:hAnsi="Arial" w:cs="Arial"/>
          <w:bCs/>
        </w:rPr>
        <w:t xml:space="preserve">fue </w:t>
      </w:r>
      <w:r w:rsidR="003B2D0F" w:rsidRPr="00F33052">
        <w:rPr>
          <w:rFonts w:ascii="Arial" w:hAnsi="Arial" w:cs="Arial"/>
          <w:bCs/>
        </w:rPr>
        <w:t>de tipo sexual.</w:t>
      </w:r>
    </w:p>
    <w:p w14:paraId="6CDE2E80" w14:textId="321B05C0" w:rsidR="002E2AD0" w:rsidRDefault="00861726" w:rsidP="00792F10">
      <w:pPr>
        <w:pStyle w:val="Prrafodelista"/>
        <w:numPr>
          <w:ilvl w:val="0"/>
          <w:numId w:val="2"/>
        </w:numPr>
        <w:spacing w:after="0" w:line="240" w:lineRule="auto"/>
        <w:ind w:left="142" w:hanging="284"/>
        <w:jc w:val="both"/>
        <w:rPr>
          <w:rFonts w:ascii="Arial" w:hAnsi="Arial" w:cs="Arial"/>
          <w:bCs/>
        </w:rPr>
      </w:pPr>
      <w:r w:rsidRPr="00F33052">
        <w:rPr>
          <w:rFonts w:ascii="Arial" w:hAnsi="Arial" w:cs="Arial"/>
          <w:bCs/>
        </w:rPr>
        <w:t xml:space="preserve">En el mismo año, </w:t>
      </w:r>
      <w:r w:rsidR="001A69B8" w:rsidRPr="00F33052">
        <w:rPr>
          <w:rFonts w:ascii="Arial" w:hAnsi="Arial" w:cs="Arial"/>
          <w:bCs/>
        </w:rPr>
        <w:t>23.</w:t>
      </w:r>
      <w:r w:rsidR="00590CF7" w:rsidRPr="00F33052">
        <w:rPr>
          <w:rFonts w:ascii="Arial" w:hAnsi="Arial" w:cs="Arial"/>
          <w:bCs/>
        </w:rPr>
        <w:t>2</w:t>
      </w:r>
      <w:r w:rsidR="001A69B8" w:rsidRPr="00F33052">
        <w:rPr>
          <w:rFonts w:ascii="Arial" w:hAnsi="Arial" w:cs="Arial"/>
          <w:bCs/>
        </w:rPr>
        <w:t>% de las defunciones por homicidio de mujeres</w:t>
      </w:r>
      <w:r w:rsidR="003B2D0F" w:rsidRPr="00F33052">
        <w:rPr>
          <w:rFonts w:ascii="Arial" w:hAnsi="Arial" w:cs="Arial"/>
          <w:bCs/>
        </w:rPr>
        <w:t xml:space="preserve"> </w:t>
      </w:r>
      <w:r w:rsidR="001A69B8" w:rsidRPr="00F33052">
        <w:rPr>
          <w:rFonts w:ascii="Arial" w:hAnsi="Arial" w:cs="Arial"/>
          <w:bCs/>
        </w:rPr>
        <w:t>ocurrieron en la vivienda.</w:t>
      </w:r>
    </w:p>
    <w:p w14:paraId="51B86101" w14:textId="77777777" w:rsidR="003E4E32" w:rsidRPr="00F33052" w:rsidRDefault="003E4E32" w:rsidP="003E4E32">
      <w:pPr>
        <w:pStyle w:val="Prrafodelista"/>
        <w:spacing w:after="0" w:line="240" w:lineRule="auto"/>
        <w:ind w:left="284"/>
        <w:jc w:val="both"/>
        <w:rPr>
          <w:rFonts w:ascii="Arial" w:hAnsi="Arial" w:cs="Arial"/>
          <w:bCs/>
        </w:rPr>
      </w:pPr>
    </w:p>
    <w:p w14:paraId="6A4C85DF" w14:textId="296E3D6E" w:rsidR="008C665C" w:rsidRDefault="008C665C" w:rsidP="003E4E32">
      <w:pPr>
        <w:spacing w:after="0" w:line="240" w:lineRule="auto"/>
        <w:ind w:left="-567" w:right="-518"/>
        <w:jc w:val="both"/>
        <w:rPr>
          <w:rFonts w:ascii="Arial" w:hAnsi="Arial" w:cs="Arial"/>
        </w:rPr>
      </w:pPr>
      <w:r w:rsidRPr="00320DE0">
        <w:rPr>
          <w:rFonts w:ascii="Arial" w:hAnsi="Arial" w:cs="Arial"/>
        </w:rPr>
        <w:t xml:space="preserve">De acuerdo con la </w:t>
      </w:r>
      <w:r w:rsidR="00DF14BA" w:rsidRPr="00320DE0">
        <w:rPr>
          <w:rFonts w:ascii="Arial" w:hAnsi="Arial" w:cs="Arial"/>
        </w:rPr>
        <w:t>Ley General de</w:t>
      </w:r>
      <w:r w:rsidR="00C3055B" w:rsidRPr="00320DE0">
        <w:rPr>
          <w:rFonts w:ascii="Arial" w:hAnsi="Arial" w:cs="Arial"/>
        </w:rPr>
        <w:t xml:space="preserve"> Acceso de las </w:t>
      </w:r>
      <w:r w:rsidR="00852B01">
        <w:rPr>
          <w:rFonts w:ascii="Arial" w:hAnsi="Arial" w:cs="Arial"/>
        </w:rPr>
        <w:t>M</w:t>
      </w:r>
      <w:r w:rsidR="00C3055B" w:rsidRPr="00320DE0">
        <w:rPr>
          <w:rFonts w:ascii="Arial" w:hAnsi="Arial" w:cs="Arial"/>
        </w:rPr>
        <w:t xml:space="preserve">ujeres a una </w:t>
      </w:r>
      <w:r w:rsidR="00852B01">
        <w:rPr>
          <w:rFonts w:ascii="Arial" w:hAnsi="Arial" w:cs="Arial"/>
        </w:rPr>
        <w:t>V</w:t>
      </w:r>
      <w:r w:rsidR="00C3055B" w:rsidRPr="00320DE0">
        <w:rPr>
          <w:rFonts w:ascii="Arial" w:hAnsi="Arial" w:cs="Arial"/>
        </w:rPr>
        <w:t xml:space="preserve">ida </w:t>
      </w:r>
      <w:r w:rsidR="00852B01">
        <w:rPr>
          <w:rFonts w:ascii="Arial" w:hAnsi="Arial" w:cs="Arial"/>
        </w:rPr>
        <w:t>L</w:t>
      </w:r>
      <w:r w:rsidR="00C3055B" w:rsidRPr="00320DE0">
        <w:rPr>
          <w:rFonts w:ascii="Arial" w:hAnsi="Arial" w:cs="Arial"/>
        </w:rPr>
        <w:t xml:space="preserve">ibre de </w:t>
      </w:r>
      <w:r w:rsidR="00852B01">
        <w:rPr>
          <w:rFonts w:ascii="Arial" w:hAnsi="Arial" w:cs="Arial"/>
        </w:rPr>
        <w:t>V</w:t>
      </w:r>
      <w:r w:rsidR="00C3055B" w:rsidRPr="00320DE0">
        <w:rPr>
          <w:rFonts w:ascii="Arial" w:hAnsi="Arial" w:cs="Arial"/>
        </w:rPr>
        <w:t>iolencia</w:t>
      </w:r>
      <w:r w:rsidR="00861726">
        <w:rPr>
          <w:rFonts w:ascii="Arial" w:hAnsi="Arial" w:cs="Arial"/>
        </w:rPr>
        <w:t xml:space="preserve"> (LGAMVLV)</w:t>
      </w:r>
      <w:r w:rsidR="00C3055B" w:rsidRPr="00320DE0">
        <w:rPr>
          <w:rFonts w:ascii="Arial" w:hAnsi="Arial" w:cs="Arial"/>
        </w:rPr>
        <w:t xml:space="preserve">, </w:t>
      </w:r>
      <w:r w:rsidR="007E1C52" w:rsidRPr="00320DE0">
        <w:rPr>
          <w:rFonts w:ascii="Arial" w:hAnsi="Arial" w:cs="Arial"/>
        </w:rPr>
        <w:t>la violencia contra la</w:t>
      </w:r>
      <w:r w:rsidR="003B32D9">
        <w:rPr>
          <w:rFonts w:ascii="Arial" w:hAnsi="Arial" w:cs="Arial"/>
        </w:rPr>
        <w:t>s</w:t>
      </w:r>
      <w:r w:rsidR="007E1C52" w:rsidRPr="00320DE0">
        <w:rPr>
          <w:rFonts w:ascii="Arial" w:hAnsi="Arial" w:cs="Arial"/>
        </w:rPr>
        <w:t xml:space="preserve"> mujer</w:t>
      </w:r>
      <w:r w:rsidR="003B32D9">
        <w:rPr>
          <w:rFonts w:ascii="Arial" w:hAnsi="Arial" w:cs="Arial"/>
        </w:rPr>
        <w:t>es</w:t>
      </w:r>
      <w:r w:rsidR="007E1C52" w:rsidRPr="00320DE0">
        <w:rPr>
          <w:rFonts w:ascii="Arial" w:hAnsi="Arial" w:cs="Arial"/>
        </w:rPr>
        <w:t xml:space="preserve"> se encuentra definida como</w:t>
      </w:r>
      <w:r w:rsidR="00886C23" w:rsidRPr="00320DE0">
        <w:rPr>
          <w:rFonts w:ascii="Arial" w:hAnsi="Arial" w:cs="Arial"/>
        </w:rPr>
        <w:t xml:space="preserve"> </w:t>
      </w:r>
      <w:r w:rsidR="007E1C52" w:rsidRPr="00320DE0">
        <w:rPr>
          <w:rFonts w:ascii="Arial" w:hAnsi="Arial" w:cs="Arial"/>
        </w:rPr>
        <w:t>“</w:t>
      </w:r>
      <w:r w:rsidR="00861726">
        <w:rPr>
          <w:rFonts w:ascii="Arial" w:hAnsi="Arial" w:cs="Arial"/>
        </w:rPr>
        <w:t>c</w:t>
      </w:r>
      <w:r w:rsidR="00861726" w:rsidRPr="00834767">
        <w:rPr>
          <w:rFonts w:ascii="Arial" w:hAnsi="Arial" w:cs="Arial"/>
        </w:rPr>
        <w:t xml:space="preserve">ualquier </w:t>
      </w:r>
      <w:r w:rsidR="00834767" w:rsidRPr="00834767">
        <w:rPr>
          <w:rFonts w:ascii="Arial" w:hAnsi="Arial" w:cs="Arial"/>
        </w:rPr>
        <w:t>acción u omisión, basada en su género, que les cause daño o sufrimiento psicológico, físico, patrimonial, económico, sexual o la muerte tanto en el ámbito privado como en el público</w:t>
      </w:r>
      <w:r w:rsidR="007E1C52" w:rsidRPr="00320DE0">
        <w:rPr>
          <w:rFonts w:ascii="Arial" w:hAnsi="Arial" w:cs="Arial"/>
        </w:rPr>
        <w:t>”</w:t>
      </w:r>
      <w:r w:rsidR="007D3D8A">
        <w:rPr>
          <w:rStyle w:val="Refdenotaalpie"/>
          <w:rFonts w:ascii="Arial" w:hAnsi="Arial" w:cs="Arial"/>
        </w:rPr>
        <w:footnoteReference w:id="1"/>
      </w:r>
      <w:r w:rsidR="00886C23" w:rsidRPr="00320DE0">
        <w:rPr>
          <w:rFonts w:ascii="Arial" w:hAnsi="Arial" w:cs="Arial"/>
        </w:rPr>
        <w:t>.</w:t>
      </w:r>
      <w:r w:rsidR="0013553D" w:rsidRPr="00320DE0">
        <w:rPr>
          <w:rFonts w:ascii="Arial" w:hAnsi="Arial" w:cs="Arial"/>
        </w:rPr>
        <w:t xml:space="preserve"> </w:t>
      </w:r>
      <w:r w:rsidR="00861726">
        <w:rPr>
          <w:rFonts w:ascii="Arial" w:hAnsi="Arial" w:cs="Arial"/>
        </w:rPr>
        <w:t xml:space="preserve">Estas acciones u omisiones </w:t>
      </w:r>
      <w:r w:rsidR="0013553D" w:rsidRPr="00320DE0">
        <w:rPr>
          <w:rFonts w:ascii="Arial" w:hAnsi="Arial" w:cs="Arial"/>
        </w:rPr>
        <w:t>constituye</w:t>
      </w:r>
      <w:r w:rsidR="00861726">
        <w:rPr>
          <w:rFonts w:ascii="Arial" w:hAnsi="Arial" w:cs="Arial"/>
        </w:rPr>
        <w:t>n</w:t>
      </w:r>
      <w:r w:rsidR="0013553D" w:rsidRPr="00320DE0">
        <w:rPr>
          <w:rFonts w:ascii="Arial" w:hAnsi="Arial" w:cs="Arial"/>
        </w:rPr>
        <w:t xml:space="preserve"> una violación a los derechos humanos de las mujeres al no garantizar su libertad</w:t>
      </w:r>
      <w:r w:rsidR="00852B01">
        <w:rPr>
          <w:rFonts w:ascii="Arial" w:hAnsi="Arial" w:cs="Arial"/>
        </w:rPr>
        <w:t>, desarrollo</w:t>
      </w:r>
      <w:r w:rsidR="0013553D" w:rsidRPr="00320DE0">
        <w:rPr>
          <w:rFonts w:ascii="Arial" w:hAnsi="Arial" w:cs="Arial"/>
        </w:rPr>
        <w:t xml:space="preserve"> y seguridad</w:t>
      </w:r>
      <w:r w:rsidR="00D651BC" w:rsidRPr="00320DE0">
        <w:rPr>
          <w:rFonts w:ascii="Arial" w:hAnsi="Arial" w:cs="Arial"/>
        </w:rPr>
        <w:t>.</w:t>
      </w:r>
      <w:r w:rsidR="00BA3BFF">
        <w:rPr>
          <w:rFonts w:ascii="Arial" w:hAnsi="Arial" w:cs="Arial"/>
        </w:rPr>
        <w:t xml:space="preserve"> </w:t>
      </w:r>
    </w:p>
    <w:p w14:paraId="0537652E" w14:textId="77777777" w:rsidR="003E4E32" w:rsidRPr="00320DE0" w:rsidRDefault="003E4E32" w:rsidP="003E4E32">
      <w:pPr>
        <w:spacing w:after="0" w:line="240" w:lineRule="auto"/>
        <w:ind w:left="-567" w:right="-518"/>
        <w:jc w:val="both"/>
        <w:rPr>
          <w:rFonts w:ascii="Arial" w:hAnsi="Arial" w:cs="Arial"/>
        </w:rPr>
      </w:pPr>
    </w:p>
    <w:p w14:paraId="2EBB34FB" w14:textId="39313C60" w:rsidR="00466D8B" w:rsidRDefault="00861726" w:rsidP="003E4E32">
      <w:pPr>
        <w:spacing w:after="0" w:line="240" w:lineRule="auto"/>
        <w:ind w:left="-567" w:right="-518"/>
        <w:jc w:val="both"/>
        <w:rPr>
          <w:rFonts w:ascii="Arial" w:hAnsi="Arial" w:cs="Arial"/>
        </w:rPr>
      </w:pPr>
      <w:r>
        <w:rPr>
          <w:rFonts w:ascii="Arial" w:hAnsi="Arial" w:cs="Arial"/>
        </w:rPr>
        <w:t>La violencia contra la</w:t>
      </w:r>
      <w:r w:rsidR="00BC1AED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mujer</w:t>
      </w:r>
      <w:r w:rsidR="00BC1AED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es un problema de alcance global</w:t>
      </w:r>
      <w:r w:rsidR="004B7B11">
        <w:rPr>
          <w:rFonts w:ascii="Arial" w:hAnsi="Arial" w:cs="Arial"/>
        </w:rPr>
        <w:t>. P</w:t>
      </w:r>
      <w:r w:rsidR="00A76CD5">
        <w:rPr>
          <w:rFonts w:ascii="Arial" w:hAnsi="Arial" w:cs="Arial"/>
        </w:rPr>
        <w:t>or ello</w:t>
      </w:r>
      <w:r w:rsidR="004B7B11">
        <w:rPr>
          <w:rFonts w:ascii="Arial" w:hAnsi="Arial" w:cs="Arial"/>
        </w:rPr>
        <w:t>,</w:t>
      </w:r>
      <w:r w:rsidR="00A76CD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hace </w:t>
      </w:r>
      <w:r w:rsidR="00CC2A4A" w:rsidRPr="00320DE0">
        <w:rPr>
          <w:rFonts w:ascii="Arial" w:hAnsi="Arial" w:cs="Arial"/>
        </w:rPr>
        <w:t xml:space="preserve">más de </w:t>
      </w:r>
      <w:r>
        <w:rPr>
          <w:rFonts w:ascii="Arial" w:hAnsi="Arial" w:cs="Arial"/>
        </w:rPr>
        <w:t xml:space="preserve">dos décadas </w:t>
      </w:r>
      <w:r w:rsidR="00CC2A4A" w:rsidRPr="00320DE0">
        <w:rPr>
          <w:rFonts w:ascii="Arial" w:hAnsi="Arial" w:cs="Arial"/>
        </w:rPr>
        <w:t xml:space="preserve">la Asamblea General de las Naciones Unidas </w:t>
      </w:r>
      <w:r>
        <w:rPr>
          <w:rFonts w:ascii="Arial" w:hAnsi="Arial" w:cs="Arial"/>
        </w:rPr>
        <w:t xml:space="preserve">emitió una resolución que </w:t>
      </w:r>
      <w:r w:rsidR="00CC2A4A" w:rsidRPr="00320DE0">
        <w:rPr>
          <w:rFonts w:ascii="Arial" w:hAnsi="Arial" w:cs="Arial"/>
        </w:rPr>
        <w:t xml:space="preserve">establece el 25 de noviembre como el </w:t>
      </w:r>
      <w:r w:rsidR="00D2614C">
        <w:rPr>
          <w:rFonts w:ascii="Arial" w:hAnsi="Arial" w:cs="Arial"/>
        </w:rPr>
        <w:t>D</w:t>
      </w:r>
      <w:r w:rsidR="00D2614C" w:rsidRPr="00320DE0">
        <w:rPr>
          <w:rFonts w:ascii="Arial" w:hAnsi="Arial" w:cs="Arial"/>
        </w:rPr>
        <w:t xml:space="preserve">ía </w:t>
      </w:r>
      <w:r>
        <w:rPr>
          <w:rFonts w:ascii="Arial" w:hAnsi="Arial" w:cs="Arial"/>
        </w:rPr>
        <w:t xml:space="preserve">Internacional </w:t>
      </w:r>
      <w:r w:rsidR="00CC2A4A" w:rsidRPr="00320DE0">
        <w:rPr>
          <w:rFonts w:ascii="Arial" w:hAnsi="Arial" w:cs="Arial"/>
        </w:rPr>
        <w:t xml:space="preserve">de la </w:t>
      </w:r>
      <w:r w:rsidR="00D2614C">
        <w:rPr>
          <w:rFonts w:ascii="Arial" w:hAnsi="Arial" w:cs="Arial"/>
        </w:rPr>
        <w:t>E</w:t>
      </w:r>
      <w:r w:rsidR="00D2614C" w:rsidRPr="00320DE0">
        <w:rPr>
          <w:rFonts w:ascii="Arial" w:hAnsi="Arial" w:cs="Arial"/>
        </w:rPr>
        <w:t xml:space="preserve">liminación </w:t>
      </w:r>
      <w:r w:rsidR="00CC2A4A" w:rsidRPr="00320DE0">
        <w:rPr>
          <w:rFonts w:ascii="Arial" w:hAnsi="Arial" w:cs="Arial"/>
        </w:rPr>
        <w:t xml:space="preserve">de la </w:t>
      </w:r>
      <w:r w:rsidR="00D2614C">
        <w:rPr>
          <w:rFonts w:ascii="Arial" w:hAnsi="Arial" w:cs="Arial"/>
        </w:rPr>
        <w:t>V</w:t>
      </w:r>
      <w:r w:rsidR="00D2614C" w:rsidRPr="00320DE0">
        <w:rPr>
          <w:rFonts w:ascii="Arial" w:hAnsi="Arial" w:cs="Arial"/>
        </w:rPr>
        <w:t xml:space="preserve">iolencia </w:t>
      </w:r>
      <w:r w:rsidR="00CC2A4A" w:rsidRPr="00320DE0">
        <w:rPr>
          <w:rFonts w:ascii="Arial" w:hAnsi="Arial" w:cs="Arial"/>
        </w:rPr>
        <w:t xml:space="preserve">contra la </w:t>
      </w:r>
      <w:r w:rsidR="00D2614C">
        <w:rPr>
          <w:rFonts w:ascii="Arial" w:hAnsi="Arial" w:cs="Arial"/>
        </w:rPr>
        <w:t>M</w:t>
      </w:r>
      <w:r w:rsidR="00D2614C" w:rsidRPr="00320DE0">
        <w:rPr>
          <w:rFonts w:ascii="Arial" w:hAnsi="Arial" w:cs="Arial"/>
        </w:rPr>
        <w:t>ujer</w:t>
      </w:r>
      <w:r w:rsidR="00FC149A">
        <w:rPr>
          <w:rFonts w:ascii="Arial" w:hAnsi="Arial" w:cs="Arial"/>
        </w:rPr>
        <w:t>,</w:t>
      </w:r>
      <w:r w:rsidR="00AC08D4">
        <w:rPr>
          <w:rStyle w:val="Refdenotaalpie"/>
          <w:rFonts w:ascii="Arial" w:hAnsi="Arial" w:cs="Arial"/>
        </w:rPr>
        <w:footnoteReference w:id="2"/>
      </w:r>
      <w:r>
        <w:rPr>
          <w:rFonts w:ascii="Arial" w:hAnsi="Arial" w:cs="Arial"/>
        </w:rPr>
        <w:t xml:space="preserve"> cuya </w:t>
      </w:r>
      <w:r w:rsidR="00CC2A4A" w:rsidRPr="00320DE0">
        <w:rPr>
          <w:rFonts w:ascii="Arial" w:hAnsi="Arial" w:cs="Arial"/>
        </w:rPr>
        <w:t xml:space="preserve">finalidad </w:t>
      </w:r>
      <w:r>
        <w:rPr>
          <w:rFonts w:ascii="Arial" w:hAnsi="Arial" w:cs="Arial"/>
        </w:rPr>
        <w:t xml:space="preserve">es </w:t>
      </w:r>
      <w:r w:rsidR="00CC2A4A" w:rsidRPr="00320DE0">
        <w:rPr>
          <w:rFonts w:ascii="Arial" w:hAnsi="Arial" w:cs="Arial"/>
        </w:rPr>
        <w:t>coordinar actividades para concientizar y dimensionar la magnitud del reto de una vida libre de violencia</w:t>
      </w:r>
      <w:r w:rsidR="00432C04">
        <w:rPr>
          <w:rFonts w:ascii="Arial" w:hAnsi="Arial" w:cs="Arial"/>
        </w:rPr>
        <w:t xml:space="preserve">. El Instituto Nacional de Estadística y Geografía se une a este objetivo presentando </w:t>
      </w:r>
      <w:r w:rsidR="00240AB2" w:rsidRPr="00320DE0">
        <w:rPr>
          <w:rFonts w:ascii="Arial" w:hAnsi="Arial" w:cs="Arial"/>
        </w:rPr>
        <w:t>el panorama actual</w:t>
      </w:r>
      <w:r w:rsidR="00CC2A4A" w:rsidRPr="00320DE0">
        <w:rPr>
          <w:rFonts w:ascii="Arial" w:hAnsi="Arial" w:cs="Arial"/>
        </w:rPr>
        <w:t xml:space="preserve"> de</w:t>
      </w:r>
      <w:r w:rsidR="00C511F4" w:rsidRPr="00320DE0">
        <w:rPr>
          <w:rFonts w:ascii="Arial" w:hAnsi="Arial" w:cs="Arial"/>
        </w:rPr>
        <w:t xml:space="preserve"> </w:t>
      </w:r>
      <w:r w:rsidR="00BC1AED">
        <w:rPr>
          <w:rFonts w:ascii="Arial" w:hAnsi="Arial" w:cs="Arial"/>
        </w:rPr>
        <w:t xml:space="preserve">las </w:t>
      </w:r>
      <w:r w:rsidR="00C511F4" w:rsidRPr="00320DE0">
        <w:rPr>
          <w:rFonts w:ascii="Arial" w:hAnsi="Arial" w:cs="Arial"/>
        </w:rPr>
        <w:t xml:space="preserve">distintas formas de violencia que enfrentan las </w:t>
      </w:r>
      <w:r w:rsidR="00432C04">
        <w:rPr>
          <w:rFonts w:ascii="Arial" w:hAnsi="Arial" w:cs="Arial"/>
        </w:rPr>
        <w:t>mexicanas</w:t>
      </w:r>
      <w:r w:rsidR="00C511F4" w:rsidRPr="00320DE0">
        <w:rPr>
          <w:rFonts w:ascii="Arial" w:hAnsi="Arial" w:cs="Arial"/>
        </w:rPr>
        <w:t xml:space="preserve">, </w:t>
      </w:r>
      <w:r w:rsidR="00432C04">
        <w:rPr>
          <w:rFonts w:ascii="Arial" w:hAnsi="Arial" w:cs="Arial"/>
        </w:rPr>
        <w:t xml:space="preserve">con base en programas permanentes de recolección de información estadística que buscan </w:t>
      </w:r>
      <w:r w:rsidR="00C511F4" w:rsidRPr="00320DE0">
        <w:rPr>
          <w:rFonts w:ascii="Arial" w:hAnsi="Arial" w:cs="Arial"/>
        </w:rPr>
        <w:t xml:space="preserve">proporcionar </w:t>
      </w:r>
      <w:r w:rsidR="00732AA5" w:rsidRPr="00320DE0">
        <w:rPr>
          <w:rFonts w:ascii="Arial" w:hAnsi="Arial" w:cs="Arial"/>
        </w:rPr>
        <w:t xml:space="preserve">información confiable y actualizada </w:t>
      </w:r>
      <w:r w:rsidR="00432C04">
        <w:rPr>
          <w:rFonts w:ascii="Arial" w:hAnsi="Arial" w:cs="Arial"/>
        </w:rPr>
        <w:t xml:space="preserve">para el </w:t>
      </w:r>
      <w:r w:rsidR="00732AA5" w:rsidRPr="00320DE0">
        <w:rPr>
          <w:rFonts w:ascii="Arial" w:hAnsi="Arial" w:cs="Arial"/>
        </w:rPr>
        <w:t>diseño</w:t>
      </w:r>
      <w:r w:rsidR="00432C04">
        <w:rPr>
          <w:rFonts w:ascii="Arial" w:hAnsi="Arial" w:cs="Arial"/>
        </w:rPr>
        <w:t xml:space="preserve"> y evaluación de </w:t>
      </w:r>
      <w:r w:rsidR="006E014A" w:rsidRPr="00320DE0">
        <w:rPr>
          <w:rFonts w:ascii="Arial" w:hAnsi="Arial" w:cs="Arial"/>
        </w:rPr>
        <w:t xml:space="preserve">acciones </w:t>
      </w:r>
      <w:r w:rsidR="00A76CD5">
        <w:rPr>
          <w:rFonts w:ascii="Arial" w:hAnsi="Arial" w:cs="Arial"/>
        </w:rPr>
        <w:t xml:space="preserve">para </w:t>
      </w:r>
      <w:r w:rsidR="00432C04">
        <w:rPr>
          <w:rFonts w:ascii="Arial" w:hAnsi="Arial" w:cs="Arial"/>
        </w:rPr>
        <w:t xml:space="preserve">la </w:t>
      </w:r>
      <w:r w:rsidR="006E014A" w:rsidRPr="00320DE0">
        <w:rPr>
          <w:rFonts w:ascii="Arial" w:hAnsi="Arial" w:cs="Arial"/>
        </w:rPr>
        <w:t>atención, prevención</w:t>
      </w:r>
      <w:r w:rsidR="00D93E35">
        <w:rPr>
          <w:rFonts w:ascii="Arial" w:hAnsi="Arial" w:cs="Arial"/>
        </w:rPr>
        <w:t>, sanción</w:t>
      </w:r>
      <w:r w:rsidR="006E014A" w:rsidRPr="00320DE0">
        <w:rPr>
          <w:rFonts w:ascii="Arial" w:hAnsi="Arial" w:cs="Arial"/>
        </w:rPr>
        <w:t xml:space="preserve"> y erradicación</w:t>
      </w:r>
      <w:r w:rsidR="00432C04">
        <w:rPr>
          <w:rFonts w:ascii="Arial" w:hAnsi="Arial" w:cs="Arial"/>
        </w:rPr>
        <w:t xml:space="preserve"> de la violencia contra la</w:t>
      </w:r>
      <w:r w:rsidR="00BC1AED">
        <w:rPr>
          <w:rFonts w:ascii="Arial" w:hAnsi="Arial" w:cs="Arial"/>
        </w:rPr>
        <w:t>s</w:t>
      </w:r>
      <w:r w:rsidR="00432C04">
        <w:rPr>
          <w:rFonts w:ascii="Arial" w:hAnsi="Arial" w:cs="Arial"/>
        </w:rPr>
        <w:t xml:space="preserve"> mujer</w:t>
      </w:r>
      <w:r w:rsidR="00BC1AED">
        <w:rPr>
          <w:rFonts w:ascii="Arial" w:hAnsi="Arial" w:cs="Arial"/>
        </w:rPr>
        <w:t>es</w:t>
      </w:r>
      <w:r w:rsidR="00732AA5" w:rsidRPr="00320DE0">
        <w:rPr>
          <w:rFonts w:ascii="Arial" w:hAnsi="Arial" w:cs="Arial"/>
        </w:rPr>
        <w:t>.</w:t>
      </w:r>
    </w:p>
    <w:p w14:paraId="30E5FE3A" w14:textId="77777777" w:rsidR="003E4E32" w:rsidRPr="00320DE0" w:rsidRDefault="003E4E32" w:rsidP="003E4E32">
      <w:pPr>
        <w:spacing w:after="0" w:line="240" w:lineRule="auto"/>
        <w:ind w:left="-567" w:right="-518"/>
        <w:jc w:val="both"/>
        <w:rPr>
          <w:rFonts w:ascii="Arial" w:hAnsi="Arial" w:cs="Arial"/>
        </w:rPr>
      </w:pPr>
    </w:p>
    <w:p w14:paraId="6EEB0540" w14:textId="0256B843" w:rsidR="00B45CD5" w:rsidRDefault="008123CD" w:rsidP="003E4E32">
      <w:pPr>
        <w:spacing w:after="0" w:line="240" w:lineRule="auto"/>
        <w:ind w:left="-567" w:right="-518"/>
        <w:jc w:val="both"/>
        <w:rPr>
          <w:rFonts w:ascii="Arial" w:hAnsi="Arial" w:cs="Arial"/>
        </w:rPr>
      </w:pPr>
      <w:r w:rsidRPr="00320DE0">
        <w:rPr>
          <w:rFonts w:ascii="Arial" w:hAnsi="Arial" w:cs="Arial"/>
        </w:rPr>
        <w:t>E</w:t>
      </w:r>
      <w:r w:rsidR="00016205">
        <w:rPr>
          <w:rFonts w:ascii="Arial" w:hAnsi="Arial" w:cs="Arial"/>
        </w:rPr>
        <w:t>ste comunicad</w:t>
      </w:r>
      <w:r w:rsidRPr="00320DE0">
        <w:rPr>
          <w:rFonts w:ascii="Arial" w:hAnsi="Arial" w:cs="Arial"/>
        </w:rPr>
        <w:t xml:space="preserve">o </w:t>
      </w:r>
      <w:r w:rsidR="00432C04">
        <w:rPr>
          <w:rFonts w:ascii="Arial" w:hAnsi="Arial" w:cs="Arial"/>
        </w:rPr>
        <w:t xml:space="preserve">se concentra en </w:t>
      </w:r>
      <w:r w:rsidR="00E46113" w:rsidRPr="00320DE0">
        <w:rPr>
          <w:rFonts w:ascii="Arial" w:hAnsi="Arial" w:cs="Arial"/>
        </w:rPr>
        <w:t xml:space="preserve">los niveles de victimización y </w:t>
      </w:r>
      <w:r w:rsidR="002C5AEE" w:rsidRPr="00320DE0">
        <w:rPr>
          <w:rFonts w:ascii="Arial" w:hAnsi="Arial" w:cs="Arial"/>
        </w:rPr>
        <w:t>violencia en contra de las mujeres</w:t>
      </w:r>
      <w:r w:rsidRPr="00320DE0">
        <w:rPr>
          <w:rFonts w:ascii="Arial" w:hAnsi="Arial" w:cs="Arial"/>
        </w:rPr>
        <w:t xml:space="preserve">, </w:t>
      </w:r>
      <w:r w:rsidR="00432C04">
        <w:rPr>
          <w:rFonts w:ascii="Arial" w:hAnsi="Arial" w:cs="Arial"/>
        </w:rPr>
        <w:t xml:space="preserve">en particular, </w:t>
      </w:r>
      <w:r w:rsidR="00790D84" w:rsidRPr="00320DE0">
        <w:rPr>
          <w:rFonts w:ascii="Arial" w:hAnsi="Arial" w:cs="Arial"/>
        </w:rPr>
        <w:t>la percepción de inseguridad y los delitos cometidos en su contra</w:t>
      </w:r>
      <w:r w:rsidR="00C60F51">
        <w:rPr>
          <w:rFonts w:ascii="Arial" w:hAnsi="Arial" w:cs="Arial"/>
        </w:rPr>
        <w:t>,</w:t>
      </w:r>
      <w:r w:rsidR="00432C04">
        <w:rPr>
          <w:rFonts w:ascii="Arial" w:hAnsi="Arial" w:cs="Arial"/>
        </w:rPr>
        <w:t xml:space="preserve"> empleando los resultados </w:t>
      </w:r>
      <w:r w:rsidR="00882A6B" w:rsidRPr="00320DE0">
        <w:rPr>
          <w:rFonts w:ascii="Arial" w:hAnsi="Arial" w:cs="Arial"/>
        </w:rPr>
        <w:t>la Encuesta Nacional de Victimización y Percepción sobre Seguridad Pública 2021</w:t>
      </w:r>
      <w:r w:rsidR="00882A6B">
        <w:rPr>
          <w:rFonts w:ascii="Arial" w:hAnsi="Arial" w:cs="Arial"/>
        </w:rPr>
        <w:t xml:space="preserve"> </w:t>
      </w:r>
      <w:r w:rsidR="00882A6B" w:rsidRPr="00320DE0">
        <w:rPr>
          <w:rFonts w:ascii="Arial" w:hAnsi="Arial" w:cs="Arial"/>
        </w:rPr>
        <w:t>(ENVIPE)</w:t>
      </w:r>
      <w:r w:rsidR="00113BAF">
        <w:rPr>
          <w:rFonts w:ascii="Arial" w:hAnsi="Arial" w:cs="Arial"/>
        </w:rPr>
        <w:t>,</w:t>
      </w:r>
      <w:r w:rsidR="00882A6B">
        <w:rPr>
          <w:rFonts w:ascii="Arial" w:hAnsi="Arial" w:cs="Arial"/>
        </w:rPr>
        <w:t xml:space="preserve"> y del </w:t>
      </w:r>
      <w:r w:rsidR="00583CB9">
        <w:rPr>
          <w:rFonts w:ascii="Arial" w:hAnsi="Arial" w:cs="Arial"/>
        </w:rPr>
        <w:t>segundo y tercer trimestre</w:t>
      </w:r>
      <w:r w:rsidR="00783817">
        <w:rPr>
          <w:rFonts w:ascii="Arial" w:hAnsi="Arial" w:cs="Arial"/>
        </w:rPr>
        <w:t xml:space="preserve"> de la</w:t>
      </w:r>
      <w:r w:rsidRPr="00320DE0">
        <w:rPr>
          <w:rFonts w:ascii="Arial" w:hAnsi="Arial" w:cs="Arial"/>
        </w:rPr>
        <w:t xml:space="preserve"> Encuesta Nacional de Seguridad Pública Urbana 2021</w:t>
      </w:r>
      <w:r w:rsidR="00432C04">
        <w:rPr>
          <w:rFonts w:ascii="Arial" w:hAnsi="Arial" w:cs="Arial"/>
        </w:rPr>
        <w:t xml:space="preserve"> </w:t>
      </w:r>
      <w:r w:rsidR="00432C04" w:rsidRPr="00320DE0">
        <w:rPr>
          <w:rFonts w:ascii="Arial" w:hAnsi="Arial" w:cs="Arial"/>
        </w:rPr>
        <w:t>(ENSU)</w:t>
      </w:r>
      <w:r w:rsidR="003A55B3">
        <w:rPr>
          <w:rFonts w:ascii="Arial" w:hAnsi="Arial" w:cs="Arial"/>
        </w:rPr>
        <w:t xml:space="preserve">, </w:t>
      </w:r>
      <w:r w:rsidR="00113BAF">
        <w:rPr>
          <w:rFonts w:ascii="Arial" w:hAnsi="Arial" w:cs="Arial"/>
        </w:rPr>
        <w:t>así como</w:t>
      </w:r>
      <w:r w:rsidR="00432C04">
        <w:rPr>
          <w:rFonts w:ascii="Arial" w:hAnsi="Arial" w:cs="Arial"/>
        </w:rPr>
        <w:t xml:space="preserve"> </w:t>
      </w:r>
      <w:r w:rsidR="003A55B3">
        <w:rPr>
          <w:rFonts w:ascii="Arial" w:hAnsi="Arial" w:cs="Arial"/>
        </w:rPr>
        <w:t>el</w:t>
      </w:r>
      <w:r w:rsidR="008F10D3">
        <w:rPr>
          <w:rFonts w:ascii="Arial" w:hAnsi="Arial" w:cs="Arial"/>
        </w:rPr>
        <w:t xml:space="preserve"> registro de </w:t>
      </w:r>
      <w:r w:rsidR="00882A6B">
        <w:rPr>
          <w:rFonts w:ascii="Arial" w:hAnsi="Arial" w:cs="Arial"/>
        </w:rPr>
        <w:t>delitos</w:t>
      </w:r>
      <w:r w:rsidR="008F10D3">
        <w:rPr>
          <w:rFonts w:ascii="Arial" w:hAnsi="Arial" w:cs="Arial"/>
        </w:rPr>
        <w:t xml:space="preserve"> </w:t>
      </w:r>
      <w:r w:rsidR="00113BAF">
        <w:rPr>
          <w:rFonts w:ascii="Arial" w:hAnsi="Arial" w:cs="Arial"/>
        </w:rPr>
        <w:t>d</w:t>
      </w:r>
      <w:r w:rsidR="00FF7B79">
        <w:rPr>
          <w:rFonts w:ascii="Arial" w:hAnsi="Arial" w:cs="Arial"/>
        </w:rPr>
        <w:t>el</w:t>
      </w:r>
      <w:r w:rsidR="003A55B3">
        <w:rPr>
          <w:rFonts w:ascii="Arial" w:hAnsi="Arial" w:cs="Arial"/>
        </w:rPr>
        <w:t xml:space="preserve"> Censo Nacional de </w:t>
      </w:r>
      <w:r w:rsidR="00113BAF">
        <w:rPr>
          <w:rFonts w:ascii="Arial" w:hAnsi="Arial" w:cs="Arial"/>
        </w:rPr>
        <w:t>Procuración de Justicia Estatal</w:t>
      </w:r>
      <w:r w:rsidR="003A55B3">
        <w:rPr>
          <w:rFonts w:ascii="Arial" w:hAnsi="Arial" w:cs="Arial"/>
        </w:rPr>
        <w:t xml:space="preserve"> </w:t>
      </w:r>
      <w:r w:rsidR="003334CC" w:rsidRPr="003334CC">
        <w:rPr>
          <w:rStyle w:val="Refdenotaalpie"/>
          <w:rFonts w:ascii="Arial" w:hAnsi="Arial" w:cs="Arial"/>
        </w:rPr>
        <w:t xml:space="preserve"> </w:t>
      </w:r>
      <w:r w:rsidR="003A55B3">
        <w:rPr>
          <w:rFonts w:ascii="Arial" w:hAnsi="Arial" w:cs="Arial"/>
        </w:rPr>
        <w:t>2021</w:t>
      </w:r>
      <w:r w:rsidR="00432C04">
        <w:rPr>
          <w:rFonts w:ascii="Arial" w:hAnsi="Arial" w:cs="Arial"/>
        </w:rPr>
        <w:t xml:space="preserve"> (CNP</w:t>
      </w:r>
      <w:r w:rsidR="00113BAF">
        <w:rPr>
          <w:rFonts w:ascii="Arial" w:hAnsi="Arial" w:cs="Arial"/>
        </w:rPr>
        <w:t>J</w:t>
      </w:r>
      <w:r w:rsidR="00432C04">
        <w:rPr>
          <w:rFonts w:ascii="Arial" w:hAnsi="Arial" w:cs="Arial"/>
        </w:rPr>
        <w:t>E)</w:t>
      </w:r>
      <w:r w:rsidR="00432C04">
        <w:rPr>
          <w:rStyle w:val="Refdenotaalpie"/>
          <w:rFonts w:ascii="Arial" w:hAnsi="Arial" w:cs="Arial"/>
        </w:rPr>
        <w:footnoteReference w:id="3"/>
      </w:r>
      <w:r w:rsidR="00BC1AED">
        <w:rPr>
          <w:rFonts w:ascii="Arial" w:hAnsi="Arial" w:cs="Arial"/>
        </w:rPr>
        <w:t>.</w:t>
      </w:r>
      <w:r w:rsidR="00790D84" w:rsidRPr="00320DE0">
        <w:rPr>
          <w:rFonts w:ascii="Arial" w:hAnsi="Arial" w:cs="Arial"/>
        </w:rPr>
        <w:t xml:space="preserve"> </w:t>
      </w:r>
      <w:r w:rsidR="00E11BD2" w:rsidRPr="00320DE0">
        <w:rPr>
          <w:rFonts w:ascii="Arial" w:hAnsi="Arial" w:cs="Arial"/>
        </w:rPr>
        <w:t>Posteriormente</w:t>
      </w:r>
      <w:r w:rsidR="000907D9" w:rsidRPr="00320DE0">
        <w:rPr>
          <w:rFonts w:ascii="Arial" w:hAnsi="Arial" w:cs="Arial"/>
        </w:rPr>
        <w:t xml:space="preserve">, </w:t>
      </w:r>
      <w:r w:rsidR="00432C04">
        <w:rPr>
          <w:rFonts w:ascii="Arial" w:hAnsi="Arial" w:cs="Arial"/>
        </w:rPr>
        <w:t>se presentan las tendencias de las defunciones con presunción de homicidio</w:t>
      </w:r>
      <w:r w:rsidR="00432C04" w:rsidRPr="00320DE0">
        <w:rPr>
          <w:rFonts w:ascii="Arial" w:hAnsi="Arial" w:cs="Arial"/>
        </w:rPr>
        <w:t xml:space="preserve"> </w:t>
      </w:r>
      <w:r w:rsidR="00432C04">
        <w:rPr>
          <w:rFonts w:ascii="Arial" w:hAnsi="Arial" w:cs="Arial"/>
        </w:rPr>
        <w:t xml:space="preserve">con base en </w:t>
      </w:r>
      <w:r w:rsidR="000907D9" w:rsidRPr="00320DE0">
        <w:rPr>
          <w:rFonts w:ascii="Arial" w:hAnsi="Arial" w:cs="Arial"/>
        </w:rPr>
        <w:t xml:space="preserve">las </w:t>
      </w:r>
      <w:r w:rsidR="007D395A" w:rsidRPr="00320DE0">
        <w:rPr>
          <w:rFonts w:ascii="Arial" w:hAnsi="Arial" w:cs="Arial"/>
        </w:rPr>
        <w:t xml:space="preserve">estadísticas </w:t>
      </w:r>
      <w:r w:rsidR="000907D9" w:rsidRPr="00320DE0">
        <w:rPr>
          <w:rFonts w:ascii="Arial" w:hAnsi="Arial" w:cs="Arial"/>
        </w:rPr>
        <w:t xml:space="preserve">de mortalidad de la </w:t>
      </w:r>
      <w:r w:rsidR="005708EC" w:rsidRPr="00320DE0">
        <w:rPr>
          <w:rFonts w:ascii="Arial" w:hAnsi="Arial" w:cs="Arial"/>
        </w:rPr>
        <w:t xml:space="preserve">Secretaría de Salud (SSA) </w:t>
      </w:r>
      <w:r w:rsidR="000907D9" w:rsidRPr="00320DE0">
        <w:rPr>
          <w:rFonts w:ascii="Arial" w:hAnsi="Arial" w:cs="Arial"/>
        </w:rPr>
        <w:t>y el INEGI</w:t>
      </w:r>
      <w:r w:rsidR="00212A3D">
        <w:rPr>
          <w:rFonts w:ascii="Arial" w:hAnsi="Arial" w:cs="Arial"/>
        </w:rPr>
        <w:t>.</w:t>
      </w:r>
    </w:p>
    <w:p w14:paraId="53E796DD" w14:textId="77777777" w:rsidR="003E4E32" w:rsidRDefault="003E4E32" w:rsidP="003E4E32">
      <w:pPr>
        <w:spacing w:after="0" w:line="240" w:lineRule="auto"/>
        <w:ind w:left="-567" w:right="-518"/>
        <w:jc w:val="both"/>
        <w:rPr>
          <w:rFonts w:ascii="Arial" w:hAnsi="Arial" w:cs="Arial"/>
        </w:rPr>
      </w:pPr>
    </w:p>
    <w:p w14:paraId="2D11B44D" w14:textId="769382C9" w:rsidR="00AE68A7" w:rsidRDefault="00AE68A7" w:rsidP="003E4E32">
      <w:pPr>
        <w:spacing w:after="0" w:line="240" w:lineRule="auto"/>
        <w:ind w:left="-567" w:right="-518"/>
        <w:jc w:val="both"/>
        <w:rPr>
          <w:rFonts w:ascii="Arial" w:hAnsi="Arial" w:cs="Arial"/>
          <w:b/>
          <w:bCs/>
        </w:rPr>
      </w:pPr>
      <w:r w:rsidRPr="00AE68A7">
        <w:rPr>
          <w:rFonts w:ascii="Arial" w:hAnsi="Arial" w:cs="Arial"/>
          <w:b/>
          <w:bCs/>
        </w:rPr>
        <w:t>Victimización y seguridad pública</w:t>
      </w:r>
    </w:p>
    <w:p w14:paraId="140D5C72" w14:textId="77777777" w:rsidR="003E4E32" w:rsidRPr="00AE68A7" w:rsidRDefault="003E4E32" w:rsidP="003E4E32">
      <w:pPr>
        <w:spacing w:after="0" w:line="240" w:lineRule="auto"/>
        <w:ind w:left="-567" w:right="-518"/>
        <w:jc w:val="both"/>
        <w:rPr>
          <w:rFonts w:ascii="Arial" w:hAnsi="Arial" w:cs="Arial"/>
          <w:b/>
          <w:bCs/>
        </w:rPr>
      </w:pPr>
    </w:p>
    <w:p w14:paraId="187AFA0C" w14:textId="766BC47B" w:rsidR="00BC1AED" w:rsidRDefault="00432C04" w:rsidP="003E4E32">
      <w:pPr>
        <w:spacing w:after="0" w:line="240" w:lineRule="auto"/>
        <w:ind w:left="-567" w:right="-518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320DE0">
        <w:rPr>
          <w:rFonts w:ascii="Arial" w:hAnsi="Arial" w:cs="Arial"/>
        </w:rPr>
        <w:t xml:space="preserve">e acuerdo con la ENVIPE, </w:t>
      </w:r>
      <w:r>
        <w:rPr>
          <w:rFonts w:ascii="Arial" w:hAnsi="Arial" w:cs="Arial"/>
        </w:rPr>
        <w:t xml:space="preserve">a partir de 2016 y hasta 2018 se registra un incremento </w:t>
      </w:r>
      <w:r w:rsidR="00EF228F" w:rsidRPr="00320DE0">
        <w:rPr>
          <w:rFonts w:ascii="Arial" w:hAnsi="Arial" w:cs="Arial"/>
        </w:rPr>
        <w:t xml:space="preserve">en el porcentaje total de la población </w:t>
      </w:r>
      <w:r w:rsidR="006173C0">
        <w:rPr>
          <w:rFonts w:ascii="Arial" w:hAnsi="Arial" w:cs="Arial"/>
        </w:rPr>
        <w:t>con percepción de inseguridad</w:t>
      </w:r>
      <w:r w:rsidR="00EF5909">
        <w:rPr>
          <w:rFonts w:ascii="Arial" w:hAnsi="Arial" w:cs="Arial"/>
        </w:rPr>
        <w:t xml:space="preserve"> en los contextos </w:t>
      </w:r>
      <w:r w:rsidR="00852B01">
        <w:rPr>
          <w:rFonts w:ascii="Arial" w:hAnsi="Arial" w:cs="Arial"/>
        </w:rPr>
        <w:t xml:space="preserve">en </w:t>
      </w:r>
      <w:r w:rsidR="00EF5909">
        <w:rPr>
          <w:rFonts w:ascii="Arial" w:hAnsi="Arial" w:cs="Arial"/>
        </w:rPr>
        <w:t>que residen</w:t>
      </w:r>
      <w:r w:rsidR="00746E0A">
        <w:rPr>
          <w:rFonts w:ascii="Arial" w:hAnsi="Arial" w:cs="Arial"/>
        </w:rPr>
        <w:t xml:space="preserve">, llegando a un máximo de </w:t>
      </w:r>
      <w:r w:rsidR="005E3A46">
        <w:rPr>
          <w:rFonts w:ascii="Arial" w:hAnsi="Arial" w:cs="Arial"/>
        </w:rPr>
        <w:t>79.4%</w:t>
      </w:r>
      <w:r w:rsidR="00184985">
        <w:rPr>
          <w:rFonts w:ascii="Arial" w:hAnsi="Arial" w:cs="Arial"/>
        </w:rPr>
        <w:t xml:space="preserve"> en 2018</w:t>
      </w:r>
      <w:r>
        <w:rPr>
          <w:rFonts w:ascii="Arial" w:hAnsi="Arial" w:cs="Arial"/>
        </w:rPr>
        <w:t>. A</w:t>
      </w:r>
      <w:r w:rsidR="0085291A">
        <w:rPr>
          <w:rFonts w:ascii="Arial" w:hAnsi="Arial" w:cs="Arial"/>
        </w:rPr>
        <w:t xml:space="preserve"> partir de </w:t>
      </w:r>
      <w:r>
        <w:rPr>
          <w:rFonts w:ascii="Arial" w:hAnsi="Arial" w:cs="Arial"/>
        </w:rPr>
        <w:t xml:space="preserve">esa fecha, </w:t>
      </w:r>
      <w:r w:rsidR="0085291A">
        <w:rPr>
          <w:rFonts w:ascii="Arial" w:hAnsi="Arial" w:cs="Arial"/>
        </w:rPr>
        <w:t>se observa un descenso hasta 2021</w:t>
      </w:r>
      <w:r w:rsidR="0093578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que registró </w:t>
      </w:r>
      <w:r w:rsidR="00BC1AED">
        <w:rPr>
          <w:rFonts w:ascii="Arial" w:hAnsi="Arial" w:cs="Arial"/>
        </w:rPr>
        <w:t xml:space="preserve">una cifra de </w:t>
      </w:r>
      <w:r w:rsidR="00935787">
        <w:rPr>
          <w:rFonts w:ascii="Arial" w:hAnsi="Arial" w:cs="Arial"/>
        </w:rPr>
        <w:t>75.6</w:t>
      </w:r>
      <w:r w:rsidR="00BC1AED">
        <w:rPr>
          <w:rFonts w:ascii="Arial" w:hAnsi="Arial" w:cs="Arial"/>
        </w:rPr>
        <w:t xml:space="preserve"> por ciento. </w:t>
      </w:r>
      <w:r>
        <w:rPr>
          <w:rFonts w:ascii="Arial" w:hAnsi="Arial" w:cs="Arial"/>
        </w:rPr>
        <w:t xml:space="preserve">Cuando se observan estos datos </w:t>
      </w:r>
      <w:r w:rsidR="00701078">
        <w:rPr>
          <w:rFonts w:ascii="Arial" w:hAnsi="Arial" w:cs="Arial"/>
        </w:rPr>
        <w:t xml:space="preserve">por sexo, </w:t>
      </w:r>
      <w:r>
        <w:rPr>
          <w:rFonts w:ascii="Arial" w:hAnsi="Arial" w:cs="Arial"/>
        </w:rPr>
        <w:t xml:space="preserve">es notorio que la </w:t>
      </w:r>
      <w:r w:rsidR="000B2B7B">
        <w:rPr>
          <w:rFonts w:ascii="Arial" w:hAnsi="Arial" w:cs="Arial"/>
        </w:rPr>
        <w:t xml:space="preserve">percepción de inseguridad </w:t>
      </w:r>
      <w:r>
        <w:rPr>
          <w:rFonts w:ascii="Arial" w:hAnsi="Arial" w:cs="Arial"/>
        </w:rPr>
        <w:t xml:space="preserve">es mayor </w:t>
      </w:r>
      <w:r w:rsidR="00C727D7">
        <w:rPr>
          <w:rFonts w:ascii="Arial" w:hAnsi="Arial" w:cs="Arial"/>
        </w:rPr>
        <w:t>en las mujeres</w:t>
      </w:r>
      <w:r>
        <w:rPr>
          <w:rFonts w:ascii="Arial" w:hAnsi="Arial" w:cs="Arial"/>
        </w:rPr>
        <w:t xml:space="preserve"> y que la diferencia </w:t>
      </w:r>
      <w:r w:rsidR="00BC1AED">
        <w:rPr>
          <w:rFonts w:ascii="Arial" w:hAnsi="Arial" w:cs="Arial"/>
        </w:rPr>
        <w:t xml:space="preserve">respecto a los hombres </w:t>
      </w:r>
      <w:r w:rsidR="00BE0BAC">
        <w:rPr>
          <w:rFonts w:ascii="Arial" w:hAnsi="Arial" w:cs="Arial"/>
        </w:rPr>
        <w:t>se ha incrementado en los últimos años</w:t>
      </w:r>
      <w:r w:rsidR="00BC1AED">
        <w:rPr>
          <w:rFonts w:ascii="Arial" w:hAnsi="Arial" w:cs="Arial"/>
        </w:rPr>
        <w:t>,</w:t>
      </w:r>
      <w:r w:rsidR="00BE0BAC">
        <w:rPr>
          <w:rFonts w:ascii="Arial" w:hAnsi="Arial" w:cs="Arial"/>
        </w:rPr>
        <w:t xml:space="preserve"> alcanzando </w:t>
      </w:r>
      <w:r w:rsidR="004D023A">
        <w:rPr>
          <w:rFonts w:ascii="Arial" w:hAnsi="Arial" w:cs="Arial"/>
        </w:rPr>
        <w:t xml:space="preserve">hasta </w:t>
      </w:r>
      <w:r w:rsidR="00152002">
        <w:rPr>
          <w:rFonts w:ascii="Arial" w:hAnsi="Arial" w:cs="Arial"/>
        </w:rPr>
        <w:t xml:space="preserve">siete </w:t>
      </w:r>
      <w:r w:rsidR="00BE0BAC">
        <w:rPr>
          <w:rFonts w:ascii="Arial" w:hAnsi="Arial" w:cs="Arial"/>
        </w:rPr>
        <w:t>puntos porcentuales en 2020</w:t>
      </w:r>
      <w:r w:rsidR="003B47E2">
        <w:rPr>
          <w:rFonts w:ascii="Arial" w:hAnsi="Arial" w:cs="Arial"/>
        </w:rPr>
        <w:t xml:space="preserve"> (81.7% </w:t>
      </w:r>
      <w:r w:rsidR="00016205">
        <w:rPr>
          <w:rFonts w:ascii="Arial" w:hAnsi="Arial" w:cs="Arial"/>
        </w:rPr>
        <w:t xml:space="preserve">en </w:t>
      </w:r>
      <w:r w:rsidR="003B47E2">
        <w:rPr>
          <w:rFonts w:ascii="Arial" w:hAnsi="Arial" w:cs="Arial"/>
        </w:rPr>
        <w:t xml:space="preserve">mujeres </w:t>
      </w:r>
      <w:r w:rsidR="00016205">
        <w:rPr>
          <w:rFonts w:ascii="Arial" w:hAnsi="Arial" w:cs="Arial"/>
        </w:rPr>
        <w:t>contra</w:t>
      </w:r>
      <w:r w:rsidR="003B47E2">
        <w:rPr>
          <w:rFonts w:ascii="Arial" w:hAnsi="Arial" w:cs="Arial"/>
        </w:rPr>
        <w:t xml:space="preserve"> 74.7% </w:t>
      </w:r>
      <w:r w:rsidR="00016205">
        <w:rPr>
          <w:rFonts w:ascii="Arial" w:hAnsi="Arial" w:cs="Arial"/>
        </w:rPr>
        <w:t xml:space="preserve">en </w:t>
      </w:r>
      <w:r w:rsidR="003B47E2">
        <w:rPr>
          <w:rFonts w:ascii="Arial" w:hAnsi="Arial" w:cs="Arial"/>
        </w:rPr>
        <w:t>hombres)</w:t>
      </w:r>
      <w:r w:rsidR="00016205">
        <w:rPr>
          <w:rFonts w:ascii="Arial" w:hAnsi="Arial" w:cs="Arial"/>
        </w:rPr>
        <w:t>.</w:t>
      </w:r>
    </w:p>
    <w:p w14:paraId="47BF665A" w14:textId="3FC85DBB" w:rsidR="000B2B7B" w:rsidRPr="00A2414F" w:rsidRDefault="00D255C5" w:rsidP="008757A1">
      <w:pPr>
        <w:spacing w:line="240" w:lineRule="auto"/>
        <w:jc w:val="both"/>
        <w:rPr>
          <w:noProof/>
        </w:rPr>
      </w:pPr>
      <w:r>
        <w:rPr>
          <w:noProof/>
        </w:rPr>
        <w:lastRenderedPageBreak/>
        <w:drawing>
          <wp:inline distT="0" distB="0" distL="0" distR="0" wp14:anchorId="43DA529A" wp14:editId="18CD280F">
            <wp:extent cx="5677786" cy="2732567"/>
            <wp:effectExtent l="0" t="0" r="18415" b="10795"/>
            <wp:docPr id="2" name="Gráfico 2">
              <a:extLst xmlns:a="http://schemas.openxmlformats.org/drawingml/2006/main">
                <a:ext uri="{FF2B5EF4-FFF2-40B4-BE49-F238E27FC236}">
                  <a16:creationId xmlns:a16="http://schemas.microsoft.com/office/drawing/2014/main" id="{CB21F6DD-133E-478E-807C-B97547D5EEA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E827791" w14:textId="6CDCA215" w:rsidR="00661A24" w:rsidRDefault="001E096B" w:rsidP="003E4E32">
      <w:pPr>
        <w:spacing w:after="0" w:line="240" w:lineRule="auto"/>
        <w:ind w:left="-567" w:right="-516"/>
        <w:jc w:val="both"/>
        <w:rPr>
          <w:rFonts w:ascii="Arial" w:hAnsi="Arial" w:cs="Arial"/>
        </w:rPr>
      </w:pPr>
      <w:r w:rsidRPr="00AE68A7">
        <w:rPr>
          <w:rFonts w:ascii="Arial" w:hAnsi="Arial" w:cs="Arial"/>
        </w:rPr>
        <w:t xml:space="preserve">Aunado a lo anterior, la ENVIPE indaga </w:t>
      </w:r>
      <w:r w:rsidR="002E2921" w:rsidRPr="00AE68A7">
        <w:rPr>
          <w:rFonts w:ascii="Arial" w:hAnsi="Arial" w:cs="Arial"/>
        </w:rPr>
        <w:t xml:space="preserve">sobre la percepción </w:t>
      </w:r>
      <w:r w:rsidR="009F6104" w:rsidRPr="00AE68A7">
        <w:rPr>
          <w:rFonts w:ascii="Arial" w:hAnsi="Arial" w:cs="Arial"/>
        </w:rPr>
        <w:t>d</w:t>
      </w:r>
      <w:r w:rsidR="002E2921" w:rsidRPr="00AE68A7">
        <w:rPr>
          <w:rFonts w:ascii="Arial" w:hAnsi="Arial" w:cs="Arial"/>
        </w:rPr>
        <w:t xml:space="preserve">e inseguridad </w:t>
      </w:r>
      <w:r w:rsidR="00C9733E">
        <w:rPr>
          <w:rFonts w:ascii="Arial" w:hAnsi="Arial" w:cs="Arial"/>
        </w:rPr>
        <w:t>en</w:t>
      </w:r>
      <w:r w:rsidR="00C9733E" w:rsidRPr="00AE68A7">
        <w:rPr>
          <w:rFonts w:ascii="Arial" w:hAnsi="Arial" w:cs="Arial"/>
        </w:rPr>
        <w:t xml:space="preserve"> </w:t>
      </w:r>
      <w:r w:rsidR="002E2921" w:rsidRPr="00AE68A7">
        <w:rPr>
          <w:rFonts w:ascii="Arial" w:hAnsi="Arial" w:cs="Arial"/>
        </w:rPr>
        <w:t xml:space="preserve">lugares específicos. </w:t>
      </w:r>
      <w:r w:rsidR="00095205" w:rsidRPr="00AE68A7">
        <w:rPr>
          <w:rFonts w:ascii="Arial" w:hAnsi="Arial" w:cs="Arial"/>
        </w:rPr>
        <w:t xml:space="preserve">Para 2021, la tendencia es </w:t>
      </w:r>
      <w:r w:rsidR="00D75142" w:rsidRPr="00AE68A7">
        <w:rPr>
          <w:rFonts w:ascii="Arial" w:hAnsi="Arial" w:cs="Arial"/>
        </w:rPr>
        <w:t>similar en</w:t>
      </w:r>
      <w:r w:rsidR="00095205" w:rsidRPr="00AE68A7">
        <w:rPr>
          <w:rFonts w:ascii="Arial" w:hAnsi="Arial" w:cs="Arial"/>
        </w:rPr>
        <w:t xml:space="preserve"> hombres </w:t>
      </w:r>
      <w:r w:rsidR="00F855C4" w:rsidRPr="00AE68A7">
        <w:rPr>
          <w:rFonts w:ascii="Arial" w:hAnsi="Arial" w:cs="Arial"/>
        </w:rPr>
        <w:t>y</w:t>
      </w:r>
      <w:r w:rsidR="00095205" w:rsidRPr="00AE68A7">
        <w:rPr>
          <w:rFonts w:ascii="Arial" w:hAnsi="Arial" w:cs="Arial"/>
        </w:rPr>
        <w:t xml:space="preserve"> mujeres</w:t>
      </w:r>
      <w:r w:rsidR="00016205">
        <w:rPr>
          <w:rFonts w:ascii="Arial" w:hAnsi="Arial" w:cs="Arial"/>
        </w:rPr>
        <w:t>. L</w:t>
      </w:r>
      <w:r w:rsidR="00095205" w:rsidRPr="00AE68A7">
        <w:rPr>
          <w:rFonts w:ascii="Arial" w:hAnsi="Arial" w:cs="Arial"/>
        </w:rPr>
        <w:t xml:space="preserve">os cajeros automáticos en vía pública </w:t>
      </w:r>
      <w:r w:rsidR="00016205">
        <w:rPr>
          <w:rFonts w:ascii="Arial" w:hAnsi="Arial" w:cs="Arial"/>
        </w:rPr>
        <w:t xml:space="preserve">son </w:t>
      </w:r>
      <w:r w:rsidR="00095205" w:rsidRPr="00AE68A7">
        <w:rPr>
          <w:rFonts w:ascii="Arial" w:hAnsi="Arial" w:cs="Arial"/>
        </w:rPr>
        <w:t>los lugares donde se percibe mayor inseguridad</w:t>
      </w:r>
      <w:r w:rsidR="00016205">
        <w:rPr>
          <w:rFonts w:ascii="Arial" w:hAnsi="Arial" w:cs="Arial"/>
        </w:rPr>
        <w:t>;</w:t>
      </w:r>
      <w:r w:rsidR="00095205" w:rsidRPr="00AE68A7">
        <w:rPr>
          <w:rFonts w:ascii="Arial" w:hAnsi="Arial" w:cs="Arial"/>
        </w:rPr>
        <w:t xml:space="preserve"> no obstante</w:t>
      </w:r>
      <w:r w:rsidR="00E16411" w:rsidRPr="00AE68A7">
        <w:rPr>
          <w:rFonts w:ascii="Arial" w:hAnsi="Arial" w:cs="Arial"/>
        </w:rPr>
        <w:t>,</w:t>
      </w:r>
      <w:r w:rsidR="00095205" w:rsidRPr="00AE68A7">
        <w:rPr>
          <w:rFonts w:ascii="Arial" w:hAnsi="Arial" w:cs="Arial"/>
        </w:rPr>
        <w:t xml:space="preserve"> en tod</w:t>
      </w:r>
      <w:r w:rsidR="00F855C4" w:rsidRPr="00AE68A7">
        <w:rPr>
          <w:rFonts w:ascii="Arial" w:hAnsi="Arial" w:cs="Arial"/>
        </w:rPr>
        <w:t>a</w:t>
      </w:r>
      <w:r w:rsidR="00095205" w:rsidRPr="00AE68A7">
        <w:rPr>
          <w:rFonts w:ascii="Arial" w:hAnsi="Arial" w:cs="Arial"/>
        </w:rPr>
        <w:t xml:space="preserve">s </w:t>
      </w:r>
      <w:r w:rsidR="00F855C4" w:rsidRPr="00AE68A7">
        <w:rPr>
          <w:rFonts w:ascii="Arial" w:hAnsi="Arial" w:cs="Arial"/>
        </w:rPr>
        <w:t>las categorías</w:t>
      </w:r>
      <w:r w:rsidR="00095205" w:rsidRPr="00AE68A7">
        <w:rPr>
          <w:rFonts w:ascii="Arial" w:hAnsi="Arial" w:cs="Arial"/>
        </w:rPr>
        <w:t xml:space="preserve"> la percepción es mayor en mujeres que en hombres. </w:t>
      </w:r>
      <w:r w:rsidR="00E16411" w:rsidRPr="00AE68A7">
        <w:rPr>
          <w:rFonts w:ascii="Arial" w:hAnsi="Arial" w:cs="Arial"/>
        </w:rPr>
        <w:t>Cabe resaltar el caso específico de la casa, el cual ha sido un espacio socialmente asignado</w:t>
      </w:r>
      <w:r w:rsidR="004D08FB" w:rsidRPr="00AE68A7">
        <w:rPr>
          <w:rFonts w:ascii="Arial" w:hAnsi="Arial" w:cs="Arial"/>
        </w:rPr>
        <w:t xml:space="preserve"> a las mujeres</w:t>
      </w:r>
      <w:r w:rsidR="00E16411" w:rsidRPr="00AE68A7">
        <w:rPr>
          <w:rFonts w:ascii="Arial" w:hAnsi="Arial" w:cs="Arial"/>
        </w:rPr>
        <w:t xml:space="preserve"> </w:t>
      </w:r>
      <w:r w:rsidR="00BE5FB5" w:rsidRPr="00AE68A7">
        <w:rPr>
          <w:rFonts w:ascii="Arial" w:hAnsi="Arial" w:cs="Arial"/>
        </w:rPr>
        <w:t xml:space="preserve">como lugar </w:t>
      </w:r>
      <w:r w:rsidR="000C1AAB" w:rsidRPr="00AE68A7">
        <w:rPr>
          <w:rFonts w:ascii="Arial" w:hAnsi="Arial" w:cs="Arial"/>
        </w:rPr>
        <w:t xml:space="preserve">seguro </w:t>
      </w:r>
      <w:r w:rsidR="00BE5FB5" w:rsidRPr="00AE68A7">
        <w:rPr>
          <w:rFonts w:ascii="Arial" w:hAnsi="Arial" w:cs="Arial"/>
        </w:rPr>
        <w:t xml:space="preserve">para desarrollar </w:t>
      </w:r>
      <w:r w:rsidR="004D08FB" w:rsidRPr="00AE68A7">
        <w:rPr>
          <w:rFonts w:ascii="Arial" w:hAnsi="Arial" w:cs="Arial"/>
        </w:rPr>
        <w:t>la mayor parte</w:t>
      </w:r>
      <w:r w:rsidR="00280992">
        <w:rPr>
          <w:rFonts w:ascii="Arial" w:hAnsi="Arial" w:cs="Arial"/>
        </w:rPr>
        <w:t xml:space="preserve"> de</w:t>
      </w:r>
      <w:r w:rsidR="004D08FB" w:rsidRPr="00AE68A7">
        <w:rPr>
          <w:rFonts w:ascii="Arial" w:hAnsi="Arial" w:cs="Arial"/>
        </w:rPr>
        <w:t xml:space="preserve"> sus</w:t>
      </w:r>
      <w:r w:rsidR="00BE5FB5" w:rsidRPr="00AE68A7">
        <w:rPr>
          <w:rFonts w:ascii="Arial" w:hAnsi="Arial" w:cs="Arial"/>
        </w:rPr>
        <w:t xml:space="preserve"> actividades y</w:t>
      </w:r>
      <w:r w:rsidR="004D023A">
        <w:rPr>
          <w:rFonts w:ascii="Arial" w:hAnsi="Arial" w:cs="Arial"/>
        </w:rPr>
        <w:t xml:space="preserve"> en donde </w:t>
      </w:r>
      <w:r w:rsidR="00BE5FB5" w:rsidRPr="00AE68A7">
        <w:rPr>
          <w:rFonts w:ascii="Arial" w:hAnsi="Arial" w:cs="Arial"/>
        </w:rPr>
        <w:t>20</w:t>
      </w:r>
      <w:r w:rsidR="00ED251A" w:rsidRPr="00AE68A7">
        <w:rPr>
          <w:rFonts w:ascii="Arial" w:hAnsi="Arial" w:cs="Arial"/>
        </w:rPr>
        <w:t xml:space="preserve">% de </w:t>
      </w:r>
      <w:r w:rsidR="000611FC" w:rsidRPr="00AE68A7">
        <w:rPr>
          <w:rFonts w:ascii="Arial" w:hAnsi="Arial" w:cs="Arial"/>
        </w:rPr>
        <w:t xml:space="preserve">las </w:t>
      </w:r>
      <w:r w:rsidR="000C1AAB" w:rsidRPr="00AE68A7">
        <w:rPr>
          <w:rFonts w:ascii="Arial" w:hAnsi="Arial" w:cs="Arial"/>
        </w:rPr>
        <w:t xml:space="preserve">mujeres </w:t>
      </w:r>
      <w:r w:rsidR="000611FC" w:rsidRPr="00AE68A7">
        <w:rPr>
          <w:rFonts w:ascii="Arial" w:hAnsi="Arial" w:cs="Arial"/>
        </w:rPr>
        <w:t>de 18 años</w:t>
      </w:r>
      <w:r w:rsidR="00C80640">
        <w:rPr>
          <w:rFonts w:ascii="Arial" w:hAnsi="Arial" w:cs="Arial"/>
        </w:rPr>
        <w:t xml:space="preserve"> </w:t>
      </w:r>
      <w:r w:rsidR="006C29F9">
        <w:rPr>
          <w:rFonts w:ascii="Arial" w:hAnsi="Arial" w:cs="Arial"/>
        </w:rPr>
        <w:t>o</w:t>
      </w:r>
      <w:r w:rsidR="00C80640">
        <w:rPr>
          <w:rFonts w:ascii="Arial" w:hAnsi="Arial" w:cs="Arial"/>
        </w:rPr>
        <w:t xml:space="preserve"> más</w:t>
      </w:r>
      <w:r w:rsidR="00ED251A" w:rsidRPr="00AE68A7">
        <w:rPr>
          <w:rFonts w:ascii="Arial" w:hAnsi="Arial" w:cs="Arial"/>
        </w:rPr>
        <w:t xml:space="preserve"> reporta sentirse </w:t>
      </w:r>
      <w:r w:rsidR="000611FC" w:rsidRPr="00AE68A7">
        <w:rPr>
          <w:rFonts w:ascii="Arial" w:hAnsi="Arial" w:cs="Arial"/>
        </w:rPr>
        <w:t xml:space="preserve">insegura, </w:t>
      </w:r>
      <w:r w:rsidR="004D023A">
        <w:rPr>
          <w:rFonts w:ascii="Arial" w:hAnsi="Arial" w:cs="Arial"/>
        </w:rPr>
        <w:t xml:space="preserve">cuatro </w:t>
      </w:r>
      <w:r w:rsidR="000611FC" w:rsidRPr="00AE68A7">
        <w:rPr>
          <w:rFonts w:ascii="Arial" w:hAnsi="Arial" w:cs="Arial"/>
        </w:rPr>
        <w:t>puntos porcentuales por encima de los hombres</w:t>
      </w:r>
      <w:r w:rsidR="009454DD">
        <w:rPr>
          <w:rFonts w:ascii="Arial" w:hAnsi="Arial" w:cs="Arial"/>
        </w:rPr>
        <w:t>.</w:t>
      </w:r>
    </w:p>
    <w:p w14:paraId="6742EC7F" w14:textId="77777777" w:rsidR="003E4E32" w:rsidRDefault="003E4E32" w:rsidP="003E4E32">
      <w:pPr>
        <w:spacing w:after="0" w:line="240" w:lineRule="auto"/>
        <w:ind w:left="-567" w:right="-516"/>
        <w:jc w:val="both"/>
        <w:rPr>
          <w:rFonts w:ascii="Arial" w:hAnsi="Arial" w:cs="Arial"/>
        </w:rPr>
      </w:pPr>
    </w:p>
    <w:p w14:paraId="5B1F970A" w14:textId="0D794003" w:rsidR="00311F2A" w:rsidRPr="004C6167" w:rsidRDefault="00661A24" w:rsidP="002F4D91">
      <w:pPr>
        <w:spacing w:line="240" w:lineRule="auto"/>
        <w:jc w:val="both"/>
        <w:rPr>
          <w:rFonts w:ascii="Arial" w:hAnsi="Arial" w:cs="Arial"/>
        </w:rPr>
      </w:pPr>
      <w:r w:rsidRPr="00661A24">
        <w:rPr>
          <w:noProof/>
        </w:rPr>
        <w:t xml:space="preserve"> </w:t>
      </w:r>
      <w:r w:rsidR="009454DD">
        <w:rPr>
          <w:noProof/>
        </w:rPr>
        <w:drawing>
          <wp:inline distT="0" distB="0" distL="0" distR="0" wp14:anchorId="5BB4FA9A" wp14:editId="63CCC3EC">
            <wp:extent cx="5448300" cy="2628900"/>
            <wp:effectExtent l="0" t="0" r="0" b="0"/>
            <wp:docPr id="3" name="Gráfico 3">
              <a:extLst xmlns:a="http://schemas.openxmlformats.org/drawingml/2006/main">
                <a:ext uri="{FF2B5EF4-FFF2-40B4-BE49-F238E27FC236}">
                  <a16:creationId xmlns:a16="http://schemas.microsoft.com/office/drawing/2014/main" id="{2A163F1C-20CC-4A5E-8769-55865EF581D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48238FB" w14:textId="77777777" w:rsidR="0098229F" w:rsidRDefault="0098229F" w:rsidP="003E4E32">
      <w:pPr>
        <w:spacing w:after="0" w:line="240" w:lineRule="auto"/>
        <w:ind w:left="-567" w:right="-516"/>
        <w:jc w:val="both"/>
        <w:rPr>
          <w:rFonts w:ascii="Arial" w:hAnsi="Arial" w:cs="Arial"/>
        </w:rPr>
      </w:pPr>
    </w:p>
    <w:p w14:paraId="068E8619" w14:textId="77777777" w:rsidR="00C90EB9" w:rsidRDefault="00F002AD" w:rsidP="003E4E32">
      <w:pPr>
        <w:spacing w:after="0" w:line="240" w:lineRule="auto"/>
        <w:ind w:left="-567" w:right="-51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Existe una </w:t>
      </w:r>
      <w:r w:rsidR="0097175C" w:rsidRPr="004C6167">
        <w:rPr>
          <w:rFonts w:ascii="Arial" w:hAnsi="Arial" w:cs="Arial"/>
        </w:rPr>
        <w:t xml:space="preserve">notable diferencia en el tipo de violencia que </w:t>
      </w:r>
      <w:r w:rsidR="0097175C" w:rsidRPr="002C73B4">
        <w:rPr>
          <w:rFonts w:ascii="Arial" w:hAnsi="Arial" w:cs="Arial"/>
        </w:rPr>
        <w:t xml:space="preserve">enfrentan las mujeres con respecto a los hombres </w:t>
      </w:r>
      <w:r>
        <w:rPr>
          <w:rFonts w:ascii="Arial" w:hAnsi="Arial" w:cs="Arial"/>
        </w:rPr>
        <w:t xml:space="preserve">que </w:t>
      </w:r>
      <w:r w:rsidR="0097175C" w:rsidRPr="002C73B4">
        <w:rPr>
          <w:rFonts w:ascii="Arial" w:hAnsi="Arial" w:cs="Arial"/>
        </w:rPr>
        <w:t xml:space="preserve">se hace evidente al analizar </w:t>
      </w:r>
      <w:r w:rsidR="0059661F" w:rsidRPr="002C73B4">
        <w:rPr>
          <w:rFonts w:ascii="Arial" w:hAnsi="Arial" w:cs="Arial"/>
        </w:rPr>
        <w:t>la distribución de los delitos</w:t>
      </w:r>
      <w:r w:rsidR="0097175C" w:rsidRPr="002C73B4">
        <w:rPr>
          <w:rFonts w:ascii="Arial" w:hAnsi="Arial" w:cs="Arial"/>
        </w:rPr>
        <w:t xml:space="preserve"> </w:t>
      </w:r>
      <w:r w:rsidR="00DE4C19">
        <w:rPr>
          <w:rFonts w:ascii="Arial" w:hAnsi="Arial" w:cs="Arial"/>
        </w:rPr>
        <w:t>distinguiendo por sexo</w:t>
      </w:r>
      <w:r w:rsidR="0059661F" w:rsidRPr="002C73B4">
        <w:rPr>
          <w:rFonts w:ascii="Arial" w:hAnsi="Arial" w:cs="Arial"/>
        </w:rPr>
        <w:t xml:space="preserve"> de la </w:t>
      </w:r>
      <w:r w:rsidR="0059661F" w:rsidRPr="00EE244F">
        <w:rPr>
          <w:rFonts w:ascii="Arial" w:hAnsi="Arial" w:cs="Arial"/>
        </w:rPr>
        <w:t>víctima</w:t>
      </w:r>
      <w:r w:rsidR="0097175C" w:rsidRPr="00EE244F">
        <w:rPr>
          <w:rFonts w:ascii="Arial" w:hAnsi="Arial" w:cs="Arial"/>
        </w:rPr>
        <w:t xml:space="preserve">. </w:t>
      </w:r>
    </w:p>
    <w:p w14:paraId="4CD192D9" w14:textId="30B198AA" w:rsidR="009F6E6A" w:rsidRDefault="00860F17" w:rsidP="003E4E32">
      <w:pPr>
        <w:spacing w:after="0" w:line="240" w:lineRule="auto"/>
        <w:ind w:left="-567" w:right="-51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De acuerdo con la ENVIPE 2021</w:t>
      </w:r>
      <w:r w:rsidR="00A4538A">
        <w:rPr>
          <w:rStyle w:val="Refdenotaalpie"/>
          <w:rFonts w:ascii="Arial" w:hAnsi="Arial" w:cs="Arial"/>
        </w:rPr>
        <w:footnoteReference w:id="4"/>
      </w:r>
      <w:r w:rsidR="0097175C" w:rsidRPr="00EE244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10.8% del total de delitos cometidos contra las mujeres es de tipo sexual</w:t>
      </w:r>
      <w:r w:rsidR="00033E26">
        <w:rPr>
          <w:rStyle w:val="Refdenotaalpie"/>
          <w:rFonts w:ascii="Arial" w:hAnsi="Arial" w:cs="Arial"/>
        </w:rPr>
        <w:footnoteReference w:id="5"/>
      </w:r>
      <w:r>
        <w:rPr>
          <w:rFonts w:ascii="Arial" w:hAnsi="Arial" w:cs="Arial"/>
        </w:rPr>
        <w:t xml:space="preserve">, </w:t>
      </w:r>
      <w:r w:rsidR="00DA48E7">
        <w:rPr>
          <w:rFonts w:ascii="Arial" w:hAnsi="Arial" w:cs="Arial"/>
        </w:rPr>
        <w:t xml:space="preserve">mientras que en el caso de los hombres </w:t>
      </w:r>
      <w:r w:rsidR="00F002AD">
        <w:rPr>
          <w:rFonts w:ascii="Arial" w:hAnsi="Arial" w:cs="Arial"/>
        </w:rPr>
        <w:t xml:space="preserve">estos delitos </w:t>
      </w:r>
      <w:r w:rsidR="00DA48E7">
        <w:rPr>
          <w:rFonts w:ascii="Arial" w:hAnsi="Arial" w:cs="Arial"/>
        </w:rPr>
        <w:t>representa</w:t>
      </w:r>
      <w:r w:rsidR="00F002AD">
        <w:rPr>
          <w:rFonts w:ascii="Arial" w:hAnsi="Arial" w:cs="Arial"/>
        </w:rPr>
        <w:t xml:space="preserve">n </w:t>
      </w:r>
      <w:r w:rsidR="00DA48E7">
        <w:rPr>
          <w:rFonts w:ascii="Arial" w:hAnsi="Arial" w:cs="Arial"/>
        </w:rPr>
        <w:t>0.8</w:t>
      </w:r>
      <w:r w:rsidR="00016205">
        <w:rPr>
          <w:rFonts w:ascii="Arial" w:hAnsi="Arial" w:cs="Arial"/>
        </w:rPr>
        <w:t xml:space="preserve"> por ciento</w:t>
      </w:r>
      <w:r w:rsidR="007A2BCD">
        <w:rPr>
          <w:rFonts w:ascii="Arial" w:hAnsi="Arial" w:cs="Arial"/>
        </w:rPr>
        <w:t>.</w:t>
      </w:r>
      <w:r w:rsidR="00C90EB9">
        <w:rPr>
          <w:rFonts w:ascii="Arial" w:hAnsi="Arial" w:cs="Arial"/>
        </w:rPr>
        <w:t xml:space="preserve"> </w:t>
      </w:r>
      <w:r w:rsidR="00016205">
        <w:rPr>
          <w:rFonts w:ascii="Arial" w:hAnsi="Arial" w:cs="Arial"/>
        </w:rPr>
        <w:t>P</w:t>
      </w:r>
      <w:r w:rsidR="00D93E35">
        <w:rPr>
          <w:rFonts w:ascii="Arial" w:hAnsi="Arial" w:cs="Arial"/>
        </w:rPr>
        <w:t>ara las mujeres</w:t>
      </w:r>
      <w:r w:rsidR="00016205">
        <w:rPr>
          <w:rFonts w:ascii="Arial" w:hAnsi="Arial" w:cs="Arial"/>
        </w:rPr>
        <w:t>,</w:t>
      </w:r>
      <w:r w:rsidR="00D93E35">
        <w:rPr>
          <w:rFonts w:ascii="Arial" w:hAnsi="Arial" w:cs="Arial"/>
        </w:rPr>
        <w:t xml:space="preserve"> los delitos sexuales ocupan el cuarto lugar mientras que para los hombres se ubican en la </w:t>
      </w:r>
      <w:r w:rsidR="00F002AD">
        <w:rPr>
          <w:rFonts w:ascii="Arial" w:hAnsi="Arial" w:cs="Arial"/>
        </w:rPr>
        <w:t xml:space="preserve">novena </w:t>
      </w:r>
      <w:r w:rsidR="00D93E35">
        <w:rPr>
          <w:rFonts w:ascii="Arial" w:hAnsi="Arial" w:cs="Arial"/>
        </w:rPr>
        <w:t>posición.</w:t>
      </w:r>
    </w:p>
    <w:p w14:paraId="47EFC6CF" w14:textId="77777777" w:rsidR="0098229F" w:rsidRPr="00432C41" w:rsidRDefault="0098229F" w:rsidP="003E4E32">
      <w:pPr>
        <w:spacing w:after="0" w:line="240" w:lineRule="auto"/>
        <w:ind w:left="-567" w:right="-516"/>
        <w:jc w:val="both"/>
        <w:rPr>
          <w:rFonts w:ascii="Arial" w:hAnsi="Arial" w:cs="Arial"/>
        </w:rPr>
      </w:pPr>
    </w:p>
    <w:p w14:paraId="46EB6B69" w14:textId="4D5F5AB5" w:rsidR="00F50FDC" w:rsidRPr="004E6058" w:rsidRDefault="00EF51F0" w:rsidP="00BF7FC4">
      <w:pPr>
        <w:jc w:val="right"/>
        <w:rPr>
          <w:rFonts w:ascii="Arial" w:hAnsi="Arial" w:cs="Arial"/>
          <w:b/>
          <w:bCs/>
          <w:sz w:val="18"/>
          <w:szCs w:val="18"/>
        </w:rPr>
      </w:pPr>
      <w:r w:rsidRPr="004E6058">
        <w:rPr>
          <w:rFonts w:ascii="Arial" w:hAnsi="Arial" w:cs="Arial"/>
          <w:b/>
          <w:bCs/>
          <w:sz w:val="18"/>
          <w:szCs w:val="18"/>
        </w:rPr>
        <w:t xml:space="preserve">Distribución porcentual </w:t>
      </w:r>
      <w:r w:rsidR="00D93E35">
        <w:rPr>
          <w:rFonts w:ascii="Arial" w:hAnsi="Arial" w:cs="Arial"/>
          <w:b/>
          <w:bCs/>
          <w:sz w:val="18"/>
          <w:szCs w:val="18"/>
        </w:rPr>
        <w:t xml:space="preserve">en orden descendente </w:t>
      </w:r>
      <w:r w:rsidRPr="004E6058">
        <w:rPr>
          <w:rFonts w:ascii="Arial" w:hAnsi="Arial" w:cs="Arial"/>
          <w:b/>
          <w:bCs/>
          <w:sz w:val="18"/>
          <w:szCs w:val="18"/>
        </w:rPr>
        <w:t xml:space="preserve">de los delitos </w:t>
      </w:r>
      <w:r w:rsidR="0088330A">
        <w:rPr>
          <w:rFonts w:ascii="Arial" w:hAnsi="Arial" w:cs="Arial"/>
          <w:b/>
          <w:bCs/>
          <w:sz w:val="18"/>
          <w:szCs w:val="18"/>
        </w:rPr>
        <w:t>ocurridos</w:t>
      </w:r>
      <w:r w:rsidRPr="004E6058">
        <w:rPr>
          <w:rFonts w:ascii="Arial" w:hAnsi="Arial" w:cs="Arial"/>
          <w:b/>
          <w:bCs/>
          <w:sz w:val="18"/>
          <w:szCs w:val="18"/>
        </w:rPr>
        <w:t xml:space="preserve"> por sexo de la víctima, 2020. </w:t>
      </w:r>
      <w:r w:rsidR="004E6058">
        <w:rPr>
          <w:rFonts w:ascii="Arial" w:hAnsi="Arial" w:cs="Arial"/>
          <w:b/>
          <w:bCs/>
          <w:sz w:val="18"/>
          <w:szCs w:val="18"/>
        </w:rPr>
        <w:tab/>
      </w:r>
      <w:r w:rsidR="004E6058">
        <w:rPr>
          <w:rFonts w:ascii="Arial" w:hAnsi="Arial" w:cs="Arial"/>
          <w:b/>
          <w:bCs/>
          <w:sz w:val="18"/>
          <w:szCs w:val="18"/>
        </w:rPr>
        <w:tab/>
      </w:r>
      <w:r w:rsidRPr="004E6058">
        <w:rPr>
          <w:rFonts w:ascii="Arial" w:hAnsi="Arial" w:cs="Arial"/>
          <w:b/>
          <w:bCs/>
          <w:sz w:val="18"/>
          <w:szCs w:val="18"/>
        </w:rPr>
        <w:t>Cuadro 1</w:t>
      </w:r>
    </w:p>
    <w:tbl>
      <w:tblPr>
        <w:tblW w:w="88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6"/>
        <w:gridCol w:w="2728"/>
        <w:gridCol w:w="2720"/>
        <w:gridCol w:w="2719"/>
      </w:tblGrid>
      <w:tr w:rsidR="008A24E5" w:rsidRPr="00AD7CB5" w14:paraId="70A130BD" w14:textId="77777777" w:rsidTr="0008220C">
        <w:trPr>
          <w:trHeight w:val="203"/>
        </w:trPr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E14AB7" w14:textId="0E6D1E43" w:rsidR="008A24E5" w:rsidRPr="00AD7CB5" w:rsidRDefault="00DE7AC4" w:rsidP="004479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AD7C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Lugar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FC26AD" w14:textId="77777777" w:rsidR="008A24E5" w:rsidRPr="00AD7CB5" w:rsidRDefault="008A24E5" w:rsidP="004479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AD7C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64664E" w14:textId="77777777" w:rsidR="008A24E5" w:rsidRPr="00AD7CB5" w:rsidRDefault="008A24E5" w:rsidP="004479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AD7C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Mujeres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B5A5AA" w14:textId="77777777" w:rsidR="008A24E5" w:rsidRPr="00AD7CB5" w:rsidRDefault="008A24E5" w:rsidP="004479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AD7C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Hombres</w:t>
            </w:r>
          </w:p>
        </w:tc>
      </w:tr>
      <w:tr w:rsidR="00E27F9B" w:rsidRPr="00AD7CB5" w14:paraId="09BE4A8A" w14:textId="77777777" w:rsidTr="0008220C">
        <w:trPr>
          <w:trHeight w:val="153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7B586" w14:textId="77777777" w:rsidR="008A24E5" w:rsidRPr="00AD7CB5" w:rsidRDefault="008A24E5" w:rsidP="00447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AD7C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000000" w:fill="5D739A"/>
            <w:vAlign w:val="center"/>
            <w:hideMark/>
          </w:tcPr>
          <w:p w14:paraId="585BC10D" w14:textId="77777777" w:rsidR="008A24E5" w:rsidRPr="00DF3DDE" w:rsidRDefault="008A24E5" w:rsidP="004479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DF3DD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Robo o asalto en vía pública</w:t>
            </w:r>
            <w:r w:rsidRPr="00DF3DD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br/>
              <w:t>22.5%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000000" w:fill="5D739A"/>
            <w:vAlign w:val="center"/>
            <w:hideMark/>
          </w:tcPr>
          <w:p w14:paraId="5309F4CD" w14:textId="77777777" w:rsidR="008A24E5" w:rsidRPr="00DF3DDE" w:rsidRDefault="008A24E5" w:rsidP="004479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DF3DD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Robo o asalto en vía pública</w:t>
            </w:r>
            <w:r w:rsidRPr="00DF3DD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br/>
              <w:t>20.7%</w:t>
            </w: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000000" w:fill="5D739A"/>
            <w:vAlign w:val="center"/>
            <w:hideMark/>
          </w:tcPr>
          <w:p w14:paraId="40013796" w14:textId="77777777" w:rsidR="008A24E5" w:rsidRPr="00DF3DDE" w:rsidRDefault="008A24E5" w:rsidP="004479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DF3DD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Robo o asalto en vía pública</w:t>
            </w:r>
            <w:r w:rsidRPr="00DF3DD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br/>
              <w:t>24.4%</w:t>
            </w:r>
          </w:p>
        </w:tc>
      </w:tr>
      <w:tr w:rsidR="00E27F9B" w:rsidRPr="00AD7CB5" w14:paraId="0C0318B0" w14:textId="77777777" w:rsidTr="0008220C">
        <w:trPr>
          <w:trHeight w:val="208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E49D3" w14:textId="77777777" w:rsidR="008A24E5" w:rsidRPr="00AD7CB5" w:rsidRDefault="008A24E5" w:rsidP="00447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AD7C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000000" w:fill="84ACB6"/>
            <w:vAlign w:val="center"/>
            <w:hideMark/>
          </w:tcPr>
          <w:p w14:paraId="44A31E9C" w14:textId="77777777" w:rsidR="008A24E5" w:rsidRPr="00DF3DDE" w:rsidRDefault="008A24E5" w:rsidP="004479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DF3DD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Fraude</w:t>
            </w:r>
            <w:r w:rsidRPr="00DF3DD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br/>
              <w:t>19.3%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000000" w:fill="84ACB6"/>
            <w:vAlign w:val="center"/>
            <w:hideMark/>
          </w:tcPr>
          <w:p w14:paraId="40DA2349" w14:textId="77777777" w:rsidR="008A24E5" w:rsidRPr="00DF3DDE" w:rsidRDefault="008A24E5" w:rsidP="004479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DF3DD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Fraude</w:t>
            </w:r>
            <w:r w:rsidRPr="00DF3DD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br/>
              <w:t>18.6%</w:t>
            </w: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000000" w:fill="84ACB6"/>
            <w:vAlign w:val="center"/>
            <w:hideMark/>
          </w:tcPr>
          <w:p w14:paraId="0B886E7B" w14:textId="77777777" w:rsidR="008A24E5" w:rsidRPr="00DF3DDE" w:rsidRDefault="008A24E5" w:rsidP="004479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DF3DD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Fraude</w:t>
            </w:r>
            <w:r w:rsidRPr="00DF3DD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br/>
              <w:t>20%</w:t>
            </w:r>
          </w:p>
        </w:tc>
      </w:tr>
      <w:tr w:rsidR="00E27F9B" w:rsidRPr="00AD7CB5" w14:paraId="11A1434F" w14:textId="77777777" w:rsidTr="0008220C">
        <w:trPr>
          <w:trHeight w:val="256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6CDA9" w14:textId="77777777" w:rsidR="008A24E5" w:rsidRPr="00AD7CB5" w:rsidRDefault="008A24E5" w:rsidP="00447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AD7C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000000" w:fill="6F8183"/>
            <w:vAlign w:val="center"/>
            <w:hideMark/>
          </w:tcPr>
          <w:p w14:paraId="649CAF4C" w14:textId="77777777" w:rsidR="008A24E5" w:rsidRPr="00DF3DDE" w:rsidRDefault="008A24E5" w:rsidP="004479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DF3DD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Extorsión</w:t>
            </w:r>
            <w:r w:rsidRPr="00DF3DD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br/>
              <w:t>16.9%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000000" w:fill="6F8183"/>
            <w:vAlign w:val="center"/>
            <w:hideMark/>
          </w:tcPr>
          <w:p w14:paraId="69FDEDD1" w14:textId="77777777" w:rsidR="008A24E5" w:rsidRPr="00DF3DDE" w:rsidRDefault="008A24E5" w:rsidP="004479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DF3DD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Extorsión</w:t>
            </w:r>
            <w:r w:rsidRPr="00DF3DD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br/>
              <w:t>16.3%</w:t>
            </w: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000000" w:fill="6F8183"/>
            <w:vAlign w:val="center"/>
            <w:hideMark/>
          </w:tcPr>
          <w:p w14:paraId="4D996AC1" w14:textId="77777777" w:rsidR="008A24E5" w:rsidRPr="00DF3DDE" w:rsidRDefault="008A24E5" w:rsidP="004479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DF3DD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Extorsión</w:t>
            </w:r>
            <w:r w:rsidRPr="00DF3DD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br/>
              <w:t>17.5%</w:t>
            </w:r>
          </w:p>
        </w:tc>
      </w:tr>
      <w:tr w:rsidR="00E27F9B" w:rsidRPr="00AD7CB5" w14:paraId="61DFD775" w14:textId="77777777" w:rsidTr="0008220C">
        <w:trPr>
          <w:trHeight w:val="224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FF554" w14:textId="77777777" w:rsidR="008A24E5" w:rsidRPr="00AD7CB5" w:rsidRDefault="008A24E5" w:rsidP="00447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AD7C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000000" w:fill="AD84C6"/>
            <w:vAlign w:val="center"/>
            <w:hideMark/>
          </w:tcPr>
          <w:p w14:paraId="7D938A3A" w14:textId="77777777" w:rsidR="008A24E5" w:rsidRPr="00DF3DDE" w:rsidRDefault="008A24E5" w:rsidP="004479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DF3DD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Robo total o parcial de vehículo</w:t>
            </w:r>
            <w:r w:rsidRPr="00DF3DD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br/>
              <w:t>10.6%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000000" w:fill="2E3A4D"/>
            <w:vAlign w:val="center"/>
            <w:hideMark/>
          </w:tcPr>
          <w:p w14:paraId="202AD6DF" w14:textId="77777777" w:rsidR="008A24E5" w:rsidRPr="00DF3DDE" w:rsidRDefault="008A24E5" w:rsidP="004479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DF3DD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Delitos sexuales</w:t>
            </w:r>
            <w:r w:rsidRPr="00DF3DD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br/>
              <w:t>10.8%</w:t>
            </w: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000000" w:fill="AD84C6"/>
            <w:vAlign w:val="center"/>
            <w:hideMark/>
          </w:tcPr>
          <w:p w14:paraId="2681EFF8" w14:textId="77777777" w:rsidR="008A24E5" w:rsidRPr="00DF3DDE" w:rsidRDefault="008A24E5" w:rsidP="004479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DF3DD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Robo total o parcial de vehículo</w:t>
            </w:r>
            <w:r w:rsidRPr="00DF3DD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br/>
              <w:t>11.9%</w:t>
            </w:r>
          </w:p>
        </w:tc>
      </w:tr>
      <w:tr w:rsidR="00E27F9B" w:rsidRPr="00AD7CB5" w14:paraId="1BAE287C" w14:textId="77777777" w:rsidTr="0008220C">
        <w:trPr>
          <w:trHeight w:val="228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97F97" w14:textId="77777777" w:rsidR="008A24E5" w:rsidRPr="00AD7CB5" w:rsidRDefault="008A24E5" w:rsidP="00447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AD7C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000000" w:fill="5A3471"/>
            <w:vAlign w:val="center"/>
            <w:hideMark/>
          </w:tcPr>
          <w:p w14:paraId="7B80A6C2" w14:textId="77777777" w:rsidR="008A24E5" w:rsidRPr="00DF3DDE" w:rsidRDefault="008A24E5" w:rsidP="004479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DF3DD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Amenazas verbales</w:t>
            </w:r>
            <w:r w:rsidRPr="00DF3DD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br/>
              <w:t>9.7%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000000" w:fill="5A3471"/>
            <w:vAlign w:val="center"/>
            <w:hideMark/>
          </w:tcPr>
          <w:p w14:paraId="118A57B1" w14:textId="77777777" w:rsidR="008A24E5" w:rsidRPr="00DF3DDE" w:rsidRDefault="008A24E5" w:rsidP="004479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DF3DD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Amenazas verbales</w:t>
            </w:r>
            <w:r w:rsidRPr="00DF3DD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br/>
              <w:t>9.9%</w:t>
            </w: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000000" w:fill="5A3471"/>
            <w:vAlign w:val="center"/>
            <w:hideMark/>
          </w:tcPr>
          <w:p w14:paraId="0352D47B" w14:textId="77777777" w:rsidR="008A24E5" w:rsidRPr="00DF3DDE" w:rsidRDefault="008A24E5" w:rsidP="004479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DF3DD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Amenazas verbales</w:t>
            </w:r>
            <w:r w:rsidRPr="00DF3DD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br/>
              <w:t>9.4%</w:t>
            </w:r>
          </w:p>
        </w:tc>
      </w:tr>
      <w:tr w:rsidR="00E27F9B" w:rsidRPr="00AD7CB5" w14:paraId="76D2259B" w14:textId="77777777" w:rsidTr="0008220C">
        <w:trPr>
          <w:trHeight w:val="310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3E090" w14:textId="77777777" w:rsidR="008A24E5" w:rsidRPr="00AD7CB5" w:rsidRDefault="008A24E5" w:rsidP="00447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AD7C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000000" w:fill="8784C7"/>
            <w:vAlign w:val="center"/>
            <w:hideMark/>
          </w:tcPr>
          <w:p w14:paraId="43DAB1AE" w14:textId="77777777" w:rsidR="008A24E5" w:rsidRPr="00DF3DDE" w:rsidRDefault="008A24E5" w:rsidP="004479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DF3DD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Robo en casa-habitación</w:t>
            </w:r>
            <w:r w:rsidRPr="00DF3DD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br/>
              <w:t>6.1%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000000" w:fill="AD84C6"/>
            <w:vAlign w:val="center"/>
            <w:hideMark/>
          </w:tcPr>
          <w:p w14:paraId="37DF30FD" w14:textId="77777777" w:rsidR="008A24E5" w:rsidRPr="00DF3DDE" w:rsidRDefault="008A24E5" w:rsidP="004479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DF3DD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Robo total o parcial de vehículo</w:t>
            </w:r>
            <w:r w:rsidRPr="00DF3DD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br/>
              <w:t>9.3%</w:t>
            </w: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000000" w:fill="6997AF"/>
            <w:vAlign w:val="center"/>
            <w:hideMark/>
          </w:tcPr>
          <w:p w14:paraId="08671D0D" w14:textId="77777777" w:rsidR="008A24E5" w:rsidRPr="00DF3DDE" w:rsidRDefault="008A24E5" w:rsidP="004479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DF3DD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Otro tipo de robo</w:t>
            </w:r>
            <w:r w:rsidRPr="00DF3DD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br/>
              <w:t>5.8%</w:t>
            </w:r>
          </w:p>
        </w:tc>
      </w:tr>
      <w:tr w:rsidR="00E27F9B" w:rsidRPr="00AD7CB5" w14:paraId="0202B17F" w14:textId="77777777" w:rsidTr="0008220C">
        <w:trPr>
          <w:trHeight w:val="292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999C0" w14:textId="77777777" w:rsidR="008A24E5" w:rsidRPr="00AD7CB5" w:rsidRDefault="008A24E5" w:rsidP="00447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AD7C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000000" w:fill="2E3A4D"/>
            <w:vAlign w:val="center"/>
            <w:hideMark/>
          </w:tcPr>
          <w:p w14:paraId="608C510F" w14:textId="77777777" w:rsidR="008A24E5" w:rsidRPr="00DF3DDE" w:rsidRDefault="008A24E5" w:rsidP="004479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DF3DD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Delitos sexuales</w:t>
            </w:r>
            <w:r w:rsidRPr="00DF3DD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br/>
              <w:t>5.9%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000000" w:fill="8784C7"/>
            <w:vAlign w:val="center"/>
            <w:hideMark/>
          </w:tcPr>
          <w:p w14:paraId="020EA576" w14:textId="77777777" w:rsidR="008A24E5" w:rsidRPr="00DF3DDE" w:rsidRDefault="008A24E5" w:rsidP="004479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DF3DD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Robo en casa-habitación</w:t>
            </w:r>
            <w:r w:rsidRPr="00DF3DD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br/>
              <w:t>6.6%</w:t>
            </w: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000000" w:fill="8784C7"/>
            <w:vAlign w:val="center"/>
            <w:hideMark/>
          </w:tcPr>
          <w:p w14:paraId="06EE60C2" w14:textId="77777777" w:rsidR="008A24E5" w:rsidRPr="00DF3DDE" w:rsidRDefault="008A24E5" w:rsidP="004479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DF3DD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Robo en casa-habitación</w:t>
            </w:r>
            <w:r w:rsidRPr="00DF3DD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br/>
              <w:t>5.7%</w:t>
            </w:r>
          </w:p>
        </w:tc>
      </w:tr>
      <w:tr w:rsidR="00E27F9B" w:rsidRPr="00AD7CB5" w14:paraId="5752FC84" w14:textId="77777777" w:rsidTr="0008220C">
        <w:trPr>
          <w:trHeight w:val="221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01664" w14:textId="77777777" w:rsidR="008A24E5" w:rsidRPr="00AD7CB5" w:rsidRDefault="008A24E5" w:rsidP="00447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AD7C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000000" w:fill="6997AF"/>
            <w:vAlign w:val="center"/>
            <w:hideMark/>
          </w:tcPr>
          <w:p w14:paraId="4D47CCEE" w14:textId="77777777" w:rsidR="008A24E5" w:rsidRPr="00DF3DDE" w:rsidRDefault="008A24E5" w:rsidP="004479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DF3DD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Otro tipo de robo</w:t>
            </w:r>
            <w:r w:rsidRPr="00DF3DD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br/>
              <w:t>5.1%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000000" w:fill="6997AF"/>
            <w:vAlign w:val="center"/>
            <w:hideMark/>
          </w:tcPr>
          <w:p w14:paraId="568D9ECD" w14:textId="77777777" w:rsidR="008A24E5" w:rsidRPr="00DF3DDE" w:rsidRDefault="008A24E5" w:rsidP="004479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DF3DD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Otro tipo de robo</w:t>
            </w:r>
            <w:r w:rsidRPr="00DF3DD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br/>
              <w:t>4.3%</w:t>
            </w: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000000" w:fill="373472"/>
            <w:vAlign w:val="center"/>
            <w:hideMark/>
          </w:tcPr>
          <w:p w14:paraId="1211FE3C" w14:textId="77777777" w:rsidR="008A24E5" w:rsidRPr="00DF3DDE" w:rsidRDefault="008A24E5" w:rsidP="004479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DF3DD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Lesiones</w:t>
            </w:r>
            <w:r w:rsidRPr="00DF3DD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br/>
              <w:t>3.8%</w:t>
            </w:r>
          </w:p>
        </w:tc>
      </w:tr>
      <w:tr w:rsidR="00E27F9B" w:rsidRPr="00AD7CB5" w14:paraId="464C9443" w14:textId="77777777" w:rsidTr="0008220C">
        <w:trPr>
          <w:trHeight w:val="220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E410D" w14:textId="77777777" w:rsidR="008A24E5" w:rsidRPr="00AD7CB5" w:rsidRDefault="008A24E5" w:rsidP="00447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AD7C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000000" w:fill="373472"/>
            <w:vAlign w:val="center"/>
            <w:hideMark/>
          </w:tcPr>
          <w:p w14:paraId="2902552F" w14:textId="77777777" w:rsidR="008A24E5" w:rsidRPr="00DF3DDE" w:rsidRDefault="008A24E5" w:rsidP="004479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DF3DD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Lesiones</w:t>
            </w:r>
            <w:r w:rsidRPr="00DF3DD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br/>
              <w:t>3.4%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000000" w:fill="373472"/>
            <w:vAlign w:val="center"/>
            <w:hideMark/>
          </w:tcPr>
          <w:p w14:paraId="598AAE29" w14:textId="77777777" w:rsidR="008A24E5" w:rsidRPr="00DF3DDE" w:rsidRDefault="008A24E5" w:rsidP="004479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DF3DD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Lesiones</w:t>
            </w:r>
            <w:r w:rsidRPr="00DF3DD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br/>
              <w:t>2.9%</w:t>
            </w: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000000" w:fill="2E3A4D"/>
            <w:vAlign w:val="center"/>
            <w:hideMark/>
          </w:tcPr>
          <w:p w14:paraId="38483CAD" w14:textId="77777777" w:rsidR="008A24E5" w:rsidRPr="00DF3DDE" w:rsidRDefault="008A24E5" w:rsidP="004479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DF3DD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Delitos sexuales</w:t>
            </w:r>
            <w:r w:rsidRPr="00DF3DD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br/>
              <w:t>0.8%</w:t>
            </w:r>
          </w:p>
        </w:tc>
      </w:tr>
      <w:tr w:rsidR="00E27F9B" w:rsidRPr="00AD7CB5" w14:paraId="056EF75A" w14:textId="77777777" w:rsidTr="0008220C">
        <w:trPr>
          <w:trHeight w:val="186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098E6" w14:textId="77777777" w:rsidR="008A24E5" w:rsidRPr="00AD7CB5" w:rsidRDefault="008A24E5" w:rsidP="00447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AD7C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000000" w:fill="B2B2B2"/>
            <w:vAlign w:val="center"/>
            <w:hideMark/>
          </w:tcPr>
          <w:p w14:paraId="7D5658C3" w14:textId="77777777" w:rsidR="008A24E5" w:rsidRPr="00DF3DDE" w:rsidRDefault="008A24E5" w:rsidP="004479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DF3DD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Otros delitos</w:t>
            </w:r>
            <w:r w:rsidRPr="00DF3DD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br/>
              <w:t>0.6%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000000" w:fill="B2B2B2"/>
            <w:vAlign w:val="center"/>
            <w:hideMark/>
          </w:tcPr>
          <w:p w14:paraId="74982D4C" w14:textId="77777777" w:rsidR="008A24E5" w:rsidRPr="00DF3DDE" w:rsidRDefault="008A24E5" w:rsidP="004479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DF3DD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Otros delitos</w:t>
            </w:r>
            <w:r w:rsidRPr="00DF3DD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br/>
              <w:t>0.6%</w:t>
            </w: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000000" w:fill="B2B2B2"/>
            <w:vAlign w:val="center"/>
            <w:hideMark/>
          </w:tcPr>
          <w:p w14:paraId="0D0EA224" w14:textId="77777777" w:rsidR="008A24E5" w:rsidRPr="00DF3DDE" w:rsidRDefault="008A24E5" w:rsidP="004479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DF3DD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Otros delitos</w:t>
            </w:r>
            <w:r w:rsidRPr="00DF3DD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br/>
              <w:t>0.6%</w:t>
            </w:r>
          </w:p>
        </w:tc>
      </w:tr>
    </w:tbl>
    <w:p w14:paraId="1FA7434B" w14:textId="77777777" w:rsidR="00E80CB1" w:rsidRPr="00AD7CB5" w:rsidRDefault="00E80CB1" w:rsidP="00F45081">
      <w:pPr>
        <w:spacing w:after="0" w:line="240" w:lineRule="auto"/>
        <w:rPr>
          <w:rFonts w:ascii="Arial" w:hAnsi="Arial" w:cs="Arial"/>
          <w:sz w:val="12"/>
          <w:szCs w:val="12"/>
        </w:rPr>
      </w:pPr>
      <w:r w:rsidRPr="00AD7CB5">
        <w:rPr>
          <w:rFonts w:ascii="Arial" w:hAnsi="Arial" w:cs="Arial"/>
          <w:sz w:val="12"/>
          <w:szCs w:val="12"/>
        </w:rPr>
        <w:t>Fuente: INEGI. Encuesta Nacional de Victimización y Percepción sobre Seguridad Pública, 2021</w:t>
      </w:r>
    </w:p>
    <w:p w14:paraId="5198072D" w14:textId="2FB1FABB" w:rsidR="00E80CB1" w:rsidRDefault="00E80CB1" w:rsidP="00F45081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F45081">
        <w:rPr>
          <w:rFonts w:ascii="Arial" w:hAnsi="Arial" w:cs="Arial"/>
          <w:sz w:val="14"/>
          <w:szCs w:val="14"/>
        </w:rPr>
        <w:t>Nota: El valor del indicador hace referencia al año inmediato anterior al levantamiento.</w:t>
      </w:r>
      <w:r w:rsidR="008B7975">
        <w:rPr>
          <w:rFonts w:ascii="Arial" w:hAnsi="Arial" w:cs="Arial"/>
          <w:sz w:val="14"/>
          <w:szCs w:val="14"/>
        </w:rPr>
        <w:t xml:space="preserve"> </w:t>
      </w:r>
    </w:p>
    <w:p w14:paraId="59EC91DA" w14:textId="65AEE64B" w:rsidR="006675B7" w:rsidRDefault="006675B7" w:rsidP="00F45081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6675B7">
        <w:rPr>
          <w:rFonts w:ascii="Arial" w:hAnsi="Arial" w:cs="Arial"/>
          <w:sz w:val="14"/>
          <w:szCs w:val="14"/>
        </w:rPr>
        <w:t>1. El delito de Fraude incluye fraude bancario y fraude al consumidor.</w:t>
      </w:r>
      <w:r>
        <w:rPr>
          <w:rFonts w:ascii="Arial" w:hAnsi="Arial" w:cs="Arial"/>
          <w:sz w:val="14"/>
          <w:szCs w:val="14"/>
        </w:rPr>
        <w:t xml:space="preserve"> </w:t>
      </w:r>
    </w:p>
    <w:p w14:paraId="01C5C588" w14:textId="64C4AE16" w:rsidR="0051574A" w:rsidRDefault="0051574A" w:rsidP="00F45081">
      <w:pPr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2. </w:t>
      </w:r>
      <w:r w:rsidRPr="0051574A">
        <w:rPr>
          <w:rFonts w:ascii="Arial" w:hAnsi="Arial" w:cs="Arial"/>
          <w:sz w:val="14"/>
          <w:szCs w:val="14"/>
        </w:rPr>
        <w:t>Los delitos sexuales incluyen alguien en contra de su voluntad lo(a) agredió mediante hostigamiento sexual, manoseo, exhibicionismo o intento de violación; y violación sexual.</w:t>
      </w:r>
    </w:p>
    <w:p w14:paraId="68576233" w14:textId="76B88A95" w:rsidR="0051574A" w:rsidRDefault="00F62975" w:rsidP="00F45081">
      <w:pPr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3.</w:t>
      </w:r>
      <w:r w:rsidRPr="00F62975">
        <w:rPr>
          <w:rFonts w:ascii="Arial" w:hAnsi="Arial" w:cs="Arial"/>
          <w:sz w:val="14"/>
          <w:szCs w:val="14"/>
        </w:rPr>
        <w:t>Otros delitos incluye secuestro.</w:t>
      </w:r>
    </w:p>
    <w:p w14:paraId="156927D3" w14:textId="77777777" w:rsidR="003E4E32" w:rsidRDefault="003E4E32" w:rsidP="003E4E32">
      <w:pPr>
        <w:spacing w:after="0" w:line="240" w:lineRule="auto"/>
        <w:ind w:left="-567" w:right="-516"/>
        <w:jc w:val="both"/>
        <w:rPr>
          <w:rFonts w:ascii="Arial" w:hAnsi="Arial" w:cs="Arial"/>
        </w:rPr>
      </w:pPr>
    </w:p>
    <w:p w14:paraId="74BD10C4" w14:textId="37C71631" w:rsidR="00F002AD" w:rsidRDefault="00D325C9" w:rsidP="003E4E32">
      <w:pPr>
        <w:spacing w:after="0" w:line="240" w:lineRule="auto"/>
        <w:ind w:left="-567" w:right="-516"/>
        <w:jc w:val="both"/>
        <w:rPr>
          <w:rFonts w:ascii="Arial" w:hAnsi="Arial" w:cs="Arial"/>
        </w:rPr>
      </w:pPr>
      <w:r>
        <w:rPr>
          <w:rFonts w:ascii="Arial" w:hAnsi="Arial" w:cs="Arial"/>
        </w:rPr>
        <w:t>La</w:t>
      </w:r>
      <w:r w:rsidR="00F002AD">
        <w:rPr>
          <w:rFonts w:ascii="Arial" w:hAnsi="Arial" w:cs="Arial"/>
        </w:rPr>
        <w:t xml:space="preserve"> </w:t>
      </w:r>
      <w:r w:rsidR="00F002AD" w:rsidRPr="004C6167">
        <w:rPr>
          <w:rFonts w:ascii="Arial" w:hAnsi="Arial" w:cs="Arial"/>
        </w:rPr>
        <w:t>ENSU</w:t>
      </w:r>
      <w:r w:rsidR="00F002AD">
        <w:rPr>
          <w:rFonts w:ascii="Arial" w:hAnsi="Arial" w:cs="Arial"/>
        </w:rPr>
        <w:t xml:space="preserve"> e</w:t>
      </w:r>
      <w:r>
        <w:rPr>
          <w:rFonts w:ascii="Arial" w:hAnsi="Arial" w:cs="Arial"/>
        </w:rPr>
        <w:t>n la edición del</w:t>
      </w:r>
      <w:r w:rsidR="00F002AD">
        <w:rPr>
          <w:rFonts w:ascii="Arial" w:hAnsi="Arial" w:cs="Arial"/>
        </w:rPr>
        <w:t xml:space="preserve"> segundo trimestre </w:t>
      </w:r>
      <w:r>
        <w:rPr>
          <w:rFonts w:ascii="Arial" w:hAnsi="Arial" w:cs="Arial"/>
        </w:rPr>
        <w:t xml:space="preserve">de 2021 </w:t>
      </w:r>
      <w:r w:rsidR="00F002AD">
        <w:rPr>
          <w:rFonts w:ascii="Arial" w:hAnsi="Arial" w:cs="Arial"/>
        </w:rPr>
        <w:t xml:space="preserve">incluye un módulo de acoso con información sobre </w:t>
      </w:r>
      <w:r w:rsidR="00F002AD" w:rsidRPr="004C6167">
        <w:rPr>
          <w:rFonts w:ascii="Arial" w:hAnsi="Arial" w:cs="Arial"/>
        </w:rPr>
        <w:t>aquellas personas de 18 años</w:t>
      </w:r>
      <w:r w:rsidR="00D83DEA">
        <w:rPr>
          <w:rFonts w:ascii="Arial" w:hAnsi="Arial" w:cs="Arial"/>
        </w:rPr>
        <w:t xml:space="preserve"> </w:t>
      </w:r>
      <w:r w:rsidR="006C29F9">
        <w:rPr>
          <w:rFonts w:ascii="Arial" w:hAnsi="Arial" w:cs="Arial"/>
        </w:rPr>
        <w:t>o</w:t>
      </w:r>
      <w:r w:rsidR="00D83DEA">
        <w:rPr>
          <w:rFonts w:ascii="Arial" w:hAnsi="Arial" w:cs="Arial"/>
        </w:rPr>
        <w:t xml:space="preserve"> más</w:t>
      </w:r>
      <w:r w:rsidR="00F002AD">
        <w:rPr>
          <w:rFonts w:ascii="Arial" w:hAnsi="Arial" w:cs="Arial"/>
        </w:rPr>
        <w:t xml:space="preserve"> en zonas urbanas</w:t>
      </w:r>
      <w:r w:rsidR="00F002AD" w:rsidRPr="004C6167">
        <w:rPr>
          <w:rFonts w:ascii="Arial" w:hAnsi="Arial" w:cs="Arial"/>
        </w:rPr>
        <w:t xml:space="preserve"> que han enfrentado acoso o violencia sexual</w:t>
      </w:r>
      <w:r w:rsidR="000158B7">
        <w:rPr>
          <w:rFonts w:ascii="Arial" w:hAnsi="Arial" w:cs="Arial"/>
        </w:rPr>
        <w:t xml:space="preserve"> en lugares públicos</w:t>
      </w:r>
      <w:r w:rsidR="00F002AD" w:rsidRPr="004C6167">
        <w:rPr>
          <w:rFonts w:ascii="Arial" w:hAnsi="Arial" w:cs="Arial"/>
        </w:rPr>
        <w:t>. En 2021, 22</w:t>
      </w:r>
      <w:r w:rsidR="00F002AD">
        <w:rPr>
          <w:rFonts w:ascii="Arial" w:hAnsi="Arial" w:cs="Arial"/>
        </w:rPr>
        <w:t>.8</w:t>
      </w:r>
      <w:r w:rsidR="00F002AD" w:rsidRPr="004C6167">
        <w:rPr>
          <w:rFonts w:ascii="Arial" w:hAnsi="Arial" w:cs="Arial"/>
        </w:rPr>
        <w:t>% de las mujeres declararon haber enfrentado intimidación sexua</w:t>
      </w:r>
      <w:r w:rsidR="00F002AD">
        <w:rPr>
          <w:rFonts w:ascii="Arial" w:hAnsi="Arial" w:cs="Arial"/>
        </w:rPr>
        <w:t>l</w:t>
      </w:r>
      <w:r w:rsidR="00F002AD">
        <w:rPr>
          <w:rStyle w:val="Refdenotaalpie"/>
          <w:rFonts w:ascii="Arial" w:hAnsi="Arial" w:cs="Arial"/>
        </w:rPr>
        <w:footnoteReference w:id="6"/>
      </w:r>
      <w:r w:rsidR="00F002AD">
        <w:rPr>
          <w:rFonts w:ascii="Arial" w:hAnsi="Arial" w:cs="Arial"/>
        </w:rPr>
        <w:t xml:space="preserve">, en comparación con </w:t>
      </w:r>
      <w:r w:rsidR="000C7E52">
        <w:rPr>
          <w:rFonts w:ascii="Arial" w:hAnsi="Arial" w:cs="Arial"/>
        </w:rPr>
        <w:t>5.8</w:t>
      </w:r>
      <w:r w:rsidR="00F002AD">
        <w:rPr>
          <w:rFonts w:ascii="Arial" w:hAnsi="Arial" w:cs="Arial"/>
        </w:rPr>
        <w:t>% en los hombres; mientras que</w:t>
      </w:r>
      <w:r w:rsidR="007451C3">
        <w:rPr>
          <w:rFonts w:ascii="Arial" w:hAnsi="Arial" w:cs="Arial"/>
        </w:rPr>
        <w:t>,</w:t>
      </w:r>
      <w:r w:rsidR="00C74192">
        <w:rPr>
          <w:rFonts w:ascii="Arial" w:hAnsi="Arial" w:cs="Arial"/>
        </w:rPr>
        <w:t xml:space="preserve"> </w:t>
      </w:r>
      <w:r w:rsidR="00F002AD">
        <w:rPr>
          <w:rFonts w:ascii="Arial" w:hAnsi="Arial" w:cs="Arial"/>
        </w:rPr>
        <w:t xml:space="preserve">en cuanto a </w:t>
      </w:r>
      <w:r w:rsidR="00F002AD" w:rsidRPr="004C6167">
        <w:rPr>
          <w:rFonts w:ascii="Arial" w:hAnsi="Arial" w:cs="Arial"/>
        </w:rPr>
        <w:t>abuso sexual</w:t>
      </w:r>
      <w:r w:rsidR="00F002AD">
        <w:rPr>
          <w:rFonts w:ascii="Arial" w:hAnsi="Arial" w:cs="Arial"/>
        </w:rPr>
        <w:t>,</w:t>
      </w:r>
      <w:r w:rsidR="00F002AD">
        <w:rPr>
          <w:rStyle w:val="Refdenotaalpie"/>
          <w:rFonts w:ascii="Arial" w:hAnsi="Arial" w:cs="Arial"/>
        </w:rPr>
        <w:footnoteReference w:id="7"/>
      </w:r>
      <w:r w:rsidR="00F002AD">
        <w:rPr>
          <w:rFonts w:ascii="Arial" w:hAnsi="Arial" w:cs="Arial"/>
        </w:rPr>
        <w:t xml:space="preserve"> el caso de las mujeres (7</w:t>
      </w:r>
      <w:r w:rsidR="00DE61E3">
        <w:rPr>
          <w:rFonts w:ascii="Arial" w:hAnsi="Arial" w:cs="Arial"/>
        </w:rPr>
        <w:t>.3</w:t>
      </w:r>
      <w:r w:rsidR="00F002AD">
        <w:rPr>
          <w:rFonts w:ascii="Arial" w:hAnsi="Arial" w:cs="Arial"/>
        </w:rPr>
        <w:t xml:space="preserve">%) es </w:t>
      </w:r>
      <w:r w:rsidR="00F17D52">
        <w:rPr>
          <w:rFonts w:ascii="Arial" w:hAnsi="Arial" w:cs="Arial"/>
        </w:rPr>
        <w:t xml:space="preserve">poco </w:t>
      </w:r>
      <w:r w:rsidR="00F002AD" w:rsidRPr="004C6167">
        <w:rPr>
          <w:rFonts w:ascii="Arial" w:hAnsi="Arial" w:cs="Arial"/>
        </w:rPr>
        <w:t>más de cinco puntos porcentuales por encima de los hombres en el mismo periodo.</w:t>
      </w:r>
    </w:p>
    <w:p w14:paraId="6BAB3269" w14:textId="77777777" w:rsidR="003E4E32" w:rsidRDefault="003E4E32" w:rsidP="003E4E32">
      <w:pPr>
        <w:spacing w:after="0" w:line="240" w:lineRule="auto"/>
        <w:ind w:left="-567" w:right="-516"/>
        <w:jc w:val="both"/>
        <w:rPr>
          <w:rFonts w:ascii="Arial" w:hAnsi="Arial" w:cs="Arial"/>
        </w:rPr>
      </w:pPr>
    </w:p>
    <w:p w14:paraId="38BD6C8E" w14:textId="77777777" w:rsidR="00C90EB9" w:rsidRDefault="00F002AD" w:rsidP="003E4E32">
      <w:pPr>
        <w:spacing w:after="0" w:line="240" w:lineRule="auto"/>
        <w:ind w:left="-567" w:right="-51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ENSU también reaccionó a la realidad de la </w:t>
      </w:r>
      <w:r w:rsidR="00D85012">
        <w:rPr>
          <w:rFonts w:ascii="Arial" w:hAnsi="Arial" w:cs="Arial"/>
        </w:rPr>
        <w:t>pandemia mundial</w:t>
      </w:r>
      <w:r w:rsidR="00521D0F">
        <w:rPr>
          <w:rFonts w:ascii="Arial" w:hAnsi="Arial" w:cs="Arial"/>
        </w:rPr>
        <w:t xml:space="preserve"> por el virus SARS-CoV2</w:t>
      </w:r>
      <w:r w:rsidR="00CF4FAE">
        <w:rPr>
          <w:rFonts w:ascii="Arial" w:hAnsi="Arial" w:cs="Arial"/>
        </w:rPr>
        <w:t>,</w:t>
      </w:r>
      <w:r w:rsidR="00300720">
        <w:rPr>
          <w:rFonts w:ascii="Arial" w:hAnsi="Arial" w:cs="Arial"/>
        </w:rPr>
        <w:t xml:space="preserve"> que trajo consigo </w:t>
      </w:r>
      <w:r w:rsidR="003267A6">
        <w:rPr>
          <w:rFonts w:ascii="Arial" w:hAnsi="Arial" w:cs="Arial"/>
        </w:rPr>
        <w:t>periodos prolongados de estancia en casa</w:t>
      </w:r>
      <w:r>
        <w:rPr>
          <w:rFonts w:ascii="Arial" w:hAnsi="Arial" w:cs="Arial"/>
        </w:rPr>
        <w:t xml:space="preserve"> y un incremento </w:t>
      </w:r>
      <w:r w:rsidR="0062047B">
        <w:rPr>
          <w:rFonts w:ascii="Arial" w:hAnsi="Arial" w:cs="Arial"/>
        </w:rPr>
        <w:t>en la violencia contra las mujeres como resultado de este confinamiento</w:t>
      </w:r>
      <w:r w:rsidR="00CF4FAE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En específico</w:t>
      </w:r>
      <w:r w:rsidR="00CF4FAE">
        <w:rPr>
          <w:rFonts w:ascii="Arial" w:hAnsi="Arial" w:cs="Arial"/>
        </w:rPr>
        <w:t xml:space="preserve">, la </w:t>
      </w:r>
      <w:r w:rsidR="000E76A4">
        <w:rPr>
          <w:rFonts w:ascii="Arial" w:hAnsi="Arial" w:cs="Arial"/>
        </w:rPr>
        <w:t xml:space="preserve">ENSU incluyó </w:t>
      </w:r>
      <w:r w:rsidR="004B71D5">
        <w:rPr>
          <w:rFonts w:ascii="Arial" w:hAnsi="Arial" w:cs="Arial"/>
        </w:rPr>
        <w:t xml:space="preserve">un módulo </w:t>
      </w:r>
      <w:r w:rsidR="00CF4FAE">
        <w:rPr>
          <w:rFonts w:ascii="Arial" w:hAnsi="Arial" w:cs="Arial"/>
        </w:rPr>
        <w:t xml:space="preserve">que indaga </w:t>
      </w:r>
      <w:r w:rsidR="00594CC0">
        <w:rPr>
          <w:rFonts w:ascii="Arial" w:hAnsi="Arial" w:cs="Arial"/>
        </w:rPr>
        <w:t xml:space="preserve">actos </w:t>
      </w:r>
      <w:r w:rsidR="00FF127D">
        <w:rPr>
          <w:rFonts w:ascii="Arial" w:hAnsi="Arial" w:cs="Arial"/>
        </w:rPr>
        <w:t>de violencia en el entorno familiar</w:t>
      </w:r>
      <w:r w:rsidR="00812483">
        <w:rPr>
          <w:rFonts w:ascii="Arial" w:hAnsi="Arial" w:cs="Arial"/>
        </w:rPr>
        <w:t xml:space="preserve"> </w:t>
      </w:r>
      <w:r w:rsidR="00B1360B">
        <w:rPr>
          <w:rFonts w:ascii="Arial" w:hAnsi="Arial" w:cs="Arial"/>
        </w:rPr>
        <w:t>en zonas urbanas</w:t>
      </w:r>
      <w:r w:rsidR="00E1364A">
        <w:rPr>
          <w:rFonts w:ascii="Arial" w:hAnsi="Arial" w:cs="Arial"/>
        </w:rPr>
        <w:t xml:space="preserve"> </w:t>
      </w:r>
      <w:r w:rsidR="00812483">
        <w:rPr>
          <w:rFonts w:ascii="Arial" w:hAnsi="Arial" w:cs="Arial"/>
        </w:rPr>
        <w:t xml:space="preserve">en el tercer trimestre de 2020 y </w:t>
      </w:r>
      <w:r w:rsidR="00142B8B">
        <w:rPr>
          <w:rFonts w:ascii="Arial" w:hAnsi="Arial" w:cs="Arial"/>
        </w:rPr>
        <w:t xml:space="preserve">2021. </w:t>
      </w:r>
    </w:p>
    <w:p w14:paraId="7F52421D" w14:textId="77777777" w:rsidR="00C90EB9" w:rsidRDefault="00C90EB9" w:rsidP="003E4E32">
      <w:pPr>
        <w:spacing w:after="0" w:line="240" w:lineRule="auto"/>
        <w:ind w:left="-567" w:right="-516"/>
        <w:jc w:val="both"/>
        <w:rPr>
          <w:rFonts w:ascii="Arial" w:hAnsi="Arial" w:cs="Arial"/>
        </w:rPr>
      </w:pPr>
    </w:p>
    <w:p w14:paraId="72C1FAD2" w14:textId="77777777" w:rsidR="00C90EB9" w:rsidRDefault="00C90EB9" w:rsidP="003E4E32">
      <w:pPr>
        <w:spacing w:after="0" w:line="240" w:lineRule="auto"/>
        <w:ind w:left="-567" w:right="-516"/>
        <w:jc w:val="both"/>
        <w:rPr>
          <w:rFonts w:ascii="Arial" w:hAnsi="Arial" w:cs="Arial"/>
        </w:rPr>
      </w:pPr>
    </w:p>
    <w:p w14:paraId="58EE5719" w14:textId="11BF4B8C" w:rsidR="001A7EB3" w:rsidRDefault="00E1364A" w:rsidP="003E4E32">
      <w:pPr>
        <w:spacing w:after="0" w:line="240" w:lineRule="auto"/>
        <w:ind w:left="-567" w:right="-51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Al analizar ambos periodos</w:t>
      </w:r>
      <w:r w:rsidR="00FC70F1">
        <w:rPr>
          <w:rFonts w:ascii="Arial" w:hAnsi="Arial" w:cs="Arial"/>
        </w:rPr>
        <w:t xml:space="preserve">, </w:t>
      </w:r>
      <w:r w:rsidR="007E28C1">
        <w:rPr>
          <w:rFonts w:ascii="Arial" w:hAnsi="Arial" w:cs="Arial"/>
        </w:rPr>
        <w:t xml:space="preserve">se </w:t>
      </w:r>
      <w:r w:rsidR="00D93E35">
        <w:rPr>
          <w:rFonts w:ascii="Arial" w:hAnsi="Arial" w:cs="Arial"/>
        </w:rPr>
        <w:t xml:space="preserve">confirma </w:t>
      </w:r>
      <w:r w:rsidR="00CF4FAE">
        <w:rPr>
          <w:rFonts w:ascii="Arial" w:hAnsi="Arial" w:cs="Arial"/>
        </w:rPr>
        <w:t xml:space="preserve">un </w:t>
      </w:r>
      <w:r w:rsidR="007E28C1">
        <w:rPr>
          <w:rFonts w:ascii="Arial" w:hAnsi="Arial" w:cs="Arial"/>
        </w:rPr>
        <w:t>mayor porcentaje de mujeres que declaran haber enfrentado algún tipo de violencia en el entorno familiar</w:t>
      </w:r>
      <w:r w:rsidR="00615E36">
        <w:rPr>
          <w:rFonts w:ascii="Arial" w:hAnsi="Arial" w:cs="Arial"/>
        </w:rPr>
        <w:t xml:space="preserve"> en 2020</w:t>
      </w:r>
      <w:r w:rsidR="0062047B">
        <w:rPr>
          <w:rFonts w:ascii="Arial" w:hAnsi="Arial" w:cs="Arial"/>
        </w:rPr>
        <w:t xml:space="preserve"> </w:t>
      </w:r>
      <w:r w:rsidR="00F002AD">
        <w:rPr>
          <w:rFonts w:ascii="Arial" w:hAnsi="Arial" w:cs="Arial"/>
        </w:rPr>
        <w:t xml:space="preserve">-periodo de mayor confinamiento- </w:t>
      </w:r>
      <w:r w:rsidR="0062047B">
        <w:rPr>
          <w:rFonts w:ascii="Arial" w:hAnsi="Arial" w:cs="Arial"/>
        </w:rPr>
        <w:t>respecto a 2021</w:t>
      </w:r>
      <w:r w:rsidR="00F002AD">
        <w:rPr>
          <w:rFonts w:ascii="Arial" w:hAnsi="Arial" w:cs="Arial"/>
        </w:rPr>
        <w:t xml:space="preserve">; sin embargo, </w:t>
      </w:r>
      <w:r w:rsidR="00D93E35">
        <w:rPr>
          <w:rFonts w:ascii="Arial" w:hAnsi="Arial" w:cs="Arial"/>
        </w:rPr>
        <w:t>se observa</w:t>
      </w:r>
      <w:r w:rsidR="005718AC">
        <w:rPr>
          <w:rFonts w:ascii="Arial" w:hAnsi="Arial" w:cs="Arial"/>
        </w:rPr>
        <w:t xml:space="preserve"> un aumento sostenido</w:t>
      </w:r>
      <w:r w:rsidR="00F002AD">
        <w:rPr>
          <w:rFonts w:ascii="Arial" w:hAnsi="Arial" w:cs="Arial"/>
        </w:rPr>
        <w:t xml:space="preserve"> en 2021</w:t>
      </w:r>
      <w:r w:rsidR="005718AC">
        <w:rPr>
          <w:rFonts w:ascii="Arial" w:hAnsi="Arial" w:cs="Arial"/>
        </w:rPr>
        <w:t>,</w:t>
      </w:r>
      <w:r w:rsidR="00F74745">
        <w:rPr>
          <w:rFonts w:ascii="Arial" w:hAnsi="Arial" w:cs="Arial"/>
        </w:rPr>
        <w:t xml:space="preserve"> </w:t>
      </w:r>
      <w:r w:rsidR="00776B5F">
        <w:rPr>
          <w:rFonts w:ascii="Arial" w:hAnsi="Arial" w:cs="Arial"/>
        </w:rPr>
        <w:t xml:space="preserve">alcanzando </w:t>
      </w:r>
      <w:r w:rsidR="00C66DB0">
        <w:rPr>
          <w:rFonts w:ascii="Arial" w:hAnsi="Arial" w:cs="Arial"/>
        </w:rPr>
        <w:t xml:space="preserve">su máximo en agosto, con </w:t>
      </w:r>
      <w:r w:rsidR="00776B5F">
        <w:rPr>
          <w:rFonts w:ascii="Arial" w:hAnsi="Arial" w:cs="Arial"/>
        </w:rPr>
        <w:t xml:space="preserve">niveles similares </w:t>
      </w:r>
      <w:r w:rsidR="004C0B17">
        <w:rPr>
          <w:rFonts w:ascii="Arial" w:hAnsi="Arial" w:cs="Arial"/>
        </w:rPr>
        <w:t>a</w:t>
      </w:r>
      <w:r w:rsidR="00C66DB0">
        <w:rPr>
          <w:rFonts w:ascii="Arial" w:hAnsi="Arial" w:cs="Arial"/>
        </w:rPr>
        <w:t>l mismo mes en</w:t>
      </w:r>
      <w:r w:rsidR="004C0B17">
        <w:rPr>
          <w:rFonts w:ascii="Arial" w:hAnsi="Arial" w:cs="Arial"/>
        </w:rPr>
        <w:t xml:space="preserve"> </w:t>
      </w:r>
      <w:r w:rsidR="00776B5F">
        <w:rPr>
          <w:rFonts w:ascii="Arial" w:hAnsi="Arial" w:cs="Arial"/>
        </w:rPr>
        <w:t>2020</w:t>
      </w:r>
      <w:r w:rsidR="0010052C">
        <w:rPr>
          <w:rFonts w:ascii="Arial" w:hAnsi="Arial" w:cs="Arial"/>
        </w:rPr>
        <w:t xml:space="preserve">. </w:t>
      </w:r>
    </w:p>
    <w:p w14:paraId="70F256AB" w14:textId="77777777" w:rsidR="003E4E32" w:rsidRDefault="003E4E32" w:rsidP="003E4E32">
      <w:pPr>
        <w:spacing w:after="0" w:line="240" w:lineRule="auto"/>
        <w:ind w:left="-567" w:right="-516"/>
        <w:jc w:val="both"/>
        <w:rPr>
          <w:rFonts w:ascii="Arial" w:hAnsi="Arial" w:cs="Arial"/>
        </w:rPr>
      </w:pPr>
    </w:p>
    <w:p w14:paraId="78DE4924" w14:textId="54AACF0F" w:rsidR="00F93A45" w:rsidRDefault="006B5454" w:rsidP="003E4E32">
      <w:pPr>
        <w:spacing w:after="0" w:line="240" w:lineRule="auto"/>
        <w:ind w:left="-567" w:right="-516"/>
        <w:jc w:val="both"/>
        <w:rPr>
          <w:rFonts w:ascii="Arial" w:hAnsi="Arial" w:cs="Arial"/>
        </w:rPr>
      </w:pPr>
      <w:r w:rsidRPr="00A66960">
        <w:rPr>
          <w:rFonts w:ascii="Arial" w:hAnsi="Arial" w:cs="Arial"/>
        </w:rPr>
        <w:t>En cuanto al tipo de violencia,</w:t>
      </w:r>
      <w:r w:rsidR="009B17AB" w:rsidRPr="00A66960">
        <w:rPr>
          <w:rFonts w:ascii="Arial" w:hAnsi="Arial" w:cs="Arial"/>
        </w:rPr>
        <w:t xml:space="preserve"> </w:t>
      </w:r>
      <w:r w:rsidR="00585B36" w:rsidRPr="00A66960">
        <w:rPr>
          <w:rFonts w:ascii="Arial" w:hAnsi="Arial" w:cs="Arial"/>
        </w:rPr>
        <w:t xml:space="preserve">de enero a agosto de 2021 </w:t>
      </w:r>
      <w:r w:rsidR="00F97FB0" w:rsidRPr="00A66960">
        <w:rPr>
          <w:rFonts w:ascii="Arial" w:hAnsi="Arial" w:cs="Arial"/>
        </w:rPr>
        <w:t xml:space="preserve">la principal violencia en los hogares fueron las ofensas </w:t>
      </w:r>
      <w:r w:rsidR="003A3092" w:rsidRPr="00A66960">
        <w:rPr>
          <w:rFonts w:ascii="Arial" w:hAnsi="Arial" w:cs="Arial"/>
        </w:rPr>
        <w:t>o</w:t>
      </w:r>
      <w:r w:rsidR="00F97FB0" w:rsidRPr="00A66960">
        <w:rPr>
          <w:rFonts w:ascii="Arial" w:hAnsi="Arial" w:cs="Arial"/>
        </w:rPr>
        <w:t xml:space="preserve"> humillaciones, </w:t>
      </w:r>
      <w:r w:rsidR="00594CC0" w:rsidRPr="00A66960">
        <w:rPr>
          <w:rFonts w:ascii="Arial" w:hAnsi="Arial" w:cs="Arial"/>
        </w:rPr>
        <w:t xml:space="preserve">las cuales presentaron un descenso respecto a 2020 en ambos sexos, aunque prevalece un nivel mayor en las mujeres, </w:t>
      </w:r>
      <w:r w:rsidR="00F97FB0" w:rsidRPr="00A66960">
        <w:rPr>
          <w:rFonts w:ascii="Arial" w:hAnsi="Arial" w:cs="Arial"/>
        </w:rPr>
        <w:t xml:space="preserve">con </w:t>
      </w:r>
      <w:r w:rsidR="006B5FFB" w:rsidRPr="00A66960">
        <w:rPr>
          <w:rFonts w:ascii="Arial" w:hAnsi="Arial" w:cs="Arial"/>
        </w:rPr>
        <w:t>4</w:t>
      </w:r>
      <w:r w:rsidR="006120DE" w:rsidRPr="00A66960">
        <w:rPr>
          <w:rFonts w:ascii="Arial" w:hAnsi="Arial" w:cs="Arial"/>
        </w:rPr>
        <w:t>.</w:t>
      </w:r>
      <w:r w:rsidR="006B5FFB" w:rsidRPr="00A66960">
        <w:rPr>
          <w:rFonts w:ascii="Arial" w:hAnsi="Arial" w:cs="Arial"/>
        </w:rPr>
        <w:t>9</w:t>
      </w:r>
      <w:r w:rsidR="006120DE" w:rsidRPr="00A66960">
        <w:rPr>
          <w:rFonts w:ascii="Arial" w:hAnsi="Arial" w:cs="Arial"/>
        </w:rPr>
        <w:t xml:space="preserve">% de mujeres </w:t>
      </w:r>
      <w:r w:rsidR="00F97FB0" w:rsidRPr="00A66960">
        <w:rPr>
          <w:rFonts w:ascii="Arial" w:hAnsi="Arial" w:cs="Arial"/>
        </w:rPr>
        <w:t>que vivieron estas situaciones contra un 3.2% en los hombres</w:t>
      </w:r>
      <w:r w:rsidR="006A7E5C" w:rsidRPr="00A66960">
        <w:rPr>
          <w:rFonts w:ascii="Arial" w:hAnsi="Arial" w:cs="Arial"/>
        </w:rPr>
        <w:t>,</w:t>
      </w:r>
      <w:r w:rsidR="006120DE" w:rsidRPr="00A66960">
        <w:rPr>
          <w:rFonts w:ascii="Arial" w:hAnsi="Arial" w:cs="Arial"/>
        </w:rPr>
        <w:t xml:space="preserve"> </w:t>
      </w:r>
      <w:r w:rsidR="00410FE1" w:rsidRPr="00A66960">
        <w:rPr>
          <w:rFonts w:ascii="Arial" w:hAnsi="Arial" w:cs="Arial"/>
        </w:rPr>
        <w:t xml:space="preserve">en comparación con 6.6% </w:t>
      </w:r>
      <w:r w:rsidR="00F97FB0" w:rsidRPr="00A66960">
        <w:rPr>
          <w:rFonts w:ascii="Arial" w:hAnsi="Arial" w:cs="Arial"/>
        </w:rPr>
        <w:t>y 4</w:t>
      </w:r>
      <w:r w:rsidR="00A2156D" w:rsidRPr="00A66960">
        <w:rPr>
          <w:rFonts w:ascii="Arial" w:hAnsi="Arial" w:cs="Arial"/>
        </w:rPr>
        <w:t>.0</w:t>
      </w:r>
      <w:r w:rsidR="00F97FB0" w:rsidRPr="00A66960">
        <w:rPr>
          <w:rFonts w:ascii="Arial" w:hAnsi="Arial" w:cs="Arial"/>
        </w:rPr>
        <w:t>%, respectivamente</w:t>
      </w:r>
      <w:r w:rsidR="00F9201F" w:rsidRPr="00A66960">
        <w:rPr>
          <w:rFonts w:ascii="Arial" w:hAnsi="Arial" w:cs="Arial"/>
        </w:rPr>
        <w:t>,</w:t>
      </w:r>
      <w:r w:rsidR="00F97FB0" w:rsidRPr="00A66960">
        <w:rPr>
          <w:rFonts w:ascii="Arial" w:hAnsi="Arial" w:cs="Arial"/>
        </w:rPr>
        <w:t xml:space="preserve"> en </w:t>
      </w:r>
      <w:r w:rsidR="00410FE1" w:rsidRPr="00A66960">
        <w:rPr>
          <w:rFonts w:ascii="Arial" w:hAnsi="Arial" w:cs="Arial"/>
        </w:rPr>
        <w:t>2020</w:t>
      </w:r>
      <w:r w:rsidR="0005383E" w:rsidRPr="00A66960">
        <w:rPr>
          <w:rFonts w:ascii="Arial" w:hAnsi="Arial" w:cs="Arial"/>
        </w:rPr>
        <w:t>.</w:t>
      </w:r>
      <w:r w:rsidR="005318A6" w:rsidRPr="00A66960">
        <w:rPr>
          <w:rFonts w:ascii="Arial" w:hAnsi="Arial" w:cs="Arial"/>
        </w:rPr>
        <w:t xml:space="preserve"> </w:t>
      </w:r>
      <w:r w:rsidR="003F50EB" w:rsidRPr="00A66960">
        <w:rPr>
          <w:rFonts w:ascii="Arial" w:hAnsi="Arial" w:cs="Arial"/>
        </w:rPr>
        <w:t>Le sigue</w:t>
      </w:r>
      <w:r w:rsidR="00B169A3" w:rsidRPr="00A66960">
        <w:rPr>
          <w:rFonts w:ascii="Arial" w:hAnsi="Arial" w:cs="Arial"/>
        </w:rPr>
        <w:t xml:space="preserve"> </w:t>
      </w:r>
      <w:r w:rsidR="002E39FE" w:rsidRPr="00A66960">
        <w:rPr>
          <w:rFonts w:ascii="Arial" w:hAnsi="Arial" w:cs="Arial"/>
        </w:rPr>
        <w:t>haber sido</w:t>
      </w:r>
      <w:r w:rsidR="00B169A3" w:rsidRPr="00A66960">
        <w:rPr>
          <w:rFonts w:ascii="Arial" w:hAnsi="Arial" w:cs="Arial"/>
        </w:rPr>
        <w:t xml:space="preserve"> corrid</w:t>
      </w:r>
      <w:r w:rsidR="00F7708B">
        <w:rPr>
          <w:rFonts w:ascii="Arial" w:hAnsi="Arial" w:cs="Arial"/>
        </w:rPr>
        <w:t>a</w:t>
      </w:r>
      <w:r w:rsidR="002E39FE" w:rsidRPr="00A66960">
        <w:rPr>
          <w:rFonts w:ascii="Arial" w:hAnsi="Arial" w:cs="Arial"/>
        </w:rPr>
        <w:t>(</w:t>
      </w:r>
      <w:r w:rsidR="00F7708B">
        <w:rPr>
          <w:rFonts w:ascii="Arial" w:hAnsi="Arial" w:cs="Arial"/>
        </w:rPr>
        <w:t>o</w:t>
      </w:r>
      <w:r w:rsidR="002E39FE" w:rsidRPr="00A66960">
        <w:rPr>
          <w:rFonts w:ascii="Arial" w:hAnsi="Arial" w:cs="Arial"/>
        </w:rPr>
        <w:t>)</w:t>
      </w:r>
      <w:r w:rsidR="00B169A3" w:rsidRPr="00A66960">
        <w:rPr>
          <w:rFonts w:ascii="Arial" w:hAnsi="Arial" w:cs="Arial"/>
        </w:rPr>
        <w:t xml:space="preserve"> de su casa o amenazad</w:t>
      </w:r>
      <w:r w:rsidR="00F7708B">
        <w:rPr>
          <w:rFonts w:ascii="Arial" w:hAnsi="Arial" w:cs="Arial"/>
        </w:rPr>
        <w:t>a</w:t>
      </w:r>
      <w:r w:rsidR="002E39FE" w:rsidRPr="00A66960">
        <w:rPr>
          <w:rFonts w:ascii="Arial" w:hAnsi="Arial" w:cs="Arial"/>
        </w:rPr>
        <w:t>(</w:t>
      </w:r>
      <w:r w:rsidR="00F7708B">
        <w:rPr>
          <w:rFonts w:ascii="Arial" w:hAnsi="Arial" w:cs="Arial"/>
        </w:rPr>
        <w:t>o</w:t>
      </w:r>
      <w:r w:rsidR="002E39FE" w:rsidRPr="00A66960">
        <w:rPr>
          <w:rFonts w:ascii="Arial" w:hAnsi="Arial" w:cs="Arial"/>
        </w:rPr>
        <w:t>)</w:t>
      </w:r>
      <w:r w:rsidR="00B169A3" w:rsidRPr="00A66960">
        <w:rPr>
          <w:rFonts w:ascii="Arial" w:hAnsi="Arial" w:cs="Arial"/>
        </w:rPr>
        <w:t xml:space="preserve"> </w:t>
      </w:r>
      <w:r w:rsidR="002E39FE" w:rsidRPr="00A66960">
        <w:rPr>
          <w:rFonts w:ascii="Arial" w:hAnsi="Arial" w:cs="Arial"/>
        </w:rPr>
        <w:t>con correrl</w:t>
      </w:r>
      <w:r w:rsidR="00F7708B">
        <w:rPr>
          <w:rFonts w:ascii="Arial" w:hAnsi="Arial" w:cs="Arial"/>
        </w:rPr>
        <w:t>a</w:t>
      </w:r>
      <w:r w:rsidR="002E39FE" w:rsidRPr="00A66960">
        <w:rPr>
          <w:rFonts w:ascii="Arial" w:hAnsi="Arial" w:cs="Arial"/>
        </w:rPr>
        <w:t>(</w:t>
      </w:r>
      <w:r w:rsidR="00F7708B">
        <w:rPr>
          <w:rFonts w:ascii="Arial" w:hAnsi="Arial" w:cs="Arial"/>
        </w:rPr>
        <w:t>o</w:t>
      </w:r>
      <w:r w:rsidR="002E39FE" w:rsidRPr="00A66960">
        <w:rPr>
          <w:rFonts w:ascii="Arial" w:hAnsi="Arial" w:cs="Arial"/>
        </w:rPr>
        <w:t>)</w:t>
      </w:r>
      <w:r w:rsidR="00F7708B">
        <w:rPr>
          <w:rFonts w:ascii="Arial" w:hAnsi="Arial" w:cs="Arial"/>
        </w:rPr>
        <w:t>,</w:t>
      </w:r>
      <w:r w:rsidR="006D7C00" w:rsidRPr="00A66960">
        <w:rPr>
          <w:rFonts w:ascii="Arial" w:hAnsi="Arial" w:cs="Arial"/>
        </w:rPr>
        <w:t xml:space="preserve"> que </w:t>
      </w:r>
      <w:r w:rsidR="008D682A" w:rsidRPr="00A66960">
        <w:rPr>
          <w:rFonts w:ascii="Arial" w:hAnsi="Arial" w:cs="Arial"/>
        </w:rPr>
        <w:t xml:space="preserve">en las mujeres </w:t>
      </w:r>
      <w:r w:rsidR="006D7C00" w:rsidRPr="00A66960">
        <w:rPr>
          <w:rFonts w:ascii="Arial" w:hAnsi="Arial" w:cs="Arial"/>
        </w:rPr>
        <w:t>pasó de 2.2% en 2020 a 1.6% en 2021</w:t>
      </w:r>
      <w:r w:rsidR="00580622">
        <w:rPr>
          <w:rFonts w:ascii="Arial" w:hAnsi="Arial" w:cs="Arial"/>
        </w:rPr>
        <w:t>,</w:t>
      </w:r>
      <w:r w:rsidR="006D7C00" w:rsidRPr="00A66960">
        <w:rPr>
          <w:rFonts w:ascii="Arial" w:hAnsi="Arial" w:cs="Arial"/>
        </w:rPr>
        <w:t xml:space="preserve"> mientras que en los hombres cambi</w:t>
      </w:r>
      <w:r w:rsidR="00D325C9">
        <w:rPr>
          <w:rFonts w:ascii="Arial" w:hAnsi="Arial" w:cs="Arial"/>
        </w:rPr>
        <w:t>ó</w:t>
      </w:r>
      <w:r w:rsidR="006D7C00" w:rsidRPr="00A66960">
        <w:rPr>
          <w:rFonts w:ascii="Arial" w:hAnsi="Arial" w:cs="Arial"/>
        </w:rPr>
        <w:t xml:space="preserve"> de 1.6 a 1.1% en el mismo periodo. </w:t>
      </w:r>
      <w:r w:rsidR="00D325C9">
        <w:rPr>
          <w:rFonts w:ascii="Arial" w:hAnsi="Arial" w:cs="Arial"/>
        </w:rPr>
        <w:t>Le siguen</w:t>
      </w:r>
      <w:r w:rsidR="006D7C00" w:rsidRPr="00A66960">
        <w:rPr>
          <w:rFonts w:ascii="Arial" w:hAnsi="Arial" w:cs="Arial"/>
        </w:rPr>
        <w:t xml:space="preserve"> </w:t>
      </w:r>
      <w:r w:rsidR="00F62F74" w:rsidRPr="00A66960">
        <w:rPr>
          <w:rFonts w:ascii="Arial" w:hAnsi="Arial" w:cs="Arial"/>
        </w:rPr>
        <w:t>haber sido</w:t>
      </w:r>
      <w:r w:rsidR="00432A72" w:rsidRPr="00A66960">
        <w:rPr>
          <w:rFonts w:ascii="Arial" w:hAnsi="Arial" w:cs="Arial"/>
        </w:rPr>
        <w:t xml:space="preserve"> golpead</w:t>
      </w:r>
      <w:r w:rsidR="00A66960" w:rsidRPr="00A66960">
        <w:rPr>
          <w:rFonts w:ascii="Arial" w:hAnsi="Arial" w:cs="Arial"/>
        </w:rPr>
        <w:t>a</w:t>
      </w:r>
      <w:r w:rsidR="00F62F74" w:rsidRPr="00A66960">
        <w:rPr>
          <w:rFonts w:ascii="Arial" w:hAnsi="Arial" w:cs="Arial"/>
        </w:rPr>
        <w:t>(</w:t>
      </w:r>
      <w:r w:rsidR="00A66960" w:rsidRPr="00A66960">
        <w:rPr>
          <w:rFonts w:ascii="Arial" w:hAnsi="Arial" w:cs="Arial"/>
        </w:rPr>
        <w:t>o</w:t>
      </w:r>
      <w:r w:rsidR="00F62F74" w:rsidRPr="00A66960">
        <w:rPr>
          <w:rFonts w:ascii="Arial" w:hAnsi="Arial" w:cs="Arial"/>
        </w:rPr>
        <w:t>)</w:t>
      </w:r>
      <w:r w:rsidR="00432A72" w:rsidRPr="00A66960">
        <w:rPr>
          <w:rFonts w:ascii="Arial" w:hAnsi="Arial" w:cs="Arial"/>
        </w:rPr>
        <w:t xml:space="preserve"> o agredid</w:t>
      </w:r>
      <w:r w:rsidR="00A66960" w:rsidRPr="00A66960">
        <w:rPr>
          <w:rFonts w:ascii="Arial" w:hAnsi="Arial" w:cs="Arial"/>
        </w:rPr>
        <w:t>a</w:t>
      </w:r>
      <w:r w:rsidR="00F62F74" w:rsidRPr="00A66960">
        <w:rPr>
          <w:rFonts w:ascii="Arial" w:hAnsi="Arial" w:cs="Arial"/>
        </w:rPr>
        <w:t>(</w:t>
      </w:r>
      <w:r w:rsidR="00A66960" w:rsidRPr="00A66960">
        <w:rPr>
          <w:rFonts w:ascii="Arial" w:hAnsi="Arial" w:cs="Arial"/>
        </w:rPr>
        <w:t>o</w:t>
      </w:r>
      <w:r w:rsidR="00F62F74" w:rsidRPr="00A66960">
        <w:rPr>
          <w:rFonts w:ascii="Arial" w:hAnsi="Arial" w:cs="Arial"/>
        </w:rPr>
        <w:t>)</w:t>
      </w:r>
      <w:r w:rsidR="00432A72" w:rsidRPr="00A66960">
        <w:rPr>
          <w:rFonts w:ascii="Arial" w:hAnsi="Arial" w:cs="Arial"/>
        </w:rPr>
        <w:t xml:space="preserve"> físicamente</w:t>
      </w:r>
      <w:r w:rsidR="002D12D2" w:rsidRPr="00A66960">
        <w:rPr>
          <w:rFonts w:ascii="Arial" w:hAnsi="Arial" w:cs="Arial"/>
        </w:rPr>
        <w:t>;</w:t>
      </w:r>
      <w:r w:rsidR="00BA2DBD" w:rsidRPr="00A66960">
        <w:rPr>
          <w:rFonts w:ascii="Arial" w:hAnsi="Arial" w:cs="Arial"/>
        </w:rPr>
        <w:t xml:space="preserve"> haber sido manosead</w:t>
      </w:r>
      <w:r w:rsidR="00A66960" w:rsidRPr="00A66960">
        <w:rPr>
          <w:rFonts w:ascii="Arial" w:hAnsi="Arial" w:cs="Arial"/>
        </w:rPr>
        <w:t>a</w:t>
      </w:r>
      <w:r w:rsidR="00BA2DBD" w:rsidRPr="00A66960">
        <w:rPr>
          <w:rFonts w:ascii="Arial" w:hAnsi="Arial" w:cs="Arial"/>
        </w:rPr>
        <w:t>(</w:t>
      </w:r>
      <w:r w:rsidR="00A66960" w:rsidRPr="00A66960">
        <w:rPr>
          <w:rFonts w:ascii="Arial" w:hAnsi="Arial" w:cs="Arial"/>
        </w:rPr>
        <w:t>o</w:t>
      </w:r>
      <w:r w:rsidR="00BA2DBD" w:rsidRPr="00A66960">
        <w:rPr>
          <w:rFonts w:ascii="Arial" w:hAnsi="Arial" w:cs="Arial"/>
        </w:rPr>
        <w:t>)</w:t>
      </w:r>
      <w:r w:rsidR="008D682A" w:rsidRPr="00A66960">
        <w:rPr>
          <w:rFonts w:ascii="Arial" w:hAnsi="Arial" w:cs="Arial"/>
        </w:rPr>
        <w:t>,</w:t>
      </w:r>
      <w:r w:rsidR="00BA2DBD" w:rsidRPr="00A66960">
        <w:rPr>
          <w:rFonts w:ascii="Arial" w:hAnsi="Arial" w:cs="Arial"/>
        </w:rPr>
        <w:t xml:space="preserve"> </w:t>
      </w:r>
      <w:r w:rsidR="008D682A" w:rsidRPr="00A66960">
        <w:rPr>
          <w:rFonts w:ascii="Arial" w:hAnsi="Arial" w:cs="Arial"/>
        </w:rPr>
        <w:t>tocad</w:t>
      </w:r>
      <w:r w:rsidR="00A66960" w:rsidRPr="00A66960">
        <w:rPr>
          <w:rFonts w:ascii="Arial" w:hAnsi="Arial" w:cs="Arial"/>
        </w:rPr>
        <w:t>a</w:t>
      </w:r>
      <w:r w:rsidR="008D682A" w:rsidRPr="00A66960">
        <w:rPr>
          <w:rFonts w:ascii="Arial" w:hAnsi="Arial" w:cs="Arial"/>
        </w:rPr>
        <w:t>(</w:t>
      </w:r>
      <w:r w:rsidR="00A66960" w:rsidRPr="00A66960">
        <w:rPr>
          <w:rFonts w:ascii="Arial" w:hAnsi="Arial" w:cs="Arial"/>
        </w:rPr>
        <w:t>o</w:t>
      </w:r>
      <w:r w:rsidR="008D682A" w:rsidRPr="00A66960">
        <w:rPr>
          <w:rFonts w:ascii="Arial" w:hAnsi="Arial" w:cs="Arial"/>
        </w:rPr>
        <w:t xml:space="preserve">), </w:t>
      </w:r>
      <w:r w:rsidR="00BA2DBD" w:rsidRPr="00A66960">
        <w:rPr>
          <w:rFonts w:ascii="Arial" w:hAnsi="Arial" w:cs="Arial"/>
        </w:rPr>
        <w:t>besad</w:t>
      </w:r>
      <w:r w:rsidR="00A66960" w:rsidRPr="00A66960">
        <w:rPr>
          <w:rFonts w:ascii="Arial" w:hAnsi="Arial" w:cs="Arial"/>
        </w:rPr>
        <w:t>a</w:t>
      </w:r>
      <w:r w:rsidR="00BA2DBD" w:rsidRPr="00A66960">
        <w:rPr>
          <w:rFonts w:ascii="Arial" w:hAnsi="Arial" w:cs="Arial"/>
        </w:rPr>
        <w:t>(</w:t>
      </w:r>
      <w:r w:rsidR="00A66960" w:rsidRPr="00A66960">
        <w:rPr>
          <w:rFonts w:ascii="Arial" w:hAnsi="Arial" w:cs="Arial"/>
        </w:rPr>
        <w:t>o</w:t>
      </w:r>
      <w:r w:rsidR="002E39FE" w:rsidRPr="00A66960">
        <w:rPr>
          <w:rFonts w:ascii="Arial" w:hAnsi="Arial" w:cs="Arial"/>
        </w:rPr>
        <w:t xml:space="preserve">) o </w:t>
      </w:r>
      <w:r w:rsidR="00935F09" w:rsidRPr="00A66960">
        <w:rPr>
          <w:rFonts w:ascii="Arial" w:hAnsi="Arial" w:cs="Arial"/>
        </w:rPr>
        <w:t xml:space="preserve">si </w:t>
      </w:r>
      <w:r w:rsidR="00A66960" w:rsidRPr="00A66960">
        <w:rPr>
          <w:rFonts w:ascii="Arial" w:hAnsi="Arial" w:cs="Arial"/>
        </w:rPr>
        <w:t xml:space="preserve">se </w:t>
      </w:r>
      <w:r w:rsidR="00935F09" w:rsidRPr="00A66960">
        <w:rPr>
          <w:rFonts w:ascii="Arial" w:hAnsi="Arial" w:cs="Arial"/>
        </w:rPr>
        <w:t xml:space="preserve">le han arrimado </w:t>
      </w:r>
      <w:r w:rsidR="00B361D1" w:rsidRPr="00A66960">
        <w:rPr>
          <w:rFonts w:ascii="Arial" w:hAnsi="Arial" w:cs="Arial"/>
        </w:rPr>
        <w:t xml:space="preserve">recargado o encimado </w:t>
      </w:r>
      <w:r w:rsidR="00BA2DBD" w:rsidRPr="00A66960">
        <w:rPr>
          <w:rFonts w:ascii="Arial" w:hAnsi="Arial" w:cs="Arial"/>
        </w:rPr>
        <w:t>sin consentimiento</w:t>
      </w:r>
      <w:r w:rsidR="008D682A" w:rsidRPr="00A66960">
        <w:rPr>
          <w:rFonts w:ascii="Arial" w:hAnsi="Arial" w:cs="Arial"/>
        </w:rPr>
        <w:t>;</w:t>
      </w:r>
      <w:r w:rsidR="002D12D2" w:rsidRPr="00A66960">
        <w:rPr>
          <w:rFonts w:ascii="Arial" w:hAnsi="Arial" w:cs="Arial"/>
        </w:rPr>
        <w:t xml:space="preserve"> haber sido atacad</w:t>
      </w:r>
      <w:r w:rsidR="00A66960" w:rsidRPr="00A66960">
        <w:rPr>
          <w:rFonts w:ascii="Arial" w:hAnsi="Arial" w:cs="Arial"/>
        </w:rPr>
        <w:t>a</w:t>
      </w:r>
      <w:r w:rsidR="002D12D2" w:rsidRPr="00A66960">
        <w:rPr>
          <w:rFonts w:ascii="Arial" w:hAnsi="Arial" w:cs="Arial"/>
        </w:rPr>
        <w:t>(</w:t>
      </w:r>
      <w:r w:rsidR="00A66960" w:rsidRPr="00A66960">
        <w:rPr>
          <w:rFonts w:ascii="Arial" w:hAnsi="Arial" w:cs="Arial"/>
        </w:rPr>
        <w:t>o</w:t>
      </w:r>
      <w:r w:rsidR="002D12D2" w:rsidRPr="00A66960">
        <w:rPr>
          <w:rFonts w:ascii="Arial" w:hAnsi="Arial" w:cs="Arial"/>
        </w:rPr>
        <w:t>) o agredid</w:t>
      </w:r>
      <w:r w:rsidR="00A66960" w:rsidRPr="00A66960">
        <w:rPr>
          <w:rFonts w:ascii="Arial" w:hAnsi="Arial" w:cs="Arial"/>
        </w:rPr>
        <w:t>a(o)</w:t>
      </w:r>
      <w:r w:rsidR="002D12D2" w:rsidRPr="00A66960">
        <w:rPr>
          <w:rFonts w:ascii="Arial" w:hAnsi="Arial" w:cs="Arial"/>
        </w:rPr>
        <w:t xml:space="preserve"> con un cuchillo, navaja o arma de fuego</w:t>
      </w:r>
      <w:r w:rsidR="00421A05" w:rsidRPr="00A66960">
        <w:rPr>
          <w:rFonts w:ascii="Arial" w:hAnsi="Arial" w:cs="Arial"/>
        </w:rPr>
        <w:t xml:space="preserve"> y </w:t>
      </w:r>
      <w:r w:rsidR="00A66960" w:rsidRPr="00A66960">
        <w:rPr>
          <w:rFonts w:ascii="Arial" w:hAnsi="Arial" w:cs="Arial"/>
        </w:rPr>
        <w:t xml:space="preserve">finalmente </w:t>
      </w:r>
      <w:r w:rsidR="00421A05" w:rsidRPr="00A66960">
        <w:rPr>
          <w:rFonts w:ascii="Arial" w:hAnsi="Arial" w:cs="Arial"/>
        </w:rPr>
        <w:t>haber sido agredid</w:t>
      </w:r>
      <w:r w:rsidR="00A66960" w:rsidRPr="00A66960">
        <w:rPr>
          <w:rFonts w:ascii="Arial" w:hAnsi="Arial" w:cs="Arial"/>
        </w:rPr>
        <w:t>a</w:t>
      </w:r>
      <w:r w:rsidR="00F93A45" w:rsidRPr="00A66960">
        <w:rPr>
          <w:rFonts w:ascii="Arial" w:hAnsi="Arial" w:cs="Arial"/>
        </w:rPr>
        <w:t>(</w:t>
      </w:r>
      <w:r w:rsidR="00A66960" w:rsidRPr="00A66960">
        <w:rPr>
          <w:rFonts w:ascii="Arial" w:hAnsi="Arial" w:cs="Arial"/>
        </w:rPr>
        <w:t>o</w:t>
      </w:r>
      <w:r w:rsidR="00F93A45" w:rsidRPr="00A66960">
        <w:rPr>
          <w:rFonts w:ascii="Arial" w:hAnsi="Arial" w:cs="Arial"/>
        </w:rPr>
        <w:t xml:space="preserve">) sexualmente, todas </w:t>
      </w:r>
      <w:r w:rsidR="00A66960" w:rsidRPr="00A66960">
        <w:rPr>
          <w:rFonts w:ascii="Arial" w:hAnsi="Arial" w:cs="Arial"/>
        </w:rPr>
        <w:t>e</w:t>
      </w:r>
      <w:r w:rsidR="00F93A45" w:rsidRPr="00A66960">
        <w:rPr>
          <w:rFonts w:ascii="Arial" w:hAnsi="Arial" w:cs="Arial"/>
        </w:rPr>
        <w:t>s</w:t>
      </w:r>
      <w:r w:rsidR="00A66960" w:rsidRPr="00A66960">
        <w:rPr>
          <w:rFonts w:ascii="Arial" w:hAnsi="Arial" w:cs="Arial"/>
        </w:rPr>
        <w:t>tas situaciones</w:t>
      </w:r>
      <w:r w:rsidR="00F93A45" w:rsidRPr="00A66960">
        <w:rPr>
          <w:rFonts w:ascii="Arial" w:hAnsi="Arial" w:cs="Arial"/>
        </w:rPr>
        <w:t xml:space="preserve"> con mayores niveles para las mujeres y en las que se registró un descenso en 2021 respecto de 2020. Únicamente los ataques y agresiones con cuchillo navaja o arma de fuego presentan niveles </w:t>
      </w:r>
      <w:r w:rsidR="0049530C" w:rsidRPr="00A66960">
        <w:rPr>
          <w:rFonts w:ascii="Arial" w:hAnsi="Arial" w:cs="Arial"/>
        </w:rPr>
        <w:t>más elevados en los hombres que en las mujeres.</w:t>
      </w:r>
    </w:p>
    <w:p w14:paraId="37D666D0" w14:textId="77777777" w:rsidR="0098229F" w:rsidRDefault="0098229F" w:rsidP="003E4E32">
      <w:pPr>
        <w:spacing w:after="0" w:line="240" w:lineRule="auto"/>
        <w:ind w:left="-567" w:right="-516"/>
        <w:jc w:val="both"/>
        <w:rPr>
          <w:rFonts w:ascii="Arial" w:hAnsi="Arial" w:cs="Arial"/>
        </w:rPr>
      </w:pPr>
    </w:p>
    <w:p w14:paraId="13017892" w14:textId="4358A2BF" w:rsidR="000B5BBD" w:rsidRDefault="009537B3" w:rsidP="003C6BA1">
      <w:pPr>
        <w:spacing w:line="240" w:lineRule="auto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04852BE2" wp14:editId="76D383E3">
            <wp:extent cx="5391150" cy="2724150"/>
            <wp:effectExtent l="0" t="0" r="0" b="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6B872808-2BE6-4267-AC86-3DF868CDD9A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6F99714" w14:textId="77777777" w:rsidR="003E4E32" w:rsidRPr="003E4E32" w:rsidRDefault="003E4E32" w:rsidP="003E4E32">
      <w:pPr>
        <w:spacing w:after="0" w:line="240" w:lineRule="auto"/>
        <w:ind w:left="142" w:right="191"/>
        <w:rPr>
          <w:rFonts w:ascii="Arial" w:hAnsi="Arial" w:cs="Arial"/>
          <w:sz w:val="12"/>
          <w:szCs w:val="12"/>
        </w:rPr>
      </w:pPr>
      <w:r w:rsidRPr="003E4E32">
        <w:rPr>
          <w:rFonts w:ascii="Arial" w:hAnsi="Arial" w:cs="Arial"/>
          <w:sz w:val="12"/>
          <w:szCs w:val="12"/>
        </w:rPr>
        <w:t>Nota: Se excluyen las estimaciones correspondientes a septiembre, debido a que el periodo de levantamiento no representa la totalidad de dicho mes. La estimación total fue de 0.3%,0.4% para mujeres y 0.2% para hombres. No obstante, se recomienda su uso para fines cualitativos.</w:t>
      </w:r>
    </w:p>
    <w:p w14:paraId="00259F6E" w14:textId="77777777" w:rsidR="003E4E32" w:rsidRPr="003E4E32" w:rsidRDefault="003E4E32" w:rsidP="003E4E32">
      <w:pPr>
        <w:spacing w:after="0" w:line="240" w:lineRule="auto"/>
        <w:ind w:left="142" w:right="191"/>
        <w:rPr>
          <w:rFonts w:ascii="Arial" w:hAnsi="Arial" w:cs="Arial"/>
          <w:sz w:val="12"/>
          <w:szCs w:val="12"/>
        </w:rPr>
      </w:pPr>
      <w:r w:rsidRPr="003E4E32">
        <w:rPr>
          <w:rFonts w:ascii="Arial" w:hAnsi="Arial" w:cs="Arial"/>
          <w:sz w:val="12"/>
          <w:szCs w:val="12"/>
        </w:rPr>
        <w:t>Fuente: INEGI. Encuesta Nacional de Seguridad Pública Urbana. Septiembre 2020 y 2021.</w:t>
      </w:r>
    </w:p>
    <w:p w14:paraId="3DFD8245" w14:textId="77777777" w:rsidR="0098229F" w:rsidRDefault="0098229F" w:rsidP="003E4E32">
      <w:pPr>
        <w:spacing w:line="240" w:lineRule="auto"/>
        <w:ind w:left="-567" w:right="-518"/>
        <w:jc w:val="both"/>
        <w:rPr>
          <w:rFonts w:ascii="Arial" w:hAnsi="Arial" w:cs="Arial"/>
        </w:rPr>
      </w:pPr>
    </w:p>
    <w:p w14:paraId="66FCD7DD" w14:textId="77777777" w:rsidR="00C90EB9" w:rsidRDefault="00134857" w:rsidP="003E4E32">
      <w:pPr>
        <w:spacing w:line="240" w:lineRule="auto"/>
        <w:ind w:left="-567" w:right="-5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 otra parte, </w:t>
      </w:r>
      <w:r w:rsidR="00335338">
        <w:rPr>
          <w:rFonts w:ascii="Arial" w:hAnsi="Arial" w:cs="Arial"/>
        </w:rPr>
        <w:t xml:space="preserve">en el </w:t>
      </w:r>
      <w:r>
        <w:rPr>
          <w:rFonts w:ascii="Arial" w:hAnsi="Arial" w:cs="Arial"/>
        </w:rPr>
        <w:t>CNP</w:t>
      </w:r>
      <w:r w:rsidR="00113BAF">
        <w:rPr>
          <w:rFonts w:ascii="Arial" w:hAnsi="Arial" w:cs="Arial"/>
        </w:rPr>
        <w:t>J</w:t>
      </w:r>
      <w:r>
        <w:rPr>
          <w:rFonts w:ascii="Arial" w:hAnsi="Arial" w:cs="Arial"/>
        </w:rPr>
        <w:t xml:space="preserve">E 2021 </w:t>
      </w:r>
      <w:r w:rsidR="00ED18D5" w:rsidRPr="00134857">
        <w:rPr>
          <w:rFonts w:ascii="Arial" w:hAnsi="Arial" w:cs="Arial"/>
        </w:rPr>
        <w:t>se registraron a nivel nacional</w:t>
      </w:r>
      <w:r w:rsidR="008E7C7D">
        <w:rPr>
          <w:rFonts w:ascii="Arial" w:hAnsi="Arial" w:cs="Arial"/>
        </w:rPr>
        <w:t xml:space="preserve"> </w:t>
      </w:r>
      <w:r w:rsidR="008E7C7D" w:rsidRPr="00134857">
        <w:rPr>
          <w:rFonts w:ascii="Arial" w:hAnsi="Arial" w:cs="Arial"/>
        </w:rPr>
        <w:t>1 856 805</w:t>
      </w:r>
      <w:r w:rsidR="008E7C7D">
        <w:rPr>
          <w:rFonts w:ascii="Arial" w:hAnsi="Arial" w:cs="Arial"/>
        </w:rPr>
        <w:t xml:space="preserve"> delitos</w:t>
      </w:r>
      <w:r w:rsidR="00335338" w:rsidRPr="00335338">
        <w:rPr>
          <w:rFonts w:ascii="Arial" w:hAnsi="Arial" w:cs="Arial"/>
        </w:rPr>
        <w:t xml:space="preserve"> </w:t>
      </w:r>
      <w:r w:rsidR="00335338" w:rsidRPr="00134857">
        <w:rPr>
          <w:rFonts w:ascii="Arial" w:hAnsi="Arial" w:cs="Arial"/>
        </w:rPr>
        <w:t>en las averiguaciones previas iniciadas, investigaciones y carpetas de investigación abiertas en 2020</w:t>
      </w:r>
      <w:r w:rsidR="003E4E32">
        <w:rPr>
          <w:rFonts w:ascii="Arial" w:hAnsi="Arial" w:cs="Arial"/>
        </w:rPr>
        <w:t>. E</w:t>
      </w:r>
      <w:r w:rsidR="00ED18D5" w:rsidRPr="00134857">
        <w:rPr>
          <w:rFonts w:ascii="Arial" w:hAnsi="Arial" w:cs="Arial"/>
        </w:rPr>
        <w:t>sta cifra representó una disminución de 11.0% respecto a lo registrado en 2019</w:t>
      </w:r>
      <w:r w:rsidR="00BA5351">
        <w:rPr>
          <w:rFonts w:ascii="Arial" w:hAnsi="Arial" w:cs="Arial"/>
        </w:rPr>
        <w:t>. Esta fuente de información</w:t>
      </w:r>
      <w:r w:rsidR="008E7C7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brinda una aproximación de casos de violencia contra las mujeres a través de las denuncias de violencia familiar</w:t>
      </w:r>
      <w:r w:rsidRPr="00134857">
        <w:rPr>
          <w:rFonts w:ascii="Arial" w:hAnsi="Arial" w:cs="Arial"/>
        </w:rPr>
        <w:t xml:space="preserve">. </w:t>
      </w:r>
    </w:p>
    <w:p w14:paraId="6083892B" w14:textId="062D2FF6" w:rsidR="00134857" w:rsidRDefault="00BA5351" w:rsidP="003E4E32">
      <w:pPr>
        <w:spacing w:line="240" w:lineRule="auto"/>
        <w:ind w:left="-567" w:right="-518"/>
        <w:jc w:val="both"/>
        <w:rPr>
          <w:rFonts w:ascii="Arial" w:hAnsi="Arial" w:cs="Arial"/>
        </w:rPr>
      </w:pPr>
      <w:r>
        <w:rPr>
          <w:rFonts w:ascii="Arial" w:hAnsi="Arial" w:cs="Arial"/>
        </w:rPr>
        <w:t>En 2020</w:t>
      </w:r>
      <w:r w:rsidR="00134857">
        <w:rPr>
          <w:rFonts w:ascii="Arial" w:hAnsi="Arial" w:cs="Arial"/>
        </w:rPr>
        <w:t>, se observa que e</w:t>
      </w:r>
      <w:r w:rsidR="00134857" w:rsidRPr="00134857">
        <w:rPr>
          <w:rFonts w:ascii="Arial" w:hAnsi="Arial" w:cs="Arial"/>
        </w:rPr>
        <w:t xml:space="preserve">l delito de </w:t>
      </w:r>
      <w:r w:rsidR="00134857">
        <w:rPr>
          <w:rFonts w:ascii="Arial" w:hAnsi="Arial" w:cs="Arial"/>
        </w:rPr>
        <w:t>v</w:t>
      </w:r>
      <w:r w:rsidR="00134857" w:rsidRPr="00134857">
        <w:rPr>
          <w:rFonts w:ascii="Arial" w:hAnsi="Arial" w:cs="Arial"/>
        </w:rPr>
        <w:t>iolencia familiar registró la segunda mayor frecuencia</w:t>
      </w:r>
      <w:r w:rsidR="00134857">
        <w:rPr>
          <w:rFonts w:ascii="Arial" w:hAnsi="Arial" w:cs="Arial"/>
        </w:rPr>
        <w:t xml:space="preserve"> y </w:t>
      </w:r>
      <w:r w:rsidR="00063764">
        <w:rPr>
          <w:rFonts w:ascii="Arial" w:hAnsi="Arial" w:cs="Arial"/>
        </w:rPr>
        <w:t xml:space="preserve">es el único que muestra un </w:t>
      </w:r>
      <w:r w:rsidR="00134857">
        <w:rPr>
          <w:rFonts w:ascii="Arial" w:hAnsi="Arial" w:cs="Arial"/>
        </w:rPr>
        <w:t>aumento</w:t>
      </w:r>
      <w:r w:rsidR="003E4E32">
        <w:rPr>
          <w:rFonts w:ascii="Arial" w:hAnsi="Arial" w:cs="Arial"/>
        </w:rPr>
        <w:t xml:space="preserve"> </w:t>
      </w:r>
      <w:r w:rsidR="00134857">
        <w:rPr>
          <w:rFonts w:ascii="Arial" w:hAnsi="Arial" w:cs="Arial"/>
        </w:rPr>
        <w:t xml:space="preserve">de 5.3% entre 2019 y 2020, lo cual confirma nuevamente un </w:t>
      </w:r>
      <w:r w:rsidR="00063764">
        <w:rPr>
          <w:rFonts w:ascii="Arial" w:hAnsi="Arial" w:cs="Arial"/>
        </w:rPr>
        <w:t>alza</w:t>
      </w:r>
      <w:r w:rsidR="00134857">
        <w:rPr>
          <w:rFonts w:ascii="Arial" w:hAnsi="Arial" w:cs="Arial"/>
        </w:rPr>
        <w:t xml:space="preserve"> e</w:t>
      </w:r>
      <w:r w:rsidR="00063764">
        <w:rPr>
          <w:rFonts w:ascii="Arial" w:hAnsi="Arial" w:cs="Arial"/>
        </w:rPr>
        <w:t>n</w:t>
      </w:r>
      <w:r w:rsidR="00134857">
        <w:rPr>
          <w:rFonts w:ascii="Arial" w:hAnsi="Arial" w:cs="Arial"/>
        </w:rPr>
        <w:t xml:space="preserve"> la violencia contra las mujeres durante el periodo de confinamiento por </w:t>
      </w:r>
      <w:r w:rsidR="00814CB5">
        <w:rPr>
          <w:rFonts w:ascii="Arial" w:hAnsi="Arial" w:cs="Arial"/>
        </w:rPr>
        <w:t xml:space="preserve">la </w:t>
      </w:r>
      <w:r w:rsidR="00335449">
        <w:rPr>
          <w:rFonts w:ascii="Arial" w:hAnsi="Arial" w:cs="Arial"/>
        </w:rPr>
        <w:t>COVID-</w:t>
      </w:r>
      <w:r w:rsidR="00134857">
        <w:rPr>
          <w:rFonts w:ascii="Arial" w:hAnsi="Arial" w:cs="Arial"/>
        </w:rPr>
        <w:t>19</w:t>
      </w:r>
      <w:r w:rsidR="00134857" w:rsidRPr="00134857">
        <w:rPr>
          <w:rFonts w:ascii="Arial" w:hAnsi="Arial" w:cs="Arial"/>
        </w:rPr>
        <w:t>.</w:t>
      </w:r>
    </w:p>
    <w:p w14:paraId="483B28BA" w14:textId="74A1E91E" w:rsidR="003B6D9F" w:rsidRDefault="00E069A7" w:rsidP="00CB1A69">
      <w:pPr>
        <w:spacing w:after="0" w:line="24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noProof/>
          <w:sz w:val="16"/>
          <w:szCs w:val="16"/>
        </w:rPr>
        <w:lastRenderedPageBreak/>
        <w:t xml:space="preserve"> </w:t>
      </w:r>
      <w:r w:rsidR="00FA4106">
        <w:rPr>
          <w:noProof/>
        </w:rPr>
        <w:drawing>
          <wp:inline distT="0" distB="0" distL="0" distR="0" wp14:anchorId="7DBDD8E5" wp14:editId="13A7F5B1">
            <wp:extent cx="5267325" cy="2714625"/>
            <wp:effectExtent l="0" t="0" r="9525" b="9525"/>
            <wp:docPr id="12" name="Gráfico 12">
              <a:extLst xmlns:a="http://schemas.openxmlformats.org/drawingml/2006/main">
                <a:ext uri="{FF2B5EF4-FFF2-40B4-BE49-F238E27FC236}">
                  <a16:creationId xmlns:a16="http://schemas.microsoft.com/office/drawing/2014/main" id="{A26D1839-6574-45B5-BB69-CF28CB0FD1C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5FE533B" w14:textId="77777777" w:rsidR="00987848" w:rsidRPr="00987848" w:rsidRDefault="00987848" w:rsidP="00987848">
      <w:pPr>
        <w:spacing w:after="0" w:line="240" w:lineRule="auto"/>
        <w:jc w:val="both"/>
        <w:rPr>
          <w:rFonts w:ascii="Arial" w:hAnsi="Arial" w:cs="Arial"/>
          <w:sz w:val="12"/>
          <w:szCs w:val="12"/>
        </w:rPr>
      </w:pPr>
      <w:r w:rsidRPr="00987848">
        <w:rPr>
          <w:rFonts w:ascii="Arial" w:hAnsi="Arial" w:cs="Arial"/>
          <w:sz w:val="12"/>
          <w:szCs w:val="12"/>
        </w:rPr>
        <w:t xml:space="preserve">FUENTE: INEGI. Censo Nacional de Procuración de Justicia Estatal, 2021. </w:t>
      </w:r>
    </w:p>
    <w:p w14:paraId="38CC00BC" w14:textId="4392B560" w:rsidR="00987848" w:rsidRPr="00987848" w:rsidRDefault="00987848" w:rsidP="00987848">
      <w:pPr>
        <w:spacing w:after="0" w:line="240" w:lineRule="auto"/>
        <w:jc w:val="both"/>
        <w:rPr>
          <w:rFonts w:ascii="Arial" w:hAnsi="Arial" w:cs="Arial"/>
          <w:sz w:val="12"/>
          <w:szCs w:val="12"/>
        </w:rPr>
      </w:pPr>
      <w:r w:rsidRPr="00987848">
        <w:rPr>
          <w:rFonts w:ascii="Arial" w:hAnsi="Arial" w:cs="Arial"/>
          <w:sz w:val="12"/>
          <w:szCs w:val="12"/>
        </w:rPr>
        <w:t xml:space="preserve">Nota:  Se muestran los diez principales delitos, de acuerdo con la mayor frecuencia de registros en 2020. </w:t>
      </w:r>
    </w:p>
    <w:p w14:paraId="15824F30" w14:textId="4324A9E5" w:rsidR="00E069A7" w:rsidRDefault="00E069A7" w:rsidP="00CB1A69">
      <w:pPr>
        <w:spacing w:after="0" w:line="240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14:paraId="301EF5A8" w14:textId="77777777" w:rsidR="006E1F91" w:rsidRDefault="006E1F91" w:rsidP="0098229F">
      <w:pPr>
        <w:spacing w:after="0" w:line="240" w:lineRule="auto"/>
        <w:ind w:left="-567" w:right="-516"/>
        <w:jc w:val="both"/>
        <w:rPr>
          <w:rFonts w:ascii="Arial" w:hAnsi="Arial" w:cs="Arial"/>
          <w:b/>
          <w:bCs/>
        </w:rPr>
      </w:pPr>
    </w:p>
    <w:p w14:paraId="0BB20C33" w14:textId="488BA3FD" w:rsidR="00AE68A7" w:rsidRPr="00AE68A7" w:rsidRDefault="00AE68A7" w:rsidP="0098229F">
      <w:pPr>
        <w:spacing w:after="0" w:line="240" w:lineRule="auto"/>
        <w:ind w:left="-567" w:right="-516"/>
        <w:jc w:val="both"/>
        <w:rPr>
          <w:rFonts w:ascii="Arial" w:hAnsi="Arial" w:cs="Arial"/>
          <w:b/>
          <w:bCs/>
        </w:rPr>
      </w:pPr>
      <w:r w:rsidRPr="00AE68A7">
        <w:rPr>
          <w:rFonts w:ascii="Arial" w:hAnsi="Arial" w:cs="Arial"/>
          <w:b/>
          <w:bCs/>
        </w:rPr>
        <w:t xml:space="preserve">Defunciones </w:t>
      </w:r>
      <w:r w:rsidR="00CF4FAE">
        <w:rPr>
          <w:rFonts w:ascii="Arial" w:hAnsi="Arial" w:cs="Arial"/>
          <w:b/>
          <w:bCs/>
        </w:rPr>
        <w:t xml:space="preserve">de mujeres </w:t>
      </w:r>
      <w:r w:rsidRPr="00AE68A7">
        <w:rPr>
          <w:rFonts w:ascii="Arial" w:hAnsi="Arial" w:cs="Arial"/>
          <w:b/>
          <w:bCs/>
        </w:rPr>
        <w:t>con presunción de homicidio</w:t>
      </w:r>
    </w:p>
    <w:p w14:paraId="2CD6A0CE" w14:textId="345B62C0" w:rsidR="00A80595" w:rsidRDefault="00822CD1" w:rsidP="0098229F">
      <w:pPr>
        <w:spacing w:after="0" w:line="240" w:lineRule="auto"/>
        <w:ind w:left="-567" w:right="-516"/>
        <w:jc w:val="both"/>
        <w:rPr>
          <w:rFonts w:ascii="Arial" w:hAnsi="Arial" w:cs="Arial"/>
        </w:rPr>
      </w:pPr>
      <w:r>
        <w:rPr>
          <w:rFonts w:ascii="Arial" w:hAnsi="Arial" w:cs="Arial"/>
        </w:rPr>
        <w:t>Por otro lado, a</w:t>
      </w:r>
      <w:r w:rsidRPr="009B6456">
        <w:rPr>
          <w:rFonts w:ascii="Arial" w:hAnsi="Arial" w:cs="Arial"/>
        </w:rPr>
        <w:t xml:space="preserve"> partir de las estadísticas de mortalidad </w:t>
      </w:r>
      <w:r>
        <w:rPr>
          <w:rFonts w:ascii="Arial" w:hAnsi="Arial" w:cs="Arial"/>
        </w:rPr>
        <w:t xml:space="preserve">del INEGI es posible aproximarse a las víctimas mortales por violencia </w:t>
      </w:r>
      <w:r w:rsidR="0056319A">
        <w:rPr>
          <w:rFonts w:ascii="Arial" w:hAnsi="Arial" w:cs="Arial"/>
        </w:rPr>
        <w:t>contra las mujeres</w:t>
      </w:r>
      <w:r>
        <w:rPr>
          <w:rFonts w:ascii="Arial" w:hAnsi="Arial" w:cs="Arial"/>
        </w:rPr>
        <w:t xml:space="preserve">, analizando las defunciones con presunción de homicidio. En el periodo 2014-2018 se observa un aumento importante para el total de </w:t>
      </w:r>
      <w:r w:rsidR="00F51A65">
        <w:rPr>
          <w:rFonts w:ascii="Arial" w:hAnsi="Arial" w:cs="Arial"/>
        </w:rPr>
        <w:t>presuntos homicidios</w:t>
      </w:r>
      <w:r>
        <w:rPr>
          <w:rFonts w:ascii="Arial" w:hAnsi="Arial" w:cs="Arial"/>
        </w:rPr>
        <w:t xml:space="preserve"> y una disminución en los últimos años, no obstante, para el caso de las mujeres se muestra un crecimiento </w:t>
      </w:r>
      <w:r w:rsidR="007556E4">
        <w:rPr>
          <w:rFonts w:ascii="Arial" w:hAnsi="Arial" w:cs="Arial"/>
        </w:rPr>
        <w:t>de</w:t>
      </w:r>
      <w:r w:rsidR="0056319A">
        <w:rPr>
          <w:rFonts w:ascii="Arial" w:hAnsi="Arial" w:cs="Arial"/>
        </w:rPr>
        <w:t xml:space="preserve"> 2015 </w:t>
      </w:r>
      <w:r w:rsidR="007556E4">
        <w:rPr>
          <w:rFonts w:ascii="Arial" w:hAnsi="Arial" w:cs="Arial"/>
        </w:rPr>
        <w:t>a</w:t>
      </w:r>
      <w:r w:rsidR="0056319A">
        <w:rPr>
          <w:rFonts w:ascii="Arial" w:hAnsi="Arial" w:cs="Arial"/>
        </w:rPr>
        <w:t xml:space="preserve"> 2020</w:t>
      </w:r>
      <w:r w:rsidR="00A80595">
        <w:rPr>
          <w:rFonts w:ascii="Arial" w:hAnsi="Arial" w:cs="Arial"/>
        </w:rPr>
        <w:t>.</w:t>
      </w:r>
    </w:p>
    <w:p w14:paraId="30E830AC" w14:textId="77777777" w:rsidR="00425933" w:rsidRPr="00A80595" w:rsidRDefault="00425933" w:rsidP="0098229F">
      <w:pPr>
        <w:spacing w:after="0" w:line="240" w:lineRule="auto"/>
        <w:ind w:left="-567" w:right="-516"/>
        <w:jc w:val="both"/>
        <w:rPr>
          <w:rFonts w:ascii="Arial" w:hAnsi="Arial" w:cs="Arial"/>
        </w:rPr>
      </w:pPr>
    </w:p>
    <w:p w14:paraId="7505A347" w14:textId="19E1F912" w:rsidR="005430C0" w:rsidRDefault="00A80595" w:rsidP="00E07773">
      <w:pPr>
        <w:spacing w:line="240" w:lineRule="auto"/>
        <w:jc w:val="both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012DFDCC" wp14:editId="208D934B">
            <wp:extent cx="5600700" cy="2657475"/>
            <wp:effectExtent l="0" t="0" r="0" b="9525"/>
            <wp:docPr id="9" name="Gráfico 9">
              <a:extLst xmlns:a="http://schemas.openxmlformats.org/drawingml/2006/main">
                <a:ext uri="{FF2B5EF4-FFF2-40B4-BE49-F238E27FC236}">
                  <a16:creationId xmlns:a16="http://schemas.microsoft.com/office/drawing/2014/main" id="{6A80BBD9-05B5-46FD-8B05-515CB7873A5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288EE1C" w14:textId="77777777" w:rsidR="00C90EB9" w:rsidRDefault="00822CD1" w:rsidP="0098229F">
      <w:pPr>
        <w:spacing w:line="240" w:lineRule="auto"/>
        <w:ind w:left="-567" w:right="-518"/>
        <w:jc w:val="both"/>
        <w:rPr>
          <w:rFonts w:ascii="Arial" w:hAnsi="Arial" w:cs="Arial"/>
        </w:rPr>
      </w:pPr>
      <w:r w:rsidRPr="005535B5">
        <w:rPr>
          <w:rFonts w:ascii="Arial" w:hAnsi="Arial" w:cs="Arial"/>
        </w:rPr>
        <w:t>Al analizar algunas de las características de las defunciones con presunción de homicidio por sexo se muestra un patrón diferenciado en términos</w:t>
      </w:r>
      <w:r w:rsidR="005535B5">
        <w:rPr>
          <w:rFonts w:ascii="Arial" w:hAnsi="Arial" w:cs="Arial"/>
        </w:rPr>
        <w:t xml:space="preserve"> del lugar de ocurrencia y los medios utilizados para cometer el homicidio</w:t>
      </w:r>
      <w:r w:rsidR="00CF4FAE">
        <w:rPr>
          <w:rFonts w:ascii="Arial" w:hAnsi="Arial" w:cs="Arial"/>
        </w:rPr>
        <w:t xml:space="preserve">; </w:t>
      </w:r>
      <w:r w:rsidR="005535B5">
        <w:rPr>
          <w:rFonts w:ascii="Arial" w:hAnsi="Arial" w:cs="Arial"/>
        </w:rPr>
        <w:t xml:space="preserve">con respecto al primero, </w:t>
      </w:r>
      <w:r w:rsidR="00190E92">
        <w:rPr>
          <w:rFonts w:ascii="Arial" w:hAnsi="Arial" w:cs="Arial"/>
        </w:rPr>
        <w:t>aun cuando</w:t>
      </w:r>
      <w:r w:rsidR="005535B5">
        <w:rPr>
          <w:rFonts w:ascii="Arial" w:hAnsi="Arial" w:cs="Arial"/>
        </w:rPr>
        <w:t xml:space="preserve"> en ambos casos, la mayor incidencia se presenta en la vía pública, </w:t>
      </w:r>
      <w:r w:rsidR="00E07773">
        <w:rPr>
          <w:rFonts w:ascii="Arial" w:hAnsi="Arial" w:cs="Arial"/>
        </w:rPr>
        <w:t xml:space="preserve">en el caso de las mujeres </w:t>
      </w:r>
      <w:r w:rsidR="00F51A65">
        <w:rPr>
          <w:rFonts w:ascii="Arial" w:hAnsi="Arial" w:cs="Arial"/>
        </w:rPr>
        <w:t>23</w:t>
      </w:r>
      <w:r w:rsidR="002A34BE">
        <w:rPr>
          <w:rFonts w:ascii="Arial" w:hAnsi="Arial" w:cs="Arial"/>
        </w:rPr>
        <w:t>.2</w:t>
      </w:r>
      <w:r w:rsidR="00204BBA">
        <w:rPr>
          <w:rFonts w:ascii="Arial" w:hAnsi="Arial" w:cs="Arial"/>
        </w:rPr>
        <w:t xml:space="preserve">% de los </w:t>
      </w:r>
      <w:r w:rsidR="00736C58">
        <w:rPr>
          <w:rFonts w:ascii="Arial" w:hAnsi="Arial" w:cs="Arial"/>
        </w:rPr>
        <w:t>homicidios</w:t>
      </w:r>
      <w:r w:rsidR="00204BBA">
        <w:rPr>
          <w:rFonts w:ascii="Arial" w:hAnsi="Arial" w:cs="Arial"/>
        </w:rPr>
        <w:t xml:space="preserve"> ocurre en la vivienda</w:t>
      </w:r>
      <w:r w:rsidR="00D06FA5">
        <w:rPr>
          <w:rFonts w:ascii="Arial" w:hAnsi="Arial" w:cs="Arial"/>
        </w:rPr>
        <w:t>,</w:t>
      </w:r>
      <w:r w:rsidR="00D845EE">
        <w:rPr>
          <w:rFonts w:ascii="Arial" w:hAnsi="Arial" w:cs="Arial"/>
        </w:rPr>
        <w:t xml:space="preserve"> mientras que para los hombres </w:t>
      </w:r>
      <w:r w:rsidR="00D06FA5">
        <w:rPr>
          <w:rFonts w:ascii="Arial" w:hAnsi="Arial" w:cs="Arial"/>
        </w:rPr>
        <w:t>representa el 10</w:t>
      </w:r>
      <w:r w:rsidR="00F51A65">
        <w:rPr>
          <w:rFonts w:ascii="Arial" w:hAnsi="Arial" w:cs="Arial"/>
        </w:rPr>
        <w:t>.</w:t>
      </w:r>
      <w:r w:rsidR="002A34BE">
        <w:rPr>
          <w:rFonts w:ascii="Arial" w:hAnsi="Arial" w:cs="Arial"/>
        </w:rPr>
        <w:t>6</w:t>
      </w:r>
      <w:r w:rsidR="00D06FA5">
        <w:rPr>
          <w:rFonts w:ascii="Arial" w:hAnsi="Arial" w:cs="Arial"/>
        </w:rPr>
        <w:t>% de los casos.</w:t>
      </w:r>
      <w:r w:rsidR="00736C58">
        <w:rPr>
          <w:rFonts w:ascii="Arial" w:hAnsi="Arial" w:cs="Arial"/>
        </w:rPr>
        <w:t xml:space="preserve"> Estas diferencias se encuentran </w:t>
      </w:r>
      <w:r w:rsidR="006F2919">
        <w:rPr>
          <w:rFonts w:ascii="Arial" w:hAnsi="Arial" w:cs="Arial"/>
        </w:rPr>
        <w:t>en línea con lo mencionado previamente, de la mayor presencia de las mujeres en los hogares</w:t>
      </w:r>
      <w:r w:rsidR="00895A15">
        <w:rPr>
          <w:rFonts w:ascii="Arial" w:hAnsi="Arial" w:cs="Arial"/>
        </w:rPr>
        <w:t xml:space="preserve"> realizando actividades de crianza y cuidado</w:t>
      </w:r>
      <w:r w:rsidR="000A7D06">
        <w:rPr>
          <w:rFonts w:ascii="Arial" w:hAnsi="Arial" w:cs="Arial"/>
        </w:rPr>
        <w:t>, por otra parte</w:t>
      </w:r>
      <w:r w:rsidR="00720D45">
        <w:rPr>
          <w:rFonts w:ascii="Arial" w:hAnsi="Arial" w:cs="Arial"/>
        </w:rPr>
        <w:t>,</w:t>
      </w:r>
      <w:r w:rsidR="000A7D06">
        <w:rPr>
          <w:rFonts w:ascii="Arial" w:hAnsi="Arial" w:cs="Arial"/>
        </w:rPr>
        <w:t xml:space="preserve"> esta alta incidencia podría explicar la mayor percepción de inseguridad en este espacio </w:t>
      </w:r>
      <w:r w:rsidR="00720D45">
        <w:rPr>
          <w:rFonts w:ascii="Arial" w:hAnsi="Arial" w:cs="Arial"/>
        </w:rPr>
        <w:t xml:space="preserve">mostrada anteriormente. </w:t>
      </w:r>
    </w:p>
    <w:p w14:paraId="19258C8E" w14:textId="36CC6200" w:rsidR="00822CD1" w:rsidRPr="005535B5" w:rsidRDefault="00720D45" w:rsidP="0098229F">
      <w:pPr>
        <w:spacing w:line="240" w:lineRule="auto"/>
        <w:ind w:left="-567" w:right="-51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En cuanto a los medios utilizados en el homicidio</w:t>
      </w:r>
      <w:r w:rsidR="00685F77">
        <w:rPr>
          <w:rFonts w:ascii="Arial" w:hAnsi="Arial" w:cs="Arial"/>
        </w:rPr>
        <w:t>, el arma de fuego</w:t>
      </w:r>
      <w:r w:rsidR="002E18F7">
        <w:rPr>
          <w:rFonts w:ascii="Arial" w:hAnsi="Arial" w:cs="Arial"/>
        </w:rPr>
        <w:t xml:space="preserve"> es utilizada en más de la mitad de este tipo de defunciones, </w:t>
      </w:r>
      <w:r w:rsidR="007D487C">
        <w:rPr>
          <w:rFonts w:ascii="Arial" w:hAnsi="Arial" w:cs="Arial"/>
        </w:rPr>
        <w:t xml:space="preserve">sin embargo, </w:t>
      </w:r>
      <w:r w:rsidR="00F00E23">
        <w:rPr>
          <w:rFonts w:ascii="Arial" w:hAnsi="Arial" w:cs="Arial"/>
        </w:rPr>
        <w:t>el uso de la fuerza a través d</w:t>
      </w:r>
      <w:r w:rsidR="007D487C">
        <w:rPr>
          <w:rFonts w:ascii="Arial" w:hAnsi="Arial" w:cs="Arial"/>
        </w:rPr>
        <w:t>el ahorcamiento, estrangulamiento y sofocación representa 15</w:t>
      </w:r>
      <w:r w:rsidR="00880F2D">
        <w:rPr>
          <w:rFonts w:ascii="Arial" w:hAnsi="Arial" w:cs="Arial"/>
        </w:rPr>
        <w:t>.</w:t>
      </w:r>
      <w:r w:rsidR="002A5223">
        <w:rPr>
          <w:rFonts w:ascii="Arial" w:hAnsi="Arial" w:cs="Arial"/>
        </w:rPr>
        <w:t>3</w:t>
      </w:r>
      <w:r w:rsidR="007D487C">
        <w:rPr>
          <w:rFonts w:ascii="Arial" w:hAnsi="Arial" w:cs="Arial"/>
        </w:rPr>
        <w:t xml:space="preserve">% de los casos en mujeres, </w:t>
      </w:r>
      <w:r w:rsidR="00FE0266">
        <w:rPr>
          <w:rFonts w:ascii="Arial" w:hAnsi="Arial" w:cs="Arial"/>
        </w:rPr>
        <w:t xml:space="preserve">mostrando una diferencia </w:t>
      </w:r>
      <w:r w:rsidR="00505A6E">
        <w:rPr>
          <w:rFonts w:ascii="Arial" w:hAnsi="Arial" w:cs="Arial"/>
        </w:rPr>
        <w:t>notoria</w:t>
      </w:r>
      <w:r w:rsidR="00FE0266">
        <w:rPr>
          <w:rFonts w:ascii="Arial" w:hAnsi="Arial" w:cs="Arial"/>
        </w:rPr>
        <w:t xml:space="preserve"> con los hombres en donde</w:t>
      </w:r>
      <w:r w:rsidR="00866F88">
        <w:rPr>
          <w:rFonts w:ascii="Arial" w:hAnsi="Arial" w:cs="Arial"/>
        </w:rPr>
        <w:t xml:space="preserve"> </w:t>
      </w:r>
      <w:r w:rsidR="00F51A65">
        <w:rPr>
          <w:rFonts w:ascii="Arial" w:hAnsi="Arial" w:cs="Arial"/>
        </w:rPr>
        <w:t>este medio</w:t>
      </w:r>
      <w:r w:rsidR="0084528A">
        <w:rPr>
          <w:rFonts w:ascii="Arial" w:hAnsi="Arial" w:cs="Arial"/>
        </w:rPr>
        <w:t xml:space="preserve"> </w:t>
      </w:r>
      <w:r w:rsidR="00F51A65">
        <w:rPr>
          <w:rFonts w:ascii="Arial" w:hAnsi="Arial" w:cs="Arial"/>
        </w:rPr>
        <w:t xml:space="preserve">para llevar a cabo el homicidio </w:t>
      </w:r>
      <w:r w:rsidR="00B15CBD">
        <w:rPr>
          <w:rFonts w:ascii="Arial" w:hAnsi="Arial" w:cs="Arial"/>
        </w:rPr>
        <w:t xml:space="preserve">representa </w:t>
      </w:r>
      <w:r w:rsidR="00866F88">
        <w:rPr>
          <w:rFonts w:ascii="Arial" w:hAnsi="Arial" w:cs="Arial"/>
        </w:rPr>
        <w:t>6.</w:t>
      </w:r>
      <w:r w:rsidR="002A5223">
        <w:rPr>
          <w:rFonts w:ascii="Arial" w:hAnsi="Arial" w:cs="Arial"/>
        </w:rPr>
        <w:t>8</w:t>
      </w:r>
      <w:r w:rsidR="00866F88">
        <w:rPr>
          <w:rFonts w:ascii="Arial" w:hAnsi="Arial" w:cs="Arial"/>
        </w:rPr>
        <w:t>% de los casos.</w:t>
      </w:r>
    </w:p>
    <w:p w14:paraId="2441876D" w14:textId="73EC6117" w:rsidR="00D9004F" w:rsidRDefault="00F51A65" w:rsidP="007451C3">
      <w:pPr>
        <w:spacing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7451C3">
        <w:rPr>
          <w:rFonts w:ascii="Arial" w:hAnsi="Arial" w:cs="Arial"/>
          <w:b/>
          <w:bCs/>
          <w:sz w:val="18"/>
          <w:szCs w:val="18"/>
        </w:rPr>
        <w:t>Distribución porcentual de las d</w:t>
      </w:r>
      <w:r w:rsidR="00822CD1" w:rsidRPr="007451C3">
        <w:rPr>
          <w:rFonts w:ascii="Arial" w:hAnsi="Arial" w:cs="Arial"/>
          <w:b/>
          <w:bCs/>
          <w:sz w:val="18"/>
          <w:szCs w:val="18"/>
        </w:rPr>
        <w:t>efunciones con presunción de homicidio por luga</w:t>
      </w:r>
      <w:r w:rsidR="00F756D9" w:rsidRPr="007451C3">
        <w:rPr>
          <w:rFonts w:ascii="Arial" w:hAnsi="Arial" w:cs="Arial"/>
          <w:b/>
          <w:bCs/>
          <w:sz w:val="18"/>
          <w:szCs w:val="18"/>
        </w:rPr>
        <w:t>r</w:t>
      </w:r>
      <w:r w:rsidR="00822CD1" w:rsidRPr="007451C3">
        <w:rPr>
          <w:rFonts w:ascii="Arial" w:hAnsi="Arial" w:cs="Arial"/>
          <w:b/>
          <w:bCs/>
          <w:sz w:val="18"/>
          <w:szCs w:val="18"/>
        </w:rPr>
        <w:t xml:space="preserve"> de ocurrencia de la lesión, medio utilizado y sexo,</w:t>
      </w:r>
      <w:r w:rsidR="000B3EC3" w:rsidRPr="007451C3">
        <w:rPr>
          <w:rFonts w:ascii="Arial" w:hAnsi="Arial" w:cs="Arial"/>
          <w:b/>
          <w:bCs/>
          <w:sz w:val="18"/>
          <w:szCs w:val="18"/>
        </w:rPr>
        <w:t xml:space="preserve"> </w:t>
      </w:r>
      <w:r w:rsidR="00822CD1" w:rsidRPr="007451C3">
        <w:rPr>
          <w:rFonts w:ascii="Arial" w:hAnsi="Arial" w:cs="Arial"/>
          <w:b/>
          <w:bCs/>
          <w:sz w:val="18"/>
          <w:szCs w:val="18"/>
        </w:rPr>
        <w:t>2020</w:t>
      </w:r>
      <w:r w:rsidR="00C63AA9" w:rsidRPr="007451C3">
        <w:rPr>
          <w:rFonts w:ascii="Arial" w:hAnsi="Arial" w:cs="Arial"/>
          <w:b/>
          <w:bCs/>
          <w:sz w:val="18"/>
          <w:szCs w:val="18"/>
        </w:rPr>
        <w:tab/>
      </w:r>
      <w:r w:rsidR="00C63AA9" w:rsidRPr="007451C3">
        <w:rPr>
          <w:rFonts w:ascii="Arial" w:hAnsi="Arial" w:cs="Arial"/>
          <w:b/>
          <w:bCs/>
          <w:sz w:val="18"/>
          <w:szCs w:val="18"/>
        </w:rPr>
        <w:tab/>
      </w:r>
      <w:r w:rsidR="00F756D9" w:rsidRPr="007451C3">
        <w:rPr>
          <w:rFonts w:ascii="Arial" w:hAnsi="Arial" w:cs="Arial"/>
          <w:b/>
          <w:bCs/>
          <w:sz w:val="18"/>
          <w:szCs w:val="18"/>
        </w:rPr>
        <w:tab/>
      </w:r>
      <w:r w:rsidR="007451C3"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             </w:t>
      </w:r>
      <w:r w:rsidR="000B3EC3" w:rsidRPr="007451C3">
        <w:rPr>
          <w:rFonts w:ascii="Arial" w:hAnsi="Arial" w:cs="Arial"/>
          <w:b/>
          <w:bCs/>
          <w:sz w:val="18"/>
          <w:szCs w:val="18"/>
        </w:rPr>
        <w:t xml:space="preserve">Gráfica </w:t>
      </w:r>
      <w:r w:rsidR="001F5BCC" w:rsidRPr="007451C3">
        <w:rPr>
          <w:rFonts w:ascii="Arial" w:hAnsi="Arial" w:cs="Arial"/>
          <w:b/>
          <w:bCs/>
          <w:sz w:val="18"/>
          <w:szCs w:val="18"/>
        </w:rPr>
        <w:t>6</w:t>
      </w:r>
    </w:p>
    <w:p w14:paraId="0762E5A6" w14:textId="63C24FC9" w:rsidR="005E601E" w:rsidRPr="00411462" w:rsidRDefault="005E601E" w:rsidP="007451C3">
      <w:pPr>
        <w:spacing w:line="240" w:lineRule="auto"/>
        <w:jc w:val="both"/>
        <w:rPr>
          <w:rFonts w:ascii="Arial" w:hAnsi="Arial" w:cs="Arial"/>
          <w:sz w:val="14"/>
          <w:szCs w:val="14"/>
        </w:rPr>
      </w:pPr>
      <w:r>
        <w:rPr>
          <w:noProof/>
        </w:rPr>
        <w:drawing>
          <wp:inline distT="0" distB="0" distL="0" distR="0" wp14:anchorId="48A9A7FF" wp14:editId="533741D0">
            <wp:extent cx="2785110" cy="2912538"/>
            <wp:effectExtent l="0" t="0" r="15240" b="2540"/>
            <wp:docPr id="5" name="Gráfico 5">
              <a:extLst xmlns:a="http://schemas.openxmlformats.org/drawingml/2006/main">
                <a:ext uri="{FF2B5EF4-FFF2-40B4-BE49-F238E27FC236}">
                  <a16:creationId xmlns:a16="http://schemas.microsoft.com/office/drawing/2014/main" id="{66EA2DD3-7523-4F2D-9DFF-930227188C2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="00BD4491">
        <w:rPr>
          <w:noProof/>
        </w:rPr>
        <w:drawing>
          <wp:inline distT="0" distB="0" distL="0" distR="0" wp14:anchorId="307BBC1F" wp14:editId="09E4AB66">
            <wp:extent cx="2583180" cy="2912243"/>
            <wp:effectExtent l="0" t="0" r="7620" b="2540"/>
            <wp:docPr id="6" name="Gráfico 6">
              <a:extLst xmlns:a="http://schemas.openxmlformats.org/drawingml/2006/main">
                <a:ext uri="{FF2B5EF4-FFF2-40B4-BE49-F238E27FC236}">
                  <a16:creationId xmlns:a16="http://schemas.microsoft.com/office/drawing/2014/main" id="{4F6688FB-6CE4-43EF-8FA9-3A640C118EB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205D6FC6" w14:textId="208AC929" w:rsidR="00AE178B" w:rsidRDefault="0008220C" w:rsidP="002D4808">
      <w:pPr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</w:t>
      </w:r>
    </w:p>
    <w:p w14:paraId="787F79E7" w14:textId="1428650B" w:rsidR="00D93E35" w:rsidRDefault="00CF4FAE" w:rsidP="006E1F91">
      <w:pPr>
        <w:spacing w:line="240" w:lineRule="auto"/>
        <w:ind w:left="-567" w:right="-5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Las </w:t>
      </w:r>
      <w:r w:rsidR="00D93E35" w:rsidRPr="009B6456">
        <w:rPr>
          <w:rFonts w:ascii="Arial" w:hAnsi="Arial" w:cs="Arial"/>
        </w:rPr>
        <w:t>encuestas de victimización y seguridad pública</w:t>
      </w:r>
      <w:r>
        <w:rPr>
          <w:rFonts w:ascii="Arial" w:hAnsi="Arial" w:cs="Arial"/>
        </w:rPr>
        <w:t xml:space="preserve">, así como </w:t>
      </w:r>
      <w:r w:rsidR="00D93E35">
        <w:rPr>
          <w:rFonts w:ascii="Arial" w:hAnsi="Arial" w:cs="Arial"/>
        </w:rPr>
        <w:t>los censos de gobierno</w:t>
      </w:r>
      <w:r>
        <w:rPr>
          <w:rFonts w:ascii="Arial" w:hAnsi="Arial" w:cs="Arial"/>
        </w:rPr>
        <w:t>, permiten</w:t>
      </w:r>
      <w:r w:rsidR="00546A21">
        <w:rPr>
          <w:rFonts w:ascii="Arial" w:hAnsi="Arial" w:cs="Arial"/>
        </w:rPr>
        <w:t xml:space="preserve"> </w:t>
      </w:r>
      <w:r w:rsidR="00D93E35" w:rsidRPr="009B6456">
        <w:rPr>
          <w:rFonts w:ascii="Arial" w:hAnsi="Arial" w:cs="Arial"/>
        </w:rPr>
        <w:t xml:space="preserve">visibilizar </w:t>
      </w:r>
      <w:r w:rsidR="00D93E35">
        <w:rPr>
          <w:rFonts w:ascii="Arial" w:hAnsi="Arial" w:cs="Arial"/>
        </w:rPr>
        <w:t xml:space="preserve">la vulnerabilidad y </w:t>
      </w:r>
      <w:r w:rsidR="00D93E35" w:rsidRPr="009B6456">
        <w:rPr>
          <w:rFonts w:ascii="Arial" w:hAnsi="Arial" w:cs="Arial"/>
        </w:rPr>
        <w:t>la constante percepción de inseguridad de las mujeres</w:t>
      </w:r>
      <w:r>
        <w:rPr>
          <w:rFonts w:ascii="Arial" w:hAnsi="Arial" w:cs="Arial"/>
        </w:rPr>
        <w:t xml:space="preserve"> e identifican </w:t>
      </w:r>
      <w:r w:rsidR="00D93E35" w:rsidRPr="009B6456">
        <w:rPr>
          <w:rFonts w:ascii="Arial" w:hAnsi="Arial" w:cs="Arial"/>
        </w:rPr>
        <w:t xml:space="preserve">focos rojos </w:t>
      </w:r>
      <w:r>
        <w:rPr>
          <w:rFonts w:ascii="Arial" w:hAnsi="Arial" w:cs="Arial"/>
        </w:rPr>
        <w:t xml:space="preserve">que deben ser </w:t>
      </w:r>
      <w:r w:rsidR="00D93E35" w:rsidRPr="009B6456">
        <w:rPr>
          <w:rFonts w:ascii="Arial" w:hAnsi="Arial" w:cs="Arial"/>
        </w:rPr>
        <w:t xml:space="preserve">atendidos para garantizar una vida libre de violencia </w:t>
      </w:r>
      <w:r w:rsidR="00482E8C">
        <w:rPr>
          <w:rFonts w:ascii="Arial" w:hAnsi="Arial" w:cs="Arial"/>
        </w:rPr>
        <w:t>contra las mujeres</w:t>
      </w:r>
      <w:r w:rsidR="00D93E35" w:rsidRPr="009B6456">
        <w:rPr>
          <w:rFonts w:ascii="Arial" w:hAnsi="Arial" w:cs="Arial"/>
        </w:rPr>
        <w:t>.</w:t>
      </w:r>
      <w:r w:rsidR="00D93E35" w:rsidRPr="00822CD1">
        <w:rPr>
          <w:rFonts w:ascii="Arial" w:hAnsi="Arial" w:cs="Arial"/>
        </w:rPr>
        <w:t xml:space="preserve"> </w:t>
      </w:r>
    </w:p>
    <w:p w14:paraId="555D547F" w14:textId="065B0121" w:rsidR="00D93E35" w:rsidRDefault="00D93E35" w:rsidP="0086020E">
      <w:pPr>
        <w:jc w:val="center"/>
        <w:rPr>
          <w:noProof/>
        </w:rPr>
      </w:pPr>
    </w:p>
    <w:p w14:paraId="6C46FC51" w14:textId="63F61F0E" w:rsidR="006E1F91" w:rsidRPr="006E1F91" w:rsidRDefault="006E1F91" w:rsidP="0086020E">
      <w:pPr>
        <w:jc w:val="center"/>
        <w:rPr>
          <w:rFonts w:ascii="Arial" w:hAnsi="Arial" w:cs="Arial"/>
          <w:b/>
          <w:sz w:val="24"/>
          <w:szCs w:val="24"/>
        </w:rPr>
      </w:pPr>
      <w:r w:rsidRPr="006E1F91">
        <w:rPr>
          <w:rFonts w:ascii="Arial" w:hAnsi="Arial" w:cs="Arial"/>
          <w:b/>
          <w:sz w:val="24"/>
          <w:szCs w:val="24"/>
        </w:rPr>
        <w:t>-</w:t>
      </w:r>
      <w:proofErr w:type="spellStart"/>
      <w:r w:rsidRPr="006E1F91">
        <w:rPr>
          <w:rFonts w:ascii="Arial" w:hAnsi="Arial" w:cs="Arial"/>
          <w:b/>
          <w:sz w:val="24"/>
          <w:szCs w:val="24"/>
        </w:rPr>
        <w:t>oOo</w:t>
      </w:r>
      <w:proofErr w:type="spellEnd"/>
      <w:r w:rsidRPr="006E1F91">
        <w:rPr>
          <w:rFonts w:ascii="Arial" w:hAnsi="Arial" w:cs="Arial"/>
          <w:b/>
          <w:sz w:val="24"/>
          <w:szCs w:val="24"/>
        </w:rPr>
        <w:t>-</w:t>
      </w:r>
    </w:p>
    <w:p w14:paraId="2B291677" w14:textId="624F9CE2" w:rsidR="006E1F91" w:rsidRDefault="006E1F91" w:rsidP="0086020E">
      <w:pPr>
        <w:jc w:val="center"/>
        <w:rPr>
          <w:rFonts w:ascii="Arial" w:hAnsi="Arial" w:cs="Arial"/>
          <w:sz w:val="14"/>
          <w:szCs w:val="14"/>
        </w:rPr>
      </w:pPr>
    </w:p>
    <w:p w14:paraId="482E61A0" w14:textId="77777777" w:rsidR="006E1F91" w:rsidRDefault="006E1F91" w:rsidP="006E1F91">
      <w:pPr>
        <w:spacing w:line="280" w:lineRule="exact"/>
        <w:ind w:left="-397" w:right="-510"/>
        <w:contextualSpacing/>
        <w:jc w:val="center"/>
        <w:rPr>
          <w:rFonts w:ascii="Arial" w:hAnsi="Arial" w:cs="Arial"/>
          <w:b/>
          <w:bCs/>
        </w:rPr>
      </w:pPr>
    </w:p>
    <w:p w14:paraId="36640128" w14:textId="77777777" w:rsidR="006E1F91" w:rsidRDefault="006E1F91" w:rsidP="006E1F91">
      <w:pPr>
        <w:spacing w:line="280" w:lineRule="exact"/>
        <w:ind w:left="-397" w:right="-510"/>
        <w:contextualSpacing/>
        <w:jc w:val="center"/>
        <w:rPr>
          <w:rFonts w:ascii="Arial" w:hAnsi="Arial" w:cs="Arial"/>
          <w:b/>
          <w:bCs/>
        </w:rPr>
      </w:pPr>
    </w:p>
    <w:p w14:paraId="358D20B1" w14:textId="77777777" w:rsidR="006E1F91" w:rsidRPr="00662598" w:rsidRDefault="006E1F91" w:rsidP="006E1F91">
      <w:pPr>
        <w:spacing w:line="280" w:lineRule="exact"/>
        <w:ind w:left="-397" w:right="-510"/>
        <w:contextualSpacing/>
        <w:jc w:val="center"/>
        <w:rPr>
          <w:rFonts w:ascii="Arial" w:hAnsi="Arial" w:cs="Arial"/>
          <w:b/>
          <w:bCs/>
        </w:rPr>
      </w:pPr>
    </w:p>
    <w:p w14:paraId="022BF2E2" w14:textId="77777777" w:rsidR="006E1F91" w:rsidRPr="0075224A" w:rsidRDefault="006E1F91" w:rsidP="006E1F91">
      <w:pPr>
        <w:pStyle w:val="NormalWeb"/>
        <w:spacing w:before="0" w:beforeAutospacing="0" w:after="0" w:afterAutospacing="0" w:line="280" w:lineRule="exact"/>
        <w:ind w:left="-397" w:right="-510"/>
        <w:jc w:val="center"/>
        <w:rPr>
          <w:rFonts w:ascii="Arial" w:hAnsi="Arial" w:cs="Arial"/>
          <w:sz w:val="22"/>
          <w:szCs w:val="22"/>
        </w:rPr>
      </w:pPr>
      <w:r w:rsidRPr="0075224A">
        <w:rPr>
          <w:rFonts w:ascii="Arial" w:hAnsi="Arial" w:cs="Arial"/>
          <w:sz w:val="22"/>
          <w:szCs w:val="22"/>
        </w:rPr>
        <w:t xml:space="preserve">Para consultas de medios de comunicación, contactar a: </w:t>
      </w:r>
      <w:hyperlink r:id="rId15" w:history="1">
        <w:r w:rsidRPr="0075224A">
          <w:rPr>
            <w:rStyle w:val="Hipervnculo"/>
            <w:rFonts w:ascii="Arial" w:hAnsi="Arial" w:cs="Arial"/>
            <w:sz w:val="22"/>
            <w:szCs w:val="22"/>
          </w:rPr>
          <w:t>comunicacionsocial@inegi.org.mx</w:t>
        </w:r>
      </w:hyperlink>
    </w:p>
    <w:p w14:paraId="6B116DA3" w14:textId="77777777" w:rsidR="006E1F91" w:rsidRDefault="006E1F91" w:rsidP="006E1F91">
      <w:pPr>
        <w:pStyle w:val="NormalWeb"/>
        <w:spacing w:before="0" w:beforeAutospacing="0" w:after="0" w:afterAutospacing="0" w:line="280" w:lineRule="exact"/>
        <w:ind w:left="-397" w:right="-510"/>
        <w:jc w:val="center"/>
        <w:rPr>
          <w:rFonts w:ascii="Arial" w:hAnsi="Arial" w:cs="Arial"/>
          <w:sz w:val="22"/>
          <w:szCs w:val="22"/>
        </w:rPr>
      </w:pPr>
      <w:r w:rsidRPr="0075224A">
        <w:rPr>
          <w:rFonts w:ascii="Arial" w:hAnsi="Arial" w:cs="Arial"/>
          <w:sz w:val="22"/>
          <w:szCs w:val="22"/>
        </w:rPr>
        <w:t xml:space="preserve">o llamar al teléfono (55) 52-78-10-00, </w:t>
      </w:r>
      <w:proofErr w:type="spellStart"/>
      <w:r w:rsidRPr="0075224A">
        <w:rPr>
          <w:rFonts w:ascii="Arial" w:hAnsi="Arial" w:cs="Arial"/>
          <w:sz w:val="22"/>
          <w:szCs w:val="22"/>
        </w:rPr>
        <w:t>exts</w:t>
      </w:r>
      <w:proofErr w:type="spellEnd"/>
      <w:r w:rsidRPr="0075224A">
        <w:rPr>
          <w:rFonts w:ascii="Arial" w:hAnsi="Arial" w:cs="Arial"/>
          <w:sz w:val="22"/>
          <w:szCs w:val="22"/>
        </w:rPr>
        <w:t>. 1134, 1260 y 1241.</w:t>
      </w:r>
    </w:p>
    <w:p w14:paraId="16A8067F" w14:textId="77777777" w:rsidR="006E1F91" w:rsidRPr="0075224A" w:rsidRDefault="006E1F91" w:rsidP="006E1F91">
      <w:pPr>
        <w:pStyle w:val="NormalWeb"/>
        <w:spacing w:before="0" w:beforeAutospacing="0" w:after="0" w:afterAutospacing="0" w:line="280" w:lineRule="exact"/>
        <w:ind w:left="-397" w:right="-510"/>
        <w:jc w:val="center"/>
        <w:rPr>
          <w:rFonts w:ascii="Arial" w:hAnsi="Arial" w:cs="Arial"/>
          <w:sz w:val="22"/>
          <w:szCs w:val="22"/>
        </w:rPr>
      </w:pPr>
    </w:p>
    <w:p w14:paraId="470DFF7E" w14:textId="77777777" w:rsidR="006E1F91" w:rsidRPr="0075224A" w:rsidRDefault="006E1F91" w:rsidP="006E1F91">
      <w:pPr>
        <w:spacing w:line="280" w:lineRule="exact"/>
        <w:ind w:left="-397" w:right="-510"/>
        <w:jc w:val="center"/>
        <w:rPr>
          <w:rFonts w:ascii="Arial" w:hAnsi="Arial" w:cs="Arial"/>
        </w:rPr>
      </w:pPr>
      <w:r w:rsidRPr="0075224A">
        <w:rPr>
          <w:rFonts w:ascii="Arial" w:hAnsi="Arial" w:cs="Arial"/>
        </w:rPr>
        <w:t>Dirección de Atención a Medios/ Dirección General Adjunta de Comunicación.</w:t>
      </w:r>
    </w:p>
    <w:p w14:paraId="7F0F57F1" w14:textId="77777777" w:rsidR="006E1F91" w:rsidRPr="00662598" w:rsidRDefault="006E1F91" w:rsidP="006E1F91">
      <w:pPr>
        <w:spacing w:line="280" w:lineRule="exact"/>
        <w:ind w:left="-425" w:right="-516"/>
        <w:contextualSpacing/>
        <w:rPr>
          <w:rFonts w:ascii="Arial" w:hAnsi="Arial" w:cs="Arial"/>
          <w:b/>
          <w:bCs/>
        </w:rPr>
      </w:pPr>
    </w:p>
    <w:p w14:paraId="0AADAA38" w14:textId="77777777" w:rsidR="006E1F91" w:rsidRPr="00662598" w:rsidRDefault="006E1F91" w:rsidP="006E1F91">
      <w:pPr>
        <w:jc w:val="center"/>
        <w:rPr>
          <w:noProof/>
        </w:rPr>
      </w:pPr>
      <w:r w:rsidRPr="00662598">
        <w:rPr>
          <w:noProof/>
        </w:rPr>
        <w:drawing>
          <wp:inline distT="0" distB="0" distL="0" distR="0" wp14:anchorId="4367EEF3" wp14:editId="0546BA7F">
            <wp:extent cx="310356" cy="323850"/>
            <wp:effectExtent l="0" t="0" r="0" b="0"/>
            <wp:docPr id="22" name="Imagen 22" descr="C:\Users\saladeprensa\Desktop\NVOS LOGOS\F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328" cy="325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2598">
        <w:rPr>
          <w:noProof/>
        </w:rPr>
        <w:t xml:space="preserve"> </w:t>
      </w:r>
      <w:r w:rsidRPr="00662598">
        <w:rPr>
          <w:noProof/>
        </w:rPr>
        <w:drawing>
          <wp:inline distT="0" distB="0" distL="0" distR="0" wp14:anchorId="056D41ED" wp14:editId="4B86E5E2">
            <wp:extent cx="314325" cy="314325"/>
            <wp:effectExtent l="0" t="0" r="9525" b="9525"/>
            <wp:docPr id="23" name="Imagen 23" descr="C:\Users\saladeprensa\Desktop\NVOS LOGOS\I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2598">
        <w:rPr>
          <w:noProof/>
        </w:rPr>
        <w:t xml:space="preserve"> </w:t>
      </w:r>
      <w:r w:rsidRPr="00662598">
        <w:rPr>
          <w:noProof/>
        </w:rPr>
        <w:drawing>
          <wp:inline distT="0" distB="0" distL="0" distR="0" wp14:anchorId="112DDF34" wp14:editId="27D88809">
            <wp:extent cx="323850" cy="323850"/>
            <wp:effectExtent l="0" t="0" r="0" b="0"/>
            <wp:docPr id="11" name="Imagen 11" descr="C:\Users\saladeprensa\Desktop\NVOS LOGOS\T.jp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2598">
        <w:rPr>
          <w:noProof/>
        </w:rPr>
        <w:t xml:space="preserve"> </w:t>
      </w:r>
      <w:r w:rsidRPr="00662598">
        <w:rPr>
          <w:noProof/>
        </w:rPr>
        <w:drawing>
          <wp:inline distT="0" distB="0" distL="0" distR="0" wp14:anchorId="38E79950" wp14:editId="27F155F3">
            <wp:extent cx="323850" cy="323850"/>
            <wp:effectExtent l="0" t="0" r="0" b="0"/>
            <wp:docPr id="13" name="Imagen 13" descr="C:\Users\saladeprensa\Desktop\NVOS LOGOS\Y.jp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2598">
        <w:rPr>
          <w:noProof/>
        </w:rPr>
        <w:t xml:space="preserve">  </w:t>
      </w:r>
      <w:r w:rsidRPr="00662598">
        <w:rPr>
          <w:noProof/>
          <w:sz w:val="14"/>
          <w:szCs w:val="18"/>
        </w:rPr>
        <w:drawing>
          <wp:inline distT="0" distB="0" distL="0" distR="0" wp14:anchorId="707B147B" wp14:editId="3CCD9E48">
            <wp:extent cx="2286000" cy="274320"/>
            <wp:effectExtent l="0" t="0" r="0" b="0"/>
            <wp:docPr id="25" name="Imagen 25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427926" w14:textId="77777777" w:rsidR="006E1F91" w:rsidRDefault="006E1F91" w:rsidP="0086020E">
      <w:pPr>
        <w:jc w:val="center"/>
        <w:rPr>
          <w:rFonts w:ascii="Arial" w:hAnsi="Arial" w:cs="Arial"/>
          <w:sz w:val="14"/>
          <w:szCs w:val="14"/>
        </w:rPr>
      </w:pPr>
    </w:p>
    <w:p w14:paraId="7C25EC34" w14:textId="75A9904D" w:rsidR="00AE178B" w:rsidRPr="00255803" w:rsidRDefault="00AE178B" w:rsidP="005B4D1D">
      <w:pPr>
        <w:jc w:val="center"/>
        <w:rPr>
          <w:rFonts w:ascii="Arial" w:hAnsi="Arial" w:cs="Arial"/>
          <w:sz w:val="14"/>
          <w:szCs w:val="14"/>
        </w:rPr>
      </w:pPr>
    </w:p>
    <w:p w14:paraId="5649C94C" w14:textId="7FC844DE" w:rsidR="0089135B" w:rsidRPr="00A4255C" w:rsidRDefault="0089135B" w:rsidP="00D10B15">
      <w:pPr>
        <w:jc w:val="center"/>
        <w:rPr>
          <w:rFonts w:asciiTheme="majorHAnsi" w:hAnsiTheme="majorHAnsi" w:cstheme="majorHAnsi"/>
        </w:rPr>
      </w:pPr>
    </w:p>
    <w:sectPr w:rsidR="0089135B" w:rsidRPr="00A4255C" w:rsidSect="0098229F">
      <w:headerReference w:type="default" r:id="rId26"/>
      <w:footerReference w:type="default" r:id="rId27"/>
      <w:pgSz w:w="12240" w:h="15840"/>
      <w:pgMar w:top="1134" w:right="1701" w:bottom="709" w:left="1701" w:header="708" w:footer="4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5E385" w14:textId="77777777" w:rsidR="00242639" w:rsidRDefault="00242639" w:rsidP="00A4255C">
      <w:pPr>
        <w:spacing w:after="0" w:line="240" w:lineRule="auto"/>
      </w:pPr>
      <w:r>
        <w:separator/>
      </w:r>
    </w:p>
  </w:endnote>
  <w:endnote w:type="continuationSeparator" w:id="0">
    <w:p w14:paraId="67872213" w14:textId="77777777" w:rsidR="00242639" w:rsidRDefault="00242639" w:rsidP="00A42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DA827" w14:textId="3D0BBF24" w:rsidR="00016205" w:rsidRPr="00016205" w:rsidRDefault="00016205" w:rsidP="00016205">
    <w:pPr>
      <w:pStyle w:val="Piedepgina"/>
      <w:jc w:val="center"/>
      <w:rPr>
        <w:rFonts w:ascii="Arial" w:hAnsi="Arial" w:cs="Arial"/>
        <w:b/>
        <w:color w:val="002060"/>
        <w:sz w:val="20"/>
        <w:szCs w:val="20"/>
      </w:rPr>
    </w:pPr>
    <w:r w:rsidRPr="00016205">
      <w:rPr>
        <w:rFonts w:ascii="Arial" w:hAnsi="Arial" w:cs="Arial"/>
        <w:b/>
        <w:color w:val="002060"/>
        <w:sz w:val="20"/>
        <w:szCs w:val="20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D624C" w14:textId="77777777" w:rsidR="00242639" w:rsidRDefault="00242639" w:rsidP="00A4255C">
      <w:pPr>
        <w:spacing w:after="0" w:line="240" w:lineRule="auto"/>
      </w:pPr>
      <w:r>
        <w:separator/>
      </w:r>
    </w:p>
  </w:footnote>
  <w:footnote w:type="continuationSeparator" w:id="0">
    <w:p w14:paraId="24722A77" w14:textId="77777777" w:rsidR="00242639" w:rsidRDefault="00242639" w:rsidP="00A4255C">
      <w:pPr>
        <w:spacing w:after="0" w:line="240" w:lineRule="auto"/>
      </w:pPr>
      <w:r>
        <w:continuationSeparator/>
      </w:r>
    </w:p>
  </w:footnote>
  <w:footnote w:id="1">
    <w:p w14:paraId="71CBF46F" w14:textId="0AADF84F" w:rsidR="007D3D8A" w:rsidRPr="00E3227C" w:rsidRDefault="007D3D8A" w:rsidP="00016205">
      <w:pPr>
        <w:pStyle w:val="Textonotapie"/>
        <w:ind w:left="-567"/>
        <w:jc w:val="both"/>
        <w:rPr>
          <w:rFonts w:ascii="Arial" w:hAnsi="Arial" w:cs="Arial"/>
          <w:sz w:val="16"/>
          <w:szCs w:val="16"/>
        </w:rPr>
      </w:pPr>
      <w:r>
        <w:rPr>
          <w:rStyle w:val="Refdenotaalpie"/>
        </w:rPr>
        <w:footnoteRef/>
      </w:r>
      <w:r w:rsidR="000A4A60">
        <w:t xml:space="preserve"> </w:t>
      </w:r>
      <w:r w:rsidR="000A4A60" w:rsidRPr="00E3227C">
        <w:rPr>
          <w:rFonts w:ascii="Arial" w:hAnsi="Arial" w:cs="Arial"/>
          <w:sz w:val="16"/>
          <w:szCs w:val="16"/>
        </w:rPr>
        <w:t xml:space="preserve">Ley General de </w:t>
      </w:r>
      <w:r w:rsidR="000F66F0" w:rsidRPr="00E3227C">
        <w:rPr>
          <w:rFonts w:ascii="Arial" w:hAnsi="Arial" w:cs="Arial"/>
          <w:sz w:val="16"/>
          <w:szCs w:val="16"/>
        </w:rPr>
        <w:t>Acceso de las Mujeres a una Vida Libre de Violencia</w:t>
      </w:r>
      <w:r w:rsidR="00B73C4B" w:rsidRPr="00E3227C">
        <w:rPr>
          <w:rFonts w:ascii="Arial" w:hAnsi="Arial" w:cs="Arial"/>
          <w:sz w:val="16"/>
          <w:szCs w:val="16"/>
        </w:rPr>
        <w:t xml:space="preserve"> (2007)</w:t>
      </w:r>
      <w:r w:rsidR="000F66F0" w:rsidRPr="00E3227C">
        <w:rPr>
          <w:rFonts w:ascii="Arial" w:hAnsi="Arial" w:cs="Arial"/>
          <w:sz w:val="16"/>
          <w:szCs w:val="16"/>
        </w:rPr>
        <w:t xml:space="preserve">, disponible en </w:t>
      </w:r>
      <w:r w:rsidR="000A4A60" w:rsidRPr="00E3227C">
        <w:rPr>
          <w:rFonts w:ascii="Arial" w:hAnsi="Arial" w:cs="Arial"/>
          <w:sz w:val="16"/>
          <w:szCs w:val="16"/>
        </w:rPr>
        <w:t>www.diputados.gob.mx/LeyesBiblio/pdf/LGAMVLV_010621.pdf</w:t>
      </w:r>
    </w:p>
  </w:footnote>
  <w:footnote w:id="2">
    <w:p w14:paraId="00FE290B" w14:textId="3288631B" w:rsidR="00AC08D4" w:rsidRPr="004173DF" w:rsidRDefault="00AC08D4" w:rsidP="00016205">
      <w:pPr>
        <w:pStyle w:val="Textonotapie"/>
        <w:ind w:left="-567"/>
        <w:jc w:val="both"/>
        <w:rPr>
          <w:rFonts w:ascii="Arial" w:hAnsi="Arial" w:cs="Arial"/>
          <w:sz w:val="16"/>
          <w:szCs w:val="16"/>
        </w:rPr>
      </w:pPr>
      <w:r w:rsidRPr="00E3227C">
        <w:rPr>
          <w:rStyle w:val="Refdenotaalpie"/>
          <w:rFonts w:ascii="Arial" w:hAnsi="Arial" w:cs="Arial"/>
          <w:sz w:val="16"/>
          <w:szCs w:val="16"/>
        </w:rPr>
        <w:footnoteRef/>
      </w:r>
      <w:r w:rsidRPr="00E3227C">
        <w:rPr>
          <w:rFonts w:ascii="Arial" w:hAnsi="Arial" w:cs="Arial"/>
          <w:sz w:val="16"/>
          <w:szCs w:val="16"/>
        </w:rPr>
        <w:t xml:space="preserve"> </w:t>
      </w:r>
      <w:r w:rsidR="004173DF" w:rsidRPr="004173DF">
        <w:rPr>
          <w:rFonts w:ascii="Arial" w:hAnsi="Arial" w:cs="Arial"/>
          <w:sz w:val="16"/>
          <w:szCs w:val="16"/>
        </w:rPr>
        <w:t xml:space="preserve">Organización de las Naciones Unidas (ONU). 1999. Resolución A/RES/54/134, Declaración el 25 de noviembre Día Internacional de la Eliminación de la Violencia contra la Mujer. Disponible en: https://undocs.org/es/A/RES/54/134 </w:t>
      </w:r>
    </w:p>
  </w:footnote>
  <w:footnote w:id="3">
    <w:p w14:paraId="7F3ECC54" w14:textId="063729F1" w:rsidR="00432C04" w:rsidRDefault="00432C04" w:rsidP="00016205">
      <w:pPr>
        <w:pStyle w:val="Textonotapie"/>
        <w:ind w:left="-567"/>
        <w:jc w:val="both"/>
      </w:pPr>
      <w:r>
        <w:rPr>
          <w:rStyle w:val="Refdenotaalpie"/>
        </w:rPr>
        <w:footnoteRef/>
      </w:r>
      <w:r>
        <w:t xml:space="preserve"> </w:t>
      </w:r>
      <w:r w:rsidRPr="00364A45">
        <w:rPr>
          <w:rFonts w:ascii="Arial" w:hAnsi="Arial" w:cs="Arial"/>
          <w:sz w:val="16"/>
          <w:szCs w:val="16"/>
        </w:rPr>
        <w:t>Estos programas de información se pueden consultar en l</w:t>
      </w:r>
      <w:r>
        <w:rPr>
          <w:rFonts w:ascii="Arial" w:hAnsi="Arial" w:cs="Arial"/>
          <w:sz w:val="16"/>
          <w:szCs w:val="16"/>
        </w:rPr>
        <w:t>o</w:t>
      </w:r>
      <w:r w:rsidRPr="00364A45">
        <w:rPr>
          <w:rFonts w:ascii="Arial" w:hAnsi="Arial" w:cs="Arial"/>
          <w:sz w:val="16"/>
          <w:szCs w:val="16"/>
        </w:rPr>
        <w:t>s siguientes vínculos:</w:t>
      </w:r>
      <w:r>
        <w:rPr>
          <w:rFonts w:ascii="Arial" w:hAnsi="Arial" w:cs="Arial"/>
          <w:sz w:val="16"/>
          <w:szCs w:val="16"/>
        </w:rPr>
        <w:t xml:space="preserve"> ENSU </w:t>
      </w:r>
      <w:hyperlink r:id="rId1" w:history="1">
        <w:r w:rsidRPr="00CD2106">
          <w:rPr>
            <w:rStyle w:val="Hipervnculo"/>
            <w:rFonts w:ascii="Arial" w:hAnsi="Arial" w:cs="Arial"/>
            <w:sz w:val="16"/>
            <w:szCs w:val="16"/>
          </w:rPr>
          <w:t>https://www.inegi.org.mx/programas/ensu/</w:t>
        </w:r>
      </w:hyperlink>
      <w:r>
        <w:rPr>
          <w:rFonts w:ascii="Arial" w:hAnsi="Arial" w:cs="Arial"/>
          <w:sz w:val="16"/>
          <w:szCs w:val="16"/>
        </w:rPr>
        <w:t xml:space="preserve">; ENVIPE </w:t>
      </w:r>
      <w:hyperlink r:id="rId2" w:history="1">
        <w:r w:rsidRPr="00CD2106">
          <w:rPr>
            <w:rStyle w:val="Hipervnculo"/>
            <w:rFonts w:ascii="Arial" w:hAnsi="Arial" w:cs="Arial"/>
            <w:sz w:val="16"/>
            <w:szCs w:val="16"/>
          </w:rPr>
          <w:t>https://www.inegi.org.mx/programas/envipe/2021/</w:t>
        </w:r>
      </w:hyperlink>
      <w:r>
        <w:rPr>
          <w:rFonts w:ascii="Arial" w:hAnsi="Arial" w:cs="Arial"/>
          <w:sz w:val="16"/>
          <w:szCs w:val="16"/>
        </w:rPr>
        <w:t xml:space="preserve">; </w:t>
      </w:r>
      <w:r w:rsidR="00797565" w:rsidRPr="009D22B5">
        <w:rPr>
          <w:rFonts w:ascii="Arial" w:hAnsi="Arial" w:cs="Arial"/>
          <w:sz w:val="16"/>
          <w:szCs w:val="16"/>
        </w:rPr>
        <w:t>CNPJE</w:t>
      </w:r>
      <w:r>
        <w:rPr>
          <w:rFonts w:ascii="Arial" w:hAnsi="Arial" w:cs="Arial"/>
          <w:sz w:val="16"/>
          <w:szCs w:val="16"/>
        </w:rPr>
        <w:t xml:space="preserve"> </w:t>
      </w:r>
      <w:hyperlink r:id="rId3" w:history="1">
        <w:r w:rsidR="008359B0" w:rsidRPr="00B975CB">
          <w:rPr>
            <w:rStyle w:val="Hipervnculo"/>
            <w:rFonts w:ascii="Arial" w:hAnsi="Arial" w:cs="Arial"/>
            <w:sz w:val="16"/>
            <w:szCs w:val="16"/>
          </w:rPr>
          <w:t>https://www.inegi.org.mx/programas/cnpje/2021/</w:t>
        </w:r>
      </w:hyperlink>
      <w:r>
        <w:rPr>
          <w:rFonts w:ascii="Arial" w:hAnsi="Arial" w:cs="Arial"/>
          <w:sz w:val="16"/>
          <w:szCs w:val="16"/>
        </w:rPr>
        <w:t>.</w:t>
      </w:r>
    </w:p>
  </w:footnote>
  <w:footnote w:id="4">
    <w:p w14:paraId="546D733C" w14:textId="51732F3E" w:rsidR="00A4538A" w:rsidRDefault="00A4538A" w:rsidP="003E4E32">
      <w:pPr>
        <w:spacing w:after="0" w:line="240" w:lineRule="auto"/>
        <w:ind w:left="-426" w:right="-518" w:hanging="141"/>
        <w:jc w:val="both"/>
      </w:pPr>
      <w:r w:rsidRPr="000A6BA9">
        <w:rPr>
          <w:rStyle w:val="Refdenotaalpie"/>
        </w:rPr>
        <w:footnoteRef/>
      </w:r>
      <w:r w:rsidRPr="000A6BA9">
        <w:t xml:space="preserve"> </w:t>
      </w:r>
      <w:r w:rsidRPr="000A6BA9">
        <w:rPr>
          <w:rFonts w:ascii="Arial" w:hAnsi="Arial" w:cs="Arial"/>
          <w:sz w:val="16"/>
          <w:szCs w:val="16"/>
        </w:rPr>
        <w:t xml:space="preserve">Los delitos registrados por la ENVIPE no corresponden </w:t>
      </w:r>
      <w:r w:rsidR="00104EA8" w:rsidRPr="000A6BA9">
        <w:rPr>
          <w:rFonts w:ascii="Arial" w:hAnsi="Arial" w:cs="Arial"/>
          <w:sz w:val="16"/>
          <w:szCs w:val="16"/>
        </w:rPr>
        <w:t>con los que se presentan con base en el CNPJE</w:t>
      </w:r>
      <w:r w:rsidRPr="000A6BA9">
        <w:rPr>
          <w:rFonts w:ascii="Arial" w:hAnsi="Arial" w:cs="Arial"/>
          <w:sz w:val="16"/>
          <w:szCs w:val="16"/>
        </w:rPr>
        <w:t xml:space="preserve">, ya que refieren a la declaración de hechos delictivos </w:t>
      </w:r>
      <w:r w:rsidR="00104EA8" w:rsidRPr="000A6BA9">
        <w:rPr>
          <w:rFonts w:ascii="Arial" w:hAnsi="Arial" w:cs="Arial"/>
          <w:sz w:val="16"/>
          <w:szCs w:val="16"/>
        </w:rPr>
        <w:t>de los que da cuenta</w:t>
      </w:r>
      <w:r w:rsidRPr="000A6BA9">
        <w:rPr>
          <w:rFonts w:ascii="Arial" w:hAnsi="Arial" w:cs="Arial"/>
          <w:sz w:val="16"/>
          <w:szCs w:val="16"/>
        </w:rPr>
        <w:t xml:space="preserve"> el informante y que pudieron no haber sido denunciados.</w:t>
      </w:r>
    </w:p>
  </w:footnote>
  <w:footnote w:id="5">
    <w:p w14:paraId="3ABFA0CF" w14:textId="100DAF2E" w:rsidR="00033E26" w:rsidRPr="00BA3065" w:rsidRDefault="00033E26" w:rsidP="003E4E32">
      <w:pPr>
        <w:pStyle w:val="Textonotapie"/>
        <w:ind w:left="-426" w:hanging="141"/>
        <w:jc w:val="both"/>
        <w:rPr>
          <w:rFonts w:ascii="Arial" w:hAnsi="Arial" w:cs="Arial"/>
          <w:sz w:val="16"/>
          <w:szCs w:val="16"/>
        </w:rPr>
      </w:pPr>
      <w:r w:rsidRPr="009537B3">
        <w:rPr>
          <w:rFonts w:ascii="Arial" w:hAnsi="Arial" w:cs="Arial"/>
          <w:sz w:val="16"/>
          <w:szCs w:val="16"/>
          <w:vertAlign w:val="superscript"/>
        </w:rPr>
        <w:footnoteRef/>
      </w:r>
      <w:r w:rsidRPr="00BA3065">
        <w:rPr>
          <w:rFonts w:ascii="Arial" w:hAnsi="Arial" w:cs="Arial"/>
          <w:sz w:val="16"/>
          <w:szCs w:val="16"/>
        </w:rPr>
        <w:t xml:space="preserve"> </w:t>
      </w:r>
      <w:r w:rsidR="00ED409B">
        <w:rPr>
          <w:rFonts w:ascii="Arial" w:hAnsi="Arial" w:cs="Arial"/>
          <w:sz w:val="16"/>
          <w:szCs w:val="16"/>
        </w:rPr>
        <w:t>I</w:t>
      </w:r>
      <w:r w:rsidRPr="00BA3065">
        <w:rPr>
          <w:rFonts w:ascii="Arial" w:hAnsi="Arial" w:cs="Arial"/>
          <w:sz w:val="16"/>
          <w:szCs w:val="16"/>
        </w:rPr>
        <w:t>ncluye alguien en contra de su voluntad lo(a) agredió mediante hostigamiento sexual, manoseo, exhibicionismo o intento de violación; y violación sexual.</w:t>
      </w:r>
    </w:p>
  </w:footnote>
  <w:footnote w:id="6">
    <w:p w14:paraId="1439200C" w14:textId="77777777" w:rsidR="00F002AD" w:rsidRPr="000D3318" w:rsidRDefault="00F002AD" w:rsidP="00D325C9">
      <w:pPr>
        <w:pStyle w:val="Textonotapie"/>
        <w:ind w:left="-567" w:right="-518"/>
        <w:jc w:val="both"/>
        <w:rPr>
          <w:rFonts w:ascii="Arial" w:hAnsi="Arial" w:cs="Arial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Pr="000D3318">
        <w:rPr>
          <w:rFonts w:ascii="Arial" w:hAnsi="Arial" w:cs="Arial"/>
          <w:sz w:val="16"/>
          <w:szCs w:val="16"/>
        </w:rPr>
        <w:t>Incluye las situaciones: "Le dijeron piropos groseros u ofensivos de tipo sexual o sobre su cuerpo que a usted le molestaron u ofendieron",  "Le enviaron mensajes o publicaron comentarios sobre usted, con insinuaciones sexuales, insultos u ofensas sexuales, a través del celular,  correo electrónico o redes sociales (como Facebook, Twitter, WhatsApp, etc.), que a usted le molestaron u ofendieron", "Le enviaron mensajes, fotos, videos o publicaciones con insinuaciones, insultos u ofensas sexuales que fueron ofensivos o amenazantes a través del celular, correo electrónico o redes sociales (Facebook, Twitter, WhatsApp, etc.)"</w:t>
      </w:r>
    </w:p>
  </w:footnote>
  <w:footnote w:id="7">
    <w:p w14:paraId="6E8F351D" w14:textId="77777777" w:rsidR="00F002AD" w:rsidRPr="000D3318" w:rsidRDefault="00F002AD" w:rsidP="00D325C9">
      <w:pPr>
        <w:pStyle w:val="Textonotapie"/>
        <w:ind w:left="-567" w:right="-518"/>
        <w:jc w:val="both"/>
        <w:rPr>
          <w:rFonts w:ascii="Arial" w:hAnsi="Arial" w:cs="Arial"/>
          <w:sz w:val="16"/>
          <w:szCs w:val="16"/>
        </w:rPr>
      </w:pPr>
      <w:r w:rsidRPr="000D3318">
        <w:rPr>
          <w:rStyle w:val="Refdenotaalpie"/>
          <w:rFonts w:ascii="Arial" w:hAnsi="Arial" w:cs="Arial"/>
          <w:sz w:val="16"/>
          <w:szCs w:val="16"/>
        </w:rPr>
        <w:footnoteRef/>
      </w:r>
      <w:r w:rsidRPr="000D3318">
        <w:rPr>
          <w:rFonts w:ascii="Arial" w:hAnsi="Arial" w:cs="Arial"/>
          <w:sz w:val="16"/>
          <w:szCs w:val="16"/>
        </w:rPr>
        <w:t xml:space="preserve"> Incluye las opciones: "Alguna persona le mostró sus partes íntimas o se tocó sus partes íntimas enfrente de usted, y usted se sintió molesta(o), ofendida(o), o atemorizada(o)", "Le manosearon, tocaron, besaron o se le arrimaron, recargaron o encimaron con fines sexuales sin su consentimiento", "Le obligaron a mirar escenas o actos sexuales o pornográficos (fotos, revistas, vídeos o películas)".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9E653" w14:textId="079FBF85" w:rsidR="004B7B11" w:rsidRPr="009A0EF3" w:rsidRDefault="004B7B11" w:rsidP="004B7B11">
    <w:pPr>
      <w:pStyle w:val="Encabezado"/>
      <w:tabs>
        <w:tab w:val="clear" w:pos="4419"/>
        <w:tab w:val="clear" w:pos="8838"/>
      </w:tabs>
      <w:ind w:left="567" w:right="-518" w:hanging="11"/>
      <w:jc w:val="right"/>
      <w:rPr>
        <w:rFonts w:ascii="Arial" w:hAnsi="Arial" w:cs="Arial"/>
        <w:b/>
        <w:color w:val="002060"/>
        <w:sz w:val="24"/>
        <w:szCs w:val="24"/>
        <w:lang w:val="pt-BR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1F47CC1" wp14:editId="37896F9D">
          <wp:simplePos x="0" y="0"/>
          <wp:positionH relativeFrom="margin">
            <wp:posOffset>-352425</wp:posOffset>
          </wp:positionH>
          <wp:positionV relativeFrom="margin">
            <wp:posOffset>-923925</wp:posOffset>
          </wp:positionV>
          <wp:extent cx="752873" cy="782035"/>
          <wp:effectExtent l="0" t="0" r="9525" b="0"/>
          <wp:wrapSquare wrapText="bothSides"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873" cy="782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A0EF3">
      <w:rPr>
        <w:rFonts w:ascii="Arial" w:hAnsi="Arial" w:cs="Arial"/>
        <w:b/>
        <w:color w:val="002060"/>
        <w:sz w:val="24"/>
        <w:szCs w:val="24"/>
      </w:rPr>
      <w:t xml:space="preserve">COMUNICADO DE PRENSA NÚM. </w:t>
    </w:r>
    <w:r w:rsidR="0041408D">
      <w:rPr>
        <w:rFonts w:ascii="Arial" w:hAnsi="Arial" w:cs="Arial"/>
        <w:b/>
        <w:color w:val="002060"/>
        <w:sz w:val="24"/>
        <w:szCs w:val="24"/>
      </w:rPr>
      <w:t>689</w:t>
    </w:r>
    <w:r w:rsidRPr="009A0EF3">
      <w:rPr>
        <w:rFonts w:ascii="Arial" w:hAnsi="Arial" w:cs="Arial"/>
        <w:b/>
        <w:color w:val="002060"/>
        <w:sz w:val="24"/>
        <w:szCs w:val="24"/>
      </w:rPr>
      <w:t>/21</w:t>
    </w:r>
  </w:p>
  <w:p w14:paraId="3E45F570" w14:textId="1F927BD8" w:rsidR="004B7B11" w:rsidRPr="009A0EF3" w:rsidRDefault="00C90EB9" w:rsidP="004B7B11">
    <w:pPr>
      <w:pStyle w:val="Encabezado"/>
      <w:tabs>
        <w:tab w:val="clear" w:pos="4419"/>
        <w:tab w:val="clear" w:pos="8838"/>
      </w:tabs>
      <w:ind w:left="567" w:right="-518" w:hanging="11"/>
      <w:jc w:val="right"/>
      <w:rPr>
        <w:rFonts w:ascii="Arial" w:hAnsi="Arial" w:cs="Arial"/>
        <w:b/>
        <w:color w:val="002060"/>
        <w:sz w:val="24"/>
        <w:szCs w:val="24"/>
      </w:rPr>
    </w:pPr>
    <w:r>
      <w:rPr>
        <w:rFonts w:ascii="Arial" w:hAnsi="Arial" w:cs="Arial"/>
        <w:b/>
        <w:color w:val="002060"/>
        <w:sz w:val="24"/>
        <w:szCs w:val="24"/>
        <w:lang w:val="pt-BR"/>
      </w:rPr>
      <w:t>23</w:t>
    </w:r>
    <w:r w:rsidR="004B7B11" w:rsidRPr="009A0EF3">
      <w:rPr>
        <w:rFonts w:ascii="Arial" w:hAnsi="Arial" w:cs="Arial"/>
        <w:b/>
        <w:color w:val="002060"/>
        <w:sz w:val="24"/>
        <w:szCs w:val="24"/>
        <w:lang w:val="pt-BR"/>
      </w:rPr>
      <w:t xml:space="preserve"> DE NOVIEMBRE DE 2021</w:t>
    </w:r>
  </w:p>
  <w:p w14:paraId="1CE5AA1F" w14:textId="02066B5F" w:rsidR="004B7B11" w:rsidRPr="009A0EF3" w:rsidRDefault="004B7B11" w:rsidP="004B7B11">
    <w:pPr>
      <w:pStyle w:val="Encabezado"/>
      <w:tabs>
        <w:tab w:val="clear" w:pos="4419"/>
        <w:tab w:val="clear" w:pos="8838"/>
      </w:tabs>
      <w:ind w:left="567" w:right="-518" w:hanging="11"/>
      <w:jc w:val="right"/>
      <w:rPr>
        <w:rFonts w:ascii="Arial" w:hAnsi="Arial" w:cs="Arial"/>
        <w:b/>
        <w:color w:val="002060"/>
        <w:sz w:val="24"/>
        <w:szCs w:val="24"/>
        <w:lang w:val="pt-BR"/>
      </w:rPr>
    </w:pPr>
    <w:r w:rsidRPr="009A0EF3">
      <w:rPr>
        <w:rFonts w:ascii="Arial" w:hAnsi="Arial" w:cs="Arial"/>
        <w:b/>
        <w:color w:val="002060"/>
        <w:sz w:val="24"/>
        <w:szCs w:val="24"/>
        <w:lang w:val="pt-BR"/>
      </w:rPr>
      <w:t xml:space="preserve">PÁGINA </w:t>
    </w:r>
    <w:r w:rsidRPr="009A0EF3">
      <w:rPr>
        <w:rFonts w:ascii="Arial" w:hAnsi="Arial" w:cs="Arial"/>
        <w:b/>
        <w:color w:val="002060"/>
        <w:sz w:val="24"/>
        <w:szCs w:val="24"/>
      </w:rPr>
      <w:fldChar w:fldCharType="begin"/>
    </w:r>
    <w:r w:rsidRPr="009A0EF3">
      <w:rPr>
        <w:rFonts w:ascii="Arial" w:hAnsi="Arial" w:cs="Arial"/>
        <w:b/>
        <w:color w:val="002060"/>
        <w:sz w:val="24"/>
        <w:szCs w:val="24"/>
        <w:lang w:val="pt-BR"/>
      </w:rPr>
      <w:instrText xml:space="preserve">\PAGE </w:instrText>
    </w:r>
    <w:r w:rsidRPr="009A0EF3">
      <w:rPr>
        <w:rFonts w:ascii="Arial" w:hAnsi="Arial" w:cs="Arial"/>
        <w:color w:val="002060"/>
        <w:sz w:val="24"/>
        <w:szCs w:val="24"/>
      </w:rPr>
      <w:fldChar w:fldCharType="separate"/>
    </w:r>
    <w:r>
      <w:rPr>
        <w:rFonts w:ascii="Arial" w:hAnsi="Arial" w:cs="Arial"/>
        <w:color w:val="002060"/>
      </w:rPr>
      <w:t>1</w:t>
    </w:r>
    <w:r w:rsidRPr="009A0EF3">
      <w:rPr>
        <w:rFonts w:ascii="Arial" w:hAnsi="Arial" w:cs="Arial"/>
        <w:color w:val="002060"/>
        <w:sz w:val="24"/>
        <w:szCs w:val="24"/>
      </w:rPr>
      <w:fldChar w:fldCharType="end"/>
    </w:r>
    <w:r w:rsidRPr="009A0EF3">
      <w:rPr>
        <w:rFonts w:ascii="Arial" w:hAnsi="Arial" w:cs="Arial"/>
        <w:b/>
        <w:color w:val="002060"/>
        <w:sz w:val="24"/>
        <w:szCs w:val="24"/>
        <w:lang w:val="pt-BR"/>
      </w:rPr>
      <w:t>/</w:t>
    </w:r>
    <w:r w:rsidR="00792F10">
      <w:rPr>
        <w:rFonts w:ascii="Arial" w:hAnsi="Arial" w:cs="Arial"/>
        <w:b/>
        <w:color w:val="002060"/>
        <w:sz w:val="24"/>
        <w:szCs w:val="24"/>
        <w:lang w:val="pt-BR"/>
      </w:rPr>
      <w:t>6</w:t>
    </w:r>
  </w:p>
  <w:p w14:paraId="36FD9CDB" w14:textId="12C47CCE" w:rsidR="00A4255C" w:rsidRDefault="00A4255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F75AB"/>
    <w:multiLevelType w:val="multilevel"/>
    <w:tmpl w:val="E77AC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6822D9"/>
    <w:multiLevelType w:val="hybridMultilevel"/>
    <w:tmpl w:val="1FCEA9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EA3A4B"/>
    <w:multiLevelType w:val="hybridMultilevel"/>
    <w:tmpl w:val="36E0862A"/>
    <w:lvl w:ilvl="0" w:tplc="080A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216794"/>
    <w:multiLevelType w:val="hybridMultilevel"/>
    <w:tmpl w:val="C72EDA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55C"/>
    <w:rsid w:val="000032CA"/>
    <w:rsid w:val="00003502"/>
    <w:rsid w:val="000102E2"/>
    <w:rsid w:val="00010DF3"/>
    <w:rsid w:val="0001103B"/>
    <w:rsid w:val="00011A8F"/>
    <w:rsid w:val="00011C03"/>
    <w:rsid w:val="00011D87"/>
    <w:rsid w:val="00013804"/>
    <w:rsid w:val="0001547A"/>
    <w:rsid w:val="000158B7"/>
    <w:rsid w:val="00016205"/>
    <w:rsid w:val="000227C9"/>
    <w:rsid w:val="00024391"/>
    <w:rsid w:val="00032901"/>
    <w:rsid w:val="00032956"/>
    <w:rsid w:val="00033E26"/>
    <w:rsid w:val="00037DA2"/>
    <w:rsid w:val="00042E39"/>
    <w:rsid w:val="00044A1A"/>
    <w:rsid w:val="00045133"/>
    <w:rsid w:val="00045348"/>
    <w:rsid w:val="000509BA"/>
    <w:rsid w:val="00052D67"/>
    <w:rsid w:val="000535D9"/>
    <w:rsid w:val="0005383E"/>
    <w:rsid w:val="000611FC"/>
    <w:rsid w:val="00061EC6"/>
    <w:rsid w:val="0006201E"/>
    <w:rsid w:val="00063764"/>
    <w:rsid w:val="00064927"/>
    <w:rsid w:val="000740AF"/>
    <w:rsid w:val="00075979"/>
    <w:rsid w:val="00077C32"/>
    <w:rsid w:val="00077FDC"/>
    <w:rsid w:val="00080BCE"/>
    <w:rsid w:val="0008220C"/>
    <w:rsid w:val="00082DF0"/>
    <w:rsid w:val="00083D6F"/>
    <w:rsid w:val="000849C3"/>
    <w:rsid w:val="00086532"/>
    <w:rsid w:val="000907D9"/>
    <w:rsid w:val="00095205"/>
    <w:rsid w:val="00095845"/>
    <w:rsid w:val="000A0134"/>
    <w:rsid w:val="000A02BF"/>
    <w:rsid w:val="000A1C2C"/>
    <w:rsid w:val="000A3768"/>
    <w:rsid w:val="000A3C05"/>
    <w:rsid w:val="000A4536"/>
    <w:rsid w:val="000A4A60"/>
    <w:rsid w:val="000A6BA9"/>
    <w:rsid w:val="000A78E8"/>
    <w:rsid w:val="000A7D06"/>
    <w:rsid w:val="000B1123"/>
    <w:rsid w:val="000B1FBE"/>
    <w:rsid w:val="000B2B7B"/>
    <w:rsid w:val="000B3A18"/>
    <w:rsid w:val="000B3EC3"/>
    <w:rsid w:val="000B4D2D"/>
    <w:rsid w:val="000B5BBD"/>
    <w:rsid w:val="000C0D8B"/>
    <w:rsid w:val="000C1AAB"/>
    <w:rsid w:val="000C3241"/>
    <w:rsid w:val="000C7E52"/>
    <w:rsid w:val="000D13DB"/>
    <w:rsid w:val="000D17B1"/>
    <w:rsid w:val="000D3318"/>
    <w:rsid w:val="000D59B2"/>
    <w:rsid w:val="000D75C6"/>
    <w:rsid w:val="000D7A6F"/>
    <w:rsid w:val="000E4BE0"/>
    <w:rsid w:val="000E4C5D"/>
    <w:rsid w:val="000E76A4"/>
    <w:rsid w:val="000F534A"/>
    <w:rsid w:val="000F66F0"/>
    <w:rsid w:val="0010052C"/>
    <w:rsid w:val="00100BE2"/>
    <w:rsid w:val="001026C9"/>
    <w:rsid w:val="00103867"/>
    <w:rsid w:val="00104EA8"/>
    <w:rsid w:val="00107777"/>
    <w:rsid w:val="001103F1"/>
    <w:rsid w:val="00113BAF"/>
    <w:rsid w:val="001160EF"/>
    <w:rsid w:val="00120CCE"/>
    <w:rsid w:val="0012690E"/>
    <w:rsid w:val="0012699B"/>
    <w:rsid w:val="00126E00"/>
    <w:rsid w:val="00131763"/>
    <w:rsid w:val="00132C37"/>
    <w:rsid w:val="00132C5E"/>
    <w:rsid w:val="00134857"/>
    <w:rsid w:val="001353AA"/>
    <w:rsid w:val="0013553D"/>
    <w:rsid w:val="001362A3"/>
    <w:rsid w:val="00136F97"/>
    <w:rsid w:val="00142B8B"/>
    <w:rsid w:val="001500EB"/>
    <w:rsid w:val="001518DB"/>
    <w:rsid w:val="00152002"/>
    <w:rsid w:val="00154779"/>
    <w:rsid w:val="00156990"/>
    <w:rsid w:val="00156FEB"/>
    <w:rsid w:val="00163814"/>
    <w:rsid w:val="00164E2E"/>
    <w:rsid w:val="0016581F"/>
    <w:rsid w:val="00167967"/>
    <w:rsid w:val="001721C5"/>
    <w:rsid w:val="00172EB5"/>
    <w:rsid w:val="0017698F"/>
    <w:rsid w:val="00176DEE"/>
    <w:rsid w:val="00182027"/>
    <w:rsid w:val="00182713"/>
    <w:rsid w:val="0018328F"/>
    <w:rsid w:val="00184985"/>
    <w:rsid w:val="0018612E"/>
    <w:rsid w:val="001906B4"/>
    <w:rsid w:val="00190E92"/>
    <w:rsid w:val="00195455"/>
    <w:rsid w:val="00196046"/>
    <w:rsid w:val="00196926"/>
    <w:rsid w:val="00197724"/>
    <w:rsid w:val="00197EF5"/>
    <w:rsid w:val="001A2B6B"/>
    <w:rsid w:val="001A3F8A"/>
    <w:rsid w:val="001A69B8"/>
    <w:rsid w:val="001A7EB3"/>
    <w:rsid w:val="001C00BA"/>
    <w:rsid w:val="001C1249"/>
    <w:rsid w:val="001C1A30"/>
    <w:rsid w:val="001C40C9"/>
    <w:rsid w:val="001C76CE"/>
    <w:rsid w:val="001D1125"/>
    <w:rsid w:val="001D2685"/>
    <w:rsid w:val="001D362C"/>
    <w:rsid w:val="001E00A8"/>
    <w:rsid w:val="001E096B"/>
    <w:rsid w:val="001E228D"/>
    <w:rsid w:val="001E567D"/>
    <w:rsid w:val="001F28EF"/>
    <w:rsid w:val="001F4C20"/>
    <w:rsid w:val="001F58EF"/>
    <w:rsid w:val="001F5979"/>
    <w:rsid w:val="001F5A37"/>
    <w:rsid w:val="001F5BCC"/>
    <w:rsid w:val="001F78E2"/>
    <w:rsid w:val="002016D9"/>
    <w:rsid w:val="002021A8"/>
    <w:rsid w:val="00203016"/>
    <w:rsid w:val="00204BBA"/>
    <w:rsid w:val="00210BA7"/>
    <w:rsid w:val="00212A3D"/>
    <w:rsid w:val="002236DA"/>
    <w:rsid w:val="00225DEE"/>
    <w:rsid w:val="00226970"/>
    <w:rsid w:val="00232CF1"/>
    <w:rsid w:val="002344DF"/>
    <w:rsid w:val="002355D5"/>
    <w:rsid w:val="00235CDF"/>
    <w:rsid w:val="00240AB2"/>
    <w:rsid w:val="00242639"/>
    <w:rsid w:val="00245C44"/>
    <w:rsid w:val="00246997"/>
    <w:rsid w:val="00252178"/>
    <w:rsid w:val="00253075"/>
    <w:rsid w:val="00255803"/>
    <w:rsid w:val="00256782"/>
    <w:rsid w:val="00260E13"/>
    <w:rsid w:val="00264617"/>
    <w:rsid w:val="00267DCE"/>
    <w:rsid w:val="00270A95"/>
    <w:rsid w:val="00270EF6"/>
    <w:rsid w:val="002727D2"/>
    <w:rsid w:val="00273121"/>
    <w:rsid w:val="00274D4F"/>
    <w:rsid w:val="002768CA"/>
    <w:rsid w:val="00276E41"/>
    <w:rsid w:val="00280992"/>
    <w:rsid w:val="00284354"/>
    <w:rsid w:val="00286932"/>
    <w:rsid w:val="0029204A"/>
    <w:rsid w:val="00292541"/>
    <w:rsid w:val="00295833"/>
    <w:rsid w:val="00296706"/>
    <w:rsid w:val="00296F37"/>
    <w:rsid w:val="002A1BDB"/>
    <w:rsid w:val="002A34BE"/>
    <w:rsid w:val="002A4FF4"/>
    <w:rsid w:val="002A5223"/>
    <w:rsid w:val="002A70D5"/>
    <w:rsid w:val="002A7CDC"/>
    <w:rsid w:val="002B3ED1"/>
    <w:rsid w:val="002B4A32"/>
    <w:rsid w:val="002B5201"/>
    <w:rsid w:val="002C5AEE"/>
    <w:rsid w:val="002C65C1"/>
    <w:rsid w:val="002C73B4"/>
    <w:rsid w:val="002D12D2"/>
    <w:rsid w:val="002D25F5"/>
    <w:rsid w:val="002D4808"/>
    <w:rsid w:val="002D6983"/>
    <w:rsid w:val="002E0667"/>
    <w:rsid w:val="002E18F7"/>
    <w:rsid w:val="002E1FB0"/>
    <w:rsid w:val="002E23C0"/>
    <w:rsid w:val="002E2921"/>
    <w:rsid w:val="002E2AD0"/>
    <w:rsid w:val="002E36DC"/>
    <w:rsid w:val="002E39FE"/>
    <w:rsid w:val="002E4247"/>
    <w:rsid w:val="002E4C0B"/>
    <w:rsid w:val="002F3F6A"/>
    <w:rsid w:val="002F425B"/>
    <w:rsid w:val="002F4D91"/>
    <w:rsid w:val="002F757A"/>
    <w:rsid w:val="00300720"/>
    <w:rsid w:val="003025A0"/>
    <w:rsid w:val="00302C43"/>
    <w:rsid w:val="00302D46"/>
    <w:rsid w:val="0030650F"/>
    <w:rsid w:val="00306952"/>
    <w:rsid w:val="00311CB3"/>
    <w:rsid w:val="00311F2A"/>
    <w:rsid w:val="00315269"/>
    <w:rsid w:val="003165BF"/>
    <w:rsid w:val="00317213"/>
    <w:rsid w:val="00320DE0"/>
    <w:rsid w:val="00322735"/>
    <w:rsid w:val="00323367"/>
    <w:rsid w:val="003245CC"/>
    <w:rsid w:val="00324629"/>
    <w:rsid w:val="003267A6"/>
    <w:rsid w:val="003334CC"/>
    <w:rsid w:val="00335113"/>
    <w:rsid w:val="00335338"/>
    <w:rsid w:val="00335449"/>
    <w:rsid w:val="00336BDA"/>
    <w:rsid w:val="00341851"/>
    <w:rsid w:val="00343E13"/>
    <w:rsid w:val="0034448A"/>
    <w:rsid w:val="00350A76"/>
    <w:rsid w:val="00352621"/>
    <w:rsid w:val="003555BD"/>
    <w:rsid w:val="00357617"/>
    <w:rsid w:val="00357641"/>
    <w:rsid w:val="00360BA4"/>
    <w:rsid w:val="003623D4"/>
    <w:rsid w:val="00364132"/>
    <w:rsid w:val="0036714D"/>
    <w:rsid w:val="003756A8"/>
    <w:rsid w:val="00375C6F"/>
    <w:rsid w:val="00376530"/>
    <w:rsid w:val="003768E2"/>
    <w:rsid w:val="00377A6C"/>
    <w:rsid w:val="00377CF6"/>
    <w:rsid w:val="00392BA5"/>
    <w:rsid w:val="003A0761"/>
    <w:rsid w:val="003A3092"/>
    <w:rsid w:val="003A4C3A"/>
    <w:rsid w:val="003A55B3"/>
    <w:rsid w:val="003A5C88"/>
    <w:rsid w:val="003A69A7"/>
    <w:rsid w:val="003B186D"/>
    <w:rsid w:val="003B2D0F"/>
    <w:rsid w:val="003B32D9"/>
    <w:rsid w:val="003B47E2"/>
    <w:rsid w:val="003B61B7"/>
    <w:rsid w:val="003B6D9F"/>
    <w:rsid w:val="003C57F0"/>
    <w:rsid w:val="003C6BA1"/>
    <w:rsid w:val="003D0B9E"/>
    <w:rsid w:val="003D39B3"/>
    <w:rsid w:val="003E2A35"/>
    <w:rsid w:val="003E4C42"/>
    <w:rsid w:val="003E4E32"/>
    <w:rsid w:val="003E60C0"/>
    <w:rsid w:val="003E7C57"/>
    <w:rsid w:val="003F1567"/>
    <w:rsid w:val="003F3DD0"/>
    <w:rsid w:val="003F41D4"/>
    <w:rsid w:val="003F50EB"/>
    <w:rsid w:val="00403830"/>
    <w:rsid w:val="004048AB"/>
    <w:rsid w:val="00406233"/>
    <w:rsid w:val="00407C86"/>
    <w:rsid w:val="00410FE1"/>
    <w:rsid w:val="00411462"/>
    <w:rsid w:val="0041408D"/>
    <w:rsid w:val="00414138"/>
    <w:rsid w:val="004173DF"/>
    <w:rsid w:val="00421A05"/>
    <w:rsid w:val="00421E66"/>
    <w:rsid w:val="00423F64"/>
    <w:rsid w:val="0042581E"/>
    <w:rsid w:val="00425933"/>
    <w:rsid w:val="00426BE9"/>
    <w:rsid w:val="00426C5E"/>
    <w:rsid w:val="00432A72"/>
    <w:rsid w:val="00432C04"/>
    <w:rsid w:val="00432C41"/>
    <w:rsid w:val="004330B2"/>
    <w:rsid w:val="004332EE"/>
    <w:rsid w:val="0044073B"/>
    <w:rsid w:val="004425D1"/>
    <w:rsid w:val="004435C0"/>
    <w:rsid w:val="0044520A"/>
    <w:rsid w:val="00447941"/>
    <w:rsid w:val="00451A71"/>
    <w:rsid w:val="00456485"/>
    <w:rsid w:val="004641A6"/>
    <w:rsid w:val="00466568"/>
    <w:rsid w:val="004669B0"/>
    <w:rsid w:val="00466D8B"/>
    <w:rsid w:val="004731F9"/>
    <w:rsid w:val="004736B5"/>
    <w:rsid w:val="00473C1A"/>
    <w:rsid w:val="004775B7"/>
    <w:rsid w:val="00482E8C"/>
    <w:rsid w:val="00483262"/>
    <w:rsid w:val="004840A9"/>
    <w:rsid w:val="00484B85"/>
    <w:rsid w:val="00487750"/>
    <w:rsid w:val="00490DA6"/>
    <w:rsid w:val="0049530C"/>
    <w:rsid w:val="0049573C"/>
    <w:rsid w:val="004A2165"/>
    <w:rsid w:val="004A5AD0"/>
    <w:rsid w:val="004A7440"/>
    <w:rsid w:val="004B0919"/>
    <w:rsid w:val="004B71D5"/>
    <w:rsid w:val="004B7B11"/>
    <w:rsid w:val="004C0B17"/>
    <w:rsid w:val="004C13A1"/>
    <w:rsid w:val="004C6046"/>
    <w:rsid w:val="004C6167"/>
    <w:rsid w:val="004C767F"/>
    <w:rsid w:val="004D01A1"/>
    <w:rsid w:val="004D023A"/>
    <w:rsid w:val="004D0709"/>
    <w:rsid w:val="004D08FB"/>
    <w:rsid w:val="004D66B6"/>
    <w:rsid w:val="004D70D1"/>
    <w:rsid w:val="004E1CFD"/>
    <w:rsid w:val="004E3C66"/>
    <w:rsid w:val="004E6058"/>
    <w:rsid w:val="004E6BB5"/>
    <w:rsid w:val="004F4682"/>
    <w:rsid w:val="004F6378"/>
    <w:rsid w:val="00500362"/>
    <w:rsid w:val="00503B3C"/>
    <w:rsid w:val="00504FC1"/>
    <w:rsid w:val="00505A6E"/>
    <w:rsid w:val="00505B2C"/>
    <w:rsid w:val="00510D7B"/>
    <w:rsid w:val="00511FEA"/>
    <w:rsid w:val="0051296E"/>
    <w:rsid w:val="0051574A"/>
    <w:rsid w:val="005165AA"/>
    <w:rsid w:val="00517371"/>
    <w:rsid w:val="00520F91"/>
    <w:rsid w:val="00521D0F"/>
    <w:rsid w:val="0052458E"/>
    <w:rsid w:val="00524F7F"/>
    <w:rsid w:val="005307D3"/>
    <w:rsid w:val="005318A6"/>
    <w:rsid w:val="00534DE5"/>
    <w:rsid w:val="00537511"/>
    <w:rsid w:val="005404B5"/>
    <w:rsid w:val="005430C0"/>
    <w:rsid w:val="0054350E"/>
    <w:rsid w:val="00546A21"/>
    <w:rsid w:val="00547F05"/>
    <w:rsid w:val="005532F2"/>
    <w:rsid w:val="005535B5"/>
    <w:rsid w:val="00553856"/>
    <w:rsid w:val="00553F0D"/>
    <w:rsid w:val="00555E65"/>
    <w:rsid w:val="0056237D"/>
    <w:rsid w:val="0056319A"/>
    <w:rsid w:val="00564F2C"/>
    <w:rsid w:val="005659D0"/>
    <w:rsid w:val="00567B96"/>
    <w:rsid w:val="00567F00"/>
    <w:rsid w:val="00570454"/>
    <w:rsid w:val="005708EC"/>
    <w:rsid w:val="005718AC"/>
    <w:rsid w:val="005730E2"/>
    <w:rsid w:val="005736C4"/>
    <w:rsid w:val="00576D58"/>
    <w:rsid w:val="0057764F"/>
    <w:rsid w:val="00577B22"/>
    <w:rsid w:val="00580622"/>
    <w:rsid w:val="00580F96"/>
    <w:rsid w:val="005810D7"/>
    <w:rsid w:val="00583CB9"/>
    <w:rsid w:val="00583E95"/>
    <w:rsid w:val="0058486C"/>
    <w:rsid w:val="00585560"/>
    <w:rsid w:val="00585B36"/>
    <w:rsid w:val="00590CF7"/>
    <w:rsid w:val="00592C50"/>
    <w:rsid w:val="00594CC0"/>
    <w:rsid w:val="005965B9"/>
    <w:rsid w:val="0059661F"/>
    <w:rsid w:val="005A2B32"/>
    <w:rsid w:val="005A68F1"/>
    <w:rsid w:val="005A6A58"/>
    <w:rsid w:val="005B217A"/>
    <w:rsid w:val="005B4D1D"/>
    <w:rsid w:val="005C2B2E"/>
    <w:rsid w:val="005C33D3"/>
    <w:rsid w:val="005C3DEB"/>
    <w:rsid w:val="005C50D8"/>
    <w:rsid w:val="005D0ABC"/>
    <w:rsid w:val="005D1CE2"/>
    <w:rsid w:val="005D5466"/>
    <w:rsid w:val="005D7120"/>
    <w:rsid w:val="005E0F70"/>
    <w:rsid w:val="005E33CC"/>
    <w:rsid w:val="005E3A46"/>
    <w:rsid w:val="005E4F98"/>
    <w:rsid w:val="005E601E"/>
    <w:rsid w:val="005F1DD4"/>
    <w:rsid w:val="005F2D32"/>
    <w:rsid w:val="005F2D56"/>
    <w:rsid w:val="005F6DA7"/>
    <w:rsid w:val="0060063D"/>
    <w:rsid w:val="006027D1"/>
    <w:rsid w:val="0060505E"/>
    <w:rsid w:val="00607343"/>
    <w:rsid w:val="00607FBF"/>
    <w:rsid w:val="00610F39"/>
    <w:rsid w:val="006120DE"/>
    <w:rsid w:val="00613510"/>
    <w:rsid w:val="00615E36"/>
    <w:rsid w:val="006173C0"/>
    <w:rsid w:val="0061794A"/>
    <w:rsid w:val="0062047B"/>
    <w:rsid w:val="006235F8"/>
    <w:rsid w:val="00627E41"/>
    <w:rsid w:val="0063179E"/>
    <w:rsid w:val="00632973"/>
    <w:rsid w:val="00632CF9"/>
    <w:rsid w:val="00636088"/>
    <w:rsid w:val="00636C7A"/>
    <w:rsid w:val="006373FF"/>
    <w:rsid w:val="006415A6"/>
    <w:rsid w:val="00644EE4"/>
    <w:rsid w:val="00646323"/>
    <w:rsid w:val="00647F85"/>
    <w:rsid w:val="006503C5"/>
    <w:rsid w:val="00655642"/>
    <w:rsid w:val="006607AF"/>
    <w:rsid w:val="0066187E"/>
    <w:rsid w:val="00661A24"/>
    <w:rsid w:val="00663792"/>
    <w:rsid w:val="006675B7"/>
    <w:rsid w:val="00667928"/>
    <w:rsid w:val="00674D58"/>
    <w:rsid w:val="00685F77"/>
    <w:rsid w:val="0068662C"/>
    <w:rsid w:val="00686EDB"/>
    <w:rsid w:val="00687D6F"/>
    <w:rsid w:val="006919AF"/>
    <w:rsid w:val="006941BA"/>
    <w:rsid w:val="00695AA0"/>
    <w:rsid w:val="00695C3F"/>
    <w:rsid w:val="006A01E3"/>
    <w:rsid w:val="006A7E5C"/>
    <w:rsid w:val="006B0B0D"/>
    <w:rsid w:val="006B5454"/>
    <w:rsid w:val="006B5FFB"/>
    <w:rsid w:val="006C29F9"/>
    <w:rsid w:val="006C35E7"/>
    <w:rsid w:val="006C60C3"/>
    <w:rsid w:val="006C68CF"/>
    <w:rsid w:val="006C69E6"/>
    <w:rsid w:val="006C736D"/>
    <w:rsid w:val="006C7B78"/>
    <w:rsid w:val="006D3017"/>
    <w:rsid w:val="006D701B"/>
    <w:rsid w:val="006D7C00"/>
    <w:rsid w:val="006E014A"/>
    <w:rsid w:val="006E1F91"/>
    <w:rsid w:val="006E29F3"/>
    <w:rsid w:val="006E30ED"/>
    <w:rsid w:val="006F0168"/>
    <w:rsid w:val="006F2919"/>
    <w:rsid w:val="006F4F3F"/>
    <w:rsid w:val="00700A2D"/>
    <w:rsid w:val="00701078"/>
    <w:rsid w:val="007047E2"/>
    <w:rsid w:val="00705CF7"/>
    <w:rsid w:val="00711DC1"/>
    <w:rsid w:val="00712E89"/>
    <w:rsid w:val="00713559"/>
    <w:rsid w:val="007167A5"/>
    <w:rsid w:val="0072025B"/>
    <w:rsid w:val="00720D45"/>
    <w:rsid w:val="00722F90"/>
    <w:rsid w:val="0072500F"/>
    <w:rsid w:val="00732AA5"/>
    <w:rsid w:val="00736C58"/>
    <w:rsid w:val="00737E4D"/>
    <w:rsid w:val="00740F97"/>
    <w:rsid w:val="00744556"/>
    <w:rsid w:val="007451C3"/>
    <w:rsid w:val="007461AC"/>
    <w:rsid w:val="00746E0A"/>
    <w:rsid w:val="0075057B"/>
    <w:rsid w:val="0075360E"/>
    <w:rsid w:val="00754ABA"/>
    <w:rsid w:val="007556E4"/>
    <w:rsid w:val="00761DF5"/>
    <w:rsid w:val="00763536"/>
    <w:rsid w:val="00764951"/>
    <w:rsid w:val="007659A4"/>
    <w:rsid w:val="00776B5F"/>
    <w:rsid w:val="00777522"/>
    <w:rsid w:val="00780F9C"/>
    <w:rsid w:val="00783817"/>
    <w:rsid w:val="00783BCC"/>
    <w:rsid w:val="007844B3"/>
    <w:rsid w:val="00784745"/>
    <w:rsid w:val="00785E45"/>
    <w:rsid w:val="00790300"/>
    <w:rsid w:val="00790939"/>
    <w:rsid w:val="00790D84"/>
    <w:rsid w:val="00792973"/>
    <w:rsid w:val="00792F10"/>
    <w:rsid w:val="0079310C"/>
    <w:rsid w:val="00794476"/>
    <w:rsid w:val="007961BE"/>
    <w:rsid w:val="00797565"/>
    <w:rsid w:val="00797C37"/>
    <w:rsid w:val="00797DDA"/>
    <w:rsid w:val="007A2BCD"/>
    <w:rsid w:val="007A3669"/>
    <w:rsid w:val="007A3AD9"/>
    <w:rsid w:val="007A5513"/>
    <w:rsid w:val="007B0B10"/>
    <w:rsid w:val="007B16B7"/>
    <w:rsid w:val="007B24E6"/>
    <w:rsid w:val="007B2ACE"/>
    <w:rsid w:val="007B3A93"/>
    <w:rsid w:val="007B3ABE"/>
    <w:rsid w:val="007B5DF1"/>
    <w:rsid w:val="007B726F"/>
    <w:rsid w:val="007B7309"/>
    <w:rsid w:val="007C0945"/>
    <w:rsid w:val="007C1715"/>
    <w:rsid w:val="007D395A"/>
    <w:rsid w:val="007D3C8D"/>
    <w:rsid w:val="007D3D8A"/>
    <w:rsid w:val="007D487C"/>
    <w:rsid w:val="007E1C52"/>
    <w:rsid w:val="007E28C1"/>
    <w:rsid w:val="007E2B45"/>
    <w:rsid w:val="007E3288"/>
    <w:rsid w:val="007E3C92"/>
    <w:rsid w:val="007E4F47"/>
    <w:rsid w:val="007E6213"/>
    <w:rsid w:val="007E6831"/>
    <w:rsid w:val="007E7833"/>
    <w:rsid w:val="007F1F52"/>
    <w:rsid w:val="007F20E5"/>
    <w:rsid w:val="007F576A"/>
    <w:rsid w:val="007F65D1"/>
    <w:rsid w:val="007F6D28"/>
    <w:rsid w:val="00800B83"/>
    <w:rsid w:val="00801DAA"/>
    <w:rsid w:val="00802ABF"/>
    <w:rsid w:val="008123CD"/>
    <w:rsid w:val="00812483"/>
    <w:rsid w:val="00814CB5"/>
    <w:rsid w:val="00822CD1"/>
    <w:rsid w:val="00823E4F"/>
    <w:rsid w:val="00825AE7"/>
    <w:rsid w:val="00825F1A"/>
    <w:rsid w:val="00831550"/>
    <w:rsid w:val="0083173E"/>
    <w:rsid w:val="00832E32"/>
    <w:rsid w:val="00833138"/>
    <w:rsid w:val="00833EDC"/>
    <w:rsid w:val="00834767"/>
    <w:rsid w:val="008359B0"/>
    <w:rsid w:val="0084099F"/>
    <w:rsid w:val="00842369"/>
    <w:rsid w:val="0084528A"/>
    <w:rsid w:val="0085291A"/>
    <w:rsid w:val="00852B01"/>
    <w:rsid w:val="00854FF4"/>
    <w:rsid w:val="008551F9"/>
    <w:rsid w:val="0085549D"/>
    <w:rsid w:val="008567B7"/>
    <w:rsid w:val="0086020E"/>
    <w:rsid w:val="00860EF3"/>
    <w:rsid w:val="00860F17"/>
    <w:rsid w:val="00861726"/>
    <w:rsid w:val="0086350C"/>
    <w:rsid w:val="00863628"/>
    <w:rsid w:val="00866F88"/>
    <w:rsid w:val="00870506"/>
    <w:rsid w:val="008757A1"/>
    <w:rsid w:val="00877B9A"/>
    <w:rsid w:val="00880F2D"/>
    <w:rsid w:val="00881AB9"/>
    <w:rsid w:val="00882A6B"/>
    <w:rsid w:val="0088330A"/>
    <w:rsid w:val="008864E2"/>
    <w:rsid w:val="008866BC"/>
    <w:rsid w:val="00886C23"/>
    <w:rsid w:val="0089135B"/>
    <w:rsid w:val="008937CE"/>
    <w:rsid w:val="00894206"/>
    <w:rsid w:val="00894ED6"/>
    <w:rsid w:val="00895A15"/>
    <w:rsid w:val="0089641F"/>
    <w:rsid w:val="00896923"/>
    <w:rsid w:val="008A2442"/>
    <w:rsid w:val="008A24E5"/>
    <w:rsid w:val="008A48BD"/>
    <w:rsid w:val="008B12E8"/>
    <w:rsid w:val="008B2E1A"/>
    <w:rsid w:val="008B38DF"/>
    <w:rsid w:val="008B397D"/>
    <w:rsid w:val="008B4619"/>
    <w:rsid w:val="008B4FBF"/>
    <w:rsid w:val="008B7975"/>
    <w:rsid w:val="008C035A"/>
    <w:rsid w:val="008C2776"/>
    <w:rsid w:val="008C3D2F"/>
    <w:rsid w:val="008C665C"/>
    <w:rsid w:val="008D2AA5"/>
    <w:rsid w:val="008D3C97"/>
    <w:rsid w:val="008D490F"/>
    <w:rsid w:val="008D682A"/>
    <w:rsid w:val="008E5BB9"/>
    <w:rsid w:val="008E6251"/>
    <w:rsid w:val="008E631F"/>
    <w:rsid w:val="008E7C7D"/>
    <w:rsid w:val="008F0EB6"/>
    <w:rsid w:val="008F10D3"/>
    <w:rsid w:val="008F1A7C"/>
    <w:rsid w:val="008F27F6"/>
    <w:rsid w:val="008F3757"/>
    <w:rsid w:val="008F6B83"/>
    <w:rsid w:val="008F7F83"/>
    <w:rsid w:val="0090637F"/>
    <w:rsid w:val="00911224"/>
    <w:rsid w:val="00914410"/>
    <w:rsid w:val="00917381"/>
    <w:rsid w:val="00917524"/>
    <w:rsid w:val="00921E85"/>
    <w:rsid w:val="009233C7"/>
    <w:rsid w:val="009253E3"/>
    <w:rsid w:val="009318BA"/>
    <w:rsid w:val="00932E88"/>
    <w:rsid w:val="00935787"/>
    <w:rsid w:val="00935F09"/>
    <w:rsid w:val="00936068"/>
    <w:rsid w:val="009375DF"/>
    <w:rsid w:val="009403CD"/>
    <w:rsid w:val="009454DD"/>
    <w:rsid w:val="0095194B"/>
    <w:rsid w:val="009536C3"/>
    <w:rsid w:val="009537B3"/>
    <w:rsid w:val="00957F71"/>
    <w:rsid w:val="009610DE"/>
    <w:rsid w:val="00961BCA"/>
    <w:rsid w:val="00966C44"/>
    <w:rsid w:val="0097175C"/>
    <w:rsid w:val="00974092"/>
    <w:rsid w:val="00975C23"/>
    <w:rsid w:val="00976DEA"/>
    <w:rsid w:val="00981876"/>
    <w:rsid w:val="0098229F"/>
    <w:rsid w:val="00982DCC"/>
    <w:rsid w:val="0098716B"/>
    <w:rsid w:val="00987848"/>
    <w:rsid w:val="00992C09"/>
    <w:rsid w:val="00994A76"/>
    <w:rsid w:val="009971AA"/>
    <w:rsid w:val="00997608"/>
    <w:rsid w:val="009A72CB"/>
    <w:rsid w:val="009B17AB"/>
    <w:rsid w:val="009B3AB9"/>
    <w:rsid w:val="009B5F96"/>
    <w:rsid w:val="009B6456"/>
    <w:rsid w:val="009C0BB4"/>
    <w:rsid w:val="009C7AE5"/>
    <w:rsid w:val="009D0206"/>
    <w:rsid w:val="009D1887"/>
    <w:rsid w:val="009D1D79"/>
    <w:rsid w:val="009D22B5"/>
    <w:rsid w:val="009D29A7"/>
    <w:rsid w:val="009D31F5"/>
    <w:rsid w:val="009D71AE"/>
    <w:rsid w:val="009D7E1D"/>
    <w:rsid w:val="009E0BA4"/>
    <w:rsid w:val="009E14A8"/>
    <w:rsid w:val="009E3D64"/>
    <w:rsid w:val="009F6104"/>
    <w:rsid w:val="009F6E6A"/>
    <w:rsid w:val="00A003AF"/>
    <w:rsid w:val="00A022AB"/>
    <w:rsid w:val="00A105E8"/>
    <w:rsid w:val="00A1646F"/>
    <w:rsid w:val="00A2156D"/>
    <w:rsid w:val="00A229AC"/>
    <w:rsid w:val="00A2414F"/>
    <w:rsid w:val="00A2480F"/>
    <w:rsid w:val="00A268DF"/>
    <w:rsid w:val="00A27803"/>
    <w:rsid w:val="00A31FDF"/>
    <w:rsid w:val="00A3586C"/>
    <w:rsid w:val="00A364A4"/>
    <w:rsid w:val="00A4255C"/>
    <w:rsid w:val="00A42953"/>
    <w:rsid w:val="00A42ACF"/>
    <w:rsid w:val="00A4538A"/>
    <w:rsid w:val="00A4563E"/>
    <w:rsid w:val="00A50584"/>
    <w:rsid w:val="00A515EF"/>
    <w:rsid w:val="00A5175F"/>
    <w:rsid w:val="00A52A2E"/>
    <w:rsid w:val="00A52D83"/>
    <w:rsid w:val="00A60B79"/>
    <w:rsid w:val="00A60D56"/>
    <w:rsid w:val="00A61BB2"/>
    <w:rsid w:val="00A65ABE"/>
    <w:rsid w:val="00A66960"/>
    <w:rsid w:val="00A67949"/>
    <w:rsid w:val="00A706D1"/>
    <w:rsid w:val="00A7094C"/>
    <w:rsid w:val="00A75DDF"/>
    <w:rsid w:val="00A76CD5"/>
    <w:rsid w:val="00A80595"/>
    <w:rsid w:val="00A826B4"/>
    <w:rsid w:val="00A856A2"/>
    <w:rsid w:val="00A93457"/>
    <w:rsid w:val="00A942FF"/>
    <w:rsid w:val="00A94986"/>
    <w:rsid w:val="00AA364F"/>
    <w:rsid w:val="00AA776A"/>
    <w:rsid w:val="00AB1FCA"/>
    <w:rsid w:val="00AB6450"/>
    <w:rsid w:val="00AB7757"/>
    <w:rsid w:val="00AB7D2E"/>
    <w:rsid w:val="00AC08D4"/>
    <w:rsid w:val="00AC160A"/>
    <w:rsid w:val="00AC2FD9"/>
    <w:rsid w:val="00AC394C"/>
    <w:rsid w:val="00AC6B59"/>
    <w:rsid w:val="00AD3A6E"/>
    <w:rsid w:val="00AD669C"/>
    <w:rsid w:val="00AD7CB5"/>
    <w:rsid w:val="00AE178B"/>
    <w:rsid w:val="00AE17C5"/>
    <w:rsid w:val="00AE1FAB"/>
    <w:rsid w:val="00AE68A7"/>
    <w:rsid w:val="00AF0DEE"/>
    <w:rsid w:val="00AF1B75"/>
    <w:rsid w:val="00AF3751"/>
    <w:rsid w:val="00AF6F19"/>
    <w:rsid w:val="00B02837"/>
    <w:rsid w:val="00B056D5"/>
    <w:rsid w:val="00B10AED"/>
    <w:rsid w:val="00B12D2D"/>
    <w:rsid w:val="00B1360B"/>
    <w:rsid w:val="00B146A1"/>
    <w:rsid w:val="00B156EC"/>
    <w:rsid w:val="00B15CBD"/>
    <w:rsid w:val="00B169A3"/>
    <w:rsid w:val="00B16DF0"/>
    <w:rsid w:val="00B21485"/>
    <w:rsid w:val="00B233CA"/>
    <w:rsid w:val="00B23D2D"/>
    <w:rsid w:val="00B26EAF"/>
    <w:rsid w:val="00B27CBD"/>
    <w:rsid w:val="00B31293"/>
    <w:rsid w:val="00B34FAA"/>
    <w:rsid w:val="00B361D1"/>
    <w:rsid w:val="00B36B9C"/>
    <w:rsid w:val="00B36F1B"/>
    <w:rsid w:val="00B40680"/>
    <w:rsid w:val="00B40E21"/>
    <w:rsid w:val="00B42BA2"/>
    <w:rsid w:val="00B45CD5"/>
    <w:rsid w:val="00B473AB"/>
    <w:rsid w:val="00B52969"/>
    <w:rsid w:val="00B60823"/>
    <w:rsid w:val="00B71F2A"/>
    <w:rsid w:val="00B73C4B"/>
    <w:rsid w:val="00B76911"/>
    <w:rsid w:val="00B878B3"/>
    <w:rsid w:val="00B91A04"/>
    <w:rsid w:val="00B934EE"/>
    <w:rsid w:val="00B966B3"/>
    <w:rsid w:val="00BA1F30"/>
    <w:rsid w:val="00BA2DBD"/>
    <w:rsid w:val="00BA3065"/>
    <w:rsid w:val="00BA3BFF"/>
    <w:rsid w:val="00BA435B"/>
    <w:rsid w:val="00BA45E7"/>
    <w:rsid w:val="00BA5218"/>
    <w:rsid w:val="00BA5351"/>
    <w:rsid w:val="00BA62AB"/>
    <w:rsid w:val="00BA71AD"/>
    <w:rsid w:val="00BB0183"/>
    <w:rsid w:val="00BB2B2B"/>
    <w:rsid w:val="00BB7E98"/>
    <w:rsid w:val="00BC1AED"/>
    <w:rsid w:val="00BC1D12"/>
    <w:rsid w:val="00BC79E8"/>
    <w:rsid w:val="00BD4491"/>
    <w:rsid w:val="00BD4D60"/>
    <w:rsid w:val="00BD5FD1"/>
    <w:rsid w:val="00BE0BAC"/>
    <w:rsid w:val="00BE145B"/>
    <w:rsid w:val="00BE272A"/>
    <w:rsid w:val="00BE3816"/>
    <w:rsid w:val="00BE3B1D"/>
    <w:rsid w:val="00BE449E"/>
    <w:rsid w:val="00BE5FB5"/>
    <w:rsid w:val="00BE7A32"/>
    <w:rsid w:val="00BF3454"/>
    <w:rsid w:val="00BF7A59"/>
    <w:rsid w:val="00BF7FC4"/>
    <w:rsid w:val="00C00151"/>
    <w:rsid w:val="00C005BA"/>
    <w:rsid w:val="00C0470A"/>
    <w:rsid w:val="00C10414"/>
    <w:rsid w:val="00C10E63"/>
    <w:rsid w:val="00C121E5"/>
    <w:rsid w:val="00C203A4"/>
    <w:rsid w:val="00C22340"/>
    <w:rsid w:val="00C23DA4"/>
    <w:rsid w:val="00C30549"/>
    <w:rsid w:val="00C3055B"/>
    <w:rsid w:val="00C324DF"/>
    <w:rsid w:val="00C371D4"/>
    <w:rsid w:val="00C416F5"/>
    <w:rsid w:val="00C42AD9"/>
    <w:rsid w:val="00C46D7D"/>
    <w:rsid w:val="00C4778D"/>
    <w:rsid w:val="00C511F4"/>
    <w:rsid w:val="00C51BE7"/>
    <w:rsid w:val="00C51E7B"/>
    <w:rsid w:val="00C60F51"/>
    <w:rsid w:val="00C63AA9"/>
    <w:rsid w:val="00C65FBD"/>
    <w:rsid w:val="00C66DB0"/>
    <w:rsid w:val="00C7069E"/>
    <w:rsid w:val="00C70C27"/>
    <w:rsid w:val="00C727D7"/>
    <w:rsid w:val="00C74192"/>
    <w:rsid w:val="00C754CF"/>
    <w:rsid w:val="00C761F6"/>
    <w:rsid w:val="00C80640"/>
    <w:rsid w:val="00C82785"/>
    <w:rsid w:val="00C853A6"/>
    <w:rsid w:val="00C901D8"/>
    <w:rsid w:val="00C90EB9"/>
    <w:rsid w:val="00C9410D"/>
    <w:rsid w:val="00C95702"/>
    <w:rsid w:val="00C96315"/>
    <w:rsid w:val="00C9733E"/>
    <w:rsid w:val="00C975B6"/>
    <w:rsid w:val="00C97CC9"/>
    <w:rsid w:val="00CA396D"/>
    <w:rsid w:val="00CA40C1"/>
    <w:rsid w:val="00CA5588"/>
    <w:rsid w:val="00CA5812"/>
    <w:rsid w:val="00CA5E68"/>
    <w:rsid w:val="00CB0812"/>
    <w:rsid w:val="00CB1A69"/>
    <w:rsid w:val="00CB384B"/>
    <w:rsid w:val="00CB3CEA"/>
    <w:rsid w:val="00CB498F"/>
    <w:rsid w:val="00CB7CC9"/>
    <w:rsid w:val="00CC2A4A"/>
    <w:rsid w:val="00CC78AA"/>
    <w:rsid w:val="00CC7F22"/>
    <w:rsid w:val="00CD11E9"/>
    <w:rsid w:val="00CD2B75"/>
    <w:rsid w:val="00CD7C62"/>
    <w:rsid w:val="00CE3AD2"/>
    <w:rsid w:val="00CE751D"/>
    <w:rsid w:val="00CF3234"/>
    <w:rsid w:val="00CF4475"/>
    <w:rsid w:val="00CF4FAE"/>
    <w:rsid w:val="00CF6419"/>
    <w:rsid w:val="00D0066A"/>
    <w:rsid w:val="00D020BE"/>
    <w:rsid w:val="00D03EDA"/>
    <w:rsid w:val="00D03FC3"/>
    <w:rsid w:val="00D06FA5"/>
    <w:rsid w:val="00D07F65"/>
    <w:rsid w:val="00D10B15"/>
    <w:rsid w:val="00D15A76"/>
    <w:rsid w:val="00D22535"/>
    <w:rsid w:val="00D255C5"/>
    <w:rsid w:val="00D2614C"/>
    <w:rsid w:val="00D30378"/>
    <w:rsid w:val="00D325C9"/>
    <w:rsid w:val="00D4199C"/>
    <w:rsid w:val="00D425C5"/>
    <w:rsid w:val="00D433CD"/>
    <w:rsid w:val="00D4517A"/>
    <w:rsid w:val="00D478BC"/>
    <w:rsid w:val="00D51823"/>
    <w:rsid w:val="00D538DC"/>
    <w:rsid w:val="00D571D7"/>
    <w:rsid w:val="00D604BB"/>
    <w:rsid w:val="00D60748"/>
    <w:rsid w:val="00D651BC"/>
    <w:rsid w:val="00D73251"/>
    <w:rsid w:val="00D73EC6"/>
    <w:rsid w:val="00D75142"/>
    <w:rsid w:val="00D75346"/>
    <w:rsid w:val="00D7792E"/>
    <w:rsid w:val="00D83DEA"/>
    <w:rsid w:val="00D845EE"/>
    <w:rsid w:val="00D85012"/>
    <w:rsid w:val="00D869EE"/>
    <w:rsid w:val="00D86A78"/>
    <w:rsid w:val="00D8714B"/>
    <w:rsid w:val="00D9004F"/>
    <w:rsid w:val="00D92306"/>
    <w:rsid w:val="00D936D6"/>
    <w:rsid w:val="00D93E35"/>
    <w:rsid w:val="00D97837"/>
    <w:rsid w:val="00D97CBE"/>
    <w:rsid w:val="00DA29BA"/>
    <w:rsid w:val="00DA48E7"/>
    <w:rsid w:val="00DA4E84"/>
    <w:rsid w:val="00DA54C1"/>
    <w:rsid w:val="00DA57D9"/>
    <w:rsid w:val="00DA76E7"/>
    <w:rsid w:val="00DB076C"/>
    <w:rsid w:val="00DB19C4"/>
    <w:rsid w:val="00DB1DE8"/>
    <w:rsid w:val="00DB2184"/>
    <w:rsid w:val="00DB2596"/>
    <w:rsid w:val="00DB5E51"/>
    <w:rsid w:val="00DB783E"/>
    <w:rsid w:val="00DC4D44"/>
    <w:rsid w:val="00DD2364"/>
    <w:rsid w:val="00DD463B"/>
    <w:rsid w:val="00DD5A66"/>
    <w:rsid w:val="00DE1271"/>
    <w:rsid w:val="00DE24BF"/>
    <w:rsid w:val="00DE35FB"/>
    <w:rsid w:val="00DE4C19"/>
    <w:rsid w:val="00DE50FB"/>
    <w:rsid w:val="00DE51C5"/>
    <w:rsid w:val="00DE590D"/>
    <w:rsid w:val="00DE61E3"/>
    <w:rsid w:val="00DE7AC4"/>
    <w:rsid w:val="00DF14BA"/>
    <w:rsid w:val="00DF1692"/>
    <w:rsid w:val="00DF200A"/>
    <w:rsid w:val="00DF26D6"/>
    <w:rsid w:val="00DF3495"/>
    <w:rsid w:val="00DF3DDE"/>
    <w:rsid w:val="00DF5628"/>
    <w:rsid w:val="00DF5CBC"/>
    <w:rsid w:val="00DF5EC0"/>
    <w:rsid w:val="00E0036D"/>
    <w:rsid w:val="00E00A36"/>
    <w:rsid w:val="00E04C53"/>
    <w:rsid w:val="00E05FCD"/>
    <w:rsid w:val="00E069A7"/>
    <w:rsid w:val="00E07773"/>
    <w:rsid w:val="00E11838"/>
    <w:rsid w:val="00E11BD2"/>
    <w:rsid w:val="00E1364A"/>
    <w:rsid w:val="00E15D7B"/>
    <w:rsid w:val="00E16411"/>
    <w:rsid w:val="00E168EF"/>
    <w:rsid w:val="00E16A42"/>
    <w:rsid w:val="00E17DD7"/>
    <w:rsid w:val="00E20A7B"/>
    <w:rsid w:val="00E20C45"/>
    <w:rsid w:val="00E20D6D"/>
    <w:rsid w:val="00E21120"/>
    <w:rsid w:val="00E247D7"/>
    <w:rsid w:val="00E25DA4"/>
    <w:rsid w:val="00E27F9B"/>
    <w:rsid w:val="00E3227C"/>
    <w:rsid w:val="00E33E84"/>
    <w:rsid w:val="00E346F3"/>
    <w:rsid w:val="00E34A4E"/>
    <w:rsid w:val="00E35A42"/>
    <w:rsid w:val="00E35E56"/>
    <w:rsid w:val="00E37496"/>
    <w:rsid w:val="00E40AD3"/>
    <w:rsid w:val="00E437B5"/>
    <w:rsid w:val="00E43829"/>
    <w:rsid w:val="00E446E3"/>
    <w:rsid w:val="00E46113"/>
    <w:rsid w:val="00E47704"/>
    <w:rsid w:val="00E5359C"/>
    <w:rsid w:val="00E536F6"/>
    <w:rsid w:val="00E55998"/>
    <w:rsid w:val="00E55FA0"/>
    <w:rsid w:val="00E61BCA"/>
    <w:rsid w:val="00E61ED6"/>
    <w:rsid w:val="00E634BA"/>
    <w:rsid w:val="00E6471A"/>
    <w:rsid w:val="00E66BF0"/>
    <w:rsid w:val="00E713F6"/>
    <w:rsid w:val="00E72F82"/>
    <w:rsid w:val="00E74862"/>
    <w:rsid w:val="00E75F85"/>
    <w:rsid w:val="00E774C9"/>
    <w:rsid w:val="00E80936"/>
    <w:rsid w:val="00E80CB1"/>
    <w:rsid w:val="00E80D50"/>
    <w:rsid w:val="00E831D7"/>
    <w:rsid w:val="00E9047B"/>
    <w:rsid w:val="00E90FCC"/>
    <w:rsid w:val="00E93CDD"/>
    <w:rsid w:val="00E93E6A"/>
    <w:rsid w:val="00E94675"/>
    <w:rsid w:val="00E97F9B"/>
    <w:rsid w:val="00EA0562"/>
    <w:rsid w:val="00EA0F68"/>
    <w:rsid w:val="00EA664D"/>
    <w:rsid w:val="00EC1715"/>
    <w:rsid w:val="00EC405C"/>
    <w:rsid w:val="00EC5A8E"/>
    <w:rsid w:val="00EC64B4"/>
    <w:rsid w:val="00EC7569"/>
    <w:rsid w:val="00ED18D5"/>
    <w:rsid w:val="00ED251A"/>
    <w:rsid w:val="00ED409B"/>
    <w:rsid w:val="00ED58BE"/>
    <w:rsid w:val="00ED5A25"/>
    <w:rsid w:val="00EE244F"/>
    <w:rsid w:val="00EE5A9A"/>
    <w:rsid w:val="00EE661B"/>
    <w:rsid w:val="00EF049A"/>
    <w:rsid w:val="00EF228F"/>
    <w:rsid w:val="00EF28F1"/>
    <w:rsid w:val="00EF399D"/>
    <w:rsid w:val="00EF51F0"/>
    <w:rsid w:val="00EF5909"/>
    <w:rsid w:val="00EF5F19"/>
    <w:rsid w:val="00EF7201"/>
    <w:rsid w:val="00F002AD"/>
    <w:rsid w:val="00F00E23"/>
    <w:rsid w:val="00F02B47"/>
    <w:rsid w:val="00F0516B"/>
    <w:rsid w:val="00F05939"/>
    <w:rsid w:val="00F05C6E"/>
    <w:rsid w:val="00F11EB1"/>
    <w:rsid w:val="00F17D52"/>
    <w:rsid w:val="00F21608"/>
    <w:rsid w:val="00F2175A"/>
    <w:rsid w:val="00F246F4"/>
    <w:rsid w:val="00F2577D"/>
    <w:rsid w:val="00F2603B"/>
    <w:rsid w:val="00F26116"/>
    <w:rsid w:val="00F30FFC"/>
    <w:rsid w:val="00F32E5C"/>
    <w:rsid w:val="00F33052"/>
    <w:rsid w:val="00F37117"/>
    <w:rsid w:val="00F45081"/>
    <w:rsid w:val="00F4597D"/>
    <w:rsid w:val="00F46E8A"/>
    <w:rsid w:val="00F50FDC"/>
    <w:rsid w:val="00F51A65"/>
    <w:rsid w:val="00F532BD"/>
    <w:rsid w:val="00F54FE2"/>
    <w:rsid w:val="00F6210E"/>
    <w:rsid w:val="00F62975"/>
    <w:rsid w:val="00F62987"/>
    <w:rsid w:val="00F62F74"/>
    <w:rsid w:val="00F64813"/>
    <w:rsid w:val="00F659C7"/>
    <w:rsid w:val="00F67F7F"/>
    <w:rsid w:val="00F71E8E"/>
    <w:rsid w:val="00F72967"/>
    <w:rsid w:val="00F73909"/>
    <w:rsid w:val="00F73B1B"/>
    <w:rsid w:val="00F74745"/>
    <w:rsid w:val="00F756D9"/>
    <w:rsid w:val="00F7708B"/>
    <w:rsid w:val="00F8297B"/>
    <w:rsid w:val="00F855C4"/>
    <w:rsid w:val="00F86D07"/>
    <w:rsid w:val="00F91177"/>
    <w:rsid w:val="00F9201F"/>
    <w:rsid w:val="00F926B1"/>
    <w:rsid w:val="00F93A45"/>
    <w:rsid w:val="00F94292"/>
    <w:rsid w:val="00F950D7"/>
    <w:rsid w:val="00F97FB0"/>
    <w:rsid w:val="00FA4106"/>
    <w:rsid w:val="00FA43B2"/>
    <w:rsid w:val="00FA74EF"/>
    <w:rsid w:val="00FB53CA"/>
    <w:rsid w:val="00FB60CC"/>
    <w:rsid w:val="00FC0A32"/>
    <w:rsid w:val="00FC0D21"/>
    <w:rsid w:val="00FC149A"/>
    <w:rsid w:val="00FC70F1"/>
    <w:rsid w:val="00FD0464"/>
    <w:rsid w:val="00FD1336"/>
    <w:rsid w:val="00FD6068"/>
    <w:rsid w:val="00FD77A4"/>
    <w:rsid w:val="00FE0266"/>
    <w:rsid w:val="00FE06E8"/>
    <w:rsid w:val="00FE3E80"/>
    <w:rsid w:val="00FE3EA1"/>
    <w:rsid w:val="00FE6269"/>
    <w:rsid w:val="00FE72C4"/>
    <w:rsid w:val="00FF0368"/>
    <w:rsid w:val="00FF127D"/>
    <w:rsid w:val="00FF189E"/>
    <w:rsid w:val="00FF64A3"/>
    <w:rsid w:val="00FF75E3"/>
    <w:rsid w:val="00FF7612"/>
    <w:rsid w:val="00FF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0BC60E"/>
  <w15:chartTrackingRefBased/>
  <w15:docId w15:val="{3C56D51C-D4A5-48F3-ADC9-7934335ED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55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25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255C"/>
  </w:style>
  <w:style w:type="paragraph" w:styleId="Piedepgina">
    <w:name w:val="footer"/>
    <w:basedOn w:val="Normal"/>
    <w:link w:val="PiedepginaCar"/>
    <w:uiPriority w:val="99"/>
    <w:unhideWhenUsed/>
    <w:rsid w:val="00A425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255C"/>
  </w:style>
  <w:style w:type="paragraph" w:styleId="NormalWeb">
    <w:name w:val="Normal (Web)"/>
    <w:basedOn w:val="Normal"/>
    <w:uiPriority w:val="99"/>
    <w:unhideWhenUsed/>
    <w:rsid w:val="006F4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E75F8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75F8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75F8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75F8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75F85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5F6DA7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7D3D8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D3D8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D3D8A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7D3D8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D6068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8617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hyperlink" Target="https://www.instagram.com/inegi_informa/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3.jpeg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image" Target="media/image1.jpeg"/><Relationship Id="rId25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hyperlink" Target="https://www.facebook.com/INEGIInforma/" TargetMode="External"/><Relationship Id="rId20" Type="http://schemas.openxmlformats.org/officeDocument/2006/relationships/hyperlink" Target="https://twitter.com/INEGI_INFORMA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hyperlink" Target="http://www.inegi.org.mx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omunicacionsocial@inegi.org.mx" TargetMode="External"/><Relationship Id="rId23" Type="http://schemas.openxmlformats.org/officeDocument/2006/relationships/image" Target="media/image4.jpeg"/><Relationship Id="rId28" Type="http://schemas.openxmlformats.org/officeDocument/2006/relationships/fontTable" Target="fontTable.xml"/><Relationship Id="rId10" Type="http://schemas.openxmlformats.org/officeDocument/2006/relationships/chart" Target="charts/chart3.xml"/><Relationship Id="rId19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hyperlink" Target="https://www.youtube.com/user/INEGIInforma" TargetMode="External"/><Relationship Id="rId27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egi.org.mx/programas/cnpje/2021/" TargetMode="External"/><Relationship Id="rId2" Type="http://schemas.openxmlformats.org/officeDocument/2006/relationships/hyperlink" Target="https://www.inegi.org.mx/programas/envipe/2021/" TargetMode="External"/><Relationship Id="rId1" Type="http://schemas.openxmlformats.org/officeDocument/2006/relationships/hyperlink" Target="https://www.inegi.org.mx/programas/ens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ina.cuevas\AppData\Local\Microsoft\Windows\INetCache\Content.Outlook\A7TQ7LXC\Indicadores%20para%20el%20bolet&#237;n%202021_VERSION%20FINAL%20(003)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ina.cuevas\AppData\Local\Microsoft\Windows\INetCache\Content.Outlook\A7TQ7LXC\Indicadores%20para%20el%20bolet&#237;n%202021_VERSION%20FINAL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https://365inegi-my.sharepoint.com/personal/lina_cuevas_inegi_org_mx/Documents/Boletines/Copia%20de%20Gr&#225;ficas%20ENSU%202021_Bolet&#237;n_propuesta%20(1).xlsx" TargetMode="Externa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chartUserShapes" Target="../drawings/drawing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chartUserShapes" Target="../drawings/drawing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5.xml"/><Relationship Id="rId1" Type="http://schemas.microsoft.com/office/2011/relationships/chartStyle" Target="style5.xml"/><Relationship Id="rId5" Type="http://schemas.openxmlformats.org/officeDocument/2006/relationships/chartUserShapes" Target="../drawings/drawing5.xml"/><Relationship Id="rId4" Type="http://schemas.openxmlformats.org/officeDocument/2006/relationships/oleObject" Target="file:///C:\Users\lina.cuevas\AppData\Local\Microsoft\Windows\INetCache\Content.Outlook\A7TQ7LXC\29_10_2021_gr&#225;ficas%20mortalidad%20y%20CNPJE.xlsx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ina.cuevas\AppData\Local\Microsoft\Windows\INetCache\Content.Outlook\A7TQ7LXC\Indicadores%20para%20el%20bolet&#237;n%202021_VERSION%20FINAL%20(003).xlsx" TargetMode="Externa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chartUserShapes" Target="../drawings/drawing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ina.cuevas\AppData\Local\Microsoft\Windows\INetCache\Content.Outlook\A7TQ7LXC\Indicadores%20para%20el%20bolet&#237;n%202021_VERSION%20FINAL%20(003).xlsx" TargetMode="Externa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chartUserShapes" Target="../drawings/drawing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000" b="1" i="0" u="none" strike="noStrike" kern="1200" spc="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s-MX" sz="800" b="1" i="0" u="none" strike="noStrike" baseline="0">
                <a:effectLst/>
              </a:rPr>
              <a:t>Porcentaje de población con percepción de inseguridad </a:t>
            </a:r>
          </a:p>
          <a:p>
            <a:pPr algn="l">
              <a:defRPr sz="1000" b="1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defRPr>
            </a:pPr>
            <a:r>
              <a:rPr lang="es-MX" sz="800" b="1" i="0" u="none" strike="noStrike" baseline="0">
                <a:effectLst/>
              </a:rPr>
              <a:t>por sexo, 2011-2021</a:t>
            </a:r>
            <a:endParaRPr lang="es-MX" sz="800" b="1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layout>
        <c:manualLayout>
          <c:xMode val="edge"/>
          <c:yMode val="edge"/>
          <c:x val="0"/>
          <c:y val="4.7211156472045843E-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000" b="1" i="0" u="none" strike="noStrike" kern="1200" spc="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title>
    <c:autoTitleDeleted val="0"/>
    <c:plotArea>
      <c:layout>
        <c:manualLayout>
          <c:layoutTarget val="inner"/>
          <c:xMode val="edge"/>
          <c:yMode val="edge"/>
          <c:x val="6.1467449837020745E-2"/>
          <c:y val="0.10979811206167218"/>
          <c:w val="0.87837338018308386"/>
          <c:h val="0.52222662982998724"/>
        </c:manualLayout>
      </c:layout>
      <c:lineChart>
        <c:grouping val="standard"/>
        <c:varyColors val="0"/>
        <c:ser>
          <c:idx val="1"/>
          <c:order val="0"/>
          <c:tx>
            <c:strRef>
              <c:f>'Gráfica 1'!$B$6</c:f>
              <c:strCache>
                <c:ptCount val="1"/>
                <c:pt idx="0">
                  <c:v>Total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3.2898960552422862E-2"/>
                  <c:y val="1.39437601673251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684-4DDE-9621-43286B6F6054}"/>
                </c:ext>
              </c:extLst>
            </c:dLbl>
            <c:dLbl>
              <c:idx val="2"/>
              <c:layout>
                <c:manualLayout>
                  <c:x val="-3.2898960552422842E-2"/>
                  <c:y val="9.2958401115499963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684-4DDE-9621-43286B6F6054}"/>
                </c:ext>
              </c:extLst>
            </c:dLbl>
            <c:numFmt formatCode="#,##0.0" sourceLinked="0"/>
            <c:spPr>
              <a:solidFill>
                <a:schemeClr val="bg1">
                  <a:alpha val="90000"/>
                </a:schemeClr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6997AF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'Gráfica 1'!$C$5:$M$5</c:f>
              <c:numCache>
                <c:formatCode>General</c:formatCode>
                <c:ptCount val="11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  <c:pt idx="8">
                  <c:v>2019</c:v>
                </c:pt>
                <c:pt idx="9">
                  <c:v>2020</c:v>
                </c:pt>
                <c:pt idx="10">
                  <c:v>2021</c:v>
                </c:pt>
              </c:numCache>
            </c:numRef>
          </c:cat>
          <c:val>
            <c:numRef>
              <c:f>'Gráfica 1'!$C$6:$M$6</c:f>
              <c:numCache>
                <c:formatCode>0.00</c:formatCode>
                <c:ptCount val="11"/>
                <c:pt idx="0">
                  <c:v>69.536343080000009</c:v>
                </c:pt>
                <c:pt idx="1">
                  <c:v>66.622674220000007</c:v>
                </c:pt>
                <c:pt idx="2">
                  <c:v>72.322456770000002</c:v>
                </c:pt>
                <c:pt idx="3">
                  <c:v>73.254528019999995</c:v>
                </c:pt>
                <c:pt idx="4">
                  <c:v>73.208738609999997</c:v>
                </c:pt>
                <c:pt idx="5">
                  <c:v>72.350354479999993</c:v>
                </c:pt>
                <c:pt idx="6">
                  <c:v>74.293379979999997</c:v>
                </c:pt>
                <c:pt idx="7">
                  <c:v>79.390884909999997</c:v>
                </c:pt>
                <c:pt idx="8">
                  <c:v>78.923315270000003</c:v>
                </c:pt>
                <c:pt idx="9">
                  <c:v>78.575746339999995</c:v>
                </c:pt>
                <c:pt idx="10">
                  <c:v>75.638192480990199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E84-47CA-BB14-FD3984AD05EB}"/>
            </c:ext>
          </c:extLst>
        </c:ser>
        <c:ser>
          <c:idx val="0"/>
          <c:order val="1"/>
          <c:tx>
            <c:strRef>
              <c:f>'Gráfica 1'!$B$7</c:f>
              <c:strCache>
                <c:ptCount val="1"/>
                <c:pt idx="0">
                  <c:v>Mujeres</c:v>
                </c:pt>
              </c:strCache>
            </c:strRef>
          </c:tx>
          <c:spPr>
            <a:ln w="28575" cap="rnd">
              <a:solidFill>
                <a:schemeClr val="accent1">
                  <a:shade val="65000"/>
                </a:schemeClr>
              </a:solidFill>
              <a:prstDash val="sysDot"/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3.5135846806756812E-2"/>
                  <c:y val="-9.2958401115500813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684-4DDE-9621-43286B6F6054}"/>
                </c:ext>
              </c:extLst>
            </c:dLbl>
            <c:dLbl>
              <c:idx val="1"/>
              <c:layout>
                <c:manualLayout>
                  <c:x val="-3.1081948745834302E-2"/>
                  <c:y val="-1.38376383763838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42A-4243-B8D0-36BA2DD9701A}"/>
                </c:ext>
              </c:extLst>
            </c:dLbl>
            <c:numFmt formatCode="#,##0.0" sourceLinked="0"/>
            <c:spPr>
              <a:solidFill>
                <a:schemeClr val="bg1">
                  <a:alpha val="90000"/>
                </a:schemeClr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8784C7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'Gráfica 1'!$C$5:$M$5</c:f>
              <c:numCache>
                <c:formatCode>General</c:formatCode>
                <c:ptCount val="11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  <c:pt idx="8">
                  <c:v>2019</c:v>
                </c:pt>
                <c:pt idx="9">
                  <c:v>2020</c:v>
                </c:pt>
                <c:pt idx="10">
                  <c:v>2021</c:v>
                </c:pt>
              </c:numCache>
            </c:numRef>
          </c:cat>
          <c:val>
            <c:numRef>
              <c:f>'Gráfica 1'!$C$7:$M$7</c:f>
              <c:numCache>
                <c:formatCode>0.00</c:formatCode>
                <c:ptCount val="11"/>
                <c:pt idx="0">
                  <c:v>71.943225609999999</c:v>
                </c:pt>
                <c:pt idx="1">
                  <c:v>68.777403640000003</c:v>
                </c:pt>
                <c:pt idx="2">
                  <c:v>74.716102499999991</c:v>
                </c:pt>
                <c:pt idx="3">
                  <c:v>76.267501600000003</c:v>
                </c:pt>
                <c:pt idx="4">
                  <c:v>76.163569080000002</c:v>
                </c:pt>
                <c:pt idx="5">
                  <c:v>75.261596069999996</c:v>
                </c:pt>
                <c:pt idx="6">
                  <c:v>76.935362089999998</c:v>
                </c:pt>
                <c:pt idx="7">
                  <c:v>82.101835800000003</c:v>
                </c:pt>
                <c:pt idx="8">
                  <c:v>82.04243658</c:v>
                </c:pt>
                <c:pt idx="9">
                  <c:v>81.73506463999999</c:v>
                </c:pt>
                <c:pt idx="10">
                  <c:v>78.7921329628862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E84-47CA-BB14-FD3984AD05EB}"/>
            </c:ext>
          </c:extLst>
        </c:ser>
        <c:ser>
          <c:idx val="2"/>
          <c:order val="2"/>
          <c:tx>
            <c:strRef>
              <c:f>'Gráfica 1'!$B$8</c:f>
              <c:strCache>
                <c:ptCount val="1"/>
                <c:pt idx="0">
                  <c:v>Hombres</c:v>
                </c:pt>
              </c:strCache>
            </c:strRef>
          </c:tx>
          <c:spPr>
            <a:ln w="28575" cap="rnd">
              <a:solidFill>
                <a:schemeClr val="accent1">
                  <a:tint val="65000"/>
                </a:schemeClr>
              </a:solidFill>
              <a:prstDash val="dash"/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3.0662074298088881E-2"/>
                  <c:y val="3.25354403904252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684-4DDE-9621-43286B6F6054}"/>
                </c:ext>
              </c:extLst>
            </c:dLbl>
            <c:dLbl>
              <c:idx val="1"/>
              <c:layout>
                <c:manualLayout>
                  <c:x val="-3.3083973265010995E-2"/>
                  <c:y val="9.2250922509225092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42A-4243-B8D0-36BA2DD9701A}"/>
                </c:ext>
              </c:extLst>
            </c:dLbl>
            <c:dLbl>
              <c:idx val="2"/>
              <c:layout>
                <c:manualLayout>
                  <c:x val="-3.2898960552422842E-2"/>
                  <c:y val="1.85916802231000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684-4DDE-9621-43286B6F6054}"/>
                </c:ext>
              </c:extLst>
            </c:dLbl>
            <c:numFmt formatCode="#,##0.0" sourceLinked="0"/>
            <c:spPr>
              <a:solidFill>
                <a:schemeClr val="bg1">
                  <a:alpha val="90000"/>
                </a:schemeClr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6F8183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'Gráfica 1'!$C$5:$M$5</c:f>
              <c:numCache>
                <c:formatCode>General</c:formatCode>
                <c:ptCount val="11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  <c:pt idx="8">
                  <c:v>2019</c:v>
                </c:pt>
                <c:pt idx="9">
                  <c:v>2020</c:v>
                </c:pt>
                <c:pt idx="10">
                  <c:v>2021</c:v>
                </c:pt>
              </c:numCache>
            </c:numRef>
          </c:cat>
          <c:val>
            <c:numRef>
              <c:f>'Gráfica 1'!$C$8:$M$8</c:f>
              <c:numCache>
                <c:formatCode>0.00</c:formatCode>
                <c:ptCount val="11"/>
                <c:pt idx="0">
                  <c:v>66.89011103</c:v>
                </c:pt>
                <c:pt idx="1">
                  <c:v>64.118476779999995</c:v>
                </c:pt>
                <c:pt idx="2">
                  <c:v>69.617056540000007</c:v>
                </c:pt>
                <c:pt idx="3">
                  <c:v>69.789398910000003</c:v>
                </c:pt>
                <c:pt idx="4">
                  <c:v>69.81395144999999</c:v>
                </c:pt>
                <c:pt idx="5">
                  <c:v>69.029295660000002</c:v>
                </c:pt>
                <c:pt idx="6">
                  <c:v>71.300086460000003</c:v>
                </c:pt>
                <c:pt idx="7">
                  <c:v>76.298049689999999</c:v>
                </c:pt>
                <c:pt idx="8">
                  <c:v>75.402186</c:v>
                </c:pt>
                <c:pt idx="9">
                  <c:v>74.667832899999993</c:v>
                </c:pt>
                <c:pt idx="10">
                  <c:v>72.008054680952796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6E84-47CA-BB14-FD3984AD05EB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1717966335"/>
        <c:axId val="1717975487"/>
      </c:lineChart>
      <c:catAx>
        <c:axId val="171796633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717975487"/>
        <c:crosses val="autoZero"/>
        <c:auto val="1"/>
        <c:lblAlgn val="ctr"/>
        <c:lblOffset val="100"/>
        <c:noMultiLvlLbl val="0"/>
      </c:catAx>
      <c:valAx>
        <c:axId val="1717975487"/>
        <c:scaling>
          <c:orientation val="minMax"/>
          <c:max val="100"/>
          <c:min val="6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71796633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5866464982283238"/>
          <c:y val="0.70130484692534256"/>
          <c:w val="0.5143878403698835"/>
          <c:h val="7.0027487090194865E-2"/>
        </c:manualLayout>
      </c:layout>
      <c:overlay val="0"/>
      <c:spPr>
        <a:noFill/>
        <a:ln>
          <a:solidFill>
            <a:schemeClr val="accent1"/>
          </a:solidFill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zero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ysDash"/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 sz="800" b="1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Porcentaje de población con percepción de inseguridad</a:t>
            </a:r>
          </a:p>
          <a:p>
            <a:pPr algn="l">
              <a:defRPr/>
            </a:pPr>
            <a:r>
              <a:rPr lang="es-MX" sz="800" b="1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por tipo de espacio según sexo, 2021</a:t>
            </a:r>
          </a:p>
        </c:rich>
      </c:tx>
      <c:layout>
        <c:manualLayout>
          <c:xMode val="edge"/>
          <c:yMode val="edge"/>
          <c:x val="7.9185065861336673E-4"/>
          <c:y val="1.182838820889756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>
        <c:manualLayout>
          <c:layoutTarget val="inner"/>
          <c:xMode val="edge"/>
          <c:yMode val="edge"/>
          <c:x val="0.22787044951789096"/>
          <c:y val="0.10117387500475485"/>
          <c:w val="0.64531193216232585"/>
          <c:h val="0.78670014074327654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'ENVIPE 2'!$D$6</c:f>
              <c:strCache>
                <c:ptCount val="1"/>
                <c:pt idx="0">
                  <c:v>Hombres</c:v>
                </c:pt>
              </c:strCache>
            </c:strRef>
          </c:tx>
          <c:spPr>
            <a:solidFill>
              <a:schemeClr val="accent1">
                <a:shade val="76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'ENVIPE 2'!$B$7:$B$18</c:f>
              <c:strCache>
                <c:ptCount val="12"/>
                <c:pt idx="0">
                  <c:v>Casa</c:v>
                </c:pt>
                <c:pt idx="1">
                  <c:v>Trabajo</c:v>
                </c:pt>
                <c:pt idx="2">
                  <c:v>Automóvil</c:v>
                </c:pt>
                <c:pt idx="3">
                  <c:v>Escuela</c:v>
                </c:pt>
                <c:pt idx="4">
                  <c:v>Centro comercial</c:v>
                </c:pt>
                <c:pt idx="5">
                  <c:v>Parque o Centro recreativo</c:v>
                </c:pt>
                <c:pt idx="6">
                  <c:v>Mercado</c:v>
                </c:pt>
                <c:pt idx="7">
                  <c:v>Carretera</c:v>
                </c:pt>
                <c:pt idx="8">
                  <c:v>Calle</c:v>
                </c:pt>
                <c:pt idx="9">
                  <c:v>Transporte público</c:v>
                </c:pt>
                <c:pt idx="10">
                  <c:v>Banco</c:v>
                </c:pt>
                <c:pt idx="11">
                  <c:v>Cajero Automático</c:v>
                </c:pt>
              </c:strCache>
            </c:strRef>
          </c:cat>
          <c:val>
            <c:numRef>
              <c:f>'ENVIPE 2'!$D$7:$D$18</c:f>
              <c:numCache>
                <c:formatCode>0.0%</c:formatCode>
                <c:ptCount val="12"/>
                <c:pt idx="0">
                  <c:v>0.16136177501143711</c:v>
                </c:pt>
                <c:pt idx="1">
                  <c:v>0.27198344599620627</c:v>
                </c:pt>
                <c:pt idx="2">
                  <c:v>0.35704134017744682</c:v>
                </c:pt>
                <c:pt idx="3">
                  <c:v>0.34386370320351728</c:v>
                </c:pt>
                <c:pt idx="4">
                  <c:v>0.3708121558310935</c:v>
                </c:pt>
                <c:pt idx="5">
                  <c:v>0.46696112078431695</c:v>
                </c:pt>
                <c:pt idx="6">
                  <c:v>0.49112247469274595</c:v>
                </c:pt>
                <c:pt idx="7">
                  <c:v>0.54862739970035845</c:v>
                </c:pt>
                <c:pt idx="8">
                  <c:v>0.60370421305327759</c:v>
                </c:pt>
                <c:pt idx="9">
                  <c:v>0.64153207507034549</c:v>
                </c:pt>
                <c:pt idx="10">
                  <c:v>0.61692521251385524</c:v>
                </c:pt>
                <c:pt idx="11">
                  <c:v>0.75067286812130574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5C6-4337-A801-342F28E04CB5}"/>
            </c:ext>
          </c:extLst>
        </c:ser>
        <c:ser>
          <c:idx val="1"/>
          <c:order val="1"/>
          <c:tx>
            <c:strRef>
              <c:f>'ENVIPE 2'!$E$6</c:f>
              <c:strCache>
                <c:ptCount val="1"/>
                <c:pt idx="0">
                  <c:v>Mujeres</c:v>
                </c:pt>
              </c:strCache>
            </c:strRef>
          </c:tx>
          <c:spPr>
            <a:solidFill>
              <a:schemeClr val="accent1">
                <a:tint val="77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'ENVIPE 2'!$B$7:$B$18</c:f>
              <c:strCache>
                <c:ptCount val="12"/>
                <c:pt idx="0">
                  <c:v>Casa</c:v>
                </c:pt>
                <c:pt idx="1">
                  <c:v>Trabajo</c:v>
                </c:pt>
                <c:pt idx="2">
                  <c:v>Automóvil</c:v>
                </c:pt>
                <c:pt idx="3">
                  <c:v>Escuela</c:v>
                </c:pt>
                <c:pt idx="4">
                  <c:v>Centro comercial</c:v>
                </c:pt>
                <c:pt idx="5">
                  <c:v>Parque o Centro recreativo</c:v>
                </c:pt>
                <c:pt idx="6">
                  <c:v>Mercado</c:v>
                </c:pt>
                <c:pt idx="7">
                  <c:v>Carretera</c:v>
                </c:pt>
                <c:pt idx="8">
                  <c:v>Calle</c:v>
                </c:pt>
                <c:pt idx="9">
                  <c:v>Transporte público</c:v>
                </c:pt>
                <c:pt idx="10">
                  <c:v>Banco</c:v>
                </c:pt>
                <c:pt idx="11">
                  <c:v>Cajero Automático</c:v>
                </c:pt>
              </c:strCache>
            </c:strRef>
          </c:cat>
          <c:val>
            <c:numRef>
              <c:f>'ENVIPE 2'!$E$7:$E$18</c:f>
              <c:numCache>
                <c:formatCode>0.0%</c:formatCode>
                <c:ptCount val="12"/>
                <c:pt idx="0">
                  <c:v>0.19973547094636196</c:v>
                </c:pt>
                <c:pt idx="1">
                  <c:v>0.3166453737386572</c:v>
                </c:pt>
                <c:pt idx="2">
                  <c:v>0.4006320686632231</c:v>
                </c:pt>
                <c:pt idx="3">
                  <c:v>0.42648404151338848</c:v>
                </c:pt>
                <c:pt idx="4">
                  <c:v>0.49301458684613614</c:v>
                </c:pt>
                <c:pt idx="5">
                  <c:v>0.600725531376466</c:v>
                </c:pt>
                <c:pt idx="6">
                  <c:v>0.60399471212052125</c:v>
                </c:pt>
                <c:pt idx="7">
                  <c:v>0.64757746605988964</c:v>
                </c:pt>
                <c:pt idx="8">
                  <c:v>0.69513063397329777</c:v>
                </c:pt>
                <c:pt idx="9">
                  <c:v>0.73829661401993418</c:v>
                </c:pt>
                <c:pt idx="10">
                  <c:v>0.74311586493032455</c:v>
                </c:pt>
                <c:pt idx="11">
                  <c:v>0.85648196817544153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5C6-4337-A801-342F28E04CB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733255967"/>
        <c:axId val="733255551"/>
      </c:barChart>
      <c:catAx>
        <c:axId val="73325596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733255551"/>
        <c:crosses val="autoZero"/>
        <c:auto val="1"/>
        <c:lblAlgn val="ctr"/>
        <c:lblOffset val="100"/>
        <c:noMultiLvlLbl val="0"/>
      </c:catAx>
      <c:valAx>
        <c:axId val="733255551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73325596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000" b="0" i="0" u="none" strike="noStrike" kern="1200" spc="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s-MX" sz="800" b="1" i="0" baseline="0">
                <a:effectLst/>
              </a:rPr>
              <a:t>Población de 18 años y más que vivió violencia en el entorno familiar </a:t>
            </a:r>
            <a:endParaRPr lang="es-MX" sz="800">
              <a:effectLst/>
            </a:endParaRPr>
          </a:p>
          <a:p>
            <a:pPr algn="l">
              <a:defRPr sz="1000"/>
            </a:pPr>
            <a:r>
              <a:rPr lang="es-MX" sz="800" b="1" i="0" baseline="0">
                <a:effectLst/>
              </a:rPr>
              <a:t>por sexo, según mes de ocurrencia</a:t>
            </a:r>
            <a:endParaRPr lang="es-MX" sz="800">
              <a:effectLst/>
            </a:endParaRPr>
          </a:p>
          <a:p>
            <a:pPr algn="l">
              <a:defRPr sz="1000"/>
            </a:pPr>
            <a:r>
              <a:rPr lang="es-MX" sz="800" b="1" i="0" baseline="0">
                <a:effectLst/>
              </a:rPr>
              <a:t>Enero - Agosto 2020 y 2021</a:t>
            </a:r>
            <a:endParaRPr lang="es-MX" sz="800">
              <a:effectLst/>
            </a:endParaRPr>
          </a:p>
          <a:p>
            <a:pPr algn="l">
              <a:defRPr sz="1000"/>
            </a:pPr>
            <a:r>
              <a:rPr lang="es-MX" sz="800" b="0" i="0" baseline="0">
                <a:effectLst/>
              </a:rPr>
              <a:t>Porcentaje</a:t>
            </a:r>
            <a:endParaRPr lang="es-MX" sz="800">
              <a:effectLst/>
            </a:endParaRPr>
          </a:p>
        </c:rich>
      </c:tx>
      <c:layout>
        <c:manualLayout>
          <c:xMode val="edge"/>
          <c:yMode val="edge"/>
          <c:x val="1.232761792626389E-3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000" b="0" i="0" u="none" strike="noStrike" kern="1200" spc="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title>
    <c:autoTitleDeleted val="0"/>
    <c:plotArea>
      <c:layout>
        <c:manualLayout>
          <c:layoutTarget val="inner"/>
          <c:xMode val="edge"/>
          <c:yMode val="edge"/>
          <c:x val="5.2490230981819735E-2"/>
          <c:y val="0.18618693496646252"/>
          <c:w val="0.91953802494857273"/>
          <c:h val="0.46489367776396373"/>
        </c:manualLayout>
      </c:layout>
      <c:lineChart>
        <c:grouping val="standard"/>
        <c:varyColors val="0"/>
        <c:ser>
          <c:idx val="0"/>
          <c:order val="0"/>
          <c:tx>
            <c:strRef>
              <c:f>'Gráfica 6_propuesta3'!$O$22</c:f>
              <c:strCache>
                <c:ptCount val="1"/>
                <c:pt idx="0">
                  <c:v>Total</c:v>
                </c:pt>
              </c:strCache>
            </c:strRef>
          </c:tx>
          <c:spPr>
            <a:ln w="28575" cap="rnd">
              <a:solidFill>
                <a:schemeClr val="accent1">
                  <a:shade val="65000"/>
                </a:schemeClr>
              </a:solidFill>
              <a:round/>
            </a:ln>
            <a:effectLst/>
          </c:spPr>
          <c:marker>
            <c:symbol val="diamond"/>
            <c:size val="6"/>
            <c:spPr>
              <a:solidFill>
                <a:schemeClr val="accent1">
                  <a:shade val="65000"/>
                </a:schemeClr>
              </a:solidFill>
              <a:ln w="9525">
                <a:solidFill>
                  <a:schemeClr val="accent1">
                    <a:shade val="65000"/>
                  </a:schemeClr>
                </a:solidFill>
              </a:ln>
              <a:effectLst/>
            </c:spPr>
          </c:marker>
          <c:dPt>
            <c:idx val="8"/>
            <c:marker>
              <c:symbol val="diamond"/>
              <c:size val="6"/>
              <c:spPr>
                <a:solidFill>
                  <a:schemeClr val="accent1">
                    <a:shade val="65000"/>
                  </a:schemeClr>
                </a:solidFill>
                <a:ln w="9525">
                  <a:solidFill>
                    <a:schemeClr val="accent1">
                      <a:shade val="65000"/>
                    </a:schemeClr>
                  </a:solidFill>
                </a:ln>
                <a:effectLst/>
              </c:spPr>
            </c:marker>
            <c:bubble3D val="0"/>
            <c:spPr>
              <a:ln w="28575" cap="rnd">
                <a:noFill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9A66-407B-8837-CE56B346C588}"/>
              </c:ext>
            </c:extLst>
          </c:dPt>
          <c:dLbls>
            <c:dLbl>
              <c:idx val="8"/>
              <c:layout>
                <c:manualLayout>
                  <c:x val="-5.5664391326652574E-2"/>
                  <c:y val="-3.1859525552155872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A66-407B-8837-CE56B346C588}"/>
                </c:ext>
              </c:extLst>
            </c:dLbl>
            <c:dLbl>
              <c:idx val="9"/>
              <c:layout>
                <c:manualLayout>
                  <c:x val="-1.716266491356512E-2"/>
                  <c:y val="4.3547681539807528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A66-407B-8837-CE56B346C588}"/>
                </c:ext>
              </c:extLst>
            </c:dLbl>
            <c:dLbl>
              <c:idx val="10"/>
              <c:layout>
                <c:manualLayout>
                  <c:x val="-3.4462979078880518E-2"/>
                  <c:y val="1.84140460841544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A66-407B-8837-CE56B346C588}"/>
                </c:ext>
              </c:extLst>
            </c:dLbl>
            <c:dLbl>
              <c:idx val="11"/>
              <c:layout>
                <c:manualLayout>
                  <c:x val="-3.2342837854103156E-2"/>
                  <c:y val="2.32140457817923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A66-407B-8837-CE56B346C588}"/>
                </c:ext>
              </c:extLst>
            </c:dLbl>
            <c:dLbl>
              <c:idx val="12"/>
              <c:layout>
                <c:manualLayout>
                  <c:x val="-3.2342837854103391E-2"/>
                  <c:y val="2.32140457817923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A66-407B-8837-CE56B346C588}"/>
                </c:ext>
              </c:extLst>
            </c:dLbl>
            <c:dLbl>
              <c:idx val="13"/>
              <c:layout>
                <c:manualLayout>
                  <c:x val="-3.2342837854103391E-2"/>
                  <c:y val="2.561404563061129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9A66-407B-8837-CE56B346C588}"/>
                </c:ext>
              </c:extLst>
            </c:dLbl>
            <c:dLbl>
              <c:idx val="14"/>
              <c:layout>
                <c:manualLayout>
                  <c:x val="-3.0222696629326026E-2"/>
                  <c:y val="1.84140460841545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A66-407B-8837-CE56B346C58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'Gráfica 6_propuesta3'!$M$23:$N$38</c:f>
              <c:multiLvlStrCache>
                <c:ptCount val="16"/>
                <c:lvl>
                  <c:pt idx="0">
                    <c:v>Enero</c:v>
                  </c:pt>
                  <c:pt idx="1">
                    <c:v>Febrero</c:v>
                  </c:pt>
                  <c:pt idx="2">
                    <c:v>Marzo</c:v>
                  </c:pt>
                  <c:pt idx="3">
                    <c:v>Abril</c:v>
                  </c:pt>
                  <c:pt idx="4">
                    <c:v>Mayo</c:v>
                  </c:pt>
                  <c:pt idx="5">
                    <c:v>Junio</c:v>
                  </c:pt>
                  <c:pt idx="6">
                    <c:v>Julio</c:v>
                  </c:pt>
                  <c:pt idx="7">
                    <c:v>Agosto</c:v>
                  </c:pt>
                  <c:pt idx="8">
                    <c:v>Enero</c:v>
                  </c:pt>
                  <c:pt idx="9">
                    <c:v>Febrero</c:v>
                  </c:pt>
                  <c:pt idx="10">
                    <c:v>Marzo</c:v>
                  </c:pt>
                  <c:pt idx="11">
                    <c:v>Abril</c:v>
                  </c:pt>
                  <c:pt idx="12">
                    <c:v>Mayo</c:v>
                  </c:pt>
                  <c:pt idx="13">
                    <c:v>Junio</c:v>
                  </c:pt>
                  <c:pt idx="14">
                    <c:v>Julio</c:v>
                  </c:pt>
                  <c:pt idx="15">
                    <c:v>Agosto</c:v>
                  </c:pt>
                </c:lvl>
                <c:lvl>
                  <c:pt idx="0">
                    <c:v>2020</c:v>
                  </c:pt>
                  <c:pt idx="8">
                    <c:v>2021</c:v>
                  </c:pt>
                </c:lvl>
              </c:multiLvlStrCache>
            </c:multiLvlStrRef>
          </c:cat>
          <c:val>
            <c:numRef>
              <c:f>'Gráfica 6_propuesta3'!$O$23:$O$38</c:f>
              <c:numCache>
                <c:formatCode>0.0</c:formatCode>
                <c:ptCount val="16"/>
                <c:pt idx="0">
                  <c:v>1.7857839046910806</c:v>
                </c:pt>
                <c:pt idx="1">
                  <c:v>1.6709697428861043</c:v>
                </c:pt>
                <c:pt idx="2">
                  <c:v>1.6686300603575055</c:v>
                </c:pt>
                <c:pt idx="3">
                  <c:v>1.4891509527284237</c:v>
                </c:pt>
                <c:pt idx="4">
                  <c:v>1.4485859492196274</c:v>
                </c:pt>
                <c:pt idx="5">
                  <c:v>1.9606054681362881</c:v>
                </c:pt>
                <c:pt idx="6">
                  <c:v>1.8573757655247269</c:v>
                </c:pt>
                <c:pt idx="7">
                  <c:v>2.0363505685258825</c:v>
                </c:pt>
                <c:pt idx="8">
                  <c:v>1.131355886654577</c:v>
                </c:pt>
                <c:pt idx="9">
                  <c:v>1.1382797743687298</c:v>
                </c:pt>
                <c:pt idx="10">
                  <c:v>1.1536053210445376</c:v>
                </c:pt>
                <c:pt idx="11">
                  <c:v>1.0489160467335719</c:v>
                </c:pt>
                <c:pt idx="12">
                  <c:v>1.2478811418917972</c:v>
                </c:pt>
                <c:pt idx="13">
                  <c:v>1.2989655302030316</c:v>
                </c:pt>
                <c:pt idx="14">
                  <c:v>1.4442658919278266</c:v>
                </c:pt>
                <c:pt idx="15">
                  <c:v>1.9663679980487896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9A66-407B-8837-CE56B346C588}"/>
            </c:ext>
          </c:extLst>
        </c:ser>
        <c:ser>
          <c:idx val="1"/>
          <c:order val="1"/>
          <c:tx>
            <c:strRef>
              <c:f>'Gráfica 6_propuesta3'!$P$22</c:f>
              <c:strCache>
                <c:ptCount val="1"/>
                <c:pt idx="0">
                  <c:v>Mujeres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Pt>
            <c:idx val="8"/>
            <c:marker>
              <c:symbol val="square"/>
              <c:size val="6"/>
              <c:spPr>
                <a:solidFill>
                  <a:schemeClr val="accent1"/>
                </a:solidFill>
                <a:ln w="9525">
                  <a:solidFill>
                    <a:schemeClr val="accent1"/>
                  </a:solidFill>
                </a:ln>
                <a:effectLst/>
              </c:spPr>
            </c:marker>
            <c:bubble3D val="0"/>
            <c:spPr>
              <a:ln w="28575" cap="rnd">
                <a:noFill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A-9A66-407B-8837-CE56B346C58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'Gráfica 6_propuesta3'!$M$23:$N$38</c:f>
              <c:multiLvlStrCache>
                <c:ptCount val="16"/>
                <c:lvl>
                  <c:pt idx="0">
                    <c:v>Enero</c:v>
                  </c:pt>
                  <c:pt idx="1">
                    <c:v>Febrero</c:v>
                  </c:pt>
                  <c:pt idx="2">
                    <c:v>Marzo</c:v>
                  </c:pt>
                  <c:pt idx="3">
                    <c:v>Abril</c:v>
                  </c:pt>
                  <c:pt idx="4">
                    <c:v>Mayo</c:v>
                  </c:pt>
                  <c:pt idx="5">
                    <c:v>Junio</c:v>
                  </c:pt>
                  <c:pt idx="6">
                    <c:v>Julio</c:v>
                  </c:pt>
                  <c:pt idx="7">
                    <c:v>Agosto</c:v>
                  </c:pt>
                  <c:pt idx="8">
                    <c:v>Enero</c:v>
                  </c:pt>
                  <c:pt idx="9">
                    <c:v>Febrero</c:v>
                  </c:pt>
                  <c:pt idx="10">
                    <c:v>Marzo</c:v>
                  </c:pt>
                  <c:pt idx="11">
                    <c:v>Abril</c:v>
                  </c:pt>
                  <c:pt idx="12">
                    <c:v>Mayo</c:v>
                  </c:pt>
                  <c:pt idx="13">
                    <c:v>Junio</c:v>
                  </c:pt>
                  <c:pt idx="14">
                    <c:v>Julio</c:v>
                  </c:pt>
                  <c:pt idx="15">
                    <c:v>Agosto</c:v>
                  </c:pt>
                </c:lvl>
                <c:lvl>
                  <c:pt idx="0">
                    <c:v>2020</c:v>
                  </c:pt>
                  <c:pt idx="8">
                    <c:v>2021</c:v>
                  </c:pt>
                </c:lvl>
              </c:multiLvlStrCache>
            </c:multiLvlStrRef>
          </c:cat>
          <c:val>
            <c:numRef>
              <c:f>'Gráfica 6_propuesta3'!$P$23:$P$38</c:f>
              <c:numCache>
                <c:formatCode>0.0</c:formatCode>
                <c:ptCount val="16"/>
                <c:pt idx="0">
                  <c:v>2.2535150082377977</c:v>
                </c:pt>
                <c:pt idx="1">
                  <c:v>2.1709716668382875</c:v>
                </c:pt>
                <c:pt idx="2">
                  <c:v>2.2413272508066178</c:v>
                </c:pt>
                <c:pt idx="3">
                  <c:v>1.8283200398732293</c:v>
                </c:pt>
                <c:pt idx="4">
                  <c:v>1.9275472457724079</c:v>
                </c:pt>
                <c:pt idx="5">
                  <c:v>2.5631206951786001</c:v>
                </c:pt>
                <c:pt idx="6">
                  <c:v>2.2756648160225166</c:v>
                </c:pt>
                <c:pt idx="7">
                  <c:v>2.4866198356444933</c:v>
                </c:pt>
                <c:pt idx="8">
                  <c:v>1.2275710121115846</c:v>
                </c:pt>
                <c:pt idx="9">
                  <c:v>1.3065639598461065</c:v>
                </c:pt>
                <c:pt idx="10">
                  <c:v>1.3490780902784412</c:v>
                </c:pt>
                <c:pt idx="11">
                  <c:v>1.2621687470214458</c:v>
                </c:pt>
                <c:pt idx="12">
                  <c:v>1.4866682143539682</c:v>
                </c:pt>
                <c:pt idx="13">
                  <c:v>1.5766848888355383</c:v>
                </c:pt>
                <c:pt idx="14">
                  <c:v>1.727938928470403</c:v>
                </c:pt>
                <c:pt idx="15">
                  <c:v>2.426446133182802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B-9A66-407B-8837-CE56B346C588}"/>
            </c:ext>
          </c:extLst>
        </c:ser>
        <c:ser>
          <c:idx val="2"/>
          <c:order val="2"/>
          <c:tx>
            <c:strRef>
              <c:f>'Gráfica 6_propuesta3'!$Q$22</c:f>
              <c:strCache>
                <c:ptCount val="1"/>
                <c:pt idx="0">
                  <c:v>Hombres</c:v>
                </c:pt>
              </c:strCache>
            </c:strRef>
          </c:tx>
          <c:spPr>
            <a:ln w="28575" cap="rnd">
              <a:solidFill>
                <a:schemeClr val="accent1">
                  <a:tint val="65000"/>
                </a:schemeClr>
              </a:solidFill>
              <a:round/>
            </a:ln>
            <a:effectLst/>
          </c:spPr>
          <c:marker>
            <c:symbol val="triangle"/>
            <c:size val="6"/>
            <c:spPr>
              <a:solidFill>
                <a:schemeClr val="accent1">
                  <a:tint val="65000"/>
                </a:schemeClr>
              </a:solidFill>
              <a:ln w="9525">
                <a:solidFill>
                  <a:schemeClr val="accent1">
                    <a:tint val="65000"/>
                  </a:schemeClr>
                </a:solidFill>
              </a:ln>
              <a:effectLst/>
            </c:spPr>
          </c:marker>
          <c:dPt>
            <c:idx val="8"/>
            <c:marker>
              <c:symbol val="triangle"/>
              <c:size val="6"/>
              <c:spPr>
                <a:solidFill>
                  <a:schemeClr val="accent1">
                    <a:tint val="65000"/>
                  </a:schemeClr>
                </a:solidFill>
                <a:ln w="9525">
                  <a:solidFill>
                    <a:schemeClr val="accent1">
                      <a:tint val="65000"/>
                    </a:schemeClr>
                  </a:solidFill>
                </a:ln>
                <a:effectLst/>
              </c:spPr>
            </c:marker>
            <c:bubble3D val="0"/>
            <c:spPr>
              <a:ln w="28575" cap="rnd">
                <a:noFill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D-9A66-407B-8837-CE56B346C58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'Gráfica 6_propuesta3'!$M$23:$N$38</c:f>
              <c:multiLvlStrCache>
                <c:ptCount val="16"/>
                <c:lvl>
                  <c:pt idx="0">
                    <c:v>Enero</c:v>
                  </c:pt>
                  <c:pt idx="1">
                    <c:v>Febrero</c:v>
                  </c:pt>
                  <c:pt idx="2">
                    <c:v>Marzo</c:v>
                  </c:pt>
                  <c:pt idx="3">
                    <c:v>Abril</c:v>
                  </c:pt>
                  <c:pt idx="4">
                    <c:v>Mayo</c:v>
                  </c:pt>
                  <c:pt idx="5">
                    <c:v>Junio</c:v>
                  </c:pt>
                  <c:pt idx="6">
                    <c:v>Julio</c:v>
                  </c:pt>
                  <c:pt idx="7">
                    <c:v>Agosto</c:v>
                  </c:pt>
                  <c:pt idx="8">
                    <c:v>Enero</c:v>
                  </c:pt>
                  <c:pt idx="9">
                    <c:v>Febrero</c:v>
                  </c:pt>
                  <c:pt idx="10">
                    <c:v>Marzo</c:v>
                  </c:pt>
                  <c:pt idx="11">
                    <c:v>Abril</c:v>
                  </c:pt>
                  <c:pt idx="12">
                    <c:v>Mayo</c:v>
                  </c:pt>
                  <c:pt idx="13">
                    <c:v>Junio</c:v>
                  </c:pt>
                  <c:pt idx="14">
                    <c:v>Julio</c:v>
                  </c:pt>
                  <c:pt idx="15">
                    <c:v>Agosto</c:v>
                  </c:pt>
                </c:lvl>
                <c:lvl>
                  <c:pt idx="0">
                    <c:v>2020</c:v>
                  </c:pt>
                  <c:pt idx="8">
                    <c:v>2021</c:v>
                  </c:pt>
                </c:lvl>
              </c:multiLvlStrCache>
            </c:multiLvlStrRef>
          </c:cat>
          <c:val>
            <c:numRef>
              <c:f>'Gráfica 6_propuesta3'!$Q$23:$Q$38</c:f>
              <c:numCache>
                <c:formatCode>0.0</c:formatCode>
                <c:ptCount val="16"/>
                <c:pt idx="0">
                  <c:v>1.2311764705882353</c:v>
                </c:pt>
                <c:pt idx="1">
                  <c:v>1.0780975092739797</c:v>
                </c:pt>
                <c:pt idx="2">
                  <c:v>0.98956014838367778</c:v>
                </c:pt>
                <c:pt idx="3">
                  <c:v>1.0869846316905141</c:v>
                </c:pt>
                <c:pt idx="4">
                  <c:v>0.88066242713301535</c:v>
                </c:pt>
                <c:pt idx="5">
                  <c:v>1.2461791202967674</c:v>
                </c:pt>
                <c:pt idx="6">
                  <c:v>1.3613937466878643</c:v>
                </c:pt>
                <c:pt idx="7">
                  <c:v>1.5024483306836247</c:v>
                </c:pt>
                <c:pt idx="8">
                  <c:v>1.0128649000323244</c:v>
                </c:pt>
                <c:pt idx="9">
                  <c:v>0.93103419759040396</c:v>
                </c:pt>
                <c:pt idx="10">
                  <c:v>0.91287642135964719</c:v>
                </c:pt>
                <c:pt idx="11">
                  <c:v>0.78629078135094166</c:v>
                </c:pt>
                <c:pt idx="12">
                  <c:v>0.95380975057687534</c:v>
                </c:pt>
                <c:pt idx="13">
                  <c:v>0.95694819506824524</c:v>
                </c:pt>
                <c:pt idx="14">
                  <c:v>1.0949164749998241</c:v>
                </c:pt>
                <c:pt idx="15">
                  <c:v>1.399771926002773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E-9A66-407B-8837-CE56B346C58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71905264"/>
        <c:axId val="771910184"/>
      </c:lineChart>
      <c:catAx>
        <c:axId val="7719052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1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771910184"/>
        <c:crosses val="autoZero"/>
        <c:auto val="1"/>
        <c:lblAlgn val="ctr"/>
        <c:lblOffset val="100"/>
        <c:noMultiLvlLbl val="0"/>
      </c:catAx>
      <c:valAx>
        <c:axId val="7719101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out"/>
        <c:minorTickMark val="none"/>
        <c:tickLblPos val="nextTo"/>
        <c:spPr>
          <a:noFill/>
          <a:ln>
            <a:solidFill>
              <a:sysClr val="windowText" lastClr="000000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771905264"/>
        <c:crosses val="autoZero"/>
        <c:crossBetween val="between"/>
      </c:valAx>
      <c:spPr>
        <a:noFill/>
        <a:ln>
          <a:solidFill>
            <a:schemeClr val="bg1">
              <a:lumMod val="85000"/>
            </a:schemeClr>
          </a:solidFill>
        </a:ln>
        <a:effectLst/>
      </c:spPr>
    </c:plotArea>
    <c:legend>
      <c:legendPos val="b"/>
      <c:layout>
        <c:manualLayout>
          <c:xMode val="edge"/>
          <c:yMode val="edge"/>
          <c:x val="0.30574523398424486"/>
          <c:y val="0.85967191601049864"/>
          <c:w val="0.41056743762647024"/>
          <c:h val="3.827886373046527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bg1">
          <a:lumMod val="85000"/>
        </a:schemeClr>
      </a:solidFill>
      <a:round/>
    </a:ln>
    <a:effectLst/>
  </c:spPr>
  <c:txPr>
    <a:bodyPr/>
    <a:lstStyle/>
    <a:p>
      <a:pPr>
        <a:defRPr sz="9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  <c:userShapes r:id="rId4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 sz="800" b="1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Principales</a:t>
            </a:r>
            <a:r>
              <a:rPr lang="es-MX" sz="800" b="1" baseline="0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 delitos registrados en las averiguaciones previas, investigaciones </a:t>
            </a:r>
          </a:p>
          <a:p>
            <a:pPr algn="l">
              <a:defRPr/>
            </a:pPr>
            <a:r>
              <a:rPr lang="es-MX" sz="800" b="1" baseline="0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y carpetas de investigación abiertas, según tipo, 2019-2020</a:t>
            </a:r>
            <a:endParaRPr lang="es-MX" sz="800" b="1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layout>
        <c:manualLayout>
          <c:xMode val="edge"/>
          <c:yMode val="edge"/>
          <c:x val="1.5359656167831936E-3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>
        <c:manualLayout>
          <c:layoutTarget val="inner"/>
          <c:xMode val="edge"/>
          <c:yMode val="edge"/>
          <c:x val="9.7677533327252784E-3"/>
          <c:y val="0.1031273419022877"/>
          <c:w val="0.96331353317677382"/>
          <c:h val="0.583148722571294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'CNPJE 1'!$C$3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1">
                <a:shade val="76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 "/>
                    <a:ea typeface="+mn-ea"/>
                    <a:cs typeface="+mn-cs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'CNPJE 1'!$B$4:$B$13</c:f>
              <c:strCache>
                <c:ptCount val="10"/>
                <c:pt idx="0">
                  <c:v>Robo</c:v>
                </c:pt>
                <c:pt idx="1">
                  <c:v>Violencia familiar</c:v>
                </c:pt>
                <c:pt idx="2">
                  <c:v>Lesiones</c:v>
                </c:pt>
                <c:pt idx="3">
                  <c:v>Daño a la propiedad</c:v>
                </c:pt>
                <c:pt idx="4">
                  <c:v>Amenazas</c:v>
                </c:pt>
                <c:pt idx="5">
                  <c:v>Delitos contra la salud</c:v>
                </c:pt>
                <c:pt idx="6">
                  <c:v>Fraude</c:v>
                </c:pt>
                <c:pt idx="7">
                  <c:v>Homicidio</c:v>
                </c:pt>
                <c:pt idx="8">
                  <c:v>Despojo</c:v>
                </c:pt>
                <c:pt idx="9">
                  <c:v>Abuso de confianza</c:v>
                </c:pt>
              </c:strCache>
            </c:strRef>
          </c:cat>
          <c:val>
            <c:numRef>
              <c:f>'CNPJE 1'!$C$4:$C$13</c:f>
              <c:numCache>
                <c:formatCode>#,##0</c:formatCode>
                <c:ptCount val="10"/>
                <c:pt idx="0">
                  <c:v>775428</c:v>
                </c:pt>
                <c:pt idx="1">
                  <c:v>209593</c:v>
                </c:pt>
                <c:pt idx="2">
                  <c:v>214613</c:v>
                </c:pt>
                <c:pt idx="3">
                  <c:v>136614</c:v>
                </c:pt>
                <c:pt idx="4">
                  <c:v>110286</c:v>
                </c:pt>
                <c:pt idx="5">
                  <c:v>93823</c:v>
                </c:pt>
                <c:pt idx="6">
                  <c:v>77496</c:v>
                </c:pt>
                <c:pt idx="7">
                  <c:v>47285</c:v>
                </c:pt>
                <c:pt idx="8">
                  <c:v>28809</c:v>
                </c:pt>
                <c:pt idx="9">
                  <c:v>27628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90C-44D1-A4D3-FFE3069375E2}"/>
            </c:ext>
          </c:extLst>
        </c:ser>
        <c:ser>
          <c:idx val="1"/>
          <c:order val="1"/>
          <c:tx>
            <c:strRef>
              <c:f>'CNPJE 1'!$D$3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1">
                <a:tint val="77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 "/>
                    <a:ea typeface="+mn-ea"/>
                    <a:cs typeface="+mn-cs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'CNPJE 1'!$B$4:$B$13</c:f>
              <c:strCache>
                <c:ptCount val="10"/>
                <c:pt idx="0">
                  <c:v>Robo</c:v>
                </c:pt>
                <c:pt idx="1">
                  <c:v>Violencia familiar</c:v>
                </c:pt>
                <c:pt idx="2">
                  <c:v>Lesiones</c:v>
                </c:pt>
                <c:pt idx="3">
                  <c:v>Daño a la propiedad</c:v>
                </c:pt>
                <c:pt idx="4">
                  <c:v>Amenazas</c:v>
                </c:pt>
                <c:pt idx="5">
                  <c:v>Delitos contra la salud</c:v>
                </c:pt>
                <c:pt idx="6">
                  <c:v>Fraude</c:v>
                </c:pt>
                <c:pt idx="7">
                  <c:v>Homicidio</c:v>
                </c:pt>
                <c:pt idx="8">
                  <c:v>Despojo</c:v>
                </c:pt>
                <c:pt idx="9">
                  <c:v>Abuso de confianza</c:v>
                </c:pt>
              </c:strCache>
            </c:strRef>
          </c:cat>
          <c:val>
            <c:numRef>
              <c:f>'CNPJE 1'!$D$4:$D$13</c:f>
              <c:numCache>
                <c:formatCode>#,##0</c:formatCode>
                <c:ptCount val="10"/>
                <c:pt idx="0">
                  <c:v>612114</c:v>
                </c:pt>
                <c:pt idx="1">
                  <c:v>220609</c:v>
                </c:pt>
                <c:pt idx="2">
                  <c:v>184860</c:v>
                </c:pt>
                <c:pt idx="3">
                  <c:v>115915</c:v>
                </c:pt>
                <c:pt idx="4">
                  <c:v>104294</c:v>
                </c:pt>
                <c:pt idx="5">
                  <c:v>91838</c:v>
                </c:pt>
                <c:pt idx="6">
                  <c:v>74001</c:v>
                </c:pt>
                <c:pt idx="7">
                  <c:v>45805</c:v>
                </c:pt>
                <c:pt idx="8">
                  <c:v>28829</c:v>
                </c:pt>
                <c:pt idx="9">
                  <c:v>24592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90C-44D1-A4D3-FFE3069375E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643591600"/>
        <c:axId val="1643587024"/>
      </c:barChart>
      <c:catAx>
        <c:axId val="16435916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 "/>
                <a:ea typeface="+mn-ea"/>
                <a:cs typeface="+mn-cs"/>
              </a:defRPr>
            </a:pPr>
            <a:endParaRPr lang="es-MX"/>
          </a:p>
        </c:txPr>
        <c:crossAx val="1643587024"/>
        <c:crosses val="autoZero"/>
        <c:auto val="1"/>
        <c:lblAlgn val="ctr"/>
        <c:lblOffset val="100"/>
        <c:noMultiLvlLbl val="0"/>
      </c:catAx>
      <c:valAx>
        <c:axId val="1643587024"/>
        <c:scaling>
          <c:orientation val="minMax"/>
          <c:max val="1000000"/>
        </c:scaling>
        <c:delete val="1"/>
        <c:axPos val="l"/>
        <c:numFmt formatCode="#,##0" sourceLinked="1"/>
        <c:majorTickMark val="none"/>
        <c:minorTickMark val="none"/>
        <c:tickLblPos val="nextTo"/>
        <c:crossAx val="16435916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4757379011834046"/>
          <c:y val="0.18611778790809044"/>
          <c:w val="0.24013548482496025"/>
          <c:h val="9.007783679365706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  <c:userShapes r:id="rId4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s-MX" sz="800" b="1" i="0" baseline="0">
                <a:effectLst/>
                <a:latin typeface="Arial" panose="020B0604020202020204" pitchFamily="34" charset="0"/>
                <a:cs typeface="Arial" panose="020B0604020202020204" pitchFamily="34" charset="0"/>
              </a:rPr>
              <a:t>Tasa bruta de de defunciones con presunción de homicidio por cada 100 mil habitantes, por sexo y año de registro, 1990-2020</a:t>
            </a:r>
            <a:endParaRPr lang="es-MX" sz="900" b="1" i="0" baseline="0">
              <a:effectLst/>
            </a:endParaRPr>
          </a:p>
        </c:rich>
      </c:tx>
      <c:layout>
        <c:manualLayout>
          <c:xMode val="edge"/>
          <c:yMode val="edge"/>
          <c:x val="0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>
        <c:manualLayout>
          <c:layoutTarget val="inner"/>
          <c:xMode val="edge"/>
          <c:yMode val="edge"/>
          <c:x val="1.4992609283932276E-2"/>
          <c:y val="0.10497886237502754"/>
          <c:w val="0.93862108262108257"/>
          <c:h val="0.68439301957484322"/>
        </c:manualLayout>
      </c:layout>
      <c:lineChart>
        <c:grouping val="standard"/>
        <c:varyColors val="0"/>
        <c:ser>
          <c:idx val="1"/>
          <c:order val="0"/>
          <c:tx>
            <c:strRef>
              <c:f>'Mortalidad 1'!$O$7</c:f>
              <c:strCache>
                <c:ptCount val="1"/>
                <c:pt idx="0">
                  <c:v>Total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6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'Mortalidad 1'!$N$8:$N$38</c:f>
              <c:numCache>
                <c:formatCode>General</c:formatCode>
                <c:ptCount val="31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</c:numCache>
            </c:numRef>
          </c:cat>
          <c:val>
            <c:numRef>
              <c:f>'Mortalidad 1'!$O$8:$O$38</c:f>
              <c:numCache>
                <c:formatCode>0.0</c:formatCode>
                <c:ptCount val="31"/>
                <c:pt idx="0">
                  <c:v>17.218811772249619</c:v>
                </c:pt>
                <c:pt idx="1">
                  <c:v>17.642241328741594</c:v>
                </c:pt>
                <c:pt idx="2">
                  <c:v>19.005332545388175</c:v>
                </c:pt>
                <c:pt idx="3">
                  <c:v>18.052724219111631</c:v>
                </c:pt>
                <c:pt idx="4">
                  <c:v>17.52824829543346</c:v>
                </c:pt>
                <c:pt idx="5">
                  <c:v>16.998406154442147</c:v>
                </c:pt>
                <c:pt idx="6">
                  <c:v>15.54749315403842</c:v>
                </c:pt>
                <c:pt idx="7">
                  <c:v>14.307350714983775</c:v>
                </c:pt>
                <c:pt idx="8">
                  <c:v>14.207690297321097</c:v>
                </c:pt>
                <c:pt idx="9">
                  <c:v>12.565321411668775</c:v>
                </c:pt>
                <c:pt idx="10">
                  <c:v>10.869028810214884</c:v>
                </c:pt>
                <c:pt idx="11">
                  <c:v>10.27418138973842</c:v>
                </c:pt>
                <c:pt idx="12">
                  <c:v>9.9395050861486016</c:v>
                </c:pt>
                <c:pt idx="13">
                  <c:v>9.8036286624551838</c:v>
                </c:pt>
                <c:pt idx="14">
                  <c:v>8.9467549067901384</c:v>
                </c:pt>
                <c:pt idx="15">
                  <c:v>9.3887188821956524</c:v>
                </c:pt>
                <c:pt idx="16">
                  <c:v>9.7540589441738881</c:v>
                </c:pt>
                <c:pt idx="17">
                  <c:v>8.1539497343529259</c:v>
                </c:pt>
                <c:pt idx="18">
                  <c:v>12.685967488526426</c:v>
                </c:pt>
                <c:pt idx="19">
                  <c:v>17.666204072552922</c:v>
                </c:pt>
                <c:pt idx="20">
                  <c:v>22.643781042505541</c:v>
                </c:pt>
                <c:pt idx="21">
                  <c:v>23.588108715446019</c:v>
                </c:pt>
                <c:pt idx="22">
                  <c:v>22.206226722778432</c:v>
                </c:pt>
                <c:pt idx="23">
                  <c:v>19.470016904209231</c:v>
                </c:pt>
                <c:pt idx="24">
                  <c:v>16.683840906328271</c:v>
                </c:pt>
                <c:pt idx="25">
                  <c:v>17.109498482873196</c:v>
                </c:pt>
                <c:pt idx="26">
                  <c:v>20.01301143179818</c:v>
                </c:pt>
                <c:pt idx="27">
                  <c:v>25.861457866949632</c:v>
                </c:pt>
                <c:pt idx="28">
                  <c:v>29.271239803249713</c:v>
                </c:pt>
                <c:pt idx="29">
                  <c:v>28.963239659664833</c:v>
                </c:pt>
                <c:pt idx="30">
                  <c:v>28.775602308264524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F8B-4521-B539-F11402D3609D}"/>
            </c:ext>
          </c:extLst>
        </c:ser>
        <c:ser>
          <c:idx val="2"/>
          <c:order val="1"/>
          <c:tx>
            <c:strRef>
              <c:f>'Mortalidad 1'!$Q$7</c:f>
              <c:strCache>
                <c:ptCount val="1"/>
                <c:pt idx="0">
                  <c:v>Hombres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6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'Mortalidad 1'!$N$8:$N$38</c:f>
              <c:numCache>
                <c:formatCode>General</c:formatCode>
                <c:ptCount val="31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</c:numCache>
            </c:numRef>
          </c:cat>
          <c:val>
            <c:numRef>
              <c:f>'Mortalidad 1'!$Q$8:$Q$38</c:f>
              <c:numCache>
                <c:formatCode>0.0</c:formatCode>
                <c:ptCount val="31"/>
                <c:pt idx="0">
                  <c:v>31.058204569192178</c:v>
                </c:pt>
                <c:pt idx="1">
                  <c:v>31.966682381515714</c:v>
                </c:pt>
                <c:pt idx="2">
                  <c:v>34.613268741057134</c:v>
                </c:pt>
                <c:pt idx="3">
                  <c:v>32.967282114417756</c:v>
                </c:pt>
                <c:pt idx="4">
                  <c:v>32.152768759587069</c:v>
                </c:pt>
                <c:pt idx="5">
                  <c:v>31.043470414151496</c:v>
                </c:pt>
                <c:pt idx="6">
                  <c:v>28.32562327838416</c:v>
                </c:pt>
                <c:pt idx="7">
                  <c:v>26.067758172797141</c:v>
                </c:pt>
                <c:pt idx="8">
                  <c:v>25.593831411143825</c:v>
                </c:pt>
                <c:pt idx="9">
                  <c:v>22.580800975861006</c:v>
                </c:pt>
                <c:pt idx="10">
                  <c:v>19.451844468309108</c:v>
                </c:pt>
                <c:pt idx="11">
                  <c:v>18.28361645131567</c:v>
                </c:pt>
                <c:pt idx="12">
                  <c:v>17.66653348653567</c:v>
                </c:pt>
                <c:pt idx="13">
                  <c:v>17.354607827792488</c:v>
                </c:pt>
                <c:pt idx="14">
                  <c:v>15.88601565493922</c:v>
                </c:pt>
                <c:pt idx="15">
                  <c:v>16.64443735364349</c:v>
                </c:pt>
                <c:pt idx="16">
                  <c:v>17.438941769231473</c:v>
                </c:pt>
                <c:pt idx="17">
                  <c:v>14.617259577378482</c:v>
                </c:pt>
                <c:pt idx="18">
                  <c:v>23.279965730646278</c:v>
                </c:pt>
                <c:pt idx="19">
                  <c:v>32.520597335444059</c:v>
                </c:pt>
                <c:pt idx="20">
                  <c:v>41.825638370878366</c:v>
                </c:pt>
                <c:pt idx="21">
                  <c:v>42.95337770934136</c:v>
                </c:pt>
                <c:pt idx="22">
                  <c:v>40.152370788226186</c:v>
                </c:pt>
                <c:pt idx="23">
                  <c:v>34.9698498851944</c:v>
                </c:pt>
                <c:pt idx="24">
                  <c:v>29.80678720452168</c:v>
                </c:pt>
                <c:pt idx="25">
                  <c:v>30.787845188286283</c:v>
                </c:pt>
                <c:pt idx="26">
                  <c:v>36.06741886420032</c:v>
                </c:pt>
                <c:pt idx="27">
                  <c:v>46.956951792157945</c:v>
                </c:pt>
                <c:pt idx="28">
                  <c:v>53.390266438694383</c:v>
                </c:pt>
                <c:pt idx="29">
                  <c:v>52.486677774329934</c:v>
                </c:pt>
                <c:pt idx="30">
                  <c:v>51.681679595770504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F8B-4521-B539-F11402D3609D}"/>
            </c:ext>
          </c:extLst>
        </c:ser>
        <c:ser>
          <c:idx val="3"/>
          <c:order val="2"/>
          <c:tx>
            <c:strRef>
              <c:f>'Mortalidad 1'!$P$7</c:f>
              <c:strCache>
                <c:ptCount val="1"/>
                <c:pt idx="0">
                  <c:v>Mujeres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6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'Mortalidad 1'!$N$8:$N$38</c:f>
              <c:numCache>
                <c:formatCode>General</c:formatCode>
                <c:ptCount val="31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</c:numCache>
            </c:numRef>
          </c:cat>
          <c:val>
            <c:numRef>
              <c:f>'Mortalidad 1'!$P$8:$P$38</c:f>
              <c:numCache>
                <c:formatCode>0.0</c:formatCode>
                <c:ptCount val="31"/>
                <c:pt idx="0">
                  <c:v>3.5714604804613601</c:v>
                </c:pt>
                <c:pt idx="1">
                  <c:v>3.5385186672084088</c:v>
                </c:pt>
                <c:pt idx="2">
                  <c:v>3.6749268818614489</c:v>
                </c:pt>
                <c:pt idx="3">
                  <c:v>3.453803466039671</c:v>
                </c:pt>
                <c:pt idx="4">
                  <c:v>3.2259617004909624</c:v>
                </c:pt>
                <c:pt idx="5">
                  <c:v>3.277453432867051</c:v>
                </c:pt>
                <c:pt idx="6">
                  <c:v>3.0870703976802147</c:v>
                </c:pt>
                <c:pt idx="7">
                  <c:v>2.8512049181578276</c:v>
                </c:pt>
                <c:pt idx="8">
                  <c:v>3.137490275009732</c:v>
                </c:pt>
                <c:pt idx="9">
                  <c:v>2.8485040770955803</c:v>
                </c:pt>
                <c:pt idx="10">
                  <c:v>2.5554837008204476</c:v>
                </c:pt>
                <c:pt idx="11">
                  <c:v>2.5158233415538485</c:v>
                </c:pt>
                <c:pt idx="12">
                  <c:v>2.4758569134203667</c:v>
                </c:pt>
                <c:pt idx="13">
                  <c:v>2.509126136001615</c:v>
                </c:pt>
                <c:pt idx="14">
                  <c:v>2.2673528636516265</c:v>
                </c:pt>
                <c:pt idx="15">
                  <c:v>2.4045068281412578</c:v>
                </c:pt>
                <c:pt idx="16">
                  <c:v>2.3717834080813605</c:v>
                </c:pt>
                <c:pt idx="17">
                  <c:v>1.9496841430676424</c:v>
                </c:pt>
                <c:pt idx="18">
                  <c:v>2.5268938195847821</c:v>
                </c:pt>
                <c:pt idx="19">
                  <c:v>3.3627980240443378</c:v>
                </c:pt>
                <c:pt idx="20">
                  <c:v>4.1634327458221208</c:v>
                </c:pt>
                <c:pt idx="21">
                  <c:v>4.5725758802242531</c:v>
                </c:pt>
                <c:pt idx="22">
                  <c:v>4.6306892159340141</c:v>
                </c:pt>
                <c:pt idx="23">
                  <c:v>4.3796744403407049</c:v>
                </c:pt>
                <c:pt idx="24">
                  <c:v>3.9336837121611237</c:v>
                </c:pt>
                <c:pt idx="25">
                  <c:v>3.8477998956750521</c:v>
                </c:pt>
                <c:pt idx="26">
                  <c:v>4.4918220335958594</c:v>
                </c:pt>
                <c:pt idx="27">
                  <c:v>5.4185565594067873</c:v>
                </c:pt>
                <c:pt idx="28">
                  <c:v>5.8662642167592134</c:v>
                </c:pt>
                <c:pt idx="29">
                  <c:v>6.0263102855680053</c:v>
                </c:pt>
                <c:pt idx="30">
                  <c:v>6.0667238434052395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5F8B-4521-B539-F11402D3609D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69843280"/>
        <c:axId val="269852848"/>
      </c:lineChart>
      <c:catAx>
        <c:axId val="2698432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269852848"/>
        <c:crosses val="autoZero"/>
        <c:auto val="1"/>
        <c:lblAlgn val="ctr"/>
        <c:lblOffset val="100"/>
        <c:noMultiLvlLbl val="0"/>
      </c:catAx>
      <c:valAx>
        <c:axId val="269852848"/>
        <c:scaling>
          <c:orientation val="minMax"/>
        </c:scaling>
        <c:delete val="1"/>
        <c:axPos val="l"/>
        <c:numFmt formatCode="0.0" sourceLinked="1"/>
        <c:majorTickMark val="none"/>
        <c:minorTickMark val="none"/>
        <c:tickLblPos val="nextTo"/>
        <c:crossAx val="2698432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779347196984992"/>
          <c:y val="0.87753320911221977"/>
          <c:w val="0.47971249747627698"/>
          <c:h val="3.850882302946712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4">
    <c:autoUpdate val="0"/>
  </c:externalData>
  <c:userShapes r:id="rId5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>
        <c:manualLayout>
          <c:layoutTarget val="inner"/>
          <c:xMode val="edge"/>
          <c:yMode val="edge"/>
          <c:x val="2.0458437907299891E-2"/>
          <c:y val="0.21971905511811021"/>
          <c:w val="0.9590833618656347"/>
          <c:h val="0.52062731146831676"/>
        </c:manualLayout>
      </c:layout>
      <c:barChart>
        <c:barDir val="col"/>
        <c:grouping val="percentStacked"/>
        <c:varyColors val="0"/>
        <c:ser>
          <c:idx val="0"/>
          <c:order val="0"/>
          <c:tx>
            <c:strRef>
              <c:f>'Gráfica 6a'!$H$9</c:f>
              <c:strCache>
                <c:ptCount val="1"/>
                <c:pt idx="0">
                  <c:v>Vía pública</c:v>
                </c:pt>
              </c:strCache>
            </c:strRef>
          </c:tx>
          <c:spPr>
            <a:solidFill>
              <a:schemeClr val="accent1">
                <a:shade val="53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'Gráfica 6a'!$N$7:$O$7</c:f>
              <c:strCache>
                <c:ptCount val="2"/>
                <c:pt idx="0">
                  <c:v>Mujeres</c:v>
                </c:pt>
                <c:pt idx="1">
                  <c:v>Hombres</c:v>
                </c:pt>
              </c:strCache>
            </c:strRef>
          </c:cat>
          <c:val>
            <c:numRef>
              <c:f>'Gráfica 6a'!$N$9:$O$9</c:f>
              <c:numCache>
                <c:formatCode>0.0%</c:formatCode>
                <c:ptCount val="2"/>
                <c:pt idx="0">
                  <c:v>0.3894364417487996</c:v>
                </c:pt>
                <c:pt idx="1">
                  <c:v>0.52681222167243935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907-438F-ABAF-D65052EB45DC}"/>
            </c:ext>
          </c:extLst>
        </c:ser>
        <c:ser>
          <c:idx val="1"/>
          <c:order val="1"/>
          <c:tx>
            <c:strRef>
              <c:f>'Gráfica 6a'!$H$10</c:f>
              <c:strCache>
                <c:ptCount val="1"/>
                <c:pt idx="0">
                  <c:v>Vivienda</c:v>
                </c:pt>
              </c:strCache>
            </c:strRef>
          </c:tx>
          <c:spPr>
            <a:solidFill>
              <a:schemeClr val="accent1">
                <a:shade val="76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'Gráfica 6a'!$N$7:$O$7</c:f>
              <c:strCache>
                <c:ptCount val="2"/>
                <c:pt idx="0">
                  <c:v>Mujeres</c:v>
                </c:pt>
                <c:pt idx="1">
                  <c:v>Hombres</c:v>
                </c:pt>
              </c:strCache>
            </c:strRef>
          </c:cat>
          <c:val>
            <c:numRef>
              <c:f>'Gráfica 6a'!$N$10:$O$10</c:f>
              <c:numCache>
                <c:formatCode>0.0%</c:formatCode>
                <c:ptCount val="2"/>
                <c:pt idx="0">
                  <c:v>0.23199393479909022</c:v>
                </c:pt>
                <c:pt idx="1">
                  <c:v>0.10567169717961405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907-438F-ABAF-D65052EB45DC}"/>
            </c:ext>
          </c:extLst>
        </c:ser>
        <c:ser>
          <c:idx val="2"/>
          <c:order val="2"/>
          <c:tx>
            <c:strRef>
              <c:f>'Gráfica 6a'!$H$11</c:f>
              <c:strCache>
                <c:ptCount val="1"/>
                <c:pt idx="0">
                  <c:v>Otro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'Gráfica 6a'!$N$7:$O$7</c:f>
              <c:strCache>
                <c:ptCount val="2"/>
                <c:pt idx="0">
                  <c:v>Mujeres</c:v>
                </c:pt>
                <c:pt idx="1">
                  <c:v>Hombres</c:v>
                </c:pt>
              </c:strCache>
            </c:strRef>
          </c:cat>
          <c:val>
            <c:numRef>
              <c:f>'Gráfica 6a'!$N$11:$O$11</c:f>
              <c:numCache>
                <c:formatCode>0.0%</c:formatCode>
                <c:ptCount val="2"/>
                <c:pt idx="0">
                  <c:v>0.15567349001769018</c:v>
                </c:pt>
                <c:pt idx="1">
                  <c:v>0.15277090549233052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907-438F-ABAF-D65052EB45DC}"/>
            </c:ext>
          </c:extLst>
        </c:ser>
        <c:ser>
          <c:idx val="3"/>
          <c:order val="3"/>
          <c:tx>
            <c:strRef>
              <c:f>'Gráfica 6a'!$H$12</c:f>
              <c:strCache>
                <c:ptCount val="1"/>
                <c:pt idx="0">
                  <c:v>No especificado</c:v>
                </c:pt>
              </c:strCache>
            </c:strRef>
          </c:tx>
          <c:spPr>
            <a:solidFill>
              <a:schemeClr val="accent1">
                <a:tint val="77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'Gráfica 6a'!$N$7:$O$7</c:f>
              <c:strCache>
                <c:ptCount val="2"/>
                <c:pt idx="0">
                  <c:v>Mujeres</c:v>
                </c:pt>
                <c:pt idx="1">
                  <c:v>Hombres</c:v>
                </c:pt>
              </c:strCache>
            </c:strRef>
          </c:cat>
          <c:val>
            <c:numRef>
              <c:f>'Gráfica 6a'!$N$12:$O$12</c:f>
              <c:numCache>
                <c:formatCode>0.0%</c:formatCode>
                <c:ptCount val="2"/>
                <c:pt idx="0">
                  <c:v>0.22289613343442002</c:v>
                </c:pt>
                <c:pt idx="1">
                  <c:v>0.21474517565561604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907-438F-ABAF-D65052EB45DC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79"/>
        <c:overlap val="100"/>
        <c:axId val="1101537007"/>
        <c:axId val="1101537423"/>
        <c:extLst>
          <c:ext xmlns:c15="http://schemas.microsoft.com/office/drawing/2012/chart" uri="{02D57815-91ED-43cb-92C2-25804820EDAC}">
            <c15:filteredBarSeries>
              <c15:ser>
                <c:idx val="4"/>
                <c:order val="4"/>
                <c:spPr>
                  <a:solidFill>
                    <a:schemeClr val="accent1">
                      <a:tint val="54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ctr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'Gráfica 6a'!$H$13:$H$16</c15:sqref>
                        </c15:formulaRef>
                      </c:ext>
                    </c:extLst>
                    <c:strCache>
                      <c:ptCount val="4"/>
                      <c:pt idx="0">
                        <c:v>FUENTE: INEGI. Estadísticas de mortalidad, 2020.</c:v>
                      </c:pt>
                      <c:pt idx="1">
                        <c:v>Nota:  </c:v>
                      </c:pt>
                      <c:pt idx="2">
                        <c:v>1/ Vía pública incluye calle o carretera. </c:v>
                      </c:pt>
                      <c:pt idx="3">
                        <c:v>2/ Vivienda incluye vivienda particular y vivienda colectiva.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'Gráfica 6a'!$H$17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0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4-A907-438F-ABAF-D65052EB45DC}"/>
                  </c:ext>
                </c:extLst>
              </c15:ser>
            </c15:filteredBarSeries>
          </c:ext>
        </c:extLst>
      </c:barChart>
      <c:catAx>
        <c:axId val="1101537007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101537423"/>
        <c:crosses val="autoZero"/>
        <c:auto val="1"/>
        <c:lblAlgn val="ctr"/>
        <c:lblOffset val="100"/>
        <c:noMultiLvlLbl val="0"/>
      </c:catAx>
      <c:valAx>
        <c:axId val="1101537423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extTo"/>
        <c:crossAx val="110153700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17311883552175675"/>
          <c:y val="3.7333333333333336E-2"/>
          <c:w val="0.65376196990424074"/>
          <c:h val="0.126225721784776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  <c:userShapes r:id="rId4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>
        <c:manualLayout>
          <c:layoutTarget val="inner"/>
          <c:xMode val="edge"/>
          <c:yMode val="edge"/>
          <c:x val="2.0458504633823427E-2"/>
          <c:y val="0.25171905511811021"/>
          <c:w val="0.9590833618656347"/>
          <c:h val="0.47672409352668682"/>
        </c:manualLayout>
      </c:layout>
      <c:barChart>
        <c:barDir val="col"/>
        <c:grouping val="percentStacked"/>
        <c:varyColors val="0"/>
        <c:ser>
          <c:idx val="1"/>
          <c:order val="0"/>
          <c:tx>
            <c:strRef>
              <c:f>'Gráfica 6b'!$B$9</c:f>
              <c:strCache>
                <c:ptCount val="1"/>
                <c:pt idx="0">
                  <c:v>Armas de fuego</c:v>
                </c:pt>
              </c:strCache>
            </c:strRef>
          </c:tx>
          <c:spPr>
            <a:solidFill>
              <a:schemeClr val="accent1">
                <a:shade val="7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'Gráfica 6b'!$H$7:$I$7</c:f>
              <c:strCache>
                <c:ptCount val="2"/>
                <c:pt idx="0">
                  <c:v>Mujeres</c:v>
                </c:pt>
                <c:pt idx="1">
                  <c:v>Hombres</c:v>
                </c:pt>
              </c:strCache>
            </c:strRef>
          </c:cat>
          <c:val>
            <c:numRef>
              <c:f>'Gráfica 6b'!$H$9:$I$9</c:f>
              <c:numCache>
                <c:formatCode>0.0%</c:formatCode>
                <c:ptCount val="2"/>
                <c:pt idx="0">
                  <c:v>0.58200657063431893</c:v>
                </c:pt>
                <c:pt idx="1">
                  <c:v>0.71796140524492824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78C-4735-9A71-675122F421D8}"/>
            </c:ext>
          </c:extLst>
        </c:ser>
        <c:ser>
          <c:idx val="2"/>
          <c:order val="1"/>
          <c:tx>
            <c:strRef>
              <c:f>'Gráfica 6b'!$B$10</c:f>
              <c:strCache>
                <c:ptCount val="1"/>
                <c:pt idx="0">
                  <c:v>Ahorcamiento, estrangulamiento y sofocación</c:v>
                </c:pt>
              </c:strCache>
            </c:strRef>
          </c:tx>
          <c:spPr>
            <a:solidFill>
              <a:schemeClr val="accent1">
                <a:shade val="9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'Gráfica 6b'!$H$7:$I$7</c:f>
              <c:strCache>
                <c:ptCount val="2"/>
                <c:pt idx="0">
                  <c:v>Mujeres</c:v>
                </c:pt>
                <c:pt idx="1">
                  <c:v>Hombres</c:v>
                </c:pt>
              </c:strCache>
            </c:strRef>
          </c:cat>
          <c:val>
            <c:numRef>
              <c:f>'Gráfica 6b'!$H$10:$I$10</c:f>
              <c:numCache>
                <c:formatCode>0.0%</c:formatCode>
                <c:ptCount val="2"/>
                <c:pt idx="0">
                  <c:v>0.15339903967652263</c:v>
                </c:pt>
                <c:pt idx="1">
                  <c:v>6.7942850074220684E-2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78C-4735-9A71-675122F421D8}"/>
            </c:ext>
          </c:extLst>
        </c:ser>
        <c:ser>
          <c:idx val="3"/>
          <c:order val="2"/>
          <c:tx>
            <c:strRef>
              <c:f>'Gráfica 6b'!$B$11</c:f>
              <c:strCache>
                <c:ptCount val="1"/>
                <c:pt idx="0">
                  <c:v>Objeto cortante</c:v>
                </c:pt>
              </c:strCache>
            </c:strRef>
          </c:tx>
          <c:spPr>
            <a:solidFill>
              <a:schemeClr val="accent1">
                <a:tint val="9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'Gráfica 6b'!$H$7:$I$7</c:f>
              <c:strCache>
                <c:ptCount val="2"/>
                <c:pt idx="0">
                  <c:v>Mujeres</c:v>
                </c:pt>
                <c:pt idx="1">
                  <c:v>Hombres</c:v>
                </c:pt>
              </c:strCache>
            </c:strRef>
          </c:cat>
          <c:val>
            <c:numRef>
              <c:f>'Gráfica 6b'!$H$11:$I$11</c:f>
              <c:numCache>
                <c:formatCode>0.0%</c:formatCode>
                <c:ptCount val="2"/>
                <c:pt idx="0">
                  <c:v>0.11928228455900936</c:v>
                </c:pt>
                <c:pt idx="1">
                  <c:v>9.7662048490846115E-2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78C-4735-9A71-675122F421D8}"/>
            </c:ext>
          </c:extLst>
        </c:ser>
        <c:ser>
          <c:idx val="4"/>
          <c:order val="3"/>
          <c:tx>
            <c:strRef>
              <c:f>'Gráfica 6b'!$B$12</c:f>
              <c:strCache>
                <c:ptCount val="1"/>
                <c:pt idx="0">
                  <c:v>Medios no especificados</c:v>
                </c:pt>
              </c:strCache>
            </c:strRef>
          </c:tx>
          <c:spPr>
            <a:solidFill>
              <a:schemeClr val="accent1">
                <a:tint val="7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'Gráfica 6b'!$H$7:$I$7</c:f>
              <c:strCache>
                <c:ptCount val="2"/>
                <c:pt idx="0">
                  <c:v>Mujeres</c:v>
                </c:pt>
                <c:pt idx="1">
                  <c:v>Hombres</c:v>
                </c:pt>
              </c:strCache>
            </c:strRef>
          </c:cat>
          <c:val>
            <c:numRef>
              <c:f>'Gráfica 6b'!$H$12:$I$12</c:f>
              <c:numCache>
                <c:formatCode>0.0%</c:formatCode>
                <c:ptCount val="2"/>
                <c:pt idx="0">
                  <c:v>0.11195350012635835</c:v>
                </c:pt>
                <c:pt idx="1">
                  <c:v>9.5033399307273628E-2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78C-4735-9A71-675122F421D8}"/>
            </c:ext>
          </c:extLst>
        </c:ser>
        <c:ser>
          <c:idx val="5"/>
          <c:order val="4"/>
          <c:tx>
            <c:strRef>
              <c:f>'Gráfica 6b'!$B$13</c:f>
              <c:strCache>
                <c:ptCount val="1"/>
                <c:pt idx="0">
                  <c:v>Otros medios</c:v>
                </c:pt>
              </c:strCache>
            </c:strRef>
          </c:tx>
          <c:spPr>
            <a:solidFill>
              <a:schemeClr val="accent1">
                <a:tint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'Gráfica 6b'!$H$7:$I$7</c:f>
              <c:strCache>
                <c:ptCount val="2"/>
                <c:pt idx="0">
                  <c:v>Mujeres</c:v>
                </c:pt>
                <c:pt idx="1">
                  <c:v>Hombres</c:v>
                </c:pt>
              </c:strCache>
            </c:strRef>
          </c:cat>
          <c:val>
            <c:numRef>
              <c:f>'Gráfica 6b'!$H$13:$I$13</c:f>
              <c:numCache>
                <c:formatCode>0.0%</c:formatCode>
                <c:ptCount val="2"/>
                <c:pt idx="0">
                  <c:v>3.3358605003790752E-2</c:v>
                </c:pt>
                <c:pt idx="1">
                  <c:v>2.1400296882731321E-2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78C-4735-9A71-675122F421D8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79"/>
        <c:overlap val="100"/>
        <c:axId val="1101537007"/>
        <c:axId val="1101537423"/>
      </c:barChart>
      <c:catAx>
        <c:axId val="1101537007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101537423"/>
        <c:crosses val="autoZero"/>
        <c:auto val="1"/>
        <c:lblAlgn val="ctr"/>
        <c:lblOffset val="100"/>
        <c:noMultiLvlLbl val="0"/>
      </c:catAx>
      <c:valAx>
        <c:axId val="1101537423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extTo"/>
        <c:crossAx val="110153700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11004382195588383"/>
          <c:y val="0"/>
          <c:w val="0.79957765235097811"/>
          <c:h val="0.2444619422572178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2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3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4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7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9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0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9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0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0.75689</cdr:y>
    </cdr:from>
    <cdr:to>
      <cdr:x>0.99161</cdr:x>
      <cdr:y>1</cdr:y>
    </cdr:to>
    <cdr:sp macro="" textlink="">
      <cdr:nvSpPr>
        <cdr:cNvPr id="3" name="CuadroTexto 2">
          <a:extLst xmlns:a="http://schemas.openxmlformats.org/drawingml/2006/main">
            <a:ext uri="{FF2B5EF4-FFF2-40B4-BE49-F238E27FC236}">
              <a16:creationId xmlns:a16="http://schemas.microsoft.com/office/drawing/2014/main" id="{2DB80DF6-0D47-4FDC-8A53-1FE28361ABA3}"/>
            </a:ext>
          </a:extLst>
        </cdr:cNvPr>
        <cdr:cNvSpPr txBox="1"/>
      </cdr:nvSpPr>
      <cdr:spPr>
        <a:xfrm xmlns:a="http://schemas.openxmlformats.org/drawingml/2006/main">
          <a:off x="0" y="2083981"/>
          <a:ext cx="5598417" cy="66937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just">
            <a:lnSpc>
              <a:spcPct val="107000"/>
            </a:lnSpc>
            <a:spcAft>
              <a:spcPts val="0"/>
            </a:spcAft>
          </a:pPr>
          <a:r>
            <a:rPr lang="es-MX" sz="600" b="1">
              <a:solidFill>
                <a:sysClr val="windowText" lastClr="000000"/>
              </a:solidFill>
              <a:effectLst/>
              <a:latin typeface="Arial" panose="020B0604020202020204" pitchFamily="34" charset="0"/>
              <a:ea typeface="Calibri" panose="020F0502020204030204" pitchFamily="34" charset="0"/>
              <a:cs typeface="Times New Roman" panose="02020603050405020304" pitchFamily="18" charset="0"/>
            </a:rPr>
            <a:t>Fuente</a:t>
          </a:r>
          <a:r>
            <a:rPr lang="es-MX" sz="600" b="0">
              <a:solidFill>
                <a:sysClr val="windowText" lastClr="000000"/>
              </a:solidFill>
              <a:effectLst/>
              <a:latin typeface="Arial" panose="020B0604020202020204" pitchFamily="34" charset="0"/>
              <a:ea typeface="Calibri" panose="020F0502020204030204" pitchFamily="34" charset="0"/>
              <a:cs typeface="Times New Roman" panose="02020603050405020304" pitchFamily="18" charset="0"/>
            </a:rPr>
            <a:t>: INEGI. Encuesta Nacional de Victimización y Percepción sobre Seguridad Pública, 2011, 2012, 2013, 2014, 2015, 2016, 2017, 2018, 2019, 2020 y 2021</a:t>
          </a:r>
          <a:r>
            <a:rPr lang="es-MX" sz="600" b="1">
              <a:solidFill>
                <a:sysClr val="windowText" lastClr="000000"/>
              </a:solidFill>
              <a:effectLst/>
              <a:latin typeface="Arial" panose="020B0604020202020204" pitchFamily="34" charset="0"/>
              <a:ea typeface="Calibri" panose="020F0502020204030204" pitchFamily="34" charset="0"/>
              <a:cs typeface="Times New Roman" panose="02020603050405020304" pitchFamily="18" charset="0"/>
            </a:rPr>
            <a:t>.</a:t>
          </a:r>
        </a:p>
        <a:p xmlns:a="http://schemas.openxmlformats.org/drawingml/2006/main">
          <a:pPr algn="just">
            <a:lnSpc>
              <a:spcPct val="107000"/>
            </a:lnSpc>
            <a:spcAft>
              <a:spcPts val="0"/>
            </a:spcAft>
          </a:pPr>
          <a:r>
            <a:rPr lang="es-MX" sz="600" b="1">
              <a:solidFill>
                <a:sysClr val="windowText" lastClr="000000"/>
              </a:solidFill>
              <a:effectLst/>
              <a:latin typeface="Arial" panose="020B0604020202020204" pitchFamily="34" charset="0"/>
              <a:ea typeface="Calibri" panose="020F0502020204030204" pitchFamily="34" charset="0"/>
              <a:cs typeface="Times New Roman" panose="02020603050405020304" pitchFamily="18" charset="0"/>
            </a:rPr>
            <a:t>Nota</a:t>
          </a:r>
          <a:r>
            <a:rPr lang="es-MX" sz="600" b="0">
              <a:solidFill>
                <a:sysClr val="windowText" lastClr="000000"/>
              </a:solidFill>
              <a:effectLst/>
              <a:latin typeface="Arial" panose="020B0604020202020204" pitchFamily="34" charset="0"/>
              <a:ea typeface="Calibri" panose="020F0502020204030204" pitchFamily="34" charset="0"/>
              <a:cs typeface="Times New Roman" panose="02020603050405020304" pitchFamily="18" charset="0"/>
            </a:rPr>
            <a:t>: Durante el 2020, debido a la emergencia sanitaria provocada por el virus SARS-CoV2 (COVID-19), el levantamiento de la encuesta se llevó a cabo en dos periodos: en el mes de marzo y de julio a septiembre. Con el propósito de hacer comparables las cifras sobre percepción de inseguridad para toda la serie, conforme a lo establecido por el área responsable de la Encuesta dentro del INEGI, la construcción de los indicadores de percepción considera únicamente la información recabada en el mes marzo.</a:t>
          </a:r>
          <a:endParaRPr lang="es-MX" sz="1000" b="0">
            <a:solidFill>
              <a:sysClr val="windowText" lastClr="000000"/>
            </a:solidFill>
            <a:effectLst/>
            <a:latin typeface="Calibri" panose="020F0502020204030204" pitchFamily="34" charset="0"/>
            <a:ea typeface="Calibri" panose="020F0502020204030204" pitchFamily="34" charset="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0.88421</cdr:x>
      <cdr:y>0.00202</cdr:y>
    </cdr:from>
    <cdr:to>
      <cdr:x>1</cdr:x>
      <cdr:y>0.07973</cdr:y>
    </cdr:to>
    <cdr:sp macro="" textlink="">
      <cdr:nvSpPr>
        <cdr:cNvPr id="4" name="CuadroTexto 1">
          <a:extLst xmlns:a="http://schemas.openxmlformats.org/drawingml/2006/main">
            <a:ext uri="{FF2B5EF4-FFF2-40B4-BE49-F238E27FC236}">
              <a16:creationId xmlns:a16="http://schemas.microsoft.com/office/drawing/2014/main" id="{06DD2938-5608-4424-B4B4-D9AD5D2C5ED2}"/>
            </a:ext>
          </a:extLst>
        </cdr:cNvPr>
        <cdr:cNvSpPr txBox="1"/>
      </cdr:nvSpPr>
      <cdr:spPr>
        <a:xfrm xmlns:a="http://schemas.openxmlformats.org/drawingml/2006/main">
          <a:off x="6024338" y="9357"/>
          <a:ext cx="788932" cy="35972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just">
            <a:lnSpc>
              <a:spcPct val="107000"/>
            </a:lnSpc>
            <a:spcAft>
              <a:spcPts val="800"/>
            </a:spcAft>
          </a:pPr>
          <a:r>
            <a:rPr lang="es-MX" sz="800" b="1">
              <a:effectLst/>
              <a:latin typeface="Arial" panose="020B0604020202020204" pitchFamily="34" charset="0"/>
              <a:ea typeface="Calibri" panose="020F0502020204030204" pitchFamily="34" charset="0"/>
              <a:cs typeface="Arial" panose="020B0604020202020204" pitchFamily="34" charset="0"/>
            </a:rPr>
            <a:t>Gráfica 1</a:t>
          </a:r>
          <a:endParaRPr lang="es-MX" sz="800">
            <a:effectLst/>
            <a:latin typeface="Arial" panose="020B0604020202020204" pitchFamily="34" charset="0"/>
            <a:ea typeface="Calibri" panose="020F0502020204030204" pitchFamily="34" charset="0"/>
            <a:cs typeface="Arial" panose="020B0604020202020204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0.88502</cdr:x>
      <cdr:y>0.00216</cdr:y>
    </cdr:from>
    <cdr:to>
      <cdr:x>1</cdr:x>
      <cdr:y>0.09237</cdr:y>
    </cdr:to>
    <cdr:sp macro="" textlink="">
      <cdr:nvSpPr>
        <cdr:cNvPr id="2" name="CuadroTexto 1">
          <a:extLst xmlns:a="http://schemas.openxmlformats.org/drawingml/2006/main">
            <a:ext uri="{FF2B5EF4-FFF2-40B4-BE49-F238E27FC236}">
              <a16:creationId xmlns:a16="http://schemas.microsoft.com/office/drawing/2014/main" id="{FD5E8207-10C2-4E38-84CE-79A51D46FAFF}"/>
            </a:ext>
          </a:extLst>
        </cdr:cNvPr>
        <cdr:cNvSpPr txBox="1"/>
      </cdr:nvSpPr>
      <cdr:spPr>
        <a:xfrm xmlns:a="http://schemas.openxmlformats.org/drawingml/2006/main">
          <a:off x="4838700" y="6131"/>
          <a:ext cx="628650" cy="25605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just">
            <a:lnSpc>
              <a:spcPct val="107000"/>
            </a:lnSpc>
            <a:spcAft>
              <a:spcPts val="800"/>
            </a:spcAft>
          </a:pPr>
          <a:r>
            <a:rPr lang="es-MX" sz="800" b="1">
              <a:effectLst/>
              <a:latin typeface="Arial" panose="020B0604020202020204" pitchFamily="34" charset="0"/>
              <a:ea typeface="Calibri" panose="020F0502020204030204" pitchFamily="34" charset="0"/>
              <a:cs typeface="Arial" panose="020B0604020202020204" pitchFamily="34" charset="0"/>
            </a:rPr>
            <a:t>Gráfica 2</a:t>
          </a:r>
          <a:endParaRPr lang="es-MX" sz="800">
            <a:effectLst/>
            <a:latin typeface="Arial" panose="020B0604020202020204" pitchFamily="34" charset="0"/>
            <a:ea typeface="Calibri" panose="020F050202020403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</cdr:x>
      <cdr:y>0.93928</cdr:y>
    </cdr:from>
    <cdr:to>
      <cdr:x>0.94821</cdr:x>
      <cdr:y>0.98077</cdr:y>
    </cdr:to>
    <cdr:sp macro="" textlink="">
      <cdr:nvSpPr>
        <cdr:cNvPr id="3" name="CuadroTexto 1">
          <a:extLst xmlns:a="http://schemas.openxmlformats.org/drawingml/2006/main">
            <a:ext uri="{FF2B5EF4-FFF2-40B4-BE49-F238E27FC236}">
              <a16:creationId xmlns:a16="http://schemas.microsoft.com/office/drawing/2014/main" id="{8823559D-8B85-41E7-89E1-A8C69F9ADE97}"/>
            </a:ext>
          </a:extLst>
        </cdr:cNvPr>
        <cdr:cNvSpPr txBox="1"/>
      </cdr:nvSpPr>
      <cdr:spPr>
        <a:xfrm xmlns:a="http://schemas.openxmlformats.org/drawingml/2006/main">
          <a:off x="-1076325" y="2845022"/>
          <a:ext cx="5184196" cy="12567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700" b="1">
              <a:effectLst/>
              <a:latin typeface="Arial" panose="020B0604020202020204" pitchFamily="34" charset="0"/>
              <a:ea typeface="+mn-ea"/>
              <a:cs typeface="Arial" panose="020B0604020202020204" pitchFamily="34" charset="0"/>
            </a:rPr>
            <a:t>Fuente</a:t>
          </a:r>
          <a:r>
            <a:rPr lang="es-MX" sz="700">
              <a:effectLst/>
              <a:latin typeface="Arial" panose="020B0604020202020204" pitchFamily="34" charset="0"/>
              <a:ea typeface="+mn-ea"/>
              <a:cs typeface="Arial" panose="020B0604020202020204" pitchFamily="34" charset="0"/>
            </a:rPr>
            <a:t>: INEGI. Encuesta Nacional de Victimización y Percepción sobre Seguridad Pública, 2021</a:t>
          </a:r>
          <a:r>
            <a:rPr lang="es-MX" sz="800">
              <a:effectLst/>
              <a:latin typeface="Arial" panose="020B0604020202020204" pitchFamily="34" charset="0"/>
              <a:ea typeface="+mn-ea"/>
              <a:cs typeface="Arial" panose="020B0604020202020204" pitchFamily="34" charset="0"/>
            </a:rPr>
            <a:t>.</a:t>
          </a:r>
          <a:endParaRPr lang="es-MX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</cdr:x>
      <cdr:y>0.85461</cdr:y>
    </cdr:from>
    <cdr:to>
      <cdr:x>1</cdr:x>
      <cdr:y>1</cdr:y>
    </cdr:to>
    <cdr:sp macro="" textlink="">
      <cdr:nvSpPr>
        <cdr:cNvPr id="2" name="CuadroTexto 1">
          <a:extLst xmlns:a="http://schemas.openxmlformats.org/drawingml/2006/main">
            <a:ext uri="{FF2B5EF4-FFF2-40B4-BE49-F238E27FC236}">
              <a16:creationId xmlns:a16="http://schemas.microsoft.com/office/drawing/2014/main" id="{23CB84C0-0037-4143-89F6-6E028C51D514}"/>
            </a:ext>
          </a:extLst>
        </cdr:cNvPr>
        <cdr:cNvSpPr txBox="1"/>
      </cdr:nvSpPr>
      <cdr:spPr>
        <a:xfrm xmlns:a="http://schemas.openxmlformats.org/drawingml/2006/main">
          <a:off x="0" y="2832776"/>
          <a:ext cx="5391150" cy="48192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>
          <a:no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just"/>
          <a:endParaRPr lang="es-MX" sz="7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0.85228</cdr:x>
      <cdr:y>0</cdr:y>
    </cdr:from>
    <cdr:to>
      <cdr:x>1</cdr:x>
      <cdr:y>0.06768</cdr:y>
    </cdr:to>
    <cdr:sp macro="" textlink="">
      <cdr:nvSpPr>
        <cdr:cNvPr id="3" name="CuadroTexto 11">
          <a:extLst xmlns:a="http://schemas.openxmlformats.org/drawingml/2006/main">
            <a:ext uri="{FF2B5EF4-FFF2-40B4-BE49-F238E27FC236}">
              <a16:creationId xmlns:a16="http://schemas.microsoft.com/office/drawing/2014/main" id="{9C65DEB7-2BFD-4092-B359-664993FCE76F}"/>
            </a:ext>
          </a:extLst>
        </cdr:cNvPr>
        <cdr:cNvSpPr txBox="1"/>
      </cdr:nvSpPr>
      <cdr:spPr>
        <a:xfrm xmlns:a="http://schemas.openxmlformats.org/drawingml/2006/main">
          <a:off x="5078221" y="0"/>
          <a:ext cx="880196" cy="35815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 cmpd="sng">
          <a:noFill/>
        </a:ln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wrap="square" rtlCol="0" anchor="t"/>
        <a:lstStyle xmlns:a="http://schemas.openxmlformats.org/drawingml/2006/main">
          <a:lvl1pPr marL="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r"/>
          <a:r>
            <a:rPr lang="es-MX" sz="800" b="1">
              <a:latin typeface="Arial" panose="020B0604020202020204" pitchFamily="34" charset="0"/>
              <a:cs typeface="Arial" panose="020B0604020202020204" pitchFamily="34" charset="0"/>
            </a:rPr>
            <a:t>Gráfica</a:t>
          </a:r>
          <a:r>
            <a:rPr lang="es-MX" sz="800" b="1" baseline="0">
              <a:latin typeface="Arial" panose="020B0604020202020204" pitchFamily="34" charset="0"/>
              <a:cs typeface="Arial" panose="020B0604020202020204" pitchFamily="34" charset="0"/>
            </a:rPr>
            <a:t> 3</a:t>
          </a:r>
          <a:endParaRPr lang="es-MX" sz="800" b="1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0.88246</cdr:x>
      <cdr:y>0</cdr:y>
    </cdr:from>
    <cdr:to>
      <cdr:x>1</cdr:x>
      <cdr:y>0.08754</cdr:y>
    </cdr:to>
    <cdr:sp macro="" textlink="">
      <cdr:nvSpPr>
        <cdr:cNvPr id="2" name="CuadroTexto 1">
          <a:extLst xmlns:a="http://schemas.openxmlformats.org/drawingml/2006/main">
            <a:ext uri="{FF2B5EF4-FFF2-40B4-BE49-F238E27FC236}">
              <a16:creationId xmlns:a16="http://schemas.microsoft.com/office/drawing/2014/main" id="{71A4DF47-F2CA-40F4-B763-94FC18C15C91}"/>
            </a:ext>
          </a:extLst>
        </cdr:cNvPr>
        <cdr:cNvSpPr txBox="1"/>
      </cdr:nvSpPr>
      <cdr:spPr>
        <a:xfrm xmlns:a="http://schemas.openxmlformats.org/drawingml/2006/main">
          <a:off x="4791075" y="0"/>
          <a:ext cx="638175" cy="2476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just">
            <a:lnSpc>
              <a:spcPct val="107000"/>
            </a:lnSpc>
            <a:spcAft>
              <a:spcPts val="800"/>
            </a:spcAft>
          </a:pPr>
          <a:r>
            <a:rPr lang="es-MX" sz="800" b="1">
              <a:effectLst/>
              <a:latin typeface="Arial" panose="020B0604020202020204" pitchFamily="34" charset="0"/>
              <a:ea typeface="Calibri" panose="020F0502020204030204" pitchFamily="34" charset="0"/>
              <a:cs typeface="Arial" panose="020B0604020202020204" pitchFamily="34" charset="0"/>
            </a:rPr>
            <a:t>Gráfica 4</a:t>
          </a:r>
          <a:endParaRPr lang="es-MX" sz="800">
            <a:effectLst/>
            <a:latin typeface="Arial" panose="020B0604020202020204" pitchFamily="34" charset="0"/>
            <a:ea typeface="Calibri" panose="020F050202020403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</cdr:x>
      <cdr:y>0.90909</cdr:y>
    </cdr:from>
    <cdr:to>
      <cdr:x>1</cdr:x>
      <cdr:y>0.99298</cdr:y>
    </cdr:to>
    <cdr:sp macro="" textlink="">
      <cdr:nvSpPr>
        <cdr:cNvPr id="3" name="CuadroTexto 1">
          <a:extLst xmlns:a="http://schemas.openxmlformats.org/drawingml/2006/main">
            <a:ext uri="{FF2B5EF4-FFF2-40B4-BE49-F238E27FC236}">
              <a16:creationId xmlns:a16="http://schemas.microsoft.com/office/drawing/2014/main" id="{1984095F-9AF4-47D2-AD2A-E5D6DD0324F0}"/>
            </a:ext>
          </a:extLst>
        </cdr:cNvPr>
        <cdr:cNvSpPr txBox="1"/>
      </cdr:nvSpPr>
      <cdr:spPr>
        <a:xfrm xmlns:a="http://schemas.openxmlformats.org/drawingml/2006/main">
          <a:off x="0" y="2571749"/>
          <a:ext cx="5429250" cy="23732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just"/>
          <a:endParaRPr lang="es-MX" sz="800" b="0">
            <a:solidFill>
              <a:sysClr val="windowText" lastClr="000000"/>
            </a:solidFill>
            <a:latin typeface="+mn-lt"/>
          </a:endParaRPr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</cdr:x>
      <cdr:y>0.89641</cdr:y>
    </cdr:from>
    <cdr:to>
      <cdr:x>1</cdr:x>
      <cdr:y>0.91473</cdr:y>
    </cdr:to>
    <cdr:sp macro="" textlink="">
      <cdr:nvSpPr>
        <cdr:cNvPr id="3" name="CuadroTexto 1">
          <a:extLst xmlns:a="http://schemas.openxmlformats.org/drawingml/2006/main">
            <a:ext uri="{FF2B5EF4-FFF2-40B4-BE49-F238E27FC236}">
              <a16:creationId xmlns:a16="http://schemas.microsoft.com/office/drawing/2014/main" id="{193E8B05-BD8C-4D34-B8F6-787ADD427434}"/>
            </a:ext>
          </a:extLst>
        </cdr:cNvPr>
        <cdr:cNvSpPr txBox="1"/>
      </cdr:nvSpPr>
      <cdr:spPr>
        <a:xfrm xmlns:a="http://schemas.openxmlformats.org/drawingml/2006/main">
          <a:off x="0" y="2237032"/>
          <a:ext cx="5572125" cy="4571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just"/>
          <a:r>
            <a:rPr lang="es-MX" sz="600" b="1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Fuente</a:t>
          </a:r>
          <a:r>
            <a:rPr lang="es-MX" sz="6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: INEGI. Estadísticas de mortalidad, 1990-2020.</a:t>
          </a:r>
        </a:p>
        <a:p xmlns:a="http://schemas.openxmlformats.org/drawingml/2006/main">
          <a:pPr algn="just"/>
          <a:r>
            <a:rPr lang="es-MX" sz="600" b="1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Nota</a:t>
          </a:r>
          <a:r>
            <a:rPr lang="es-MX" sz="6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:La población total residente en el área geográfica de referencia se obtuvo a partir de la población a mitad de año de las Proyecciones de Población del Consejo Nacional de Población (2018).</a:t>
          </a:r>
        </a:p>
      </cdr:txBody>
    </cdr:sp>
  </cdr:relSizeAnchor>
  <cdr:relSizeAnchor xmlns:cdr="http://schemas.openxmlformats.org/drawingml/2006/chartDrawing">
    <cdr:from>
      <cdr:x>0.87863</cdr:x>
      <cdr:y>0.00818</cdr:y>
    </cdr:from>
    <cdr:to>
      <cdr:x>1</cdr:x>
      <cdr:y>0.0687</cdr:y>
    </cdr:to>
    <cdr:sp macro="" textlink="">
      <cdr:nvSpPr>
        <cdr:cNvPr id="4" name="CuadroTexto 1">
          <a:extLst xmlns:a="http://schemas.openxmlformats.org/drawingml/2006/main">
            <a:ext uri="{FF2B5EF4-FFF2-40B4-BE49-F238E27FC236}">
              <a16:creationId xmlns:a16="http://schemas.microsoft.com/office/drawing/2014/main" id="{6855DE74-381E-416F-B2AE-305B2A5E130D}"/>
            </a:ext>
          </a:extLst>
        </cdr:cNvPr>
        <cdr:cNvSpPr txBox="1"/>
      </cdr:nvSpPr>
      <cdr:spPr>
        <a:xfrm xmlns:a="http://schemas.openxmlformats.org/drawingml/2006/main">
          <a:off x="4895850" y="20406"/>
          <a:ext cx="676275" cy="15104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just">
            <a:lnSpc>
              <a:spcPct val="107000"/>
            </a:lnSpc>
            <a:spcAft>
              <a:spcPts val="800"/>
            </a:spcAft>
          </a:pPr>
          <a:r>
            <a:rPr lang="es-MX" sz="800" b="1">
              <a:effectLst/>
              <a:latin typeface="Arial" panose="020B0604020202020204" pitchFamily="34" charset="0"/>
              <a:ea typeface="Calibri" panose="020F0502020204030204" pitchFamily="34" charset="0"/>
              <a:cs typeface="Arial" panose="020B0604020202020204" pitchFamily="34" charset="0"/>
            </a:rPr>
            <a:t>Gráfica 5</a:t>
          </a:r>
          <a:endParaRPr lang="es-MX" sz="900">
            <a:effectLst/>
            <a:latin typeface="Arial" panose="020B0604020202020204" pitchFamily="34" charset="0"/>
            <a:ea typeface="Calibri" panose="020F0502020204030204" pitchFamily="34" charset="0"/>
            <a:cs typeface="Arial" panose="020B0604020202020204" pitchFamily="34" charset="0"/>
          </a:endParaRPr>
        </a:p>
      </cdr:txBody>
    </cdr: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</cdr:x>
      <cdr:y>0.7923</cdr:y>
    </cdr:from>
    <cdr:to>
      <cdr:x>1</cdr:x>
      <cdr:y>1</cdr:y>
    </cdr:to>
    <cdr:sp macro="" textlink="">
      <cdr:nvSpPr>
        <cdr:cNvPr id="3" name="CuadroTexto 1">
          <a:extLst xmlns:a="http://schemas.openxmlformats.org/drawingml/2006/main">
            <a:ext uri="{FF2B5EF4-FFF2-40B4-BE49-F238E27FC236}">
              <a16:creationId xmlns:a16="http://schemas.microsoft.com/office/drawing/2014/main" id="{42AD9C93-C0C6-42B9-AAF6-12F59558B309}"/>
            </a:ext>
          </a:extLst>
        </cdr:cNvPr>
        <cdr:cNvSpPr txBox="1"/>
      </cdr:nvSpPr>
      <cdr:spPr>
        <a:xfrm xmlns:a="http://schemas.openxmlformats.org/drawingml/2006/main">
          <a:off x="0" y="2307264"/>
          <a:ext cx="2785110" cy="60484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just"/>
          <a:r>
            <a:rPr lang="es-MX" sz="600" b="1">
              <a:latin typeface="Arial" panose="020B0604020202020204" pitchFamily="34" charset="0"/>
              <a:cs typeface="Arial" panose="020B0604020202020204" pitchFamily="34" charset="0"/>
            </a:rPr>
            <a:t>FUENTE: </a:t>
          </a:r>
          <a:r>
            <a:rPr lang="es-MX" sz="600" b="0">
              <a:latin typeface="Arial" panose="020B0604020202020204" pitchFamily="34" charset="0"/>
              <a:cs typeface="Arial" panose="020B0604020202020204" pitchFamily="34" charset="0"/>
            </a:rPr>
            <a:t>INEGI. Estadísticas de mortalidad, 2020. </a:t>
          </a:r>
        </a:p>
        <a:p xmlns:a="http://schemas.openxmlformats.org/drawingml/2006/main">
          <a:pPr algn="l"/>
          <a:r>
            <a:rPr lang="es-MX" sz="600" b="1">
              <a:latin typeface="Arial" panose="020B0604020202020204" pitchFamily="34" charset="0"/>
              <a:cs typeface="Arial" panose="020B0604020202020204" pitchFamily="34" charset="0"/>
            </a:rPr>
            <a:t>Nota:1/ </a:t>
          </a:r>
          <a:r>
            <a:rPr lang="es-MX" sz="600" b="0">
              <a:latin typeface="Arial" panose="020B0604020202020204" pitchFamily="34" charset="0"/>
              <a:cs typeface="Arial" panose="020B0604020202020204" pitchFamily="34" charset="0"/>
            </a:rPr>
            <a:t>Vía pública incluye calle o carretera.  </a:t>
          </a:r>
        </a:p>
        <a:p xmlns:a="http://schemas.openxmlformats.org/drawingml/2006/main">
          <a:pPr algn="l"/>
          <a:r>
            <a:rPr lang="es-MX" sz="600" b="1">
              <a:latin typeface="Arial" panose="020B0604020202020204" pitchFamily="34" charset="0"/>
              <a:cs typeface="Arial" panose="020B0604020202020204" pitchFamily="34" charset="0"/>
            </a:rPr>
            <a:t>2/ </a:t>
          </a:r>
          <a:r>
            <a:rPr lang="es-MX" sz="600" b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Vivienda incluye vivienda particular y vivienda colectiva. </a:t>
          </a:r>
        </a:p>
        <a:p xmlns:a="http://schemas.openxmlformats.org/drawingml/2006/main">
          <a:pPr algn="l"/>
          <a:r>
            <a:rPr lang="es-MX" sz="600" b="1">
              <a:latin typeface="Arial" panose="020B0604020202020204" pitchFamily="34" charset="0"/>
              <a:cs typeface="Arial" panose="020B0604020202020204" pitchFamily="34" charset="0"/>
            </a:rPr>
            <a:t>3/ </a:t>
          </a:r>
          <a:r>
            <a:rPr lang="es-MX" sz="600" b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Otro lugar incluye las opciones: Área deportiva, Escuela u oficina pública, Área comercial o de servicios, Área industrial (taller, fabrica u obra), Granja (rancho o parcela) y Otro. </a:t>
          </a:r>
          <a:endParaRPr lang="es-MX" sz="600" b="0">
            <a:solidFill>
              <a:sysClr val="windowText" lastClr="000000"/>
            </a:solidFill>
            <a:latin typeface="+mn-lt"/>
          </a:endParaRPr>
        </a:p>
      </cdr:txBody>
    </cdr:sp>
  </cdr:relSizeAnchor>
</c:userShapes>
</file>

<file path=word/drawings/drawing7.xml><?xml version="1.0" encoding="utf-8"?>
<c:userShapes xmlns:c="http://schemas.openxmlformats.org/drawingml/2006/chart">
  <cdr:relSizeAnchor xmlns:cdr="http://schemas.openxmlformats.org/drawingml/2006/chartDrawing">
    <cdr:from>
      <cdr:x>0</cdr:x>
      <cdr:y>0.76674</cdr:y>
    </cdr:from>
    <cdr:to>
      <cdr:x>1</cdr:x>
      <cdr:y>1</cdr:y>
    </cdr:to>
    <cdr:sp macro="" textlink="">
      <cdr:nvSpPr>
        <cdr:cNvPr id="3" name="CuadroTexto 1">
          <a:extLst xmlns:a="http://schemas.openxmlformats.org/drawingml/2006/main">
            <a:ext uri="{FF2B5EF4-FFF2-40B4-BE49-F238E27FC236}">
              <a16:creationId xmlns:a16="http://schemas.microsoft.com/office/drawing/2014/main" id="{42AD9C93-C0C6-42B9-AAF6-12F59558B309}"/>
            </a:ext>
          </a:extLst>
        </cdr:cNvPr>
        <cdr:cNvSpPr txBox="1"/>
      </cdr:nvSpPr>
      <cdr:spPr>
        <a:xfrm xmlns:a="http://schemas.openxmlformats.org/drawingml/2006/main">
          <a:off x="0" y="2232836"/>
          <a:ext cx="2583180" cy="67927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just"/>
          <a:r>
            <a:rPr lang="es-MX" sz="600" b="1">
              <a:latin typeface="Arial" panose="020B0604020202020204" pitchFamily="34" charset="0"/>
              <a:cs typeface="Arial" panose="020B0604020202020204" pitchFamily="34" charset="0"/>
            </a:rPr>
            <a:t>FUENTE: </a:t>
          </a:r>
          <a:r>
            <a:rPr lang="es-MX" sz="600" b="0">
              <a:latin typeface="Arial" panose="020B0604020202020204" pitchFamily="34" charset="0"/>
              <a:cs typeface="Arial" panose="020B0604020202020204" pitchFamily="34" charset="0"/>
            </a:rPr>
            <a:t>INEGI. Estadísticas de mortalidad, 2020. </a:t>
          </a:r>
        </a:p>
        <a:p xmlns:a="http://schemas.openxmlformats.org/drawingml/2006/main">
          <a:pPr algn="l"/>
          <a:r>
            <a:rPr lang="es-MX" sz="600" b="1">
              <a:latin typeface="Arial" panose="020B0604020202020204" pitchFamily="34" charset="0"/>
              <a:cs typeface="Arial" panose="020B0604020202020204" pitchFamily="34" charset="0"/>
            </a:rPr>
            <a:t>Nota:  1 </a:t>
          </a:r>
          <a:r>
            <a:rPr lang="es-MX" sz="600" b="0">
              <a:latin typeface="Arial" panose="020B0604020202020204" pitchFamily="34" charset="0"/>
              <a:cs typeface="Arial" panose="020B0604020202020204" pitchFamily="34" charset="0"/>
            </a:rPr>
            <a:t>Armas de fuego incluye la categoría X93 a X95 del Código CIE-10</a:t>
          </a:r>
          <a:r>
            <a:rPr lang="es-MX" sz="600" b="1">
              <a:latin typeface="Arial" panose="020B0604020202020204" pitchFamily="34" charset="0"/>
              <a:cs typeface="Arial" panose="020B0604020202020204" pitchFamily="34" charset="0"/>
            </a:rPr>
            <a:t>. 2 </a:t>
          </a:r>
          <a:r>
            <a:rPr lang="es-MX" sz="600" b="0">
              <a:latin typeface="Arial" panose="020B0604020202020204" pitchFamily="34" charset="0"/>
              <a:cs typeface="Arial" panose="020B0604020202020204" pitchFamily="34" charset="0"/>
            </a:rPr>
            <a:t>Ahorcamiento, estrangulamiento y sofocación incluye la categoría X91 del Código CIE-10.</a:t>
          </a:r>
          <a:r>
            <a:rPr lang="es-MX" sz="600" b="1">
              <a:latin typeface="Arial" panose="020B0604020202020204" pitchFamily="34" charset="0"/>
              <a:cs typeface="Arial" panose="020B0604020202020204" pitchFamily="34" charset="0"/>
            </a:rPr>
            <a:t> 3 </a:t>
          </a:r>
          <a:r>
            <a:rPr lang="es-MX" sz="600" b="0">
              <a:latin typeface="Arial" panose="020B0604020202020204" pitchFamily="34" charset="0"/>
              <a:cs typeface="Arial" panose="020B0604020202020204" pitchFamily="34" charset="0"/>
            </a:rPr>
            <a:t>Objeto cortante incluye la categoría X99 del Código CIE-10. </a:t>
          </a:r>
          <a:r>
            <a:rPr lang="es-MX" sz="600" b="1">
              <a:latin typeface="Arial" panose="020B0604020202020204" pitchFamily="34" charset="0"/>
              <a:cs typeface="Arial" panose="020B0604020202020204" pitchFamily="34" charset="0"/>
            </a:rPr>
            <a:t>4 </a:t>
          </a:r>
          <a:r>
            <a:rPr lang="es-MX" sz="600" b="0">
              <a:latin typeface="Arial" panose="020B0604020202020204" pitchFamily="34" charset="0"/>
              <a:cs typeface="Arial" panose="020B0604020202020204" pitchFamily="34" charset="0"/>
            </a:rPr>
            <a:t>Medios no especificados incluye la categoría Y09 del Código CIE-10. </a:t>
          </a:r>
          <a:r>
            <a:rPr lang="es-MX" sz="600" b="1">
              <a:latin typeface="Arial" panose="020B0604020202020204" pitchFamily="34" charset="0"/>
              <a:cs typeface="Arial" panose="020B0604020202020204" pitchFamily="34" charset="0"/>
            </a:rPr>
            <a:t>5 </a:t>
          </a:r>
          <a:r>
            <a:rPr lang="es-MX" sz="600" b="0">
              <a:latin typeface="Arial" panose="020B0604020202020204" pitchFamily="34" charset="0"/>
              <a:cs typeface="Arial" panose="020B0604020202020204" pitchFamily="34" charset="0"/>
            </a:rPr>
            <a:t>Otros medios incluyen las categorías X85 a X90,X92, X96 a X98 y Y00 a Y08 del Código CIE-10. </a:t>
          </a:r>
          <a:endParaRPr lang="es-MX" sz="600" b="0">
            <a:solidFill>
              <a:sysClr val="windowText" lastClr="000000"/>
            </a:solidFill>
            <a:latin typeface="+mn-lt"/>
          </a:endParaRPr>
        </a:p>
      </cdr:txBody>
    </cdr:sp>
  </cdr:relSizeAnchor>
</c:userShape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Violeta">
    <a:dk1>
      <a:sysClr val="windowText" lastClr="000000"/>
    </a:dk1>
    <a:lt1>
      <a:sysClr val="window" lastClr="FFFFFF"/>
    </a:lt1>
    <a:dk2>
      <a:srgbClr val="373545"/>
    </a:dk2>
    <a:lt2>
      <a:srgbClr val="DCD8DC"/>
    </a:lt2>
    <a:accent1>
      <a:srgbClr val="AD84C6"/>
    </a:accent1>
    <a:accent2>
      <a:srgbClr val="8784C7"/>
    </a:accent2>
    <a:accent3>
      <a:srgbClr val="5D739A"/>
    </a:accent3>
    <a:accent4>
      <a:srgbClr val="6997AF"/>
    </a:accent4>
    <a:accent5>
      <a:srgbClr val="84ACB6"/>
    </a:accent5>
    <a:accent6>
      <a:srgbClr val="6F8183"/>
    </a:accent6>
    <a:hlink>
      <a:srgbClr val="69A020"/>
    </a:hlink>
    <a:folHlink>
      <a:srgbClr val="8C8C8C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92298-D689-4022-AB30-BA2965CC3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1785</Words>
  <Characters>9822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CUEVAS RAMIREZ LINA EUGENIA</dc:creator>
  <cp:keywords/>
  <dc:description/>
  <cp:lastModifiedBy>MORONES RUIZ FABIOLA CRISTINA</cp:lastModifiedBy>
  <cp:revision>2</cp:revision>
  <dcterms:created xsi:type="dcterms:W3CDTF">2021-11-23T15:19:00Z</dcterms:created>
  <dcterms:modified xsi:type="dcterms:W3CDTF">2021-11-23T15:19:00Z</dcterms:modified>
</cp:coreProperties>
</file>