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D15F" w14:textId="77777777" w:rsidR="000E0A88" w:rsidRPr="000E0A88" w:rsidRDefault="000E0A88" w:rsidP="00112894">
      <w:pPr>
        <w:pStyle w:val="1Ttulos"/>
        <w:ind w:left="-567" w:right="-518"/>
        <w:rPr>
          <w:color w:val="000000" w:themeColor="text1"/>
        </w:rPr>
      </w:pPr>
      <w:bookmarkStart w:id="0" w:name="_Hlk88642912"/>
      <w:r w:rsidRPr="000E0A88">
        <w:rPr>
          <w:color w:val="000000" w:themeColor="text1"/>
        </w:rPr>
        <w:t xml:space="preserve">ESTADÍSTICAS A PROPÓSITO </w:t>
      </w:r>
      <w:bookmarkStart w:id="1" w:name="_Hlk65161941"/>
      <w:r w:rsidRPr="000E0A88">
        <w:rPr>
          <w:color w:val="000000" w:themeColor="text1"/>
        </w:rPr>
        <w:t xml:space="preserve">DEL </w:t>
      </w:r>
      <w:bookmarkEnd w:id="1"/>
      <w:r w:rsidRPr="000E0A88">
        <w:rPr>
          <w:color w:val="000000" w:themeColor="text1"/>
        </w:rPr>
        <w:t xml:space="preserve">DÍA MUNDIAL DE LA LUCHA </w:t>
      </w:r>
    </w:p>
    <w:p w14:paraId="37AE17E2" w14:textId="77777777" w:rsidR="00112894" w:rsidRDefault="000E0A88" w:rsidP="00112894">
      <w:pPr>
        <w:pStyle w:val="1Ttulos"/>
        <w:ind w:left="-567" w:right="-518"/>
        <w:rPr>
          <w:color w:val="000000" w:themeColor="text1"/>
        </w:rPr>
      </w:pPr>
      <w:r w:rsidRPr="000E0A88">
        <w:rPr>
          <w:color w:val="000000" w:themeColor="text1"/>
        </w:rPr>
        <w:t>CONTRA EL VIH/SIDA (1 DE DICIEMBRE)</w:t>
      </w:r>
    </w:p>
    <w:p w14:paraId="2CD70202" w14:textId="77777777" w:rsidR="00112894" w:rsidRPr="00112894" w:rsidRDefault="00112894" w:rsidP="00112894">
      <w:pPr>
        <w:rPr>
          <w:lang w:val="es-ES" w:eastAsia="es-ES"/>
        </w:rPr>
      </w:pPr>
    </w:p>
    <w:p w14:paraId="4F74D673" w14:textId="77777777" w:rsidR="000E0A88" w:rsidRPr="000E0A88" w:rsidRDefault="000E0A88" w:rsidP="00112894">
      <w:pPr>
        <w:pStyle w:val="3Vietas1"/>
        <w:ind w:left="709" w:right="618" w:hanging="283"/>
        <w:rPr>
          <w:color w:val="000000" w:themeColor="text1"/>
        </w:rPr>
      </w:pPr>
      <w:r w:rsidRPr="000E0A88">
        <w:rPr>
          <w:color w:val="000000" w:themeColor="text1"/>
        </w:rPr>
        <w:t xml:space="preserve">Durante 2020 en México fallecieron 4 573 personas debido al </w:t>
      </w:r>
      <w:r w:rsidRPr="000E0A88">
        <w:rPr>
          <w:color w:val="000000" w:themeColor="text1"/>
          <w:szCs w:val="22"/>
        </w:rPr>
        <w:t>virus de inmunodeficiencia humana (</w:t>
      </w:r>
      <w:r w:rsidRPr="000E0A88">
        <w:rPr>
          <w:color w:val="000000" w:themeColor="text1"/>
        </w:rPr>
        <w:t xml:space="preserve">VIH); 3 815 hombres y </w:t>
      </w:r>
      <w:r w:rsidRPr="000E0A88">
        <w:rPr>
          <w:bCs w:val="0"/>
          <w:color w:val="000000" w:themeColor="text1"/>
        </w:rPr>
        <w:t xml:space="preserve">758 </w:t>
      </w:r>
      <w:r w:rsidRPr="000E0A88">
        <w:rPr>
          <w:color w:val="000000" w:themeColor="text1"/>
        </w:rPr>
        <w:t>mujeres.</w:t>
      </w:r>
    </w:p>
    <w:p w14:paraId="5053DDCE" w14:textId="77777777" w:rsidR="000E0A88" w:rsidRPr="000E0A88" w:rsidRDefault="000E0A88" w:rsidP="00112894">
      <w:pPr>
        <w:pStyle w:val="3Vietas1"/>
        <w:ind w:left="709" w:right="618" w:hanging="283"/>
        <w:rPr>
          <w:color w:val="000000" w:themeColor="text1"/>
        </w:rPr>
      </w:pPr>
      <w:r w:rsidRPr="000E0A88">
        <w:rPr>
          <w:color w:val="000000" w:themeColor="text1"/>
        </w:rPr>
        <w:t xml:space="preserve">La tasa de mortalidad por esta causa es de </w:t>
      </w:r>
      <w:r w:rsidRPr="000E0A88">
        <w:rPr>
          <w:bCs w:val="0"/>
          <w:color w:val="000000" w:themeColor="text1"/>
        </w:rPr>
        <w:t>3.62</w:t>
      </w:r>
      <w:r w:rsidRPr="000E0A88">
        <w:rPr>
          <w:color w:val="000000" w:themeColor="text1"/>
        </w:rPr>
        <w:t xml:space="preserve"> personas por cada 100 mil habitantes; </w:t>
      </w:r>
      <w:r w:rsidRPr="000E0A88">
        <w:rPr>
          <w:bCs w:val="0"/>
          <w:color w:val="000000" w:themeColor="text1"/>
        </w:rPr>
        <w:t>6.19</w:t>
      </w:r>
      <w:r w:rsidRPr="000E0A88">
        <w:rPr>
          <w:color w:val="000000" w:themeColor="text1"/>
        </w:rPr>
        <w:t xml:space="preserve"> en el caso de los hombres (por cada 100 mil hombres) y </w:t>
      </w:r>
      <w:r w:rsidRPr="000E0A88">
        <w:rPr>
          <w:bCs w:val="0"/>
          <w:color w:val="000000" w:themeColor="text1"/>
        </w:rPr>
        <w:t>1.17</w:t>
      </w:r>
      <w:r w:rsidRPr="000E0A88">
        <w:rPr>
          <w:color w:val="000000" w:themeColor="text1"/>
        </w:rPr>
        <w:t xml:space="preserve"> para las mujeres (por cada 100 mil mujeres).</w:t>
      </w:r>
    </w:p>
    <w:p w14:paraId="3C71147C" w14:textId="77777777" w:rsidR="000E0A88" w:rsidRPr="000E0A88" w:rsidRDefault="000E0A88" w:rsidP="00112894">
      <w:pPr>
        <w:pStyle w:val="3Vietas1"/>
        <w:ind w:left="709" w:right="618" w:hanging="283"/>
        <w:rPr>
          <w:color w:val="000000" w:themeColor="text1"/>
        </w:rPr>
      </w:pPr>
      <w:r w:rsidRPr="000E0A88">
        <w:rPr>
          <w:color w:val="000000" w:themeColor="text1"/>
          <w:szCs w:val="22"/>
        </w:rPr>
        <w:t xml:space="preserve">Las tasas más altas de mortalidad por el </w:t>
      </w:r>
      <w:r w:rsidRPr="000E0A88">
        <w:rPr>
          <w:color w:val="000000" w:themeColor="text1"/>
        </w:rPr>
        <w:t xml:space="preserve">VIH se registran en </w:t>
      </w:r>
      <w:r w:rsidRPr="000E0A88">
        <w:rPr>
          <w:color w:val="000000" w:themeColor="text1"/>
          <w:szCs w:val="22"/>
        </w:rPr>
        <w:t xml:space="preserve">Quintana Roo con 10.25, Colima 9.40 y Campeche con 7.52 fallecidos por cada 100 mil habitantes en cada entidad. </w:t>
      </w:r>
    </w:p>
    <w:p w14:paraId="592B9B0F" w14:textId="77777777" w:rsidR="000E0A88" w:rsidRPr="00024DD2" w:rsidRDefault="000E0A88" w:rsidP="00112894">
      <w:pPr>
        <w:pStyle w:val="4PrrafoJustificado"/>
        <w:rPr>
          <w:color w:val="000000" w:themeColor="text1"/>
        </w:rPr>
      </w:pPr>
    </w:p>
    <w:p w14:paraId="78E86942" w14:textId="77777777" w:rsidR="000E0A88" w:rsidRPr="009E5AFE" w:rsidRDefault="000E0A88" w:rsidP="00112894">
      <w:pPr>
        <w:pStyle w:val="4PrrafoJustificado"/>
        <w:ind w:left="-567" w:right="-518"/>
      </w:pPr>
      <w:r w:rsidRPr="009E5AFE">
        <w:t>En 1988 la Asamblea General de las Naciones Unidas declaró el 1</w:t>
      </w:r>
      <w:r>
        <w:t>°</w:t>
      </w:r>
      <w:r w:rsidRPr="009E5AFE">
        <w:t xml:space="preserve"> de diciembre como </w:t>
      </w:r>
      <w:bookmarkStart w:id="2" w:name="_Hlk76041697"/>
      <w:r w:rsidRPr="009E5AFE">
        <w:t xml:space="preserve">Día Mundial de la </w:t>
      </w:r>
      <w:r>
        <w:t>L</w:t>
      </w:r>
      <w:r w:rsidRPr="009E5AFE">
        <w:t xml:space="preserve">ucha contra el </w:t>
      </w:r>
      <w:bookmarkEnd w:id="2"/>
      <w:r>
        <w:t>S</w:t>
      </w:r>
      <w:r w:rsidRPr="009E5AFE">
        <w:t xml:space="preserve">ida, con el objetivo de aumentar la conciencia sobre la enfermedad, combatir el estigma asociado </w:t>
      </w:r>
      <w:r>
        <w:t>a</w:t>
      </w:r>
      <w:r w:rsidRPr="009E5AFE">
        <w:t xml:space="preserve"> ella, mejorar la educación sobre el VIH/sida y movilizar recursos para la respuesta mundial a la epidemia. </w:t>
      </w:r>
    </w:p>
    <w:p w14:paraId="071B0EE1" w14:textId="77777777" w:rsidR="000E0A88" w:rsidRPr="009E5AFE" w:rsidRDefault="000E0A88" w:rsidP="00112894">
      <w:pPr>
        <w:pStyle w:val="4PrrafoJustificado"/>
        <w:ind w:left="-567" w:right="-518"/>
      </w:pPr>
    </w:p>
    <w:p w14:paraId="341671A1" w14:textId="77777777" w:rsidR="000E0A88" w:rsidRPr="009E5AFE" w:rsidRDefault="000E0A88" w:rsidP="00112894">
      <w:pPr>
        <w:pStyle w:val="4PrrafoJustificado"/>
        <w:ind w:left="-567" w:right="-518"/>
      </w:pPr>
      <w:r w:rsidRPr="009E5AFE">
        <w:t xml:space="preserve">Con </w:t>
      </w:r>
      <w:r>
        <w:t>este espíritu</w:t>
      </w:r>
      <w:r w:rsidRPr="009E5AFE">
        <w:t>, el Instituto Nacional de Estadística y Geografía (INEGI) ofrece información estadística con indicadores sociodemográficos de la población que falleció por esta enfermedad</w:t>
      </w:r>
      <w:r>
        <w:t xml:space="preserve"> durante 2020</w:t>
      </w:r>
      <w:r w:rsidRPr="009E5AFE">
        <w:t>.</w:t>
      </w:r>
    </w:p>
    <w:p w14:paraId="5C12078D" w14:textId="77777777" w:rsidR="000E0A88" w:rsidRPr="009E5AFE" w:rsidRDefault="000E0A88" w:rsidP="00112894">
      <w:pPr>
        <w:pStyle w:val="4PrrafoJustificado"/>
        <w:ind w:left="-567" w:right="-518"/>
      </w:pPr>
    </w:p>
    <w:p w14:paraId="3AB892CD" w14:textId="77777777" w:rsidR="000E0A88" w:rsidRPr="009E5AFE" w:rsidRDefault="000E0A88" w:rsidP="00112894">
      <w:pPr>
        <w:pStyle w:val="4PrrafoJustificado"/>
        <w:ind w:left="-567" w:right="-518"/>
      </w:pPr>
      <w:r w:rsidRPr="009E5AFE">
        <w:t xml:space="preserve">Según la Organización Mundial de la Salud (OMS), el síndrome de inmunodeficiencia adquirida (sida) es la fase más avanzada de la infección por el </w:t>
      </w:r>
      <w:r>
        <w:t>virus de inmunodeficiencia humana</w:t>
      </w:r>
      <w:r w:rsidRPr="009E5AFE">
        <w:t xml:space="preserve"> (VIH), el cual constituye uno de los mayores problemas para la salud pública mundial. En </w:t>
      </w:r>
      <w:r>
        <w:t xml:space="preserve">el mundo en </w:t>
      </w:r>
      <w:r w:rsidRPr="009E5AFE">
        <w:t xml:space="preserve">2020, </w:t>
      </w:r>
      <w:r>
        <w:t>aproximadamente</w:t>
      </w:r>
      <w:r w:rsidRPr="009E5AFE">
        <w:t xml:space="preserve"> 680 mil personas murieron de enfermedades relacionadas con el sida y se estima que 38 millones de personas vivían con el VIH</w:t>
      </w:r>
      <w:r w:rsidRPr="009E5AFE">
        <w:rPr>
          <w:rStyle w:val="Refdenotaalpie"/>
        </w:rPr>
        <w:footnoteReference w:id="1"/>
      </w:r>
      <w:r w:rsidRPr="009E5AFE">
        <w:t xml:space="preserve">. </w:t>
      </w:r>
    </w:p>
    <w:p w14:paraId="55E48F7F" w14:textId="77777777" w:rsidR="000E0A88" w:rsidRDefault="000E0A88" w:rsidP="00112894">
      <w:pPr>
        <w:pStyle w:val="1Ttulos"/>
        <w:ind w:left="-567" w:right="-518"/>
        <w:jc w:val="left"/>
      </w:pPr>
    </w:p>
    <w:p w14:paraId="3C61F0D9" w14:textId="77777777" w:rsidR="000E0A88" w:rsidRPr="0024240B" w:rsidRDefault="000E0A88" w:rsidP="00112894">
      <w:pPr>
        <w:pStyle w:val="1Ttulos"/>
        <w:ind w:left="-567" w:right="-518"/>
        <w:jc w:val="left"/>
        <w:rPr>
          <w:sz w:val="22"/>
          <w:szCs w:val="22"/>
        </w:rPr>
      </w:pPr>
      <w:r w:rsidRPr="0024240B">
        <w:rPr>
          <w:sz w:val="22"/>
          <w:szCs w:val="22"/>
        </w:rPr>
        <w:t>ATENCIÓN MÉDICA Y PRUEBA</w:t>
      </w:r>
    </w:p>
    <w:p w14:paraId="14619C63" w14:textId="77777777" w:rsidR="000E0A88" w:rsidRPr="009E5AFE" w:rsidRDefault="000E0A88" w:rsidP="00112894">
      <w:pPr>
        <w:pStyle w:val="4PrrafoJustificado"/>
        <w:ind w:left="-567" w:right="-518"/>
      </w:pPr>
    </w:p>
    <w:p w14:paraId="7FB9367C" w14:textId="77777777" w:rsidR="000E0A88" w:rsidRPr="009E5AFE" w:rsidRDefault="000E0A88" w:rsidP="00112894">
      <w:pPr>
        <w:pStyle w:val="4PrrafoJustificado"/>
        <w:ind w:left="-567" w:right="-518"/>
      </w:pPr>
      <w:r w:rsidRPr="0044769E">
        <w:t xml:space="preserve">La Encuesta Nacional de Salud y Nutrición </w:t>
      </w:r>
      <w:r>
        <w:t xml:space="preserve">(ENSANUT) </w:t>
      </w:r>
      <w:r w:rsidRPr="0044769E">
        <w:t>2018 estim</w:t>
      </w:r>
      <w:r>
        <w:t>ó</w:t>
      </w:r>
      <w:r w:rsidRPr="0044769E">
        <w:t xml:space="preserve"> </w:t>
      </w:r>
      <w:r>
        <w:t xml:space="preserve">la población de 20 a 49 años en </w:t>
      </w:r>
      <w:r w:rsidRPr="0044769E">
        <w:t>53.</w:t>
      </w:r>
      <w:r>
        <w:t>5</w:t>
      </w:r>
      <w:r w:rsidRPr="0044769E">
        <w:t xml:space="preserve"> millones de personas; de </w:t>
      </w:r>
      <w:r>
        <w:t>e</w:t>
      </w:r>
      <w:r w:rsidRPr="0044769E">
        <w:t xml:space="preserve">stas 642 mil declararon </w:t>
      </w:r>
      <w:r>
        <w:t>haber recibido</w:t>
      </w:r>
      <w:r w:rsidRPr="0044769E">
        <w:t xml:space="preserve"> consulta médica en los 12 meses previos a la encuesta para atenderse o recibir tratamiento por el VIH.</w:t>
      </w:r>
    </w:p>
    <w:p w14:paraId="7F6C3FE9" w14:textId="77777777" w:rsidR="000E0A88" w:rsidRPr="009E5AFE" w:rsidRDefault="000E0A88" w:rsidP="00112894">
      <w:pPr>
        <w:pStyle w:val="4PrrafoJustificado"/>
        <w:ind w:left="-567" w:right="-518"/>
      </w:pPr>
    </w:p>
    <w:p w14:paraId="76DCBA10" w14:textId="77777777" w:rsidR="000E0A88" w:rsidRPr="009E5AFE" w:rsidRDefault="000E0A88" w:rsidP="00112894">
      <w:pPr>
        <w:pStyle w:val="4PrrafoJustificado"/>
        <w:ind w:left="-567" w:right="-518"/>
      </w:pPr>
      <w:r>
        <w:t xml:space="preserve">Según la encuesta, </w:t>
      </w:r>
      <w:r w:rsidRPr="009E5AFE">
        <w:t>de las personas de 20 a 49 años que ha</w:t>
      </w:r>
      <w:r>
        <w:t>n</w:t>
      </w:r>
      <w:r w:rsidRPr="009E5AFE">
        <w:t xml:space="preserve"> tenido relaciones sexuales (4</w:t>
      </w:r>
      <w:r>
        <w:t>8.</w:t>
      </w:r>
      <w:r w:rsidRPr="009E5AFE">
        <w:t>9 millones),</w:t>
      </w:r>
      <w:r>
        <w:t xml:space="preserve"> </w:t>
      </w:r>
      <w:r w:rsidRPr="009E5AFE">
        <w:t>35% (</w:t>
      </w:r>
      <w:r>
        <w:t>16.9</w:t>
      </w:r>
      <w:r w:rsidRPr="009E5AFE">
        <w:t xml:space="preserve"> millones) se ha realizado la prueba de VIH. De este universo, 10.5 millones (62%) corresponden a mujeres y 6.4 millones (38%) a hombres.</w:t>
      </w:r>
    </w:p>
    <w:p w14:paraId="0CDAF1B9" w14:textId="77777777" w:rsidR="000E0A88" w:rsidRPr="0024240B" w:rsidRDefault="000E0A88" w:rsidP="00112894">
      <w:pPr>
        <w:pStyle w:val="4PrrafoJustificado"/>
        <w:ind w:left="-567" w:right="-518"/>
        <w:rPr>
          <w:spacing w:val="-4"/>
          <w:szCs w:val="22"/>
        </w:rPr>
      </w:pPr>
    </w:p>
    <w:p w14:paraId="46780E10" w14:textId="77777777" w:rsidR="000E0A88" w:rsidRPr="0024240B" w:rsidRDefault="000E0A88" w:rsidP="00112894">
      <w:pPr>
        <w:pStyle w:val="1Ttulos"/>
        <w:ind w:left="-567" w:right="-518"/>
        <w:jc w:val="left"/>
        <w:rPr>
          <w:sz w:val="22"/>
          <w:szCs w:val="22"/>
        </w:rPr>
      </w:pPr>
      <w:r w:rsidRPr="0024240B">
        <w:rPr>
          <w:sz w:val="22"/>
          <w:szCs w:val="22"/>
        </w:rPr>
        <w:t>MORTALIDAD</w:t>
      </w:r>
    </w:p>
    <w:p w14:paraId="06C05D13" w14:textId="77777777" w:rsidR="000E0A88" w:rsidRPr="009E5AFE" w:rsidRDefault="000E0A88" w:rsidP="00112894">
      <w:pPr>
        <w:pStyle w:val="4PrrafoJustificado"/>
        <w:ind w:left="-567" w:right="-518"/>
      </w:pPr>
    </w:p>
    <w:p w14:paraId="1CBF4C8A" w14:textId="77777777" w:rsidR="000E0A88" w:rsidRDefault="000E0A88" w:rsidP="00112894">
      <w:pPr>
        <w:pStyle w:val="4PrrafoJustificado"/>
        <w:ind w:left="-567" w:right="-518"/>
      </w:pPr>
      <w:r w:rsidRPr="009E5AFE">
        <w:t xml:space="preserve">Durante 2020 en México se registraron </w:t>
      </w:r>
      <w:bookmarkStart w:id="3" w:name="_Hlk87371446"/>
      <w:r w:rsidRPr="009E5AFE">
        <w:t>4 573 </w:t>
      </w:r>
      <w:bookmarkEnd w:id="3"/>
      <w:r w:rsidRPr="009E5AFE">
        <w:t>decesos debido a la enfermedad ocasionada por el VIH, de los cuales 3 815 (83</w:t>
      </w:r>
      <w:r w:rsidRPr="009E5AFE">
        <w:rPr>
          <w:rFonts w:cs="Arial"/>
          <w:bCs/>
        </w:rPr>
        <w:t>%)</w:t>
      </w:r>
      <w:r w:rsidRPr="009E5AFE">
        <w:t xml:space="preserve"> correspondieron a defunciones </w:t>
      </w:r>
      <w:r>
        <w:t>en</w:t>
      </w:r>
      <w:r w:rsidRPr="009E5AFE">
        <w:t xml:space="preserve"> hombres y </w:t>
      </w:r>
      <w:r w:rsidRPr="009E5AFE">
        <w:rPr>
          <w:rFonts w:cs="Arial"/>
          <w:bCs/>
        </w:rPr>
        <w:t>758 (17%)</w:t>
      </w:r>
      <w:r w:rsidRPr="009E5AFE">
        <w:t xml:space="preserve"> </w:t>
      </w:r>
      <w:r>
        <w:t>en</w:t>
      </w:r>
      <w:r w:rsidRPr="009E5AFE">
        <w:t xml:space="preserve"> mujeres. </w:t>
      </w:r>
      <w:r>
        <w:t>La</w:t>
      </w:r>
      <w:r w:rsidRPr="009E5AFE">
        <w:t xml:space="preserve"> tasa de mortalidad por esta causa es de </w:t>
      </w:r>
      <w:r w:rsidRPr="009E5AFE">
        <w:rPr>
          <w:rFonts w:cs="Arial"/>
          <w:bCs/>
        </w:rPr>
        <w:t>3.62</w:t>
      </w:r>
      <w:r w:rsidRPr="009E5AFE">
        <w:t xml:space="preserve"> por cada 100 mil habitantes; </w:t>
      </w:r>
      <w:r w:rsidRPr="009E5AFE">
        <w:rPr>
          <w:rFonts w:cs="Arial"/>
          <w:bCs/>
        </w:rPr>
        <w:t>6.19</w:t>
      </w:r>
      <w:r w:rsidRPr="009E5AFE">
        <w:t xml:space="preserve"> en el caso de los hombres (por cada 100 mil hombres) y </w:t>
      </w:r>
      <w:r w:rsidRPr="009E5AFE">
        <w:rPr>
          <w:rFonts w:cs="Arial"/>
          <w:bCs/>
        </w:rPr>
        <w:t>1.17</w:t>
      </w:r>
      <w:r w:rsidRPr="009E5AFE">
        <w:t xml:space="preserve"> en las mujeres (por cada 100 mil mujeres). </w:t>
      </w:r>
      <w:bookmarkEnd w:id="0"/>
    </w:p>
    <w:p w14:paraId="71E80B2B" w14:textId="77777777" w:rsidR="000E0A88" w:rsidRDefault="000E0A88" w:rsidP="00112894">
      <w:pPr>
        <w:pStyle w:val="4PrrafoJustificado"/>
      </w:pPr>
    </w:p>
    <w:p w14:paraId="6E0163EF" w14:textId="77777777" w:rsidR="00C20739" w:rsidRDefault="000E0A88" w:rsidP="00C20739">
      <w:pPr>
        <w:pStyle w:val="4PrrafoJustificado"/>
        <w:ind w:left="-567" w:right="-518"/>
      </w:pPr>
      <w:r w:rsidRPr="009E5AFE">
        <w:t>Por grupo de edad</w:t>
      </w:r>
      <w:r>
        <w:t>,</w:t>
      </w:r>
      <w:r w:rsidRPr="009E5AFE">
        <w:t xml:space="preserve"> </w:t>
      </w:r>
      <w:r w:rsidRPr="009E5AFE">
        <w:rPr>
          <w:szCs w:val="22"/>
        </w:rPr>
        <w:t xml:space="preserve">la tasa de mortalidad por VIH más alta </w:t>
      </w:r>
      <w:r w:rsidRPr="009E5AFE">
        <w:t xml:space="preserve">se ubica en </w:t>
      </w:r>
      <w:r>
        <w:t xml:space="preserve">el grupo de personas </w:t>
      </w:r>
      <w:r w:rsidRPr="009E5AFE">
        <w:t>de 30 a 44 años y conforme aumenta la edad va disminuyendo</w:t>
      </w:r>
      <w:r>
        <w:t xml:space="preserve"> la tasa</w:t>
      </w:r>
      <w:r w:rsidRPr="009E5AFE">
        <w:t xml:space="preserve">. </w:t>
      </w:r>
    </w:p>
    <w:p w14:paraId="4663B6A5" w14:textId="77777777" w:rsidR="00C20739" w:rsidRDefault="00C20739" w:rsidP="00C20739">
      <w:pPr>
        <w:pStyle w:val="4PrrafoJustificado"/>
        <w:ind w:left="-567" w:right="-518"/>
      </w:pPr>
    </w:p>
    <w:p w14:paraId="7A62A44A" w14:textId="77777777" w:rsidR="000E0A88" w:rsidRPr="009E5AFE" w:rsidRDefault="000E0A88" w:rsidP="00C20739">
      <w:pPr>
        <w:pStyle w:val="4PrrafoJustificado"/>
        <w:ind w:left="-567" w:right="-518"/>
      </w:pPr>
      <w:r w:rsidRPr="009E5AFE">
        <w:lastRenderedPageBreak/>
        <w:t>E</w:t>
      </w:r>
      <w:r>
        <w:t>l indicador</w:t>
      </w:r>
      <w:r w:rsidRPr="009E5AFE">
        <w:t xml:space="preserve"> </w:t>
      </w:r>
      <w:r>
        <w:t>e</w:t>
      </w:r>
      <w:r w:rsidRPr="009E5AFE">
        <w:t xml:space="preserve">s de </w:t>
      </w:r>
      <w:r w:rsidRPr="009E5AFE">
        <w:rPr>
          <w:rFonts w:cs="Arial"/>
          <w:bCs/>
        </w:rPr>
        <w:t xml:space="preserve">13.26 </w:t>
      </w:r>
      <w:r>
        <w:rPr>
          <w:rFonts w:cs="Arial"/>
          <w:bCs/>
        </w:rPr>
        <w:t>defunciones</w:t>
      </w:r>
      <w:r w:rsidRPr="009E5AFE">
        <w:t xml:space="preserve"> por cada 100 mil hombres</w:t>
      </w:r>
      <w:r>
        <w:t xml:space="preserve"> de este grupo de edad </w:t>
      </w:r>
      <w:r w:rsidRPr="009E5AFE">
        <w:t xml:space="preserve">y disminuye hasta </w:t>
      </w:r>
      <w:r>
        <w:t xml:space="preserve">situarse </w:t>
      </w:r>
      <w:r w:rsidRPr="009E5AFE">
        <w:t xml:space="preserve">en </w:t>
      </w:r>
      <w:r w:rsidRPr="009E5AFE">
        <w:rPr>
          <w:rFonts w:cs="Arial"/>
          <w:bCs/>
        </w:rPr>
        <w:t>4.67</w:t>
      </w:r>
      <w:r w:rsidRPr="009E5AFE">
        <w:t xml:space="preserve"> en el </w:t>
      </w:r>
      <w:r>
        <w:t xml:space="preserve">grupo </w:t>
      </w:r>
      <w:r w:rsidRPr="009E5AFE">
        <w:t xml:space="preserve">de 60 y más años. En las mujeres, la tasa de mortalidad más alta también se ubica </w:t>
      </w:r>
      <w:r>
        <w:t xml:space="preserve">en el grupo de </w:t>
      </w:r>
      <w:r w:rsidRPr="009E5AFE">
        <w:t xml:space="preserve">30 </w:t>
      </w:r>
      <w:r>
        <w:t xml:space="preserve">a </w:t>
      </w:r>
      <w:r w:rsidRPr="009E5AFE">
        <w:t xml:space="preserve">44 años </w:t>
      </w:r>
      <w:r>
        <w:t xml:space="preserve">y es de </w:t>
      </w:r>
      <w:r w:rsidRPr="009E5AFE">
        <w:rPr>
          <w:rFonts w:cs="Arial"/>
          <w:bCs/>
        </w:rPr>
        <w:t xml:space="preserve">2.40 </w:t>
      </w:r>
      <w:r w:rsidRPr="009E5AFE">
        <w:t>por cada 100 mil</w:t>
      </w:r>
      <w:r>
        <w:t xml:space="preserve"> mujeres de este grupo de edad</w:t>
      </w:r>
      <w:r w:rsidRPr="009E5AFE">
        <w:t>.</w:t>
      </w:r>
    </w:p>
    <w:p w14:paraId="3545AE9C" w14:textId="77777777" w:rsidR="000E0A88" w:rsidRPr="009E5AFE" w:rsidRDefault="000E0A88" w:rsidP="000E0A88">
      <w:pPr>
        <w:pStyle w:val="5TCuadrosGrficas"/>
        <w:ind w:left="-567" w:right="-518"/>
      </w:pPr>
    </w:p>
    <w:p w14:paraId="4D4856BC" w14:textId="77777777" w:rsidR="000E0A88" w:rsidRPr="009E5AFE" w:rsidRDefault="000E0A88" w:rsidP="002A603E">
      <w:pPr>
        <w:pStyle w:val="5TCuadrosGrficas"/>
        <w:ind w:left="142"/>
      </w:pPr>
      <w:r>
        <w:t>Defunciones registradas</w:t>
      </w:r>
      <w:r w:rsidRPr="009E5AFE">
        <w:t xml:space="preserve"> por </w:t>
      </w:r>
      <w:r>
        <w:t>el virus de inmunodeficiencia humana</w:t>
      </w:r>
      <w:r w:rsidRPr="009E5AFE">
        <w:t>, por sexo según grupo de edad</w:t>
      </w:r>
    </w:p>
    <w:p w14:paraId="6B344FBF" w14:textId="77777777" w:rsidR="000E0A88" w:rsidRPr="009E5AFE" w:rsidRDefault="000E0A88" w:rsidP="002A603E">
      <w:pPr>
        <w:pStyle w:val="5TCuadrosGrficas"/>
        <w:ind w:left="142"/>
        <w:rPr>
          <w:spacing w:val="-8"/>
        </w:rPr>
      </w:pPr>
      <w:r w:rsidRPr="009E5AFE">
        <w:rPr>
          <w:spacing w:val="-8"/>
        </w:rPr>
        <w:t>2020</w:t>
      </w:r>
    </w:p>
    <w:p w14:paraId="50E45057" w14:textId="77777777" w:rsidR="000E0A88" w:rsidRPr="009E5AFE" w:rsidRDefault="000E0A88" w:rsidP="002A603E">
      <w:pPr>
        <w:pStyle w:val="5TCuadrosGrficas"/>
        <w:ind w:left="567" w:hanging="709"/>
        <w:rPr>
          <w:b w:val="0"/>
          <w:spacing w:val="-8"/>
        </w:rPr>
      </w:pPr>
      <w:r>
        <w:rPr>
          <w:noProof/>
        </w:rPr>
        <w:drawing>
          <wp:inline distT="0" distB="0" distL="0" distR="0" wp14:anchorId="2986C811" wp14:editId="32B5FF7B">
            <wp:extent cx="5753100" cy="1857375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34409A0-BBB3-4C47-AEC9-2688788405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EB007B" w14:textId="77777777" w:rsidR="002A603E" w:rsidRDefault="000E0A88" w:rsidP="002A603E">
      <w:pPr>
        <w:pStyle w:val="7aNota"/>
        <w:spacing w:before="0"/>
        <w:ind w:left="426" w:right="51" w:hanging="426"/>
      </w:pPr>
      <w:r w:rsidRPr="009E5AFE">
        <w:t>Nota:</w:t>
      </w:r>
      <w:r w:rsidRPr="009E5AFE">
        <w:tab/>
        <w:t xml:space="preserve">Se utilizó la Clasificación Estadística Internacional de Enfermedades y Problemas Relacionados con la Salud </w:t>
      </w:r>
    </w:p>
    <w:p w14:paraId="0F7E5796" w14:textId="77777777" w:rsidR="000E0A88" w:rsidRPr="009E5AFE" w:rsidRDefault="000E0A88" w:rsidP="002A603E">
      <w:pPr>
        <w:pStyle w:val="7aNota"/>
        <w:spacing w:before="0"/>
        <w:ind w:left="426" w:right="51" w:hanging="426"/>
      </w:pPr>
      <w:r w:rsidRPr="009E5AFE">
        <w:t>(CIE-10), códigos B20-B24.</w:t>
      </w:r>
    </w:p>
    <w:p w14:paraId="7CF2D45B" w14:textId="77777777" w:rsidR="000E0A88" w:rsidRPr="009E5AFE" w:rsidRDefault="000E0A88" w:rsidP="002A603E">
      <w:pPr>
        <w:pStyle w:val="7aNota"/>
        <w:spacing w:before="0"/>
        <w:ind w:left="142" w:right="51" w:hanging="142"/>
        <w:jc w:val="left"/>
      </w:pPr>
      <w:r w:rsidRPr="009E5AFE">
        <w:t>Fuentes: INEGI. Estadísticas de mortalidad. Cubos interactivos. SNIEG. Información de Interés Nacional.</w:t>
      </w:r>
    </w:p>
    <w:p w14:paraId="0AC9901D" w14:textId="77777777" w:rsidR="000E0A88" w:rsidRDefault="000E0A88" w:rsidP="000E0A88">
      <w:pPr>
        <w:pStyle w:val="7cFuente"/>
        <w:ind w:left="0" w:firstLine="0"/>
        <w:rPr>
          <w:sz w:val="22"/>
          <w:szCs w:val="22"/>
        </w:rPr>
      </w:pPr>
    </w:p>
    <w:p w14:paraId="71AA4F1F" w14:textId="77777777" w:rsidR="00C20739" w:rsidRDefault="00C20739" w:rsidP="000E0A88">
      <w:pPr>
        <w:pStyle w:val="4PrrafoJustificado"/>
        <w:ind w:left="-567" w:right="-518"/>
        <w:rPr>
          <w:spacing w:val="-4"/>
        </w:rPr>
      </w:pPr>
    </w:p>
    <w:p w14:paraId="2DAA4702" w14:textId="77777777" w:rsidR="000E0A88" w:rsidRDefault="000E0A88" w:rsidP="000E0A88">
      <w:pPr>
        <w:pStyle w:val="4PrrafoJustificado"/>
        <w:ind w:left="-567" w:right="-518"/>
        <w:rPr>
          <w:spacing w:val="-4"/>
        </w:rPr>
      </w:pPr>
      <w:r>
        <w:rPr>
          <w:spacing w:val="-4"/>
        </w:rPr>
        <w:t>La tasa de mortalidad</w:t>
      </w:r>
      <w:r w:rsidRPr="009E5AFE">
        <w:rPr>
          <w:spacing w:val="-4"/>
        </w:rPr>
        <w:t xml:space="preserve"> </w:t>
      </w:r>
      <w:r>
        <w:rPr>
          <w:spacing w:val="-4"/>
        </w:rPr>
        <w:t xml:space="preserve">para los hombres </w:t>
      </w:r>
      <w:r w:rsidRPr="009E5AFE">
        <w:rPr>
          <w:spacing w:val="-4"/>
        </w:rPr>
        <w:t xml:space="preserve">refleja un aumento en el periodo </w:t>
      </w:r>
      <w:r>
        <w:rPr>
          <w:spacing w:val="-4"/>
        </w:rPr>
        <w:t xml:space="preserve">que va </w:t>
      </w:r>
      <w:r w:rsidRPr="009E5AFE">
        <w:rPr>
          <w:spacing w:val="-4"/>
        </w:rPr>
        <w:t xml:space="preserve">de 2016 </w:t>
      </w:r>
      <w:r>
        <w:rPr>
          <w:spacing w:val="-4"/>
        </w:rPr>
        <w:t xml:space="preserve">a </w:t>
      </w:r>
      <w:r w:rsidRPr="009E5AFE">
        <w:rPr>
          <w:spacing w:val="-4"/>
        </w:rPr>
        <w:t>2019</w:t>
      </w:r>
      <w:r>
        <w:rPr>
          <w:spacing w:val="-4"/>
        </w:rPr>
        <w:t xml:space="preserve"> al</w:t>
      </w:r>
      <w:r w:rsidRPr="009E5AFE">
        <w:rPr>
          <w:spacing w:val="-4"/>
        </w:rPr>
        <w:t xml:space="preserve"> pasa</w:t>
      </w:r>
      <w:r>
        <w:rPr>
          <w:spacing w:val="-4"/>
        </w:rPr>
        <w:t>r</w:t>
      </w:r>
      <w:r w:rsidRPr="009E5AFE">
        <w:rPr>
          <w:spacing w:val="-4"/>
        </w:rPr>
        <w:t xml:space="preserve"> de </w:t>
      </w:r>
      <w:r w:rsidRPr="009E5AFE">
        <w:rPr>
          <w:rFonts w:cs="Arial"/>
          <w:bCs/>
          <w:spacing w:val="-4"/>
        </w:rPr>
        <w:t>6.34 a 7.08</w:t>
      </w:r>
      <w:r w:rsidRPr="009E5AFE">
        <w:rPr>
          <w:spacing w:val="-4"/>
        </w:rPr>
        <w:t>, por cada 100 mil hombres</w:t>
      </w:r>
      <w:r>
        <w:rPr>
          <w:spacing w:val="-4"/>
        </w:rPr>
        <w:t>. P</w:t>
      </w:r>
      <w:r w:rsidRPr="009E5AFE">
        <w:rPr>
          <w:spacing w:val="-4"/>
        </w:rPr>
        <w:t>ara las mujeres</w:t>
      </w:r>
      <w:r>
        <w:rPr>
          <w:spacing w:val="-4"/>
        </w:rPr>
        <w:t>,</w:t>
      </w:r>
      <w:r w:rsidRPr="009E5AFE">
        <w:rPr>
          <w:spacing w:val="-4"/>
        </w:rPr>
        <w:t xml:space="preserve"> la tasa </w:t>
      </w:r>
      <w:r>
        <w:rPr>
          <w:spacing w:val="-4"/>
        </w:rPr>
        <w:t>presentó altibajos en el mismo periodo.</w:t>
      </w:r>
    </w:p>
    <w:p w14:paraId="7872DD2F" w14:textId="77777777" w:rsidR="000E0A88" w:rsidRPr="009E5AFE" w:rsidRDefault="000E0A88" w:rsidP="000E0A88">
      <w:pPr>
        <w:pStyle w:val="4PrrafoJustificado"/>
      </w:pPr>
    </w:p>
    <w:p w14:paraId="699C3C86" w14:textId="77777777" w:rsidR="000E0A88" w:rsidRPr="009E5AFE" w:rsidRDefault="000E0A88" w:rsidP="000E0A88">
      <w:pPr>
        <w:pStyle w:val="5TCuadrosGrficas"/>
        <w:ind w:left="224"/>
        <w:rPr>
          <w:spacing w:val="-4"/>
        </w:rPr>
      </w:pPr>
      <w:r w:rsidRPr="009E5AFE">
        <w:rPr>
          <w:spacing w:val="-4"/>
        </w:rPr>
        <w:t xml:space="preserve">Tasa de mortalidad por </w:t>
      </w:r>
      <w:r w:rsidRPr="009E5AFE">
        <w:t xml:space="preserve">el </w:t>
      </w:r>
      <w:r>
        <w:t xml:space="preserve">virus de inmunodeficiencia humana </w:t>
      </w:r>
      <w:r w:rsidRPr="009E5AFE">
        <w:rPr>
          <w:spacing w:val="-4"/>
        </w:rPr>
        <w:t>según sexo</w:t>
      </w:r>
    </w:p>
    <w:p w14:paraId="29CAC29D" w14:textId="77777777" w:rsidR="000E0A88" w:rsidRPr="009E5AFE" w:rsidRDefault="000E0A88" w:rsidP="000E0A88">
      <w:pPr>
        <w:pStyle w:val="5TCuadrosGrficas"/>
        <w:ind w:left="252"/>
      </w:pPr>
      <w:r w:rsidRPr="009E5AFE">
        <w:t>201</w:t>
      </w:r>
      <w:r>
        <w:t>1</w:t>
      </w:r>
      <w:r w:rsidRPr="009E5AFE">
        <w:t>-2020</w:t>
      </w:r>
    </w:p>
    <w:p w14:paraId="6298C405" w14:textId="77777777" w:rsidR="000E0A88" w:rsidRDefault="000E0A88" w:rsidP="000E0A88">
      <w:pPr>
        <w:pStyle w:val="5TCuadrosGrficas"/>
        <w:ind w:left="238"/>
        <w:rPr>
          <w:b w:val="0"/>
        </w:rPr>
      </w:pPr>
      <w:r w:rsidRPr="009E5AFE">
        <w:rPr>
          <w:b w:val="0"/>
        </w:rPr>
        <w:t>Por cada 100 mil habitantes para cada año y sexo</w:t>
      </w:r>
    </w:p>
    <w:p w14:paraId="19A4DC7E" w14:textId="77777777" w:rsidR="000E0A88" w:rsidRPr="009274F4" w:rsidRDefault="000E0A88" w:rsidP="000E0A88">
      <w:pPr>
        <w:pStyle w:val="5TCuadrosGrficas"/>
        <w:rPr>
          <w:b w:val="0"/>
          <w:spacing w:val="-4"/>
          <w:sz w:val="6"/>
        </w:rPr>
      </w:pPr>
    </w:p>
    <w:p w14:paraId="64AB9E18" w14:textId="77777777" w:rsidR="000E0A88" w:rsidRDefault="000E0A88" w:rsidP="000E0A88">
      <w:pPr>
        <w:pStyle w:val="5TCuadrosGrficas"/>
        <w:ind w:left="0"/>
        <w:jc w:val="center"/>
        <w:rPr>
          <w:b w:val="0"/>
          <w:spacing w:val="-4"/>
        </w:rPr>
      </w:pPr>
      <w:r w:rsidRPr="00695F3A">
        <w:rPr>
          <w:noProof/>
        </w:rPr>
        <w:drawing>
          <wp:inline distT="0" distB="0" distL="0" distR="0" wp14:anchorId="0B16DA38" wp14:editId="06BE433B">
            <wp:extent cx="5759356" cy="2286212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36" cy="2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CF422" w14:textId="77777777" w:rsidR="000E0A88" w:rsidRPr="009E5AFE" w:rsidRDefault="000E0A88" w:rsidP="000E0A88">
      <w:pPr>
        <w:pStyle w:val="7aNota"/>
        <w:ind w:left="426"/>
      </w:pPr>
      <w:r w:rsidRPr="009E5AFE">
        <w:t>Nota:</w:t>
      </w:r>
      <w:r w:rsidRPr="009E5AFE">
        <w:tab/>
        <w:t>Se utilizó la Clasificación Estadística Internacional de Enfermedades y Problemas Relacionados con la Salud (CIE-10), códigos B20-B24</w:t>
      </w:r>
      <w:r>
        <w:t>.</w:t>
      </w:r>
    </w:p>
    <w:p w14:paraId="058E8808" w14:textId="77777777" w:rsidR="000E0A88" w:rsidRPr="009E5AFE" w:rsidRDefault="000E0A88" w:rsidP="000E0A88">
      <w:pPr>
        <w:pStyle w:val="7cFuente"/>
        <w:ind w:left="709" w:hanging="709"/>
      </w:pPr>
      <w:r w:rsidRPr="009E5AFE">
        <w:t xml:space="preserve">Fuentes: </w:t>
      </w:r>
      <w:r w:rsidRPr="009E5AFE">
        <w:tab/>
        <w:t>INEGI. Estadísticas de mortalidad. Cubos interactivos. SNIEG. Información de Interés Nacional.</w:t>
      </w:r>
    </w:p>
    <w:p w14:paraId="48055FEA" w14:textId="77777777" w:rsidR="000E0A88" w:rsidRPr="009E5AFE" w:rsidRDefault="000E0A88" w:rsidP="000E0A88">
      <w:pPr>
        <w:pStyle w:val="7cFuente"/>
        <w:ind w:left="709" w:hanging="709"/>
      </w:pPr>
      <w:r w:rsidRPr="009E5AFE">
        <w:t xml:space="preserve">  </w:t>
      </w:r>
      <w:r w:rsidRPr="009E5AFE">
        <w:tab/>
        <w:t>CONAPO. Proyecciones de la Población de México y de las Entidades Federativas, 2016-2050.</w:t>
      </w:r>
    </w:p>
    <w:p w14:paraId="113D7904" w14:textId="77777777" w:rsidR="00841670" w:rsidRPr="000E0A88" w:rsidRDefault="000E0A88" w:rsidP="000E0A88">
      <w:pPr>
        <w:rPr>
          <w:rFonts w:ascii="Arial" w:hAnsi="Arial" w:cs="Arial"/>
          <w:sz w:val="16"/>
          <w:szCs w:val="16"/>
        </w:rPr>
      </w:pPr>
      <w:r w:rsidRPr="000E0A88">
        <w:rPr>
          <w:rFonts w:ascii="Arial" w:hAnsi="Arial" w:cs="Arial"/>
          <w:sz w:val="16"/>
          <w:szCs w:val="16"/>
        </w:rPr>
        <w:t>Para el cálculo de la tasa del año 2020, el denominador se ajusta a la estimación de población elaborada por el INEGI con base en el Marco de Muestreo de Viviendas.</w:t>
      </w:r>
    </w:p>
    <w:p w14:paraId="7E583C3B" w14:textId="77777777" w:rsidR="002A603E" w:rsidRDefault="002A603E" w:rsidP="000E0A88">
      <w:pPr>
        <w:pStyle w:val="7cFuente"/>
        <w:ind w:left="-567" w:right="-518" w:firstLine="0"/>
        <w:rPr>
          <w:sz w:val="22"/>
          <w:szCs w:val="22"/>
        </w:rPr>
      </w:pPr>
    </w:p>
    <w:p w14:paraId="1A0BA2F7" w14:textId="77777777" w:rsidR="000E0A88" w:rsidRDefault="000E0A88" w:rsidP="000E0A88">
      <w:pPr>
        <w:pStyle w:val="7cFuente"/>
        <w:ind w:left="-567" w:right="-518" w:firstLine="0"/>
        <w:rPr>
          <w:sz w:val="22"/>
          <w:szCs w:val="22"/>
        </w:rPr>
      </w:pPr>
      <w:r w:rsidRPr="009E5AFE">
        <w:rPr>
          <w:sz w:val="22"/>
          <w:szCs w:val="22"/>
        </w:rPr>
        <w:lastRenderedPageBreak/>
        <w:t>Según la entidad federativa de residencia de las personas</w:t>
      </w:r>
      <w:r>
        <w:rPr>
          <w:sz w:val="22"/>
          <w:szCs w:val="22"/>
        </w:rPr>
        <w:t xml:space="preserve"> fallecidas</w:t>
      </w:r>
      <w:r w:rsidRPr="009E5AFE">
        <w:rPr>
          <w:sz w:val="22"/>
          <w:szCs w:val="22"/>
        </w:rPr>
        <w:t xml:space="preserve">, 15 entidades se encuentran por encima del promedio nacional, que es de 3.62 </w:t>
      </w:r>
      <w:r>
        <w:rPr>
          <w:sz w:val="22"/>
          <w:szCs w:val="22"/>
        </w:rPr>
        <w:t xml:space="preserve">defunciones </w:t>
      </w:r>
      <w:r w:rsidRPr="009E5AFE">
        <w:rPr>
          <w:sz w:val="22"/>
          <w:szCs w:val="22"/>
        </w:rPr>
        <w:t xml:space="preserve">por cada 100 mil habitantes. Las tasas </w:t>
      </w:r>
      <w:r>
        <w:rPr>
          <w:sz w:val="22"/>
          <w:szCs w:val="22"/>
        </w:rPr>
        <w:t xml:space="preserve">más altas </w:t>
      </w:r>
      <w:r w:rsidRPr="009E5AFE">
        <w:rPr>
          <w:sz w:val="22"/>
          <w:szCs w:val="22"/>
        </w:rPr>
        <w:t xml:space="preserve">de mortalidad por el </w:t>
      </w:r>
      <w:r>
        <w:rPr>
          <w:sz w:val="22"/>
          <w:szCs w:val="22"/>
        </w:rPr>
        <w:t>VIH</w:t>
      </w:r>
      <w:r w:rsidRPr="009E5AFE">
        <w:rPr>
          <w:sz w:val="22"/>
          <w:szCs w:val="22"/>
        </w:rPr>
        <w:t>, por cada 100 mil habitantes, son: Quintana Roo (10</w:t>
      </w:r>
      <w:r w:rsidRPr="009E5AFE">
        <w:rPr>
          <w:rFonts w:cs="Arial"/>
          <w:bCs/>
          <w:sz w:val="22"/>
          <w:szCs w:val="24"/>
        </w:rPr>
        <w:t>.25</w:t>
      </w:r>
      <w:r w:rsidRPr="009E5AFE">
        <w:rPr>
          <w:sz w:val="22"/>
          <w:szCs w:val="22"/>
        </w:rPr>
        <w:t>), Colima (</w:t>
      </w:r>
      <w:r w:rsidRPr="009E5AFE">
        <w:rPr>
          <w:rFonts w:cs="Arial"/>
          <w:bCs/>
          <w:sz w:val="22"/>
          <w:szCs w:val="24"/>
        </w:rPr>
        <w:t>9.40</w:t>
      </w:r>
      <w:r w:rsidRPr="009E5AFE">
        <w:rPr>
          <w:sz w:val="22"/>
          <w:szCs w:val="22"/>
        </w:rPr>
        <w:t>)</w:t>
      </w:r>
      <w:r>
        <w:rPr>
          <w:sz w:val="22"/>
          <w:szCs w:val="22"/>
        </w:rPr>
        <w:t xml:space="preserve"> y </w:t>
      </w:r>
      <w:r w:rsidRPr="009E5AFE">
        <w:rPr>
          <w:sz w:val="22"/>
          <w:szCs w:val="22"/>
        </w:rPr>
        <w:t>Campeche (7.52). Las entidades con las tasas más bajas son Tlaxcala (1.04)</w:t>
      </w:r>
      <w:r>
        <w:rPr>
          <w:sz w:val="22"/>
          <w:szCs w:val="22"/>
        </w:rPr>
        <w:t>,</w:t>
      </w:r>
      <w:r w:rsidRPr="009E5AFE">
        <w:rPr>
          <w:sz w:val="22"/>
          <w:szCs w:val="22"/>
        </w:rPr>
        <w:t xml:space="preserve"> Zacatecas (1.17)</w:t>
      </w:r>
      <w:r>
        <w:rPr>
          <w:sz w:val="22"/>
          <w:szCs w:val="22"/>
        </w:rPr>
        <w:t xml:space="preserve">, </w:t>
      </w:r>
      <w:r w:rsidRPr="009E5AFE">
        <w:rPr>
          <w:sz w:val="22"/>
          <w:szCs w:val="22"/>
        </w:rPr>
        <w:t>Guanajuato (1.41)</w:t>
      </w:r>
      <w:r>
        <w:rPr>
          <w:sz w:val="22"/>
          <w:szCs w:val="22"/>
        </w:rPr>
        <w:t xml:space="preserve">, </w:t>
      </w:r>
      <w:r w:rsidRPr="009E5AFE">
        <w:rPr>
          <w:sz w:val="22"/>
          <w:szCs w:val="22"/>
        </w:rPr>
        <w:t>Michoacán (1.43),</w:t>
      </w:r>
      <w:r w:rsidRPr="00147BA2">
        <w:rPr>
          <w:sz w:val="22"/>
          <w:szCs w:val="22"/>
        </w:rPr>
        <w:t xml:space="preserve"> </w:t>
      </w:r>
      <w:r w:rsidRPr="009E5AFE">
        <w:rPr>
          <w:sz w:val="22"/>
          <w:szCs w:val="22"/>
        </w:rPr>
        <w:t>Durango (1.47),</w:t>
      </w:r>
      <w:r w:rsidRPr="00147BA2">
        <w:rPr>
          <w:sz w:val="22"/>
          <w:szCs w:val="22"/>
        </w:rPr>
        <w:t xml:space="preserve"> </w:t>
      </w:r>
      <w:r w:rsidRPr="009E5AFE">
        <w:rPr>
          <w:sz w:val="22"/>
          <w:szCs w:val="22"/>
        </w:rPr>
        <w:t>Aguascalientes (1.54)</w:t>
      </w:r>
      <w:r>
        <w:rPr>
          <w:sz w:val="22"/>
          <w:szCs w:val="22"/>
        </w:rPr>
        <w:t xml:space="preserve">, </w:t>
      </w:r>
      <w:r w:rsidRPr="009E5AFE">
        <w:rPr>
          <w:sz w:val="22"/>
          <w:szCs w:val="22"/>
        </w:rPr>
        <w:t>Coahuila (1.96)</w:t>
      </w:r>
      <w:r>
        <w:rPr>
          <w:sz w:val="22"/>
          <w:szCs w:val="22"/>
        </w:rPr>
        <w:t xml:space="preserve"> e</w:t>
      </w:r>
      <w:r w:rsidRPr="00147BA2">
        <w:rPr>
          <w:sz w:val="22"/>
          <w:szCs w:val="22"/>
        </w:rPr>
        <w:t xml:space="preserve"> </w:t>
      </w:r>
      <w:r w:rsidRPr="009E5AFE">
        <w:rPr>
          <w:sz w:val="22"/>
          <w:szCs w:val="22"/>
        </w:rPr>
        <w:t>Hidalgo (1.98)</w:t>
      </w:r>
      <w:r>
        <w:rPr>
          <w:sz w:val="22"/>
          <w:szCs w:val="22"/>
        </w:rPr>
        <w:t xml:space="preserve"> que</w:t>
      </w:r>
      <w:r w:rsidRPr="009E5AFE">
        <w:rPr>
          <w:sz w:val="22"/>
          <w:szCs w:val="22"/>
        </w:rPr>
        <w:t xml:space="preserve"> no alcanzan la cifra de </w:t>
      </w:r>
      <w:r w:rsidRPr="009E5AFE">
        <w:rPr>
          <w:rFonts w:cs="Arial"/>
          <w:bCs/>
          <w:sz w:val="22"/>
          <w:szCs w:val="24"/>
        </w:rPr>
        <w:t>dos personas</w:t>
      </w:r>
      <w:r w:rsidRPr="009E5AFE">
        <w:rPr>
          <w:sz w:val="22"/>
          <w:szCs w:val="22"/>
        </w:rPr>
        <w:t xml:space="preserve"> fallecidas por cada 100 mil habitantes</w:t>
      </w:r>
      <w:r>
        <w:rPr>
          <w:sz w:val="22"/>
          <w:szCs w:val="22"/>
        </w:rPr>
        <w:t>.</w:t>
      </w:r>
      <w:r w:rsidRPr="009E5AFE">
        <w:rPr>
          <w:sz w:val="22"/>
          <w:szCs w:val="22"/>
        </w:rPr>
        <w:t xml:space="preserve"> </w:t>
      </w:r>
    </w:p>
    <w:p w14:paraId="4B779733" w14:textId="77777777" w:rsidR="000E0A88" w:rsidRDefault="000E0A88" w:rsidP="000E0A88">
      <w:pPr>
        <w:pStyle w:val="0ColocarCyG"/>
        <w:spacing w:before="0" w:after="0"/>
        <w:ind w:left="0" w:right="618"/>
        <w:jc w:val="left"/>
        <w:rPr>
          <w:sz w:val="22"/>
          <w:szCs w:val="22"/>
        </w:rPr>
      </w:pPr>
    </w:p>
    <w:p w14:paraId="45F06594" w14:textId="77777777" w:rsidR="00C20739" w:rsidRPr="009E5AFE" w:rsidRDefault="00C20739" w:rsidP="000E0A88">
      <w:pPr>
        <w:pStyle w:val="0ColocarCyG"/>
        <w:spacing w:before="0" w:after="0"/>
        <w:ind w:left="0" w:right="618"/>
        <w:jc w:val="left"/>
        <w:rPr>
          <w:sz w:val="22"/>
          <w:szCs w:val="22"/>
        </w:rPr>
      </w:pPr>
    </w:p>
    <w:p w14:paraId="3275C7BE" w14:textId="77777777" w:rsidR="000E0A88" w:rsidRDefault="000E0A88" w:rsidP="000E0A88">
      <w:pPr>
        <w:pStyle w:val="5TCuadrosGrficas"/>
      </w:pPr>
      <w:r w:rsidRPr="009E5AFE">
        <w:t xml:space="preserve">Tasa de mortalidad </w:t>
      </w:r>
      <w:r>
        <w:t xml:space="preserve">por el virus de inmunodeficiencia humana según </w:t>
      </w:r>
      <w:r w:rsidRPr="009E5AFE">
        <w:t>entidad federativa</w:t>
      </w:r>
      <w:r>
        <w:t xml:space="preserve"> de residencia habitual de la persona fallecida</w:t>
      </w:r>
    </w:p>
    <w:p w14:paraId="6B7C89DB" w14:textId="77777777" w:rsidR="000E0A88" w:rsidRPr="009E5AFE" w:rsidRDefault="000E0A88" w:rsidP="000E0A88">
      <w:pPr>
        <w:pStyle w:val="5TCuadrosGrficas"/>
        <w:rPr>
          <w:b w:val="0"/>
        </w:rPr>
      </w:pPr>
      <w:r w:rsidRPr="009E5AFE">
        <w:t>2020</w:t>
      </w:r>
      <w:r w:rsidRPr="009E5AFE">
        <w:br/>
      </w:r>
      <w:r w:rsidRPr="009E5AFE">
        <w:rPr>
          <w:b w:val="0"/>
        </w:rPr>
        <w:t>Por cada 100 mil habitantes por entidad federativa</w:t>
      </w:r>
      <w:r w:rsidRPr="009E5AFE" w:rsidDel="008E1857">
        <w:rPr>
          <w:b w:val="0"/>
        </w:rPr>
        <w:t xml:space="preserve"> </w:t>
      </w:r>
    </w:p>
    <w:p w14:paraId="23C17B7D" w14:textId="77777777" w:rsidR="000E0A88" w:rsidRPr="009E5AFE" w:rsidRDefault="000E0A88" w:rsidP="000E0A88">
      <w:pPr>
        <w:pStyle w:val="0ColocarCyG"/>
      </w:pPr>
      <w:r w:rsidRPr="009E5AFE">
        <w:rPr>
          <w:noProof/>
          <w:lang w:val="es-MX" w:eastAsia="es-MX"/>
        </w:rPr>
        <w:drawing>
          <wp:inline distT="0" distB="0" distL="0" distR="0" wp14:anchorId="4C25DA57" wp14:editId="63362660">
            <wp:extent cx="5556773" cy="3959750"/>
            <wp:effectExtent l="0" t="0" r="6350" b="317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685"/>
                    <a:stretch/>
                  </pic:blipFill>
                  <pic:spPr bwMode="auto">
                    <a:xfrm>
                      <a:off x="0" y="0"/>
                      <a:ext cx="5584718" cy="3979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B37A9" w14:textId="77777777" w:rsidR="000E0A88" w:rsidRPr="009E5AFE" w:rsidRDefault="000E0A88" w:rsidP="000E0A88">
      <w:pPr>
        <w:pStyle w:val="7aNota"/>
      </w:pPr>
      <w:r w:rsidRPr="009E5AFE">
        <w:t>Nota:</w:t>
      </w:r>
      <w:r w:rsidRPr="009E5AFE">
        <w:tab/>
        <w:t>Se utilizó la Clasificación Estadística Internacional de Enfermedades y Problemas Relacionados con la Salud (CIE-10), códigos B20-B24.</w:t>
      </w:r>
    </w:p>
    <w:p w14:paraId="538332A6" w14:textId="77777777" w:rsidR="000E0A88" w:rsidRPr="009E5AFE" w:rsidRDefault="000E0A88" w:rsidP="000E0A88">
      <w:pPr>
        <w:pStyle w:val="7cFuente"/>
        <w:ind w:left="1560" w:hanging="709"/>
      </w:pPr>
      <w:r w:rsidRPr="009E5AFE">
        <w:t>Fuentes:</w:t>
      </w:r>
      <w:r w:rsidRPr="009E5AFE">
        <w:tab/>
        <w:t>INEGI. Estadísticas de mortalidad. Cubos interactivos. SNIEG. Información de Interés Nacional.</w:t>
      </w:r>
      <w:r>
        <w:t xml:space="preserve"> </w:t>
      </w:r>
    </w:p>
    <w:p w14:paraId="6B3AE57D" w14:textId="77777777" w:rsidR="000E0A88" w:rsidRPr="009E5AFE" w:rsidRDefault="000E0A88" w:rsidP="000E0A88">
      <w:pPr>
        <w:pStyle w:val="7cFuente"/>
        <w:ind w:left="1560" w:firstLine="0"/>
      </w:pPr>
      <w:r w:rsidRPr="009E5AFE">
        <w:t>Para el cálculo de la tasa el denominador se ajusta a la estimación de población elaborada por el INEGI con base en el Marco de Muestreo de Viviendas.</w:t>
      </w:r>
    </w:p>
    <w:p w14:paraId="4D82EEC9" w14:textId="77777777" w:rsidR="000E0A88" w:rsidRPr="009E5AFE" w:rsidRDefault="000E0A88" w:rsidP="000E0A88">
      <w:pPr>
        <w:pStyle w:val="7cFuente"/>
        <w:ind w:left="1560" w:hanging="709"/>
      </w:pPr>
    </w:p>
    <w:p w14:paraId="330F70F5" w14:textId="77777777" w:rsidR="000E0A88" w:rsidRDefault="000E0A88" w:rsidP="000E0A88">
      <w:pPr>
        <w:pStyle w:val="4PrrafoJustificado"/>
        <w:ind w:left="-567" w:right="-518"/>
        <w:rPr>
          <w:spacing w:val="-4"/>
        </w:rPr>
      </w:pPr>
    </w:p>
    <w:p w14:paraId="726D3BF8" w14:textId="77777777" w:rsidR="00C20739" w:rsidRPr="009E5AFE" w:rsidRDefault="00C20739" w:rsidP="000E0A88">
      <w:pPr>
        <w:pStyle w:val="4PrrafoJustificado"/>
        <w:ind w:left="-567" w:right="-518"/>
        <w:rPr>
          <w:spacing w:val="-4"/>
        </w:rPr>
      </w:pPr>
    </w:p>
    <w:p w14:paraId="63A2988C" w14:textId="77777777" w:rsidR="000E0A88" w:rsidRDefault="000E0A88" w:rsidP="000E0A88">
      <w:pPr>
        <w:pStyle w:val="4PrrafoJustificado"/>
        <w:ind w:left="-567" w:right="-518"/>
      </w:pPr>
      <w:r>
        <w:t>Para 2020, aproximadamente</w:t>
      </w:r>
      <w:r w:rsidRPr="009E5AFE">
        <w:t xml:space="preserve"> 28% de la población fallecida no contaba con afiliación a una institución de salud</w:t>
      </w:r>
      <w:r>
        <w:t xml:space="preserve"> (</w:t>
      </w:r>
      <w:r w:rsidRPr="001B6E50">
        <w:t>1</w:t>
      </w:r>
      <w:r>
        <w:t xml:space="preserve"> </w:t>
      </w:r>
      <w:r w:rsidRPr="001B6E50">
        <w:t>259</w:t>
      </w:r>
      <w:r>
        <w:t>). D</w:t>
      </w:r>
      <w:r w:rsidRPr="009E5AFE">
        <w:t>e las que sí tenían</w:t>
      </w:r>
      <w:r>
        <w:t xml:space="preserve"> (2 586)</w:t>
      </w:r>
      <w:r w:rsidRPr="009E5AFE">
        <w:t>, la mayor parte se encontraba afiliada al IMSS (56%) y al Seguro Popular (30</w:t>
      </w:r>
      <w:r>
        <w:t>%</w:t>
      </w:r>
      <w:r w:rsidRPr="009E5AFE">
        <w:t>).</w:t>
      </w:r>
    </w:p>
    <w:p w14:paraId="6FC30BA6" w14:textId="77777777" w:rsidR="000E0A88" w:rsidRDefault="000E0A88" w:rsidP="000E0A88">
      <w:pPr>
        <w:pStyle w:val="4PrrafoJustificado"/>
      </w:pPr>
    </w:p>
    <w:p w14:paraId="28A2C283" w14:textId="77777777" w:rsidR="000E0A88" w:rsidRDefault="000E0A88" w:rsidP="000E0A88">
      <w:pPr>
        <w:pStyle w:val="4PrrafoJustificado"/>
      </w:pPr>
    </w:p>
    <w:p w14:paraId="070CE1F4" w14:textId="77777777" w:rsidR="000E0A88" w:rsidRDefault="000E0A88" w:rsidP="000E0A88">
      <w:pPr>
        <w:pStyle w:val="4PrrafoJustificado"/>
      </w:pPr>
    </w:p>
    <w:p w14:paraId="1444F043" w14:textId="77777777" w:rsidR="002A603E" w:rsidRDefault="002A603E" w:rsidP="002A603E">
      <w:pPr>
        <w:pStyle w:val="5TCuadrosGrficas"/>
        <w:ind w:left="142"/>
      </w:pPr>
    </w:p>
    <w:p w14:paraId="33C1EAAB" w14:textId="77777777" w:rsidR="000E0A88" w:rsidRPr="009E5AFE" w:rsidRDefault="000E0A88" w:rsidP="002A603E">
      <w:pPr>
        <w:pStyle w:val="5TCuadrosGrficas"/>
        <w:ind w:left="142"/>
      </w:pPr>
      <w:r w:rsidRPr="009E5AFE">
        <w:lastRenderedPageBreak/>
        <w:t>Distribución porcentual de la</w:t>
      </w:r>
      <w:r>
        <w:t>s</w:t>
      </w:r>
      <w:r w:rsidRPr="009E5AFE">
        <w:t xml:space="preserve"> </w:t>
      </w:r>
      <w:r>
        <w:t xml:space="preserve">defunciones registradas </w:t>
      </w:r>
      <w:r w:rsidRPr="009E5AFE">
        <w:t xml:space="preserve">por </w:t>
      </w:r>
      <w:r>
        <w:t>el virus de inmunodeficiencia humana</w:t>
      </w:r>
      <w:r w:rsidRPr="009E5AFE">
        <w:t>, por sexo según institución de afiliación</w:t>
      </w:r>
      <w:r>
        <w:t xml:space="preserve"> del fallecido</w:t>
      </w:r>
    </w:p>
    <w:p w14:paraId="31548208" w14:textId="77777777" w:rsidR="000E0A88" w:rsidRPr="009E5AFE" w:rsidRDefault="000E0A88" w:rsidP="002A603E">
      <w:pPr>
        <w:pStyle w:val="5TCuadrosGrficas"/>
        <w:ind w:left="142"/>
        <w:rPr>
          <w:noProof/>
        </w:rPr>
      </w:pPr>
      <w:r w:rsidRPr="009E5AFE">
        <w:t>2020</w:t>
      </w:r>
    </w:p>
    <w:p w14:paraId="120D3391" w14:textId="77777777" w:rsidR="000E0A88" w:rsidRPr="009E5AFE" w:rsidRDefault="000E0A88" w:rsidP="002A603E">
      <w:pPr>
        <w:pStyle w:val="0ColocarCyG"/>
        <w:ind w:left="142"/>
      </w:pPr>
      <w:r w:rsidRPr="00CD725D">
        <w:rPr>
          <w:noProof/>
        </w:rPr>
        <w:drawing>
          <wp:inline distT="0" distB="0" distL="0" distR="0" wp14:anchorId="2F6B2ADC" wp14:editId="3D5808AC">
            <wp:extent cx="5400675" cy="2037660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1312" cy="204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0002B" w14:textId="77777777" w:rsidR="000E0A88" w:rsidRPr="009E5AFE" w:rsidRDefault="000E0A88" w:rsidP="002A603E">
      <w:pPr>
        <w:pStyle w:val="7aNota"/>
        <w:ind w:left="567"/>
      </w:pPr>
      <w:r w:rsidRPr="009E5AFE">
        <w:t>Nota:</w:t>
      </w:r>
      <w:r w:rsidRPr="009E5AFE">
        <w:tab/>
        <w:t>Se utilizó la Clasificación Estadística Internacional de Enfermedades y Problemas Relacionados con la Salud (CIE-10), códigos B20-B24.</w:t>
      </w:r>
    </w:p>
    <w:p w14:paraId="0C9337D5" w14:textId="77777777" w:rsidR="000E0A88" w:rsidRPr="009E5AFE" w:rsidRDefault="000E0A88" w:rsidP="002A603E">
      <w:pPr>
        <w:pStyle w:val="7aNota"/>
        <w:spacing w:before="0"/>
        <w:ind w:left="567"/>
      </w:pPr>
      <w:r w:rsidRPr="009E5AFE">
        <w:tab/>
        <w:t>La opción “Otra” incluye a Pemex, SEDENA, SEMAR y otras</w:t>
      </w:r>
      <w:r>
        <w:t xml:space="preserve"> instituciones</w:t>
      </w:r>
      <w:r w:rsidRPr="009E5AFE">
        <w:t xml:space="preserve">. </w:t>
      </w:r>
    </w:p>
    <w:p w14:paraId="06D1A16D" w14:textId="77777777" w:rsidR="000E0A88" w:rsidRPr="009E5AFE" w:rsidRDefault="000E0A88" w:rsidP="002A603E">
      <w:pPr>
        <w:pStyle w:val="7cFuente"/>
        <w:ind w:left="567" w:hanging="425"/>
      </w:pPr>
      <w:r w:rsidRPr="009E5AFE">
        <w:t>Fuente: INEGI. Estadísticas de mortalidad. Cubos interactivos. SNIEG. Información de Interés Nacional.</w:t>
      </w:r>
    </w:p>
    <w:p w14:paraId="332A8B2B" w14:textId="77777777" w:rsidR="000E0A88" w:rsidRDefault="000E0A88" w:rsidP="000E0A88">
      <w:pPr>
        <w:pStyle w:val="4PrrafoJustificado"/>
        <w:rPr>
          <w:rFonts w:eastAsiaTheme="minorHAnsi"/>
          <w:lang w:eastAsia="en-US"/>
        </w:rPr>
      </w:pPr>
    </w:p>
    <w:p w14:paraId="0229CFC9" w14:textId="77777777" w:rsidR="00C20739" w:rsidRDefault="00C20739" w:rsidP="000E0A88">
      <w:pPr>
        <w:pStyle w:val="4PrrafoJustificado"/>
        <w:rPr>
          <w:rFonts w:eastAsiaTheme="minorHAnsi"/>
          <w:lang w:eastAsia="en-US"/>
        </w:rPr>
      </w:pPr>
    </w:p>
    <w:p w14:paraId="1914F95C" w14:textId="77777777" w:rsidR="000E0A88" w:rsidRDefault="000E0A88" w:rsidP="000E0A88">
      <w:pPr>
        <w:pStyle w:val="4PrrafoJustificado"/>
        <w:ind w:left="-567" w:right="-518"/>
        <w:rPr>
          <w:rFonts w:eastAsiaTheme="minorHAnsi"/>
          <w:lang w:eastAsia="en-US"/>
        </w:rPr>
      </w:pPr>
      <w:bookmarkStart w:id="4" w:name="_Hlk87536952"/>
      <w:bookmarkStart w:id="5" w:name="_Hlk87536029"/>
      <w:r>
        <w:t>El disponer de información sobre e</w:t>
      </w:r>
      <w:r w:rsidRPr="005D56CD">
        <w:t>l estado conyugal</w:t>
      </w:r>
      <w:r>
        <w:t xml:space="preserve"> permite dar seguimiento a</w:t>
      </w:r>
      <w:r w:rsidRPr="005D56CD">
        <w:t xml:space="preserve"> los comportamientos de mayor riesgo</w:t>
      </w:r>
      <w:r>
        <w:t xml:space="preserve"> relacionados con las prácticas sexuales y el contagio entre parejas, necesarios para el diseño e implementación de estrategias de prevención</w:t>
      </w:r>
      <w:r>
        <w:rPr>
          <w:rStyle w:val="Refdenotaalpie"/>
        </w:rPr>
        <w:footnoteReference w:id="2"/>
      </w:r>
      <w:r>
        <w:t xml:space="preserve">. </w:t>
      </w:r>
      <w:bookmarkEnd w:id="4"/>
      <w:r>
        <w:t>Del total de</w:t>
      </w:r>
      <w:bookmarkEnd w:id="5"/>
      <w:r w:rsidRPr="009E5AFE">
        <w:rPr>
          <w:rFonts w:eastAsiaTheme="minorHAnsi"/>
          <w:lang w:eastAsia="en-US"/>
        </w:rPr>
        <w:t xml:space="preserve"> personas fallecidas</w:t>
      </w:r>
      <w:r>
        <w:rPr>
          <w:rFonts w:eastAsiaTheme="minorHAnsi"/>
          <w:lang w:eastAsia="en-US"/>
        </w:rPr>
        <w:t xml:space="preserve"> de 12 años y más (</w:t>
      </w:r>
      <w:r w:rsidRPr="006E2E0F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</w:t>
      </w:r>
      <w:r w:rsidRPr="006E2E0F">
        <w:rPr>
          <w:rFonts w:eastAsiaTheme="minorHAnsi"/>
          <w:lang w:eastAsia="en-US"/>
        </w:rPr>
        <w:t>542</w:t>
      </w:r>
      <w:r>
        <w:rPr>
          <w:rFonts w:eastAsiaTheme="minorHAnsi"/>
          <w:lang w:eastAsia="en-US"/>
        </w:rPr>
        <w:t xml:space="preserve"> personas) por </w:t>
      </w:r>
      <w:r w:rsidRPr="00646D5D">
        <w:rPr>
          <w:rFonts w:eastAsiaTheme="minorHAnsi"/>
          <w:lang w:eastAsia="en-US"/>
        </w:rPr>
        <w:t xml:space="preserve">el </w:t>
      </w:r>
      <w:r w:rsidR="002A603E">
        <w:rPr>
          <w:rFonts w:eastAsiaTheme="minorHAnsi"/>
          <w:lang w:eastAsia="en-US"/>
        </w:rPr>
        <w:t>VIH</w:t>
      </w:r>
      <w:r w:rsidRPr="009E5A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tanto para el caso de hombres (63%) como el de mujeres (41%) predominan las personas solteras</w:t>
      </w:r>
      <w:r w:rsidR="002A603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2A603E">
        <w:rPr>
          <w:rFonts w:eastAsiaTheme="minorHAnsi"/>
          <w:lang w:eastAsia="en-US"/>
        </w:rPr>
        <w:t>L</w:t>
      </w:r>
      <w:r>
        <w:rPr>
          <w:rFonts w:eastAsiaTheme="minorHAnsi"/>
          <w:lang w:eastAsia="en-US"/>
        </w:rPr>
        <w:t>e siguen en los hombres los casados (14%) y los que estaban en unión libre (11</w:t>
      </w:r>
      <w:r w:rsidR="002A603E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>). En las mujeres</w:t>
      </w:r>
      <w:r w:rsidR="002A603E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después de las solteras están las que </w:t>
      </w:r>
      <w:r w:rsidR="002A603E">
        <w:rPr>
          <w:rFonts w:eastAsiaTheme="minorHAnsi"/>
          <w:lang w:eastAsia="en-US"/>
        </w:rPr>
        <w:t>se declararon en</w:t>
      </w:r>
      <w:r>
        <w:rPr>
          <w:rFonts w:eastAsiaTheme="minorHAnsi"/>
          <w:lang w:eastAsia="en-US"/>
        </w:rPr>
        <w:t xml:space="preserve"> unión libre (18%), las casadas (15%) y las viudas (12</w:t>
      </w:r>
      <w:r w:rsidR="002A603E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>).</w:t>
      </w:r>
    </w:p>
    <w:p w14:paraId="54AEFFC3" w14:textId="77777777" w:rsidR="00C20739" w:rsidRPr="009E5AFE" w:rsidRDefault="00C20739" w:rsidP="000E0A88">
      <w:pPr>
        <w:pStyle w:val="4PrrafoJustificado"/>
        <w:ind w:left="-567" w:right="-518"/>
        <w:rPr>
          <w:rFonts w:eastAsiaTheme="minorHAnsi"/>
          <w:b/>
          <w:lang w:eastAsia="en-US"/>
        </w:rPr>
      </w:pPr>
    </w:p>
    <w:p w14:paraId="5896B54E" w14:textId="77777777" w:rsidR="000E0A88" w:rsidRPr="00527D4C" w:rsidRDefault="000E0A88" w:rsidP="000E0A88">
      <w:pPr>
        <w:pStyle w:val="0ColocarCyG"/>
        <w:jc w:val="left"/>
      </w:pPr>
      <w:r w:rsidRPr="00527D4C">
        <w:t xml:space="preserve">Porcentaje de defunciones de personas de 12 años y más por </w:t>
      </w:r>
      <w:r>
        <w:t>el virus de inmunodeficiencia humana</w:t>
      </w:r>
      <w:r w:rsidRPr="00527D4C">
        <w:t xml:space="preserve"> según situación conyugal del fallecido y sexo</w:t>
      </w:r>
      <w:r w:rsidRPr="00527D4C">
        <w:br/>
        <w:t>2020</w:t>
      </w:r>
    </w:p>
    <w:p w14:paraId="28B64688" w14:textId="77777777" w:rsidR="000E0A88" w:rsidRDefault="000E0A88" w:rsidP="000E0A88">
      <w:pPr>
        <w:pStyle w:val="0ColocarCyG"/>
      </w:pPr>
      <w:r w:rsidRPr="009E5AFE">
        <w:rPr>
          <w:noProof/>
          <w:lang w:val="es-MX" w:eastAsia="es-MX"/>
        </w:rPr>
        <w:drawing>
          <wp:inline distT="0" distB="0" distL="0" distR="0" wp14:anchorId="755184A6" wp14:editId="535AD029">
            <wp:extent cx="4770755" cy="179468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5A5BD589-15A8-4101-8451-7D2B8C97D5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t>´</w:t>
      </w:r>
    </w:p>
    <w:p w14:paraId="73BC9709" w14:textId="77777777" w:rsidR="000E0A88" w:rsidRPr="009E5AFE" w:rsidRDefault="000E0A88" w:rsidP="000E0A88">
      <w:pPr>
        <w:pStyle w:val="7aNota"/>
      </w:pPr>
      <w:r w:rsidRPr="009E5AFE">
        <w:t>Nota: La suma es menor a 100% debido a que no se incluye el no especificado ni a los menores de 12 años.</w:t>
      </w:r>
    </w:p>
    <w:p w14:paraId="24FB26FD" w14:textId="77777777" w:rsidR="000E0A88" w:rsidRDefault="000E0A88" w:rsidP="000E0A88">
      <w:pPr>
        <w:pStyle w:val="7cFuente"/>
      </w:pPr>
      <w:r w:rsidRPr="009E5AFE">
        <w:t>Fuente: INEGI. Estadísticas de mortalidad. Cubos interactivos. SNIEG. Información de Interés Nacional.</w:t>
      </w:r>
    </w:p>
    <w:p w14:paraId="52136EFB" w14:textId="77777777" w:rsidR="000E0A88" w:rsidRDefault="000E0A88" w:rsidP="00112894">
      <w:pPr>
        <w:spacing w:after="0" w:line="240" w:lineRule="auto"/>
        <w:ind w:left="-567" w:right="-516"/>
        <w:rPr>
          <w:rFonts w:ascii="Arial" w:hAnsi="Arial" w:cs="Arial"/>
          <w:bCs/>
        </w:rPr>
      </w:pPr>
      <w:r w:rsidRPr="000E0A88">
        <w:rPr>
          <w:rFonts w:ascii="Arial" w:hAnsi="Arial" w:cs="Arial"/>
          <w:b/>
        </w:rPr>
        <w:lastRenderedPageBreak/>
        <w:t xml:space="preserve">Morbilidad: </w:t>
      </w:r>
      <w:r w:rsidRPr="000E0A88">
        <w:rPr>
          <w:rFonts w:ascii="Arial" w:hAnsi="Arial" w:cs="Arial"/>
          <w:bCs/>
        </w:rPr>
        <w:t>De 2010 a julio de 2021 han sido diagnosticados 150 051 nuevos casos de VIH, siendo 2018 el año de mayor prevalencia con 17 429 casos.</w:t>
      </w:r>
    </w:p>
    <w:p w14:paraId="4E95806E" w14:textId="77777777" w:rsidR="00112894" w:rsidRPr="000E0A88" w:rsidRDefault="00112894" w:rsidP="00112894">
      <w:pPr>
        <w:spacing w:after="0" w:line="240" w:lineRule="auto"/>
        <w:ind w:left="-567" w:right="-516"/>
        <w:rPr>
          <w:rFonts w:ascii="Arial" w:hAnsi="Arial" w:cs="Arial"/>
          <w:b/>
        </w:rPr>
      </w:pPr>
    </w:p>
    <w:p w14:paraId="586CCF5B" w14:textId="77777777" w:rsidR="000E0A88" w:rsidRPr="000E0A88" w:rsidRDefault="000E0A88" w:rsidP="00112894">
      <w:pPr>
        <w:spacing w:after="0" w:line="240" w:lineRule="auto"/>
        <w:ind w:hanging="426"/>
        <w:rPr>
          <w:rFonts w:ascii="Arial" w:hAnsi="Arial" w:cs="Arial"/>
          <w:b/>
          <w:bCs/>
        </w:rPr>
      </w:pPr>
      <w:r w:rsidRPr="000E0A88">
        <w:rPr>
          <w:rFonts w:ascii="Arial" w:hAnsi="Arial" w:cs="Arial"/>
          <w:b/>
          <w:bCs/>
        </w:rPr>
        <w:t xml:space="preserve">Casos de VIH según Año de Diagnóstico </w:t>
      </w:r>
    </w:p>
    <w:p w14:paraId="615BB644" w14:textId="77777777" w:rsidR="000E0A88" w:rsidRPr="000E0A88" w:rsidRDefault="000E0A88" w:rsidP="00112894">
      <w:pPr>
        <w:spacing w:after="0" w:line="240" w:lineRule="auto"/>
        <w:ind w:hanging="426"/>
        <w:rPr>
          <w:rFonts w:ascii="Arial" w:hAnsi="Arial" w:cs="Arial"/>
          <w:b/>
          <w:bCs/>
          <w:sz w:val="18"/>
          <w:szCs w:val="20"/>
        </w:rPr>
      </w:pPr>
      <w:r w:rsidRPr="000E0A88">
        <w:rPr>
          <w:rFonts w:ascii="Arial" w:hAnsi="Arial" w:cs="Arial"/>
          <w:b/>
          <w:bCs/>
          <w:sz w:val="18"/>
          <w:szCs w:val="20"/>
        </w:rPr>
        <w:t>México, 2010-2021</w:t>
      </w:r>
    </w:p>
    <w:tbl>
      <w:tblPr>
        <w:tblStyle w:val="Tablaconcuadrcula"/>
        <w:tblW w:w="1013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6"/>
        <w:gridCol w:w="2497"/>
      </w:tblGrid>
      <w:tr w:rsidR="000E0A88" w14:paraId="6074FB0D" w14:textId="77777777" w:rsidTr="00112894">
        <w:trPr>
          <w:trHeight w:val="3759"/>
        </w:trPr>
        <w:tc>
          <w:tcPr>
            <w:tcW w:w="7636" w:type="dxa"/>
          </w:tcPr>
          <w:p w14:paraId="166C313D" w14:textId="77777777" w:rsidR="000E0A88" w:rsidRDefault="000E0A88" w:rsidP="00EB791D">
            <w:pPr>
              <w:rPr>
                <w:b/>
                <w:bCs/>
              </w:rPr>
            </w:pPr>
            <w:r w:rsidRPr="00044A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F09879" wp14:editId="7216432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8255</wp:posOffset>
                  </wp:positionV>
                  <wp:extent cx="4733925" cy="2372995"/>
                  <wp:effectExtent l="0" t="0" r="9525" b="825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3925" cy="237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7" w:type="dxa"/>
          </w:tcPr>
          <w:tbl>
            <w:tblPr>
              <w:tblW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470"/>
            </w:tblGrid>
            <w:tr w:rsidR="000E0A88" w:rsidRPr="00BE5431" w14:paraId="331BF5D6" w14:textId="77777777" w:rsidTr="00112894">
              <w:trPr>
                <w:trHeight w:val="89"/>
              </w:trPr>
              <w:tc>
                <w:tcPr>
                  <w:tcW w:w="895" w:type="dxa"/>
                  <w:shd w:val="clear" w:color="auto" w:fill="auto"/>
                  <w:noWrap/>
                  <w:vAlign w:val="bottom"/>
                  <w:hideMark/>
                </w:tcPr>
                <w:p w14:paraId="4FA99F2A" w14:textId="77777777" w:rsidR="000E0A88" w:rsidRPr="00112894" w:rsidRDefault="000E0A88" w:rsidP="00112894">
                  <w:pPr>
                    <w:ind w:left="108" w:hanging="108"/>
                    <w:rPr>
                      <w:rFonts w:ascii="Arial" w:hAnsi="Arial" w:cs="Arial"/>
                      <w:b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b/>
                      <w:sz w:val="16"/>
                      <w:szCs w:val="16"/>
                      <w:lang w:eastAsia="es-MX"/>
                    </w:rPr>
                    <w:t>Año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BFC54" w14:textId="77777777" w:rsidR="000E0A88" w:rsidRPr="00112894" w:rsidRDefault="000E0A88" w:rsidP="00EB791D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b/>
                      <w:sz w:val="16"/>
                      <w:szCs w:val="16"/>
                      <w:lang w:eastAsia="es-MX"/>
                    </w:rPr>
                    <w:t>Diagnosticados</w:t>
                  </w:r>
                </w:p>
              </w:tc>
            </w:tr>
            <w:tr w:rsidR="000E0A88" w:rsidRPr="00BE5431" w14:paraId="56F1FFBC" w14:textId="77777777" w:rsidTr="00112894">
              <w:trPr>
                <w:trHeight w:val="470"/>
              </w:trPr>
              <w:tc>
                <w:tcPr>
                  <w:tcW w:w="895" w:type="dxa"/>
                  <w:shd w:val="clear" w:color="auto" w:fill="auto"/>
                  <w:noWrap/>
                  <w:vAlign w:val="bottom"/>
                  <w:hideMark/>
                </w:tcPr>
                <w:p w14:paraId="52B2EBFB" w14:textId="77777777" w:rsidR="000E0A88" w:rsidRPr="00112894" w:rsidRDefault="000E0A88" w:rsidP="00EB791D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Antes de 2010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3E2D6" w14:textId="77777777" w:rsidR="000E0A88" w:rsidRPr="00112894" w:rsidRDefault="000E0A88" w:rsidP="0011289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172</w:t>
                  </w:r>
                  <w:r w:rsidR="002A603E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 xml:space="preserve"> </w:t>
                  </w: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936</w:t>
                  </w:r>
                </w:p>
              </w:tc>
            </w:tr>
            <w:tr w:rsidR="000E0A88" w:rsidRPr="00BE5431" w14:paraId="31D24FB2" w14:textId="77777777" w:rsidTr="00112894">
              <w:trPr>
                <w:trHeight w:val="99"/>
              </w:trPr>
              <w:tc>
                <w:tcPr>
                  <w:tcW w:w="895" w:type="dxa"/>
                  <w:shd w:val="clear" w:color="auto" w:fill="auto"/>
                  <w:noWrap/>
                  <w:vAlign w:val="bottom"/>
                </w:tcPr>
                <w:p w14:paraId="1CECC0E4" w14:textId="77777777" w:rsidR="000E0A88" w:rsidRPr="00112894" w:rsidRDefault="000E0A88" w:rsidP="00EB791D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bCs/>
                      <w:sz w:val="16"/>
                      <w:szCs w:val="16"/>
                      <w:lang w:eastAsia="es-MX"/>
                    </w:rPr>
                    <w:t>Total 2010-2021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41B0AC64" w14:textId="77777777" w:rsidR="000E0A88" w:rsidRPr="00112894" w:rsidRDefault="000E0A88" w:rsidP="0011289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150</w:t>
                  </w:r>
                  <w:r w:rsidR="002A603E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 xml:space="preserve"> </w:t>
                  </w: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051</w:t>
                  </w:r>
                </w:p>
              </w:tc>
            </w:tr>
            <w:tr w:rsidR="000E0A88" w:rsidRPr="00BE5431" w14:paraId="701517BF" w14:textId="77777777" w:rsidTr="00112894">
              <w:trPr>
                <w:trHeight w:val="102"/>
              </w:trPr>
              <w:tc>
                <w:tcPr>
                  <w:tcW w:w="895" w:type="dxa"/>
                  <w:shd w:val="clear" w:color="auto" w:fill="auto"/>
                  <w:noWrap/>
                  <w:vAlign w:val="bottom"/>
                </w:tcPr>
                <w:p w14:paraId="6C48318F" w14:textId="77777777" w:rsidR="000E0A88" w:rsidRPr="00112894" w:rsidRDefault="000E0A88" w:rsidP="00EB791D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Total</w:t>
                  </w:r>
                </w:p>
              </w:tc>
              <w:tc>
                <w:tcPr>
                  <w:tcW w:w="147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28A2293F" w14:textId="77777777" w:rsidR="000E0A88" w:rsidRPr="00112894" w:rsidRDefault="000E0A88" w:rsidP="0011289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322</w:t>
                  </w:r>
                  <w:r w:rsidR="002A603E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 xml:space="preserve"> </w:t>
                  </w:r>
                  <w:r w:rsidRPr="00112894"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987</w:t>
                  </w:r>
                </w:p>
              </w:tc>
            </w:tr>
          </w:tbl>
          <w:p w14:paraId="743CEDA0" w14:textId="77777777" w:rsidR="000E0A88" w:rsidRDefault="000E0A88" w:rsidP="00EB791D">
            <w:pPr>
              <w:rPr>
                <w:b/>
                <w:bCs/>
              </w:rPr>
            </w:pPr>
          </w:p>
        </w:tc>
      </w:tr>
    </w:tbl>
    <w:p w14:paraId="02CFF92B" w14:textId="77777777" w:rsidR="000E0A88" w:rsidRPr="00112894" w:rsidRDefault="000E0A88" w:rsidP="00112894">
      <w:pPr>
        <w:spacing w:after="0" w:line="240" w:lineRule="auto"/>
        <w:ind w:left="-142" w:right="-801" w:hanging="142"/>
        <w:rPr>
          <w:rFonts w:ascii="Arial" w:hAnsi="Arial" w:cs="Arial"/>
          <w:sz w:val="18"/>
          <w:szCs w:val="18"/>
          <w:lang w:eastAsia="es-MX"/>
        </w:rPr>
      </w:pPr>
      <w:r w:rsidRPr="00112894">
        <w:rPr>
          <w:rFonts w:ascii="Arial" w:hAnsi="Arial" w:cs="Arial"/>
          <w:sz w:val="18"/>
          <w:szCs w:val="18"/>
          <w:lang w:eastAsia="es-MX"/>
        </w:rPr>
        <w:t>*</w:t>
      </w:r>
      <w:r w:rsidR="00112894">
        <w:rPr>
          <w:rFonts w:ascii="Arial" w:hAnsi="Arial" w:cs="Arial"/>
          <w:sz w:val="18"/>
          <w:szCs w:val="18"/>
          <w:lang w:eastAsia="es-MX"/>
        </w:rPr>
        <w:t xml:space="preserve"> </w:t>
      </w:r>
      <w:r w:rsidRPr="00112894">
        <w:rPr>
          <w:rFonts w:ascii="Arial" w:hAnsi="Arial" w:cs="Arial"/>
          <w:sz w:val="18"/>
          <w:szCs w:val="18"/>
          <w:lang w:eastAsia="es-MX"/>
        </w:rPr>
        <w:t>Información a la semana 28 de 2021.</w:t>
      </w:r>
    </w:p>
    <w:p w14:paraId="7F96991F" w14:textId="77777777" w:rsidR="000E0A88" w:rsidRPr="00112894" w:rsidRDefault="000E0A88" w:rsidP="00112894">
      <w:pPr>
        <w:spacing w:after="0" w:line="240" w:lineRule="auto"/>
        <w:ind w:left="-142" w:right="-801" w:hanging="142"/>
        <w:rPr>
          <w:rFonts w:ascii="Arial" w:hAnsi="Arial" w:cs="Arial"/>
          <w:sz w:val="18"/>
          <w:szCs w:val="18"/>
          <w:lang w:eastAsia="es-MX"/>
        </w:rPr>
      </w:pPr>
      <w:r w:rsidRPr="00112894">
        <w:rPr>
          <w:rFonts w:ascii="Arial" w:hAnsi="Arial" w:cs="Arial"/>
          <w:sz w:val="18"/>
          <w:szCs w:val="18"/>
          <w:lang w:eastAsia="es-MX"/>
        </w:rPr>
        <w:t>** De acuerdo con lo establecido en el Manual de Procedimientos Estandarizados para la Vigilancia Epidemiológica de VIH,</w:t>
      </w:r>
    </w:p>
    <w:p w14:paraId="4F7D2470" w14:textId="77777777" w:rsidR="000E0A88" w:rsidRPr="00112894" w:rsidRDefault="000E0A88" w:rsidP="00112894">
      <w:pPr>
        <w:spacing w:after="0" w:line="240" w:lineRule="auto"/>
        <w:ind w:left="-142" w:right="-801" w:hanging="142"/>
        <w:rPr>
          <w:rFonts w:ascii="Arial" w:hAnsi="Arial" w:cs="Arial"/>
          <w:sz w:val="18"/>
          <w:szCs w:val="18"/>
          <w:lang w:eastAsia="es-MX"/>
        </w:rPr>
      </w:pPr>
      <w:r w:rsidRPr="00112894">
        <w:rPr>
          <w:rFonts w:ascii="Arial" w:hAnsi="Arial" w:cs="Arial"/>
          <w:sz w:val="18"/>
          <w:szCs w:val="18"/>
          <w:lang w:eastAsia="es-MX"/>
        </w:rPr>
        <w:t xml:space="preserve">    actualización marzo 2020 </w:t>
      </w:r>
    </w:p>
    <w:p w14:paraId="0EEBB5EE" w14:textId="77777777" w:rsidR="000E0A88" w:rsidRPr="00112894" w:rsidRDefault="000E0A88" w:rsidP="00112894">
      <w:pPr>
        <w:spacing w:after="0" w:line="240" w:lineRule="auto"/>
        <w:ind w:left="-142" w:right="-801" w:hanging="142"/>
        <w:rPr>
          <w:rFonts w:ascii="Arial" w:hAnsi="Arial" w:cs="Arial"/>
          <w:sz w:val="18"/>
          <w:szCs w:val="18"/>
          <w:lang w:eastAsia="es-MX"/>
        </w:rPr>
      </w:pPr>
      <w:r w:rsidRPr="00112894">
        <w:rPr>
          <w:rFonts w:ascii="Arial" w:hAnsi="Arial" w:cs="Arial"/>
          <w:sz w:val="18"/>
          <w:szCs w:val="18"/>
          <w:lang w:eastAsia="es-MX"/>
        </w:rPr>
        <w:t>Fuente: SSA/SUIVE/DGE/DVEET/Sistema Especial de Vigilancia Epidemiológica de VIH.</w:t>
      </w:r>
    </w:p>
    <w:p w14:paraId="03AF2BC1" w14:textId="77777777" w:rsidR="000E0A88" w:rsidRPr="00451D87" w:rsidRDefault="000E0A88" w:rsidP="00112894">
      <w:pPr>
        <w:spacing w:after="0" w:line="240" w:lineRule="auto"/>
        <w:rPr>
          <w:rFonts w:cs="Arial"/>
          <w:b/>
          <w:sz w:val="18"/>
          <w:szCs w:val="18"/>
          <w:lang w:eastAsia="es-MX"/>
        </w:rPr>
      </w:pPr>
    </w:p>
    <w:p w14:paraId="722E38BE" w14:textId="77777777" w:rsidR="000E0A88" w:rsidRPr="00112894" w:rsidRDefault="000E0A88" w:rsidP="00112894">
      <w:pPr>
        <w:spacing w:after="0" w:line="240" w:lineRule="auto"/>
        <w:ind w:left="-567" w:right="-518"/>
        <w:rPr>
          <w:rFonts w:ascii="Arial" w:hAnsi="Arial" w:cs="Arial"/>
          <w:b/>
          <w:lang w:eastAsia="es-MX"/>
        </w:rPr>
      </w:pPr>
      <w:r w:rsidRPr="00112894">
        <w:rPr>
          <w:rFonts w:ascii="Arial" w:hAnsi="Arial" w:cs="Arial"/>
          <w:b/>
          <w:lang w:eastAsia="es-MX"/>
        </w:rPr>
        <w:t>Personas en tratamiento antirretroviral</w:t>
      </w:r>
    </w:p>
    <w:p w14:paraId="7243C29D" w14:textId="77777777" w:rsidR="000E0A88" w:rsidRPr="00112894" w:rsidRDefault="000E0A88" w:rsidP="00112894">
      <w:pPr>
        <w:spacing w:after="0" w:line="240" w:lineRule="auto"/>
        <w:ind w:left="-567" w:right="-518"/>
        <w:rPr>
          <w:rFonts w:ascii="Arial" w:hAnsi="Arial" w:cs="Arial"/>
          <w:sz w:val="8"/>
          <w:szCs w:val="8"/>
          <w:lang w:eastAsia="es-MX"/>
        </w:rPr>
      </w:pPr>
    </w:p>
    <w:p w14:paraId="2C8DE8F6" w14:textId="77777777" w:rsidR="000E0A88" w:rsidRPr="00112894" w:rsidRDefault="000E0A88" w:rsidP="00112894">
      <w:pPr>
        <w:spacing w:after="0" w:line="240" w:lineRule="auto"/>
        <w:ind w:left="-567" w:right="-518"/>
        <w:rPr>
          <w:rFonts w:ascii="Arial" w:hAnsi="Arial" w:cs="Arial"/>
          <w:lang w:eastAsia="es-MX"/>
        </w:rPr>
      </w:pPr>
      <w:r w:rsidRPr="00112894">
        <w:rPr>
          <w:rFonts w:ascii="Arial" w:hAnsi="Arial" w:cs="Arial"/>
          <w:lang w:eastAsia="es-MX"/>
        </w:rPr>
        <w:t>Hasta mayo de 2021 se registraron 113</w:t>
      </w:r>
      <w:r w:rsidR="002A603E">
        <w:rPr>
          <w:rFonts w:ascii="Arial" w:hAnsi="Arial" w:cs="Arial"/>
          <w:lang w:eastAsia="es-MX"/>
        </w:rPr>
        <w:t xml:space="preserve"> </w:t>
      </w:r>
      <w:r w:rsidRPr="00112894">
        <w:rPr>
          <w:rFonts w:ascii="Arial" w:hAnsi="Arial" w:cs="Arial"/>
          <w:lang w:eastAsia="es-MX"/>
        </w:rPr>
        <w:t xml:space="preserve">788 personas en tratamiento antirretroviral (TAR) con estatus activo en la plataforma del </w:t>
      </w:r>
      <w:r w:rsidRPr="00112894">
        <w:rPr>
          <w:rFonts w:ascii="Arial" w:hAnsi="Arial" w:cs="Arial"/>
        </w:rPr>
        <w:t xml:space="preserve">Sistema de Administración, Logística y Vigilancia de Anti Retro Virales </w:t>
      </w:r>
      <w:r w:rsidR="00112894">
        <w:rPr>
          <w:rFonts w:ascii="Arial" w:hAnsi="Arial" w:cs="Arial"/>
        </w:rPr>
        <w:t>(</w:t>
      </w:r>
      <w:r w:rsidRPr="00112894">
        <w:rPr>
          <w:rFonts w:ascii="Arial" w:hAnsi="Arial" w:cs="Arial"/>
          <w:lang w:eastAsia="es-MX"/>
        </w:rPr>
        <w:t>SALVAR</w:t>
      </w:r>
      <w:r w:rsidR="00112894">
        <w:rPr>
          <w:rFonts w:ascii="Arial" w:hAnsi="Arial" w:cs="Arial"/>
          <w:lang w:eastAsia="es-MX"/>
        </w:rPr>
        <w:t>)</w:t>
      </w:r>
      <w:r w:rsidRPr="00112894">
        <w:rPr>
          <w:rFonts w:ascii="Arial" w:hAnsi="Arial" w:cs="Arial"/>
          <w:lang w:eastAsia="es-MX"/>
        </w:rPr>
        <w:t>, de la Secretaría de Salud.</w:t>
      </w:r>
    </w:p>
    <w:p w14:paraId="5B2EFCCF" w14:textId="77777777" w:rsidR="000E0A88" w:rsidRPr="00044A75" w:rsidRDefault="000E0A88" w:rsidP="00112894">
      <w:pPr>
        <w:spacing w:after="0" w:line="240" w:lineRule="auto"/>
        <w:rPr>
          <w:rFonts w:cs="Arial"/>
          <w:b/>
          <w:bCs/>
          <w:lang w:eastAsia="es-MX"/>
        </w:rPr>
      </w:pPr>
      <w:r w:rsidRPr="00044A75">
        <w:rPr>
          <w:rFonts w:cs="Arial"/>
          <w:b/>
          <w:bCs/>
          <w:lang w:eastAsia="es-MX"/>
        </w:rPr>
        <w:t>Número de personas que viven con VIH en tratamiento antirretroviral con estatus activo</w:t>
      </w:r>
      <w:r w:rsidRPr="00044A75">
        <w:rPr>
          <w:rFonts w:cs="Arial"/>
          <w:b/>
          <w:bCs/>
          <w:lang w:eastAsia="es-MX"/>
        </w:rPr>
        <w:br/>
        <w:t>2013 - 2021*</w:t>
      </w:r>
    </w:p>
    <w:p w14:paraId="34A56A11" w14:textId="77777777" w:rsidR="000E0A88" w:rsidRPr="00E2784D" w:rsidRDefault="000E0A88" w:rsidP="00112894">
      <w:pPr>
        <w:spacing w:after="0" w:line="240" w:lineRule="auto"/>
        <w:rPr>
          <w:sz w:val="8"/>
          <w:szCs w:val="10"/>
        </w:rPr>
      </w:pPr>
    </w:p>
    <w:p w14:paraId="48E2D1FC" w14:textId="77777777" w:rsidR="000E0A88" w:rsidRDefault="000E0A88" w:rsidP="000E0A88">
      <w:r w:rsidRPr="00E2784D">
        <w:rPr>
          <w:noProof/>
        </w:rPr>
        <w:drawing>
          <wp:inline distT="0" distB="0" distL="0" distR="0" wp14:anchorId="5B1B3045" wp14:editId="3D179FB5">
            <wp:extent cx="5377218" cy="238823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595" cy="241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9926" w14:textId="77777777" w:rsidR="000E0A88" w:rsidRPr="002D24BB" w:rsidRDefault="000E0A88" w:rsidP="000E0A88">
      <w:pPr>
        <w:rPr>
          <w:rFonts w:ascii="Arial" w:hAnsi="Arial" w:cs="Arial"/>
          <w:sz w:val="16"/>
          <w:szCs w:val="16"/>
        </w:rPr>
      </w:pPr>
      <w:r w:rsidRPr="002D24BB">
        <w:rPr>
          <w:rFonts w:ascii="Arial" w:hAnsi="Arial" w:cs="Arial"/>
          <w:sz w:val="16"/>
          <w:szCs w:val="16"/>
        </w:rPr>
        <w:t>Fuente:  Boletín de Atención Integral a personas que viven con VIH. VOLUMEN 7, N. 3/ SEPTIEMBRE 202. Sistema de Administración, Logística y Vigilancia de Anti Retro Virales (SALVAR)</w:t>
      </w:r>
    </w:p>
    <w:p w14:paraId="1F661029" w14:textId="77777777" w:rsidR="000E0A88" w:rsidRDefault="002A603E" w:rsidP="00C20739">
      <w:pPr>
        <w:ind w:left="-425" w:right="-516"/>
        <w:contextualSpacing/>
        <w:jc w:val="center"/>
      </w:pPr>
      <w:r w:rsidRPr="00FF1218">
        <w:rPr>
          <w:noProof/>
          <w:lang w:eastAsia="es-MX"/>
        </w:rPr>
        <w:drawing>
          <wp:inline distT="0" distB="0" distL="0" distR="0" wp14:anchorId="4E56B806" wp14:editId="6FDE8CC7">
            <wp:extent cx="190500" cy="191412"/>
            <wp:effectExtent l="0" t="0" r="0" b="0"/>
            <wp:docPr id="4" name="Imagen 4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39" cy="19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7CB9CE3" wp14:editId="694E8E33">
            <wp:extent cx="184150" cy="184150"/>
            <wp:effectExtent l="0" t="0" r="6350" b="6350"/>
            <wp:docPr id="14" name="Imagen 14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5" cy="1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05B21D49" wp14:editId="1D1A3C6F">
            <wp:extent cx="196850" cy="196850"/>
            <wp:effectExtent l="0" t="0" r="0" b="0"/>
            <wp:docPr id="16" name="Imagen 16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4" cy="20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28D29AC" wp14:editId="4C845991">
            <wp:extent cx="194807" cy="194807"/>
            <wp:effectExtent l="0" t="0" r="0" b="0"/>
            <wp:docPr id="17" name="Imagen 17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3" cy="20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0C6CDE5B" wp14:editId="479AF1E5">
            <wp:extent cx="1590261" cy="190831"/>
            <wp:effectExtent l="0" t="0" r="0" b="0"/>
            <wp:docPr id="30" name="Imagen 3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43" cy="20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A88" w:rsidSect="002A603E">
      <w:headerReference w:type="default" r:id="rId25"/>
      <w:footerReference w:type="default" r:id="rId26"/>
      <w:pgSz w:w="12240" w:h="15840"/>
      <w:pgMar w:top="864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7F85" w14:textId="77777777" w:rsidR="00852244" w:rsidRDefault="00852244" w:rsidP="000E0A88">
      <w:pPr>
        <w:spacing w:after="0" w:line="240" w:lineRule="auto"/>
      </w:pPr>
      <w:r>
        <w:separator/>
      </w:r>
    </w:p>
  </w:endnote>
  <w:endnote w:type="continuationSeparator" w:id="0">
    <w:p w14:paraId="11AD21C2" w14:textId="77777777" w:rsidR="00852244" w:rsidRDefault="00852244" w:rsidP="000E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88A1" w14:textId="77777777" w:rsidR="000E0A88" w:rsidRPr="000E0A88" w:rsidRDefault="000E0A88" w:rsidP="000E0A88">
    <w:pPr>
      <w:pStyle w:val="Piedepgina"/>
      <w:tabs>
        <w:tab w:val="clear" w:pos="4419"/>
        <w:tab w:val="clear" w:pos="8838"/>
      </w:tabs>
      <w:ind w:left="-567" w:right="-518"/>
      <w:jc w:val="center"/>
      <w:rPr>
        <w:b/>
        <w:color w:val="002060"/>
        <w:sz w:val="20"/>
        <w:szCs w:val="20"/>
      </w:rPr>
    </w:pPr>
    <w:r w:rsidRPr="000E0A88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2635" w14:textId="77777777" w:rsidR="00852244" w:rsidRDefault="00852244" w:rsidP="000E0A88">
      <w:pPr>
        <w:spacing w:after="0" w:line="240" w:lineRule="auto"/>
      </w:pPr>
      <w:r>
        <w:separator/>
      </w:r>
    </w:p>
  </w:footnote>
  <w:footnote w:type="continuationSeparator" w:id="0">
    <w:p w14:paraId="34D8CFB0" w14:textId="77777777" w:rsidR="00852244" w:rsidRDefault="00852244" w:rsidP="000E0A88">
      <w:pPr>
        <w:spacing w:after="0" w:line="240" w:lineRule="auto"/>
      </w:pPr>
      <w:r>
        <w:continuationSeparator/>
      </w:r>
    </w:p>
  </w:footnote>
  <w:footnote w:id="1">
    <w:p w14:paraId="52B1AA8F" w14:textId="77777777" w:rsidR="000E0A88" w:rsidRPr="00593FD6" w:rsidRDefault="000E0A88" w:rsidP="00C20739">
      <w:pPr>
        <w:pStyle w:val="Textonotapie"/>
        <w:ind w:left="-567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96C2B">
        <w:rPr>
          <w:sz w:val="16"/>
          <w:szCs w:val="16"/>
        </w:rPr>
        <w:t>Estadísticas mundiales sobre el VIH ONUSIDA</w:t>
      </w:r>
      <w:r>
        <w:t xml:space="preserve"> </w:t>
      </w:r>
      <w:hyperlink r:id="rId1" w:history="1">
        <w:r w:rsidRPr="00096C2B">
          <w:rPr>
            <w:rStyle w:val="Hipervnculo"/>
            <w:sz w:val="16"/>
            <w:szCs w:val="16"/>
          </w:rPr>
          <w:t>https://www.unaids.org/es/resources/fact-sheet</w:t>
        </w:r>
      </w:hyperlink>
      <w:r>
        <w:t xml:space="preserve"> </w:t>
      </w:r>
    </w:p>
  </w:footnote>
  <w:footnote w:id="2">
    <w:p w14:paraId="04E91568" w14:textId="77777777" w:rsidR="000E0A88" w:rsidRPr="00E85DB6" w:rsidRDefault="000E0A88" w:rsidP="002A603E">
      <w:pPr>
        <w:pStyle w:val="Textonotapie"/>
        <w:ind w:left="-426" w:right="-518" w:hanging="141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85DB6">
        <w:rPr>
          <w:sz w:val="16"/>
          <w:szCs w:val="16"/>
        </w:rPr>
        <w:t>Centro Nacional para la Prevención y el Control del VIH/SIDA. Prácticas sexuales de las poblaciones vulnerables a la epidemia de VIH/SIDA en México. https://www.gob.mx/cms/uploads/attachment/file/58498/practicas_sexuales.pdf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9011" w14:textId="77777777" w:rsidR="000E0A88" w:rsidRPr="005C2ACA" w:rsidRDefault="000E0A88" w:rsidP="000E0A88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sz w:val="24"/>
        <w:szCs w:val="24"/>
      </w:rPr>
    </w:pPr>
    <w:r w:rsidRPr="005C2ACA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</w:rPr>
      <w:t>69</w:t>
    </w:r>
    <w:r w:rsidR="002D24BB">
      <w:rPr>
        <w:rFonts w:ascii="Arial" w:hAnsi="Arial" w:cs="Arial"/>
        <w:b/>
        <w:color w:val="002060"/>
        <w:sz w:val="24"/>
        <w:szCs w:val="24"/>
      </w:rPr>
      <w:t>8</w:t>
    </w:r>
    <w:r w:rsidRPr="005C2ACA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21</w:t>
    </w:r>
  </w:p>
  <w:p w14:paraId="7AC78B27" w14:textId="77777777" w:rsidR="000E0A88" w:rsidRPr="005C2ACA" w:rsidRDefault="000E0A88" w:rsidP="000E0A88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29 </w:t>
    </w:r>
    <w:r w:rsidRPr="005C2ACA">
      <w:rPr>
        <w:rFonts w:ascii="Arial" w:hAnsi="Arial" w:cs="Arial"/>
        <w:b/>
        <w:color w:val="002060"/>
        <w:sz w:val="24"/>
        <w:szCs w:val="24"/>
        <w:lang w:val="pt-BR"/>
      </w:rPr>
      <w:t xml:space="preserve">DE </w:t>
    </w:r>
    <w:r>
      <w:rPr>
        <w:rFonts w:ascii="Arial" w:hAnsi="Arial" w:cs="Arial"/>
        <w:b/>
        <w:color w:val="002060"/>
        <w:sz w:val="24"/>
        <w:szCs w:val="24"/>
        <w:lang w:val="pt-BR"/>
      </w:rPr>
      <w:t xml:space="preserve">NOVIEMBRE </w:t>
    </w:r>
    <w:r w:rsidRPr="005C2ACA">
      <w:rPr>
        <w:rFonts w:ascii="Arial" w:hAnsi="Arial" w:cs="Arial"/>
        <w:b/>
        <w:color w:val="002060"/>
        <w:sz w:val="24"/>
        <w:szCs w:val="24"/>
        <w:lang w:val="pt-BR"/>
      </w:rPr>
      <w:t>DE 20</w:t>
    </w:r>
    <w:r>
      <w:rPr>
        <w:rFonts w:ascii="Arial" w:hAnsi="Arial" w:cs="Arial"/>
        <w:b/>
        <w:color w:val="002060"/>
        <w:sz w:val="24"/>
        <w:szCs w:val="24"/>
        <w:lang w:val="pt-BR"/>
      </w:rPr>
      <w:t>21</w:t>
    </w:r>
  </w:p>
  <w:p w14:paraId="54325319" w14:textId="77777777" w:rsidR="000E0A88" w:rsidRPr="005C2ACA" w:rsidRDefault="000E0A88" w:rsidP="000E0A88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5C2ACA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5C2ACA">
      <w:rPr>
        <w:rFonts w:ascii="Arial" w:hAnsi="Arial" w:cs="Arial"/>
        <w:b/>
        <w:color w:val="002060"/>
        <w:sz w:val="24"/>
        <w:szCs w:val="24"/>
      </w:rPr>
      <w:fldChar w:fldCharType="begin"/>
    </w:r>
    <w:r w:rsidRPr="005C2ACA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5C2ACA">
      <w:rPr>
        <w:rFonts w:ascii="Arial" w:hAnsi="Arial" w:cs="Arial"/>
        <w:color w:val="002060"/>
        <w:sz w:val="24"/>
        <w:szCs w:val="24"/>
      </w:rPr>
      <w:fldChar w:fldCharType="separate"/>
    </w:r>
    <w:r>
      <w:rPr>
        <w:rFonts w:cs="Arial"/>
        <w:color w:val="002060"/>
        <w:sz w:val="24"/>
      </w:rPr>
      <w:t>1</w:t>
    </w:r>
    <w:r w:rsidRPr="005C2ACA">
      <w:rPr>
        <w:rFonts w:ascii="Arial" w:hAnsi="Arial" w:cs="Arial"/>
        <w:color w:val="002060"/>
        <w:sz w:val="24"/>
        <w:szCs w:val="24"/>
      </w:rPr>
      <w:fldChar w:fldCharType="end"/>
    </w:r>
    <w:r w:rsidRPr="005C2ACA">
      <w:rPr>
        <w:rFonts w:ascii="Arial" w:hAnsi="Arial" w:cs="Arial"/>
        <w:b/>
        <w:color w:val="002060"/>
        <w:sz w:val="24"/>
        <w:szCs w:val="24"/>
        <w:lang w:val="pt-BR"/>
      </w:rPr>
      <w:t>/</w:t>
    </w:r>
    <w:r>
      <w:rPr>
        <w:rFonts w:ascii="Arial" w:hAnsi="Arial" w:cs="Arial"/>
        <w:b/>
        <w:color w:val="002060"/>
        <w:sz w:val="24"/>
        <w:szCs w:val="24"/>
        <w:lang w:val="pt-BR"/>
      </w:rPr>
      <w:t>5</w:t>
    </w:r>
  </w:p>
  <w:p w14:paraId="29AAD0B5" w14:textId="77777777" w:rsidR="000E0A88" w:rsidRDefault="000E0A88" w:rsidP="000E0A88">
    <w:pPr>
      <w:pStyle w:val="Encabezado"/>
      <w:ind w:left="-567"/>
    </w:pPr>
    <w:r>
      <w:rPr>
        <w:noProof/>
        <w:lang w:eastAsia="es-MX"/>
      </w:rPr>
      <w:drawing>
        <wp:inline distT="0" distB="0" distL="0" distR="0" wp14:anchorId="7133A8E3" wp14:editId="65E30E8A">
          <wp:extent cx="687736" cy="714375"/>
          <wp:effectExtent l="0" t="0" r="0" b="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1" cy="74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57571" w14:textId="77777777" w:rsidR="00112894" w:rsidRDefault="00112894" w:rsidP="000E0A8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308"/>
    <w:multiLevelType w:val="hybridMultilevel"/>
    <w:tmpl w:val="83B64D2C"/>
    <w:lvl w:ilvl="0" w:tplc="00C84C0A">
      <w:start w:val="1"/>
      <w:numFmt w:val="bullet"/>
      <w:pStyle w:val="3Vieta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88"/>
    <w:rsid w:val="000A1C8D"/>
    <w:rsid w:val="000E0A88"/>
    <w:rsid w:val="00112894"/>
    <w:rsid w:val="002A603E"/>
    <w:rsid w:val="002D24BB"/>
    <w:rsid w:val="003E0638"/>
    <w:rsid w:val="006B68F2"/>
    <w:rsid w:val="00841670"/>
    <w:rsid w:val="00852244"/>
    <w:rsid w:val="00C20739"/>
    <w:rsid w:val="00D7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2CBFA"/>
  <w15:chartTrackingRefBased/>
  <w15:docId w15:val="{A439256A-AEC6-405C-8317-E3350661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Vietas1">
    <w:name w:val="3_Viñetas_1"/>
    <w:basedOn w:val="Normal"/>
    <w:link w:val="3Vietas1Car"/>
    <w:qFormat/>
    <w:rsid w:val="000E0A88"/>
    <w:pPr>
      <w:numPr>
        <w:numId w:val="1"/>
      </w:numPr>
      <w:spacing w:after="0" w:line="240" w:lineRule="auto"/>
      <w:ind w:left="568" w:hanging="284"/>
      <w:jc w:val="both"/>
    </w:pPr>
    <w:rPr>
      <w:rFonts w:ascii="Arial" w:eastAsia="Times New Roman" w:hAnsi="Arial" w:cs="Arial"/>
      <w:bCs/>
      <w:szCs w:val="24"/>
      <w:lang w:val="es-ES" w:eastAsia="es-ES"/>
    </w:rPr>
  </w:style>
  <w:style w:type="character" w:customStyle="1" w:styleId="3Vietas1Car">
    <w:name w:val="3_Viñetas_1 Car"/>
    <w:basedOn w:val="Fuentedeprrafopredeter"/>
    <w:link w:val="3Vietas1"/>
    <w:rsid w:val="000E0A88"/>
    <w:rPr>
      <w:rFonts w:ascii="Arial" w:eastAsia="Times New Roman" w:hAnsi="Arial" w:cs="Arial"/>
      <w:bCs/>
      <w:szCs w:val="24"/>
      <w:lang w:val="es-ES" w:eastAsia="es-ES"/>
    </w:rPr>
  </w:style>
  <w:style w:type="paragraph" w:customStyle="1" w:styleId="1Ttulos">
    <w:name w:val="1_Títulos"/>
    <w:basedOn w:val="Normal"/>
    <w:next w:val="Normal"/>
    <w:link w:val="1TtulosCar"/>
    <w:qFormat/>
    <w:rsid w:val="000E0A8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shd w:val="clear" w:color="FFFFFF" w:fill="FFFFFF"/>
      <w:lang w:val="es-ES" w:eastAsia="es-ES"/>
    </w:rPr>
  </w:style>
  <w:style w:type="character" w:customStyle="1" w:styleId="1TtulosCar">
    <w:name w:val="1_Títulos Car"/>
    <w:link w:val="1Ttulos"/>
    <w:rsid w:val="000E0A88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E0A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0A8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0A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0A8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A88"/>
    <w:rPr>
      <w:rFonts w:ascii="Arial" w:eastAsia="Times New Roman" w:hAnsi="Arial" w:cs="Times New Roman"/>
      <w:szCs w:val="24"/>
      <w:lang w:val="es-ES" w:eastAsia="es-ES"/>
    </w:rPr>
  </w:style>
  <w:style w:type="paragraph" w:customStyle="1" w:styleId="AEncabezado">
    <w:name w:val="A_Encabezado"/>
    <w:basedOn w:val="Normal"/>
    <w:link w:val="AEncabezadoCar"/>
    <w:qFormat/>
    <w:rsid w:val="000E0A88"/>
    <w:pPr>
      <w:spacing w:after="0" w:line="240" w:lineRule="auto"/>
      <w:ind w:right="51"/>
      <w:jc w:val="right"/>
    </w:pPr>
    <w:rPr>
      <w:rFonts w:ascii="Arial" w:eastAsia="Times New Roman" w:hAnsi="Arial" w:cs="Arial"/>
      <w:b/>
      <w:noProof/>
      <w:color w:val="002060"/>
      <w:sz w:val="24"/>
      <w:szCs w:val="24"/>
      <w:lang w:eastAsia="es-MX"/>
    </w:rPr>
  </w:style>
  <w:style w:type="character" w:customStyle="1" w:styleId="AEncabezadoCar">
    <w:name w:val="A_Encabezado Car"/>
    <w:basedOn w:val="Fuentedeprrafopredeter"/>
    <w:link w:val="AEncabezado"/>
    <w:rsid w:val="000E0A88"/>
    <w:rPr>
      <w:rFonts w:ascii="Arial" w:eastAsia="Times New Roman" w:hAnsi="Arial" w:cs="Arial"/>
      <w:b/>
      <w:noProof/>
      <w:color w:val="002060"/>
      <w:sz w:val="24"/>
      <w:szCs w:val="24"/>
      <w:lang w:eastAsia="es-MX"/>
    </w:rPr>
  </w:style>
  <w:style w:type="paragraph" w:customStyle="1" w:styleId="BPiedepgina">
    <w:name w:val="B_Pie de página"/>
    <w:basedOn w:val="Normal"/>
    <w:qFormat/>
    <w:rsid w:val="000E0A88"/>
    <w:pPr>
      <w:spacing w:after="0" w:line="240" w:lineRule="auto"/>
      <w:jc w:val="center"/>
    </w:pPr>
    <w:rPr>
      <w:rFonts w:ascii="Arial" w:eastAsia="Times New Roman" w:hAnsi="Arial" w:cs="Times New Roman"/>
      <w:b/>
      <w:color w:val="002060"/>
      <w:sz w:val="20"/>
      <w:szCs w:val="20"/>
      <w:lang w:val="es-ES" w:eastAsia="es-ES"/>
    </w:rPr>
  </w:style>
  <w:style w:type="paragraph" w:customStyle="1" w:styleId="4PrrafoJustificado">
    <w:name w:val="4_Párrafo_Justificado"/>
    <w:basedOn w:val="Normal"/>
    <w:qFormat/>
    <w:rsid w:val="000E0A8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E0A8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E0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0A88"/>
  </w:style>
  <w:style w:type="paragraph" w:customStyle="1" w:styleId="5TCuadrosGrficas">
    <w:name w:val="5_T_Cuadros_Gráficas"/>
    <w:basedOn w:val="Normal"/>
    <w:link w:val="5TCuadrosGrficasCar"/>
    <w:qFormat/>
    <w:rsid w:val="000E0A88"/>
    <w:pPr>
      <w:spacing w:after="0" w:line="240" w:lineRule="auto"/>
      <w:ind w:left="851" w:right="851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5TCuadrosGrficasCar">
    <w:name w:val="5_T_Cuadros_Gráficas Car"/>
    <w:basedOn w:val="Fuentedeprrafopredeter"/>
    <w:link w:val="5TCuadrosGrficas"/>
    <w:rsid w:val="000E0A88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7cFuente">
    <w:name w:val="7c_Fuente"/>
    <w:basedOn w:val="Normal"/>
    <w:link w:val="7cFuenteCar"/>
    <w:qFormat/>
    <w:rsid w:val="000E0A88"/>
    <w:pPr>
      <w:autoSpaceDE w:val="0"/>
      <w:autoSpaceDN w:val="0"/>
      <w:spacing w:after="0" w:line="240" w:lineRule="auto"/>
      <w:ind w:left="1446" w:right="851" w:hanging="595"/>
      <w:jc w:val="both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7cFuenteCar">
    <w:name w:val="7c_Fuente Car"/>
    <w:basedOn w:val="Fuentedeprrafopredeter"/>
    <w:link w:val="7cFuente"/>
    <w:rsid w:val="000E0A88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7aNota">
    <w:name w:val="7a_Nota"/>
    <w:basedOn w:val="7cFuente"/>
    <w:link w:val="7aNotaCar"/>
    <w:qFormat/>
    <w:rsid w:val="000E0A88"/>
    <w:pPr>
      <w:spacing w:before="60"/>
      <w:ind w:left="1276" w:hanging="425"/>
    </w:pPr>
  </w:style>
  <w:style w:type="character" w:customStyle="1" w:styleId="7aNotaCar">
    <w:name w:val="7a_Nota Car"/>
    <w:basedOn w:val="7cFuenteCar"/>
    <w:link w:val="7aNota"/>
    <w:rsid w:val="000E0A88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0ColocarCyG">
    <w:name w:val="0_Colocar CyG"/>
    <w:basedOn w:val="5TCuadrosGrficas"/>
    <w:qFormat/>
    <w:rsid w:val="000E0A88"/>
    <w:pPr>
      <w:spacing w:before="120" w:after="120"/>
      <w:jc w:val="center"/>
    </w:pPr>
  </w:style>
  <w:style w:type="table" w:styleId="Tablaconcuadrcula">
    <w:name w:val="Table Grid"/>
    <w:basedOn w:val="Tablanormal"/>
    <w:uiPriority w:val="59"/>
    <w:rsid w:val="000E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emf"/><Relationship Id="rId18" Type="http://schemas.openxmlformats.org/officeDocument/2006/relationships/image" Target="media/image7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emf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aids.org/es/resources/fact-she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.%20Archivos%202021\2.%20Boletines\30.%20D&#237;a%20Mundial%20de%20la%20Lucha%20contra%20el%20VHI%20SIDA\Datos_Boletin_Sida_2021_10nov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21\Productos\Boletines\Sida\Datos_Boletin_Sida_2021_9Nov21_Graf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'G2_Gpos edad_DGARAS'!$C$78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'G2_Gpos edad_DGARAS'!$B$79:$B$83</c:f>
              <c:strCache>
                <c:ptCount val="5"/>
                <c:pt idx="0">
                  <c:v>0 a 14 años</c:v>
                </c:pt>
                <c:pt idx="1">
                  <c:v>15 a 29 años</c:v>
                </c:pt>
                <c:pt idx="2">
                  <c:v>30 a 44 años</c:v>
                </c:pt>
                <c:pt idx="3">
                  <c:v>45 a 59 años</c:v>
                </c:pt>
                <c:pt idx="4">
                  <c:v>60 y más años</c:v>
                </c:pt>
              </c:strCache>
            </c:strRef>
          </c:cat>
          <c:val>
            <c:numRef>
              <c:f>'G2_Gpos edad_DGARAS'!$C$79:$C$83</c:f>
              <c:numCache>
                <c:formatCode>General</c:formatCode>
                <c:ptCount val="5"/>
                <c:pt idx="0">
                  <c:v>22</c:v>
                </c:pt>
                <c:pt idx="1">
                  <c:v>787</c:v>
                </c:pt>
                <c:pt idx="2" formatCode="#,##0">
                  <c:v>1718</c:v>
                </c:pt>
                <c:pt idx="3">
                  <c:v>955</c:v>
                </c:pt>
                <c:pt idx="4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9C-4275-9B13-7EDEB5C75E98}"/>
            </c:ext>
          </c:extLst>
        </c:ser>
        <c:ser>
          <c:idx val="1"/>
          <c:order val="1"/>
          <c:tx>
            <c:strRef>
              <c:f>'G2_Gpos edad_DGARAS'!$D$78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'G2_Gpos edad_DGARAS'!$B$79:$B$83</c:f>
              <c:strCache>
                <c:ptCount val="5"/>
                <c:pt idx="0">
                  <c:v>0 a 14 años</c:v>
                </c:pt>
                <c:pt idx="1">
                  <c:v>15 a 29 años</c:v>
                </c:pt>
                <c:pt idx="2">
                  <c:v>30 a 44 años</c:v>
                </c:pt>
                <c:pt idx="3">
                  <c:v>45 a 59 años</c:v>
                </c:pt>
                <c:pt idx="4">
                  <c:v>60 y más años</c:v>
                </c:pt>
              </c:strCache>
            </c:strRef>
          </c:cat>
          <c:val>
            <c:numRef>
              <c:f>'G2_Gpos edad_DGARAS'!$D$79:$D$83</c:f>
              <c:numCache>
                <c:formatCode>General</c:formatCode>
                <c:ptCount val="5"/>
                <c:pt idx="0">
                  <c:v>13</c:v>
                </c:pt>
                <c:pt idx="1">
                  <c:v>112</c:v>
                </c:pt>
                <c:pt idx="2">
                  <c:v>337</c:v>
                </c:pt>
                <c:pt idx="3">
                  <c:v>199</c:v>
                </c:pt>
                <c:pt idx="4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9C-4275-9B13-7EDEB5C75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4"/>
        <c:axId val="1081110431"/>
        <c:axId val="969494319"/>
      </c:barChart>
      <c:catAx>
        <c:axId val="1081110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69494319"/>
        <c:crosses val="autoZero"/>
        <c:auto val="1"/>
        <c:lblAlgn val="ctr"/>
        <c:lblOffset val="100"/>
        <c:noMultiLvlLbl val="0"/>
      </c:catAx>
      <c:valAx>
        <c:axId val="96949431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81110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288542833187734E-2"/>
          <c:y val="1.1347517730496455E-2"/>
          <c:w val="0.97440371840499074"/>
          <c:h val="0.762586299192084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'G5_Sit Conyugal'!$L$8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'G5_Sit Conyugal'!$J$9:$J$14</c:f>
              <c:strCache>
                <c:ptCount val="6"/>
                <c:pt idx="0">
                  <c:v>Soltera</c:v>
                </c:pt>
                <c:pt idx="1">
                  <c:v>Casada</c:v>
                </c:pt>
                <c:pt idx="2">
                  <c:v>Unión libre</c:v>
                </c:pt>
                <c:pt idx="3">
                  <c:v>Separada</c:v>
                </c:pt>
                <c:pt idx="4">
                  <c:v>Divorciada</c:v>
                </c:pt>
                <c:pt idx="5">
                  <c:v>Viuda</c:v>
                </c:pt>
              </c:strCache>
            </c:strRef>
          </c:cat>
          <c:val>
            <c:numRef>
              <c:f>'G5_Sit Conyugal'!$L$9:$L$14</c:f>
              <c:numCache>
                <c:formatCode>0</c:formatCode>
                <c:ptCount val="6"/>
                <c:pt idx="0">
                  <c:v>63</c:v>
                </c:pt>
                <c:pt idx="1">
                  <c:v>14</c:v>
                </c:pt>
                <c:pt idx="2">
                  <c:v>11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DB-455C-B8BB-4117A27FE905}"/>
            </c:ext>
          </c:extLst>
        </c:ser>
        <c:ser>
          <c:idx val="1"/>
          <c:order val="1"/>
          <c:tx>
            <c:strRef>
              <c:f>'G5_Sit Conyugal'!$M$8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'G5_Sit Conyugal'!$J$9:$J$14</c:f>
              <c:strCache>
                <c:ptCount val="6"/>
                <c:pt idx="0">
                  <c:v>Soltera</c:v>
                </c:pt>
                <c:pt idx="1">
                  <c:v>Casada</c:v>
                </c:pt>
                <c:pt idx="2">
                  <c:v>Unión libre</c:v>
                </c:pt>
                <c:pt idx="3">
                  <c:v>Separada</c:v>
                </c:pt>
                <c:pt idx="4">
                  <c:v>Divorciada</c:v>
                </c:pt>
                <c:pt idx="5">
                  <c:v>Viuda</c:v>
                </c:pt>
              </c:strCache>
            </c:strRef>
          </c:cat>
          <c:val>
            <c:numRef>
              <c:f>'G5_Sit Conyugal'!$M$9:$M$14</c:f>
              <c:numCache>
                <c:formatCode>0</c:formatCode>
                <c:ptCount val="6"/>
                <c:pt idx="0">
                  <c:v>41</c:v>
                </c:pt>
                <c:pt idx="1">
                  <c:v>15</c:v>
                </c:pt>
                <c:pt idx="2">
                  <c:v>18</c:v>
                </c:pt>
                <c:pt idx="3">
                  <c:v>4</c:v>
                </c:pt>
                <c:pt idx="4">
                  <c:v>3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DB-455C-B8BB-4117A27FE9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342618528"/>
        <c:axId val="397892592"/>
      </c:barChart>
      <c:catAx>
        <c:axId val="34261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7892592"/>
        <c:crosses val="autoZero"/>
        <c:auto val="1"/>
        <c:lblAlgn val="ctr"/>
        <c:lblOffset val="100"/>
        <c:noMultiLvlLbl val="0"/>
      </c:catAx>
      <c:valAx>
        <c:axId val="397892592"/>
        <c:scaling>
          <c:orientation val="minMax"/>
          <c:max val="75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34261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243162510010432"/>
          <c:y val="0.90478635453005984"/>
          <c:w val="0.5830248465322444"/>
          <c:h val="9.0493773384709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4B8A-8884-4BAD-B6B8-E05A244F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dcterms:created xsi:type="dcterms:W3CDTF">2021-11-29T15:26:00Z</dcterms:created>
  <dcterms:modified xsi:type="dcterms:W3CDTF">2021-11-29T15:26:00Z</dcterms:modified>
</cp:coreProperties>
</file>