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1334" w14:textId="3C4D812C" w:rsidR="006B0515" w:rsidRDefault="006B0515" w:rsidP="00185B82">
      <w:pPr>
        <w:pStyle w:val="Encabezado"/>
        <w:ind w:left="-567"/>
        <w:jc w:val="center"/>
        <w:rPr>
          <w:rFonts w:cs="Arial"/>
          <w:b/>
          <w:bCs/>
          <w:color w:val="000000" w:themeColor="text1"/>
          <w:sz w:val="24"/>
          <w:lang w:val="es-MX"/>
        </w:rPr>
      </w:pPr>
      <w:r w:rsidRPr="003B6056">
        <w:rPr>
          <w:rFonts w:cs="Arial"/>
          <w:b/>
          <w:bCs/>
          <w:color w:val="000000" w:themeColor="text1"/>
          <w:sz w:val="24"/>
          <w:lang w:val="es-MX"/>
        </w:rPr>
        <w:t>ESTADÍSTICAS A PROPÓSITO DEL DÍA DE</w:t>
      </w:r>
      <w:r>
        <w:rPr>
          <w:rFonts w:cs="Arial"/>
          <w:b/>
          <w:bCs/>
          <w:color w:val="000000" w:themeColor="text1"/>
          <w:sz w:val="24"/>
          <w:lang w:val="es-MX"/>
        </w:rPr>
        <w:t xml:space="preserve"> </w:t>
      </w:r>
      <w:r w:rsidRPr="003B6056">
        <w:rPr>
          <w:rFonts w:cs="Arial"/>
          <w:b/>
          <w:bCs/>
          <w:color w:val="000000" w:themeColor="text1"/>
          <w:sz w:val="24"/>
          <w:lang w:val="es-MX"/>
        </w:rPr>
        <w:t>L</w:t>
      </w:r>
      <w:r>
        <w:rPr>
          <w:rFonts w:cs="Arial"/>
          <w:b/>
          <w:bCs/>
          <w:color w:val="000000" w:themeColor="text1"/>
          <w:sz w:val="24"/>
          <w:lang w:val="es-MX"/>
        </w:rPr>
        <w:t>A</w:t>
      </w:r>
      <w:r w:rsidRPr="003B6056">
        <w:rPr>
          <w:rFonts w:cs="Arial"/>
          <w:b/>
          <w:bCs/>
          <w:color w:val="000000" w:themeColor="text1"/>
          <w:sz w:val="24"/>
          <w:lang w:val="es-MX"/>
        </w:rPr>
        <w:t xml:space="preserve"> </w:t>
      </w:r>
      <w:r>
        <w:rPr>
          <w:rFonts w:cs="Arial"/>
          <w:b/>
          <w:bCs/>
          <w:color w:val="000000" w:themeColor="text1"/>
          <w:sz w:val="24"/>
          <w:lang w:val="es-MX"/>
        </w:rPr>
        <w:t>MADRE</w:t>
      </w:r>
      <w:r w:rsidR="00C23075">
        <w:rPr>
          <w:rStyle w:val="Refdenotaalpie"/>
          <w:rFonts w:cs="Arial"/>
          <w:b/>
          <w:bCs/>
          <w:color w:val="000000" w:themeColor="text1"/>
          <w:sz w:val="24"/>
          <w:lang w:val="es-MX"/>
        </w:rPr>
        <w:footnoteReference w:id="1"/>
      </w:r>
    </w:p>
    <w:p w14:paraId="4BB9B27E" w14:textId="5E90C0BE" w:rsidR="00185B82" w:rsidRPr="003B6056" w:rsidRDefault="00185B82" w:rsidP="00185B82">
      <w:pPr>
        <w:pStyle w:val="Encabezado"/>
        <w:ind w:left="-567"/>
        <w:jc w:val="center"/>
        <w:rPr>
          <w:rFonts w:cs="Arial"/>
          <w:b/>
          <w:bCs/>
          <w:color w:val="000000" w:themeColor="text1"/>
          <w:sz w:val="24"/>
          <w:lang w:val="es-MX"/>
        </w:rPr>
      </w:pPr>
      <w:r>
        <w:rPr>
          <w:rFonts w:cs="Arial"/>
          <w:b/>
          <w:bCs/>
          <w:color w:val="000000" w:themeColor="text1"/>
          <w:sz w:val="24"/>
          <w:lang w:val="es-MX"/>
        </w:rPr>
        <w:t>(10 DE MAYO)</w:t>
      </w:r>
    </w:p>
    <w:p w14:paraId="78F29E39" w14:textId="77777777" w:rsidR="006B0515" w:rsidRPr="003B6056" w:rsidRDefault="006B0515" w:rsidP="006B0515">
      <w:pPr>
        <w:spacing w:before="120" w:line="276" w:lineRule="auto"/>
        <w:jc w:val="center"/>
        <w:rPr>
          <w:rFonts w:cs="Arial"/>
          <w:bCs/>
          <w:sz w:val="2"/>
          <w:szCs w:val="2"/>
        </w:rPr>
      </w:pPr>
    </w:p>
    <w:p w14:paraId="0EACF688" w14:textId="7F8ADC37" w:rsidR="006B0515" w:rsidRPr="00185B82" w:rsidRDefault="006B0515" w:rsidP="00543C17">
      <w:pPr>
        <w:pStyle w:val="Textoindependiente"/>
        <w:numPr>
          <w:ilvl w:val="0"/>
          <w:numId w:val="1"/>
        </w:numPr>
        <w:autoSpaceDE w:val="0"/>
        <w:autoSpaceDN w:val="0"/>
        <w:adjustRightInd w:val="0"/>
        <w:ind w:left="-142" w:right="108"/>
        <w:rPr>
          <w:szCs w:val="22"/>
        </w:rPr>
      </w:pPr>
      <w:bookmarkStart w:id="0" w:name="_Hlk58484744"/>
      <w:r w:rsidRPr="00185B82">
        <w:rPr>
          <w:szCs w:val="22"/>
        </w:rPr>
        <w:t xml:space="preserve">En 2020, siete de cada </w:t>
      </w:r>
      <w:r w:rsidR="006F4B44" w:rsidRPr="00185B82">
        <w:rPr>
          <w:szCs w:val="22"/>
        </w:rPr>
        <w:t xml:space="preserve">10 </w:t>
      </w:r>
      <w:r w:rsidRPr="00185B82">
        <w:rPr>
          <w:szCs w:val="22"/>
        </w:rPr>
        <w:t>mujeres de 15 años y más han tenido al menos un hijo nacido vivo</w:t>
      </w:r>
      <w:r w:rsidR="001D0AE0" w:rsidRPr="00185B82">
        <w:rPr>
          <w:szCs w:val="22"/>
        </w:rPr>
        <w:t xml:space="preserve"> (72</w:t>
      </w:r>
      <w:r w:rsidR="0037502A" w:rsidRPr="00185B82">
        <w:rPr>
          <w:szCs w:val="22"/>
        </w:rPr>
        <w:t>.</w:t>
      </w:r>
      <w:r w:rsidR="0037502A" w:rsidRPr="00EC2751">
        <w:rPr>
          <w:szCs w:val="22"/>
        </w:rPr>
        <w:t>4</w:t>
      </w:r>
      <w:r w:rsidR="00EC2751" w:rsidRPr="00EC2751">
        <w:rPr>
          <w:szCs w:val="22"/>
        </w:rPr>
        <w:t xml:space="preserve"> por ciento</w:t>
      </w:r>
      <w:r w:rsidR="001D0AE0" w:rsidRPr="00185B82">
        <w:rPr>
          <w:szCs w:val="22"/>
        </w:rPr>
        <w:t>)</w:t>
      </w:r>
      <w:r w:rsidRPr="00185B82">
        <w:rPr>
          <w:szCs w:val="22"/>
        </w:rPr>
        <w:t xml:space="preserve">. </w:t>
      </w:r>
    </w:p>
    <w:p w14:paraId="257F8A71" w14:textId="5EAAA7DB" w:rsidR="0093760E" w:rsidRPr="00185B82" w:rsidRDefault="0093760E" w:rsidP="00543C17">
      <w:pPr>
        <w:pStyle w:val="Textoindependiente"/>
        <w:numPr>
          <w:ilvl w:val="0"/>
          <w:numId w:val="1"/>
        </w:numPr>
        <w:autoSpaceDE w:val="0"/>
        <w:autoSpaceDN w:val="0"/>
        <w:adjustRightInd w:val="0"/>
        <w:ind w:left="-142" w:right="108"/>
        <w:rPr>
          <w:strike/>
          <w:szCs w:val="22"/>
        </w:rPr>
      </w:pPr>
      <w:r w:rsidRPr="00185B82">
        <w:rPr>
          <w:szCs w:val="22"/>
        </w:rPr>
        <w:t>L</w:t>
      </w:r>
      <w:r w:rsidR="0077092A" w:rsidRPr="00185B82">
        <w:rPr>
          <w:szCs w:val="22"/>
        </w:rPr>
        <w:t>as mujeres cada vez tienen menos hijos</w:t>
      </w:r>
      <w:r w:rsidR="006F45E5" w:rsidRPr="00185B82">
        <w:rPr>
          <w:szCs w:val="22"/>
        </w:rPr>
        <w:t>;</w:t>
      </w:r>
      <w:r w:rsidR="0077092A" w:rsidRPr="00185B82">
        <w:rPr>
          <w:szCs w:val="22"/>
        </w:rPr>
        <w:t xml:space="preserve"> en </w:t>
      </w:r>
      <w:r w:rsidR="007965CF" w:rsidRPr="00185B82">
        <w:rPr>
          <w:szCs w:val="22"/>
        </w:rPr>
        <w:t>1999</w:t>
      </w:r>
      <w:r w:rsidR="0077092A" w:rsidRPr="00185B82">
        <w:rPr>
          <w:szCs w:val="22"/>
        </w:rPr>
        <w:t xml:space="preserve"> </w:t>
      </w:r>
      <w:r w:rsidR="003F6F8A" w:rsidRPr="00185B82">
        <w:rPr>
          <w:szCs w:val="22"/>
        </w:rPr>
        <w:t xml:space="preserve">la tasa global de fecundidad </w:t>
      </w:r>
      <w:r w:rsidR="00185B82" w:rsidRPr="00185B82">
        <w:rPr>
          <w:szCs w:val="22"/>
        </w:rPr>
        <w:t>era</w:t>
      </w:r>
      <w:r w:rsidR="003F6F8A" w:rsidRPr="00185B82">
        <w:rPr>
          <w:szCs w:val="22"/>
        </w:rPr>
        <w:t xml:space="preserve"> de 2.86 y en 2019 </w:t>
      </w:r>
      <w:r w:rsidR="001D0AE0" w:rsidRPr="00185B82">
        <w:rPr>
          <w:szCs w:val="22"/>
        </w:rPr>
        <w:t xml:space="preserve">la tasa </w:t>
      </w:r>
      <w:r w:rsidR="003F6F8A" w:rsidRPr="00185B82">
        <w:rPr>
          <w:szCs w:val="22"/>
        </w:rPr>
        <w:t>se redujo a 1.88</w:t>
      </w:r>
      <w:r w:rsidR="007965CF" w:rsidRPr="00185B82">
        <w:rPr>
          <w:szCs w:val="22"/>
        </w:rPr>
        <w:t xml:space="preserve"> </w:t>
      </w:r>
      <w:r w:rsidR="007965CF" w:rsidRPr="00EC2751">
        <w:rPr>
          <w:szCs w:val="22"/>
        </w:rPr>
        <w:t xml:space="preserve">hijos </w:t>
      </w:r>
      <w:r w:rsidR="00EC2751" w:rsidRPr="00EC2751">
        <w:rPr>
          <w:szCs w:val="22"/>
        </w:rPr>
        <w:t xml:space="preserve">en promedio </w:t>
      </w:r>
      <w:r w:rsidR="007965CF" w:rsidRPr="00EC2751">
        <w:rPr>
          <w:szCs w:val="22"/>
        </w:rPr>
        <w:t>por mujer</w:t>
      </w:r>
      <w:r w:rsidR="004F65C0" w:rsidRPr="00EC2751">
        <w:rPr>
          <w:szCs w:val="22"/>
        </w:rPr>
        <w:t>.</w:t>
      </w:r>
    </w:p>
    <w:p w14:paraId="68CA0390" w14:textId="2E035613" w:rsidR="003840CE" w:rsidRPr="00185B82" w:rsidRDefault="003F6F8A" w:rsidP="00543C17">
      <w:pPr>
        <w:pStyle w:val="Textoindependiente"/>
        <w:numPr>
          <w:ilvl w:val="0"/>
          <w:numId w:val="1"/>
        </w:numPr>
        <w:autoSpaceDE w:val="0"/>
        <w:autoSpaceDN w:val="0"/>
        <w:adjustRightInd w:val="0"/>
        <w:ind w:left="-142" w:right="108"/>
        <w:rPr>
          <w:szCs w:val="22"/>
        </w:rPr>
      </w:pPr>
      <w:r w:rsidRPr="00185B82">
        <w:rPr>
          <w:szCs w:val="22"/>
        </w:rPr>
        <w:t>E</w:t>
      </w:r>
      <w:bookmarkEnd w:id="0"/>
      <w:r w:rsidR="007965CF" w:rsidRPr="00185B82">
        <w:rPr>
          <w:szCs w:val="22"/>
        </w:rPr>
        <w:t xml:space="preserve">n 2019 </w:t>
      </w:r>
      <w:r w:rsidR="00CB2486" w:rsidRPr="00185B82">
        <w:rPr>
          <w:szCs w:val="22"/>
        </w:rPr>
        <w:t xml:space="preserve">la tasa global de fecundidad </w:t>
      </w:r>
      <w:r w:rsidR="007965CF" w:rsidRPr="00185B82">
        <w:rPr>
          <w:szCs w:val="22"/>
        </w:rPr>
        <w:t xml:space="preserve">de </w:t>
      </w:r>
      <w:r w:rsidR="006B0515" w:rsidRPr="00185B82">
        <w:rPr>
          <w:szCs w:val="22"/>
        </w:rPr>
        <w:t xml:space="preserve">las mujeres que hablan lengua indígena </w:t>
      </w:r>
      <w:r w:rsidR="007965CF" w:rsidRPr="00185B82">
        <w:rPr>
          <w:szCs w:val="22"/>
        </w:rPr>
        <w:t xml:space="preserve">fue de 2.85 </w:t>
      </w:r>
      <w:r w:rsidR="006B0515" w:rsidRPr="00185B82">
        <w:rPr>
          <w:szCs w:val="22"/>
        </w:rPr>
        <w:t xml:space="preserve">y en las que no </w:t>
      </w:r>
      <w:r w:rsidR="001D0AE0" w:rsidRPr="00185B82">
        <w:rPr>
          <w:szCs w:val="22"/>
        </w:rPr>
        <w:t xml:space="preserve">tienen </w:t>
      </w:r>
      <w:r w:rsidR="006B0515" w:rsidRPr="00185B82">
        <w:rPr>
          <w:szCs w:val="22"/>
        </w:rPr>
        <w:t>esa condición</w:t>
      </w:r>
      <w:r w:rsidR="00185B82" w:rsidRPr="00185B82">
        <w:rPr>
          <w:szCs w:val="22"/>
        </w:rPr>
        <w:t>,</w:t>
      </w:r>
      <w:r w:rsidR="007965CF" w:rsidRPr="00185B82">
        <w:rPr>
          <w:szCs w:val="22"/>
        </w:rPr>
        <w:t xml:space="preserve"> de 1.82 hijos</w:t>
      </w:r>
      <w:r w:rsidR="00EC2751">
        <w:rPr>
          <w:szCs w:val="22"/>
        </w:rPr>
        <w:t xml:space="preserve"> </w:t>
      </w:r>
      <w:r w:rsidR="00EC2751" w:rsidRPr="00EC2751">
        <w:rPr>
          <w:szCs w:val="22"/>
        </w:rPr>
        <w:t xml:space="preserve">en promedio </w:t>
      </w:r>
      <w:r w:rsidR="007965CF" w:rsidRPr="00EC2751">
        <w:rPr>
          <w:szCs w:val="22"/>
        </w:rPr>
        <w:t>por mujer</w:t>
      </w:r>
      <w:r w:rsidR="001D0AE0" w:rsidRPr="00185B82">
        <w:rPr>
          <w:szCs w:val="22"/>
        </w:rPr>
        <w:t>;</w:t>
      </w:r>
      <w:r w:rsidR="003840CE" w:rsidRPr="00185B82">
        <w:rPr>
          <w:szCs w:val="22"/>
        </w:rPr>
        <w:t xml:space="preserve"> </w:t>
      </w:r>
      <w:r w:rsidR="001D0AE0" w:rsidRPr="00185B82">
        <w:rPr>
          <w:szCs w:val="22"/>
        </w:rPr>
        <w:t xml:space="preserve">en </w:t>
      </w:r>
      <w:r w:rsidR="007965CF" w:rsidRPr="00185B82">
        <w:rPr>
          <w:szCs w:val="22"/>
        </w:rPr>
        <w:t>1999</w:t>
      </w:r>
      <w:r w:rsidR="003840CE" w:rsidRPr="00185B82">
        <w:rPr>
          <w:szCs w:val="22"/>
        </w:rPr>
        <w:t xml:space="preserve">, </w:t>
      </w:r>
      <w:r w:rsidR="00185B82" w:rsidRPr="00185B82">
        <w:rPr>
          <w:szCs w:val="22"/>
        </w:rPr>
        <w:t>las tasas</w:t>
      </w:r>
      <w:r w:rsidR="003840CE" w:rsidRPr="00185B82">
        <w:rPr>
          <w:szCs w:val="22"/>
        </w:rPr>
        <w:t xml:space="preserve"> fueron </w:t>
      </w:r>
      <w:r w:rsidR="00185B82" w:rsidRPr="00185B82">
        <w:rPr>
          <w:szCs w:val="22"/>
        </w:rPr>
        <w:t xml:space="preserve">de </w:t>
      </w:r>
      <w:r w:rsidR="003840CE" w:rsidRPr="00185B82">
        <w:rPr>
          <w:szCs w:val="22"/>
        </w:rPr>
        <w:t>4.</w:t>
      </w:r>
      <w:r w:rsidR="00A253AF" w:rsidRPr="00185B82">
        <w:rPr>
          <w:szCs w:val="22"/>
        </w:rPr>
        <w:t>15</w:t>
      </w:r>
      <w:r w:rsidR="003840CE" w:rsidRPr="00185B82">
        <w:rPr>
          <w:szCs w:val="22"/>
        </w:rPr>
        <w:t xml:space="preserve"> para </w:t>
      </w:r>
      <w:r w:rsidR="001D0AE0" w:rsidRPr="00185B82">
        <w:rPr>
          <w:szCs w:val="22"/>
        </w:rPr>
        <w:t xml:space="preserve">quienes </w:t>
      </w:r>
      <w:r w:rsidR="003840CE" w:rsidRPr="00185B82">
        <w:rPr>
          <w:szCs w:val="22"/>
        </w:rPr>
        <w:t xml:space="preserve">hablan lengua indígena y </w:t>
      </w:r>
      <w:r w:rsidR="00A253AF" w:rsidRPr="00185B82">
        <w:rPr>
          <w:szCs w:val="22"/>
        </w:rPr>
        <w:t>2.76</w:t>
      </w:r>
      <w:r w:rsidR="003840CE" w:rsidRPr="00185B82">
        <w:rPr>
          <w:szCs w:val="22"/>
        </w:rPr>
        <w:t xml:space="preserve"> para </w:t>
      </w:r>
      <w:r w:rsidR="001D0AE0" w:rsidRPr="00185B82">
        <w:rPr>
          <w:szCs w:val="22"/>
        </w:rPr>
        <w:t xml:space="preserve">quienes </w:t>
      </w:r>
      <w:r w:rsidR="003840CE" w:rsidRPr="00185B82">
        <w:rPr>
          <w:szCs w:val="22"/>
        </w:rPr>
        <w:t xml:space="preserve">no hablan lengua indígena. </w:t>
      </w:r>
    </w:p>
    <w:p w14:paraId="0A0CAC33" w14:textId="49636EB0" w:rsidR="00185B82" w:rsidRDefault="0022478D" w:rsidP="00543C17">
      <w:pPr>
        <w:pStyle w:val="Textoindependiente"/>
        <w:numPr>
          <w:ilvl w:val="0"/>
          <w:numId w:val="1"/>
        </w:numPr>
        <w:autoSpaceDE w:val="0"/>
        <w:autoSpaceDN w:val="0"/>
        <w:adjustRightInd w:val="0"/>
        <w:ind w:left="-142" w:right="108"/>
        <w:rPr>
          <w:szCs w:val="22"/>
        </w:rPr>
      </w:pPr>
      <w:r w:rsidRPr="00185B82">
        <w:rPr>
          <w:szCs w:val="22"/>
        </w:rPr>
        <w:t xml:space="preserve">Al cierre de 2019, en los centros penitenciarios estatales se encontraban 415 mujeres privadas de la libertad que </w:t>
      </w:r>
      <w:r w:rsidR="00CB2486" w:rsidRPr="00185B82">
        <w:rPr>
          <w:szCs w:val="22"/>
        </w:rPr>
        <w:t xml:space="preserve">tenían </w:t>
      </w:r>
      <w:r w:rsidRPr="00185B82">
        <w:rPr>
          <w:szCs w:val="22"/>
        </w:rPr>
        <w:t>consigo a sus hijos menores de seis años, cifra que representa 4.4% del total de mujeres privadas de la libertad.</w:t>
      </w:r>
      <w:r w:rsidR="0093760E" w:rsidRPr="00185B82">
        <w:rPr>
          <w:szCs w:val="22"/>
        </w:rPr>
        <w:t xml:space="preserve"> </w:t>
      </w:r>
    </w:p>
    <w:p w14:paraId="069A2F41" w14:textId="77777777" w:rsidR="00185B82" w:rsidRPr="00185B82" w:rsidRDefault="00185B82" w:rsidP="00543C17">
      <w:pPr>
        <w:pStyle w:val="Textoindependiente"/>
        <w:autoSpaceDE w:val="0"/>
        <w:autoSpaceDN w:val="0"/>
        <w:adjustRightInd w:val="0"/>
        <w:ind w:left="-142" w:right="108"/>
        <w:rPr>
          <w:szCs w:val="22"/>
        </w:rPr>
      </w:pPr>
    </w:p>
    <w:p w14:paraId="11CA7501" w14:textId="7929B7EE" w:rsidR="006B0515" w:rsidRDefault="006B0515" w:rsidP="00543C17">
      <w:pPr>
        <w:ind w:left="-567"/>
        <w:rPr>
          <w:rFonts w:cs="Arial"/>
          <w:bCs/>
          <w:szCs w:val="22"/>
          <w:lang w:val="es-MX"/>
        </w:rPr>
      </w:pPr>
      <w:r w:rsidRPr="001B48B1">
        <w:rPr>
          <w:rFonts w:cs="Arial"/>
          <w:bCs/>
          <w:szCs w:val="22"/>
          <w:lang w:val="es-MX"/>
        </w:rPr>
        <w:t xml:space="preserve">En México se celebra </w:t>
      </w:r>
      <w:r w:rsidR="000610A4">
        <w:rPr>
          <w:rFonts w:cs="Arial"/>
          <w:bCs/>
          <w:szCs w:val="22"/>
          <w:lang w:val="es-MX"/>
        </w:rPr>
        <w:t xml:space="preserve">el Día de la Madre </w:t>
      </w:r>
      <w:r>
        <w:rPr>
          <w:rFonts w:cs="Arial"/>
          <w:bCs/>
          <w:szCs w:val="22"/>
          <w:lang w:val="es-MX"/>
        </w:rPr>
        <w:t>desde</w:t>
      </w:r>
      <w:r w:rsidRPr="001B48B1">
        <w:rPr>
          <w:rFonts w:cs="Arial"/>
          <w:bCs/>
          <w:szCs w:val="22"/>
          <w:lang w:val="es-MX"/>
        </w:rPr>
        <w:t xml:space="preserve"> 1922 y su propósito</w:t>
      </w:r>
      <w:r>
        <w:rPr>
          <w:rFonts w:cs="Arial"/>
          <w:bCs/>
          <w:szCs w:val="22"/>
          <w:lang w:val="es-MX"/>
        </w:rPr>
        <w:t xml:space="preserve"> es generar un espacio de reflexión para valorar la labor de las mujeres que han tenido hijos</w:t>
      </w:r>
      <w:r w:rsidR="00096962">
        <w:rPr>
          <w:rStyle w:val="Refdenotaalpie"/>
          <w:rFonts w:cs="Arial"/>
          <w:bCs/>
          <w:szCs w:val="22"/>
          <w:lang w:val="es-MX"/>
        </w:rPr>
        <w:footnoteReference w:id="2"/>
      </w:r>
      <w:r w:rsidR="003A78A8">
        <w:rPr>
          <w:rFonts w:cs="Arial"/>
          <w:bCs/>
          <w:szCs w:val="22"/>
          <w:lang w:val="es-MX"/>
        </w:rPr>
        <w:t>.</w:t>
      </w:r>
      <w:r>
        <w:rPr>
          <w:rFonts w:cs="Arial"/>
          <w:bCs/>
          <w:szCs w:val="22"/>
          <w:lang w:val="es-MX"/>
        </w:rPr>
        <w:t xml:space="preserve"> </w:t>
      </w:r>
    </w:p>
    <w:p w14:paraId="768F2F72" w14:textId="77777777" w:rsidR="0093760E" w:rsidRDefault="0093760E" w:rsidP="00543C17">
      <w:pPr>
        <w:ind w:left="-567"/>
        <w:rPr>
          <w:rFonts w:cs="Arial"/>
          <w:bCs/>
          <w:szCs w:val="22"/>
          <w:lang w:val="es-MX"/>
        </w:rPr>
      </w:pPr>
    </w:p>
    <w:p w14:paraId="6CD298BC" w14:textId="34BB7BB1" w:rsidR="00063245" w:rsidRDefault="006B0515" w:rsidP="00543C17">
      <w:pPr>
        <w:ind w:left="-567"/>
        <w:rPr>
          <w:rFonts w:cs="Arial"/>
          <w:bCs/>
          <w:szCs w:val="22"/>
          <w:lang w:val="es-MX"/>
        </w:rPr>
      </w:pPr>
      <w:r>
        <w:rPr>
          <w:rFonts w:cs="Arial"/>
          <w:bCs/>
          <w:szCs w:val="22"/>
          <w:lang w:val="es-MX"/>
        </w:rPr>
        <w:t>A propósito</w:t>
      </w:r>
      <w:r w:rsidRPr="001B48B1">
        <w:rPr>
          <w:rFonts w:cs="Arial"/>
          <w:bCs/>
          <w:szCs w:val="22"/>
          <w:lang w:val="es-MX"/>
        </w:rPr>
        <w:t xml:space="preserve"> de est</w:t>
      </w:r>
      <w:r>
        <w:rPr>
          <w:rFonts w:cs="Arial"/>
          <w:bCs/>
          <w:szCs w:val="22"/>
          <w:lang w:val="es-MX"/>
        </w:rPr>
        <w:t>a</w:t>
      </w:r>
      <w:r w:rsidRPr="001B48B1">
        <w:rPr>
          <w:rFonts w:cs="Arial"/>
          <w:bCs/>
          <w:szCs w:val="22"/>
          <w:lang w:val="es-MX"/>
        </w:rPr>
        <w:t xml:space="preserve"> </w:t>
      </w:r>
      <w:r>
        <w:rPr>
          <w:rFonts w:cs="Arial"/>
          <w:bCs/>
          <w:szCs w:val="22"/>
          <w:lang w:val="es-MX"/>
        </w:rPr>
        <w:t>conmemoración</w:t>
      </w:r>
      <w:r w:rsidRPr="001B48B1">
        <w:rPr>
          <w:rFonts w:cs="Arial"/>
          <w:bCs/>
          <w:szCs w:val="22"/>
          <w:lang w:val="es-MX"/>
        </w:rPr>
        <w:t xml:space="preserve">, el </w:t>
      </w:r>
      <w:r w:rsidRPr="00543C17">
        <w:rPr>
          <w:rFonts w:cs="Arial"/>
          <w:szCs w:val="22"/>
          <w:lang w:val="es-MX"/>
        </w:rPr>
        <w:t>Instituto Nacional de Estadística y Geografía</w:t>
      </w:r>
      <w:r w:rsidRPr="00543C17">
        <w:rPr>
          <w:rFonts w:cs="Arial"/>
          <w:bCs/>
          <w:szCs w:val="22"/>
          <w:lang w:val="es-MX"/>
        </w:rPr>
        <w:t xml:space="preserve"> (</w:t>
      </w:r>
      <w:r w:rsidRPr="00543C17">
        <w:rPr>
          <w:rFonts w:cs="Arial"/>
          <w:szCs w:val="22"/>
          <w:lang w:val="es-MX"/>
        </w:rPr>
        <w:t>INEGI</w:t>
      </w:r>
      <w:r w:rsidRPr="00543C17">
        <w:rPr>
          <w:rFonts w:cs="Arial"/>
          <w:bCs/>
          <w:szCs w:val="22"/>
          <w:lang w:val="es-MX"/>
        </w:rPr>
        <w:t>)</w:t>
      </w:r>
      <w:r w:rsidRPr="001B48B1">
        <w:rPr>
          <w:rFonts w:cs="Arial"/>
          <w:bCs/>
          <w:szCs w:val="22"/>
          <w:lang w:val="es-MX"/>
        </w:rPr>
        <w:t xml:space="preserve"> </w:t>
      </w:r>
      <w:r w:rsidR="00FC38D1">
        <w:rPr>
          <w:rFonts w:cs="Arial"/>
          <w:bCs/>
          <w:szCs w:val="22"/>
          <w:lang w:val="es-MX"/>
        </w:rPr>
        <w:t>genera y difunde una amplia gama de</w:t>
      </w:r>
      <w:r w:rsidRPr="001B48B1">
        <w:rPr>
          <w:rFonts w:cs="Arial"/>
          <w:bCs/>
          <w:szCs w:val="22"/>
          <w:lang w:val="es-MX"/>
        </w:rPr>
        <w:t xml:space="preserve"> </w:t>
      </w:r>
      <w:r w:rsidRPr="004C3428">
        <w:rPr>
          <w:rFonts w:cs="Arial"/>
          <w:bCs/>
          <w:szCs w:val="22"/>
          <w:lang w:val="es-MX"/>
        </w:rPr>
        <w:t>indicadores sobre las características sociodemográficas de las mujeres de 15 años y más que han tenido al menos un hijo nacido vivo</w:t>
      </w:r>
      <w:r>
        <w:rPr>
          <w:rFonts w:cs="Arial"/>
          <w:bCs/>
          <w:szCs w:val="22"/>
          <w:lang w:val="es-MX"/>
        </w:rPr>
        <w:t>, es decir</w:t>
      </w:r>
      <w:r w:rsidR="006F4B44">
        <w:rPr>
          <w:rFonts w:cs="Arial"/>
          <w:bCs/>
          <w:szCs w:val="22"/>
          <w:lang w:val="es-MX"/>
        </w:rPr>
        <w:t>, que</w:t>
      </w:r>
      <w:r>
        <w:rPr>
          <w:rFonts w:cs="Arial"/>
          <w:bCs/>
          <w:szCs w:val="22"/>
          <w:lang w:val="es-MX"/>
        </w:rPr>
        <w:t xml:space="preserve"> son madres</w:t>
      </w:r>
      <w:r w:rsidR="00B32C2E">
        <w:rPr>
          <w:rFonts w:cs="Arial"/>
          <w:bCs/>
          <w:szCs w:val="22"/>
          <w:lang w:val="es-MX"/>
        </w:rPr>
        <w:t>.</w:t>
      </w:r>
      <w:r w:rsidRPr="004C3428">
        <w:rPr>
          <w:rFonts w:cs="Arial"/>
          <w:bCs/>
          <w:szCs w:val="22"/>
          <w:lang w:val="es-MX"/>
        </w:rPr>
        <w:t xml:space="preserve"> </w:t>
      </w:r>
      <w:r w:rsidR="00B32C2E">
        <w:rPr>
          <w:rFonts w:cs="Arial"/>
          <w:bCs/>
          <w:szCs w:val="22"/>
          <w:lang w:val="es-MX"/>
        </w:rPr>
        <w:t>E</w:t>
      </w:r>
      <w:r w:rsidR="00FC38D1">
        <w:rPr>
          <w:rFonts w:cs="Arial"/>
          <w:bCs/>
          <w:szCs w:val="22"/>
          <w:lang w:val="es-MX"/>
        </w:rPr>
        <w:t xml:space="preserve">n este </w:t>
      </w:r>
      <w:r w:rsidR="00543C17">
        <w:rPr>
          <w:rFonts w:cs="Arial"/>
          <w:bCs/>
          <w:szCs w:val="22"/>
          <w:lang w:val="es-MX"/>
        </w:rPr>
        <w:t>comunicado</w:t>
      </w:r>
      <w:r>
        <w:rPr>
          <w:rFonts w:cs="Arial"/>
          <w:bCs/>
          <w:szCs w:val="22"/>
          <w:lang w:val="es-MX"/>
        </w:rPr>
        <w:t xml:space="preserve"> se </w:t>
      </w:r>
      <w:r w:rsidR="00E14952">
        <w:rPr>
          <w:rFonts w:cs="Arial"/>
          <w:bCs/>
          <w:szCs w:val="22"/>
          <w:lang w:val="es-MX"/>
        </w:rPr>
        <w:t xml:space="preserve">presentan </w:t>
      </w:r>
      <w:r w:rsidR="00063245">
        <w:rPr>
          <w:rFonts w:cs="Arial"/>
          <w:bCs/>
          <w:szCs w:val="22"/>
          <w:lang w:val="es-MX"/>
        </w:rPr>
        <w:t xml:space="preserve">algunos </w:t>
      </w:r>
      <w:r w:rsidR="00197A4C">
        <w:rPr>
          <w:rFonts w:cs="Arial"/>
          <w:bCs/>
          <w:szCs w:val="22"/>
          <w:lang w:val="es-MX"/>
        </w:rPr>
        <w:t xml:space="preserve">datos </w:t>
      </w:r>
      <w:r w:rsidR="00FC38D1">
        <w:rPr>
          <w:rFonts w:cs="Arial"/>
          <w:bCs/>
          <w:szCs w:val="22"/>
          <w:lang w:val="es-MX"/>
        </w:rPr>
        <w:t xml:space="preserve">sobre las madres </w:t>
      </w:r>
      <w:r w:rsidRPr="004C3428">
        <w:rPr>
          <w:rFonts w:cs="Arial"/>
          <w:bCs/>
          <w:szCs w:val="22"/>
          <w:lang w:val="es-MX"/>
        </w:rPr>
        <w:t>hablantes de lengua indígena</w:t>
      </w:r>
      <w:r w:rsidR="00FC38D1">
        <w:rPr>
          <w:rFonts w:cs="Arial"/>
          <w:bCs/>
          <w:szCs w:val="22"/>
          <w:lang w:val="es-MX"/>
        </w:rPr>
        <w:t>, y se comparan con las que no tienen esta condición</w:t>
      </w:r>
      <w:r w:rsidR="00E14952">
        <w:rPr>
          <w:rFonts w:cs="Arial"/>
          <w:bCs/>
          <w:szCs w:val="22"/>
          <w:lang w:val="es-MX"/>
        </w:rPr>
        <w:t xml:space="preserve"> </w:t>
      </w:r>
      <w:r w:rsidR="00FC38D1">
        <w:rPr>
          <w:rFonts w:cs="Arial"/>
          <w:bCs/>
          <w:szCs w:val="22"/>
          <w:lang w:val="es-MX"/>
        </w:rPr>
        <w:t>y que también son madres</w:t>
      </w:r>
      <w:r w:rsidR="00B32C2E">
        <w:rPr>
          <w:rFonts w:cs="Arial"/>
          <w:bCs/>
          <w:szCs w:val="22"/>
          <w:lang w:val="es-MX"/>
        </w:rPr>
        <w:t>;</w:t>
      </w:r>
      <w:r w:rsidR="00FC38D1">
        <w:rPr>
          <w:rFonts w:cs="Arial"/>
          <w:bCs/>
          <w:szCs w:val="22"/>
          <w:lang w:val="es-MX"/>
        </w:rPr>
        <w:t xml:space="preserve"> asimismo se presenta información </w:t>
      </w:r>
      <w:r w:rsidR="00E14952">
        <w:rPr>
          <w:rFonts w:cs="Arial"/>
          <w:bCs/>
          <w:szCs w:val="22"/>
          <w:lang w:val="es-MX"/>
        </w:rPr>
        <w:t>de las madres que están privadas</w:t>
      </w:r>
      <w:r w:rsidR="00063245">
        <w:rPr>
          <w:rFonts w:cs="Arial"/>
          <w:bCs/>
          <w:szCs w:val="22"/>
          <w:lang w:val="es-MX"/>
        </w:rPr>
        <w:t xml:space="preserve"> de su libertad</w:t>
      </w:r>
      <w:r w:rsidR="00F12D61">
        <w:rPr>
          <w:rFonts w:cs="Arial"/>
          <w:bCs/>
          <w:szCs w:val="22"/>
          <w:lang w:val="es-MX"/>
        </w:rPr>
        <w:t>. Esta</w:t>
      </w:r>
      <w:r w:rsidR="00AC4EB4">
        <w:rPr>
          <w:rFonts w:cs="Arial"/>
          <w:bCs/>
          <w:szCs w:val="22"/>
          <w:lang w:val="es-MX"/>
        </w:rPr>
        <w:t xml:space="preserve"> información proviene de</w:t>
      </w:r>
      <w:r w:rsidR="00543C17">
        <w:rPr>
          <w:rFonts w:cs="Arial"/>
          <w:bCs/>
          <w:szCs w:val="22"/>
          <w:lang w:val="es-MX"/>
        </w:rPr>
        <w:t xml:space="preserve">l </w:t>
      </w:r>
      <w:r w:rsidR="00F328CA">
        <w:rPr>
          <w:rFonts w:cs="Arial"/>
          <w:bCs/>
          <w:szCs w:val="22"/>
          <w:lang w:val="es-MX"/>
        </w:rPr>
        <w:t>C</w:t>
      </w:r>
      <w:r w:rsidR="00AC4EB4">
        <w:rPr>
          <w:rFonts w:cs="Arial"/>
          <w:bCs/>
          <w:szCs w:val="22"/>
          <w:lang w:val="es-MX"/>
        </w:rPr>
        <w:t xml:space="preserve">enso de </w:t>
      </w:r>
      <w:r w:rsidR="00F328CA">
        <w:rPr>
          <w:rFonts w:cs="Arial"/>
          <w:bCs/>
          <w:szCs w:val="22"/>
          <w:lang w:val="es-MX"/>
        </w:rPr>
        <w:t>P</w:t>
      </w:r>
      <w:r w:rsidR="00AC4EB4">
        <w:rPr>
          <w:rFonts w:cs="Arial"/>
          <w:bCs/>
          <w:szCs w:val="22"/>
          <w:lang w:val="es-MX"/>
        </w:rPr>
        <w:t xml:space="preserve">oblación y </w:t>
      </w:r>
      <w:r w:rsidR="00F328CA">
        <w:rPr>
          <w:rFonts w:cs="Arial"/>
          <w:bCs/>
          <w:szCs w:val="22"/>
          <w:lang w:val="es-MX"/>
        </w:rPr>
        <w:t>V</w:t>
      </w:r>
      <w:r w:rsidR="00AC4EB4">
        <w:rPr>
          <w:rFonts w:cs="Arial"/>
          <w:bCs/>
          <w:szCs w:val="22"/>
          <w:lang w:val="es-MX"/>
        </w:rPr>
        <w:t xml:space="preserve">ivienda y </w:t>
      </w:r>
      <w:r w:rsidR="00F328CA">
        <w:rPr>
          <w:rFonts w:cs="Arial"/>
          <w:bCs/>
          <w:szCs w:val="22"/>
          <w:lang w:val="es-MX"/>
        </w:rPr>
        <w:t xml:space="preserve">del </w:t>
      </w:r>
      <w:r w:rsidR="00F328CA" w:rsidRPr="00F328CA">
        <w:rPr>
          <w:rFonts w:cs="Arial"/>
          <w:bCs/>
          <w:szCs w:val="22"/>
          <w:lang w:val="es-MX"/>
        </w:rPr>
        <w:t>Censo Nacional de Gobierno, Seguridad Pública y Sistema Penitenciario Estatales</w:t>
      </w:r>
      <w:r w:rsidR="00543C17">
        <w:rPr>
          <w:rFonts w:cs="Arial"/>
          <w:bCs/>
          <w:szCs w:val="22"/>
          <w:lang w:val="es-MX"/>
        </w:rPr>
        <w:t>, ambos de</w:t>
      </w:r>
      <w:r w:rsidR="00F328CA" w:rsidRPr="00F328CA">
        <w:rPr>
          <w:rFonts w:cs="Arial"/>
          <w:bCs/>
          <w:szCs w:val="22"/>
          <w:lang w:val="es-MX"/>
        </w:rPr>
        <w:t xml:space="preserve"> 2020</w:t>
      </w:r>
      <w:r w:rsidR="00A06FD3">
        <w:rPr>
          <w:rFonts w:cs="Arial"/>
          <w:bCs/>
          <w:szCs w:val="22"/>
          <w:lang w:val="es-MX"/>
        </w:rPr>
        <w:t>.</w:t>
      </w:r>
    </w:p>
    <w:p w14:paraId="25B90110" w14:textId="77777777" w:rsidR="006B0515" w:rsidRPr="00F367EC" w:rsidRDefault="006B0515" w:rsidP="00543C17">
      <w:pPr>
        <w:ind w:left="-567"/>
        <w:rPr>
          <w:lang w:val="es-MX"/>
        </w:rPr>
      </w:pPr>
    </w:p>
    <w:p w14:paraId="456A8BA5" w14:textId="77777777" w:rsidR="006B0515" w:rsidRPr="00210915" w:rsidRDefault="006B0515" w:rsidP="00543C17">
      <w:pPr>
        <w:autoSpaceDE w:val="0"/>
        <w:autoSpaceDN w:val="0"/>
        <w:adjustRightInd w:val="0"/>
        <w:ind w:left="-567"/>
        <w:rPr>
          <w:rFonts w:eastAsiaTheme="minorHAnsi" w:cs="Arial"/>
          <w:b/>
          <w:szCs w:val="22"/>
          <w:lang w:val="es-MX" w:eastAsia="en-US"/>
        </w:rPr>
      </w:pPr>
      <w:r>
        <w:rPr>
          <w:rFonts w:eastAsiaTheme="minorHAnsi" w:cs="Arial"/>
          <w:b/>
          <w:szCs w:val="22"/>
          <w:lang w:val="es-MX" w:eastAsia="en-US"/>
        </w:rPr>
        <w:t>MONTO Y ESTRUCTURA DE LA POBLACIÓN</w:t>
      </w:r>
    </w:p>
    <w:p w14:paraId="237C01B3" w14:textId="77777777" w:rsidR="006B0515" w:rsidRPr="00210915" w:rsidRDefault="006B0515" w:rsidP="00543C17">
      <w:pPr>
        <w:autoSpaceDE w:val="0"/>
        <w:autoSpaceDN w:val="0"/>
        <w:adjustRightInd w:val="0"/>
        <w:ind w:left="-567"/>
        <w:rPr>
          <w:rFonts w:eastAsiaTheme="minorHAnsi" w:cs="Arial"/>
          <w:b/>
          <w:szCs w:val="22"/>
          <w:lang w:val="es-MX" w:eastAsia="en-US"/>
        </w:rPr>
      </w:pPr>
    </w:p>
    <w:p w14:paraId="65239887" w14:textId="7FD53D94" w:rsidR="005A0675" w:rsidRDefault="006B0515" w:rsidP="00543C17">
      <w:pPr>
        <w:ind w:left="-567"/>
        <w:rPr>
          <w:rFonts w:eastAsiaTheme="minorHAnsi"/>
          <w:szCs w:val="22"/>
          <w:lang w:eastAsia="en-US"/>
        </w:rPr>
      </w:pPr>
      <w:r w:rsidRPr="00583C00">
        <w:rPr>
          <w:rFonts w:eastAsiaTheme="minorHAnsi"/>
          <w:szCs w:val="22"/>
          <w:lang w:eastAsia="en-US"/>
        </w:rPr>
        <w:t>En el país resid</w:t>
      </w:r>
      <w:r w:rsidR="004D12B5">
        <w:rPr>
          <w:rFonts w:eastAsiaTheme="minorHAnsi"/>
          <w:szCs w:val="22"/>
          <w:lang w:eastAsia="en-US"/>
        </w:rPr>
        <w:t>ía</w:t>
      </w:r>
      <w:r w:rsidRPr="00583C00">
        <w:rPr>
          <w:rFonts w:eastAsiaTheme="minorHAnsi"/>
          <w:szCs w:val="22"/>
          <w:lang w:eastAsia="en-US"/>
        </w:rPr>
        <w:t>n 48.6 millones de mujeres de 15 años y más</w:t>
      </w:r>
      <w:r w:rsidR="00FC38D1" w:rsidRPr="00583C00">
        <w:rPr>
          <w:rFonts w:eastAsiaTheme="minorHAnsi"/>
          <w:szCs w:val="22"/>
          <w:lang w:eastAsia="en-US"/>
        </w:rPr>
        <w:t xml:space="preserve"> en 2020</w:t>
      </w:r>
      <w:r w:rsidRPr="00583C00">
        <w:rPr>
          <w:rFonts w:eastAsiaTheme="minorHAnsi"/>
          <w:szCs w:val="22"/>
          <w:lang w:eastAsia="en-US"/>
        </w:rPr>
        <w:t xml:space="preserve">, de </w:t>
      </w:r>
      <w:r w:rsidR="00096962" w:rsidRPr="00583C00">
        <w:rPr>
          <w:rFonts w:eastAsiaTheme="minorHAnsi"/>
          <w:szCs w:val="22"/>
          <w:lang w:eastAsia="en-US"/>
        </w:rPr>
        <w:t xml:space="preserve">las cuales </w:t>
      </w:r>
      <w:r w:rsidRPr="00583C00">
        <w:rPr>
          <w:rFonts w:eastAsiaTheme="minorHAnsi"/>
          <w:szCs w:val="22"/>
          <w:lang w:eastAsia="en-US"/>
        </w:rPr>
        <w:t>72</w:t>
      </w:r>
      <w:r w:rsidR="00A06FD3">
        <w:rPr>
          <w:rFonts w:eastAsiaTheme="minorHAnsi"/>
          <w:szCs w:val="22"/>
          <w:lang w:eastAsia="en-US"/>
        </w:rPr>
        <w:t>.4</w:t>
      </w:r>
      <w:r w:rsidRPr="00583C00">
        <w:rPr>
          <w:rFonts w:eastAsiaTheme="minorHAnsi"/>
          <w:szCs w:val="22"/>
          <w:lang w:eastAsia="en-US"/>
        </w:rPr>
        <w:t xml:space="preserve">% </w:t>
      </w:r>
      <w:r w:rsidR="004D12B5" w:rsidRPr="00583C00">
        <w:rPr>
          <w:rFonts w:eastAsiaTheme="minorHAnsi"/>
          <w:szCs w:val="22"/>
          <w:lang w:eastAsia="en-US"/>
        </w:rPr>
        <w:t>t</w:t>
      </w:r>
      <w:r w:rsidR="004D12B5">
        <w:rPr>
          <w:rFonts w:eastAsiaTheme="minorHAnsi"/>
          <w:szCs w:val="22"/>
          <w:lang w:eastAsia="en-US"/>
        </w:rPr>
        <w:t>enía</w:t>
      </w:r>
      <w:r w:rsidR="004D12B5" w:rsidRPr="00583C00">
        <w:rPr>
          <w:rFonts w:eastAsiaTheme="minorHAnsi"/>
          <w:szCs w:val="22"/>
          <w:lang w:eastAsia="en-US"/>
        </w:rPr>
        <w:t xml:space="preserve">n </w:t>
      </w:r>
      <w:r w:rsidRPr="00583C00">
        <w:rPr>
          <w:rFonts w:eastAsiaTheme="minorHAnsi"/>
          <w:szCs w:val="22"/>
          <w:lang w:eastAsia="en-US"/>
        </w:rPr>
        <w:t>al menos un hijo nacido vivo, es decir</w:t>
      </w:r>
      <w:r w:rsidR="006F4B44" w:rsidRPr="00583C00">
        <w:rPr>
          <w:rFonts w:eastAsiaTheme="minorHAnsi"/>
          <w:szCs w:val="22"/>
          <w:lang w:eastAsia="en-US"/>
        </w:rPr>
        <w:t>,</w:t>
      </w:r>
      <w:r w:rsidRPr="00583C00">
        <w:rPr>
          <w:rFonts w:eastAsiaTheme="minorHAnsi"/>
          <w:szCs w:val="22"/>
          <w:lang w:eastAsia="en-US"/>
        </w:rPr>
        <w:t xml:space="preserve"> son madres</w:t>
      </w:r>
      <w:r w:rsidR="005A0675" w:rsidRPr="00583C00">
        <w:rPr>
          <w:rFonts w:eastAsiaTheme="minorHAnsi"/>
          <w:szCs w:val="22"/>
          <w:lang w:eastAsia="en-US"/>
        </w:rPr>
        <w:t xml:space="preserve"> (35.2 millones)</w:t>
      </w:r>
      <w:r w:rsidRPr="00583C00">
        <w:rPr>
          <w:rFonts w:eastAsiaTheme="minorHAnsi"/>
          <w:szCs w:val="22"/>
          <w:lang w:eastAsia="en-US"/>
        </w:rPr>
        <w:t xml:space="preserve">. </w:t>
      </w:r>
      <w:r w:rsidR="005A0675" w:rsidRPr="00583C00">
        <w:rPr>
          <w:rFonts w:eastAsiaTheme="minorHAnsi"/>
          <w:szCs w:val="22"/>
          <w:lang w:eastAsia="en-US"/>
        </w:rPr>
        <w:t xml:space="preserve"> De este total 7.1% son hablantes de lengua indígena (2.5 millones</w:t>
      </w:r>
      <w:r w:rsidR="005A0675" w:rsidRPr="00583C00">
        <w:rPr>
          <w:rStyle w:val="Refdenotaalpie"/>
          <w:rFonts w:eastAsiaTheme="minorHAnsi"/>
          <w:szCs w:val="22"/>
          <w:lang w:eastAsia="en-US"/>
        </w:rPr>
        <w:footnoteReference w:id="3"/>
      </w:r>
      <w:r w:rsidR="005A0675" w:rsidRPr="00583C00">
        <w:rPr>
          <w:rFonts w:eastAsiaTheme="minorHAnsi"/>
          <w:szCs w:val="22"/>
          <w:lang w:eastAsia="en-US"/>
        </w:rPr>
        <w:t>).</w:t>
      </w:r>
    </w:p>
    <w:p w14:paraId="3DBEDF6E" w14:textId="77777777" w:rsidR="005A0675" w:rsidRDefault="005A0675" w:rsidP="00543C17">
      <w:pPr>
        <w:ind w:left="-567"/>
        <w:rPr>
          <w:rFonts w:eastAsiaTheme="minorHAnsi"/>
          <w:szCs w:val="22"/>
          <w:highlight w:val="yellow"/>
          <w:lang w:eastAsia="en-US"/>
        </w:rPr>
      </w:pPr>
    </w:p>
    <w:p w14:paraId="61266B46" w14:textId="77777777" w:rsidR="006B0515" w:rsidRPr="00210915" w:rsidRDefault="006B0515" w:rsidP="00543C17">
      <w:pPr>
        <w:autoSpaceDE w:val="0"/>
        <w:autoSpaceDN w:val="0"/>
        <w:adjustRightInd w:val="0"/>
        <w:ind w:left="-567"/>
        <w:rPr>
          <w:rFonts w:eastAsiaTheme="minorHAnsi" w:cs="Arial"/>
          <w:b/>
          <w:szCs w:val="22"/>
          <w:lang w:val="es-MX" w:eastAsia="en-US"/>
        </w:rPr>
      </w:pPr>
      <w:r>
        <w:rPr>
          <w:rFonts w:eastAsiaTheme="minorHAnsi" w:cs="Arial"/>
          <w:b/>
          <w:szCs w:val="22"/>
          <w:lang w:val="es-MX" w:eastAsia="en-US"/>
        </w:rPr>
        <w:t xml:space="preserve">FECUNDIDAD </w:t>
      </w:r>
    </w:p>
    <w:p w14:paraId="19EE4BDA" w14:textId="77777777" w:rsidR="006B0515" w:rsidRDefault="006B0515" w:rsidP="00543C17">
      <w:pPr>
        <w:ind w:left="-567"/>
        <w:rPr>
          <w:rFonts w:eastAsiaTheme="minorHAnsi"/>
          <w:szCs w:val="22"/>
          <w:lang w:eastAsia="en-US"/>
        </w:rPr>
      </w:pPr>
    </w:p>
    <w:p w14:paraId="1720B663" w14:textId="68BA0B00" w:rsidR="00B018AE" w:rsidRDefault="006B0515" w:rsidP="00543C17">
      <w:pPr>
        <w:pStyle w:val="Textoindependiente"/>
        <w:autoSpaceDE w:val="0"/>
        <w:autoSpaceDN w:val="0"/>
        <w:adjustRightInd w:val="0"/>
        <w:ind w:left="-567" w:right="108"/>
        <w:rPr>
          <w:szCs w:val="22"/>
        </w:rPr>
      </w:pPr>
      <w:r w:rsidRPr="00F328CA">
        <w:rPr>
          <w:szCs w:val="22"/>
        </w:rPr>
        <w:t xml:space="preserve">La tasa global de fecundidad (TGF) es un indicador que refiere el número de hijos que en promedio tendrá una mujer al final de su vida reproductiva. </w:t>
      </w:r>
      <w:r w:rsidR="003F6F8A" w:rsidRPr="00F328CA">
        <w:rPr>
          <w:szCs w:val="22"/>
        </w:rPr>
        <w:t xml:space="preserve"> </w:t>
      </w:r>
      <w:r w:rsidR="00543C17">
        <w:rPr>
          <w:szCs w:val="22"/>
        </w:rPr>
        <w:t>La</w:t>
      </w:r>
      <w:r w:rsidR="00583C00" w:rsidRPr="00F328CA">
        <w:rPr>
          <w:szCs w:val="22"/>
        </w:rPr>
        <w:t>s cifras muestra</w:t>
      </w:r>
      <w:r w:rsidR="00F328CA">
        <w:rPr>
          <w:szCs w:val="22"/>
        </w:rPr>
        <w:t>n</w:t>
      </w:r>
      <w:r w:rsidR="00583C00" w:rsidRPr="00F328CA">
        <w:rPr>
          <w:szCs w:val="22"/>
        </w:rPr>
        <w:t xml:space="preserve"> que l</w:t>
      </w:r>
      <w:r w:rsidR="003F6F8A" w:rsidRPr="00F328CA">
        <w:rPr>
          <w:szCs w:val="22"/>
        </w:rPr>
        <w:t>as mujeres cada vez tienen menos hijos</w:t>
      </w:r>
      <w:r w:rsidR="004D12B5" w:rsidRPr="00F328CA">
        <w:rPr>
          <w:szCs w:val="22"/>
        </w:rPr>
        <w:t>.</w:t>
      </w:r>
      <w:r w:rsidR="001C0BF3" w:rsidRPr="00F328CA">
        <w:rPr>
          <w:szCs w:val="22"/>
        </w:rPr>
        <w:t xml:space="preserve"> </w:t>
      </w:r>
      <w:r w:rsidR="004D12B5" w:rsidRPr="00F328CA">
        <w:rPr>
          <w:szCs w:val="22"/>
        </w:rPr>
        <w:t>E</w:t>
      </w:r>
      <w:r w:rsidR="003F6F8A" w:rsidRPr="00F328CA">
        <w:rPr>
          <w:szCs w:val="22"/>
        </w:rPr>
        <w:t xml:space="preserve">n 1999 la tasa global de fecundidad fue de 2.86 </w:t>
      </w:r>
      <w:r w:rsidR="00543C17">
        <w:rPr>
          <w:szCs w:val="22"/>
        </w:rPr>
        <w:t xml:space="preserve">y se redujo a </w:t>
      </w:r>
      <w:r w:rsidR="003F6F8A" w:rsidRPr="00F328CA">
        <w:rPr>
          <w:szCs w:val="22"/>
        </w:rPr>
        <w:t>1.88</w:t>
      </w:r>
      <w:r w:rsidR="00F328CA" w:rsidRPr="00F328CA">
        <w:rPr>
          <w:szCs w:val="22"/>
        </w:rPr>
        <w:t xml:space="preserve"> hijos por cada  mujer</w:t>
      </w:r>
      <w:r w:rsidR="00F328CA">
        <w:rPr>
          <w:szCs w:val="22"/>
        </w:rPr>
        <w:t xml:space="preserve"> en 2019</w:t>
      </w:r>
      <w:r w:rsidR="003F6F8A" w:rsidRPr="00F328CA">
        <w:rPr>
          <w:szCs w:val="22"/>
        </w:rPr>
        <w:t xml:space="preserve">. </w:t>
      </w:r>
    </w:p>
    <w:p w14:paraId="63A32C47" w14:textId="77777777" w:rsidR="00543C17" w:rsidRPr="00F328CA" w:rsidRDefault="00543C17" w:rsidP="00543C17">
      <w:pPr>
        <w:pStyle w:val="Textoindependiente"/>
        <w:autoSpaceDE w:val="0"/>
        <w:autoSpaceDN w:val="0"/>
        <w:adjustRightInd w:val="0"/>
        <w:ind w:left="-567" w:right="108"/>
        <w:rPr>
          <w:szCs w:val="22"/>
        </w:rPr>
      </w:pPr>
    </w:p>
    <w:p w14:paraId="65E0ACF4" w14:textId="631003E4" w:rsidR="006B0515" w:rsidRPr="003F6F8A" w:rsidRDefault="003F6F8A" w:rsidP="00543C17">
      <w:pPr>
        <w:pStyle w:val="Textoindependiente"/>
        <w:autoSpaceDE w:val="0"/>
        <w:autoSpaceDN w:val="0"/>
        <w:adjustRightInd w:val="0"/>
        <w:ind w:left="-567" w:right="108"/>
        <w:rPr>
          <w:bCs/>
          <w:szCs w:val="22"/>
        </w:rPr>
      </w:pPr>
      <w:r w:rsidRPr="00A06FD3">
        <w:rPr>
          <w:szCs w:val="22"/>
        </w:rPr>
        <w:t xml:space="preserve">En particular, </w:t>
      </w:r>
      <w:r w:rsidR="006B0515" w:rsidRPr="00A06FD3">
        <w:rPr>
          <w:bCs/>
          <w:szCs w:val="22"/>
        </w:rPr>
        <w:t xml:space="preserve">la TGF </w:t>
      </w:r>
      <w:r w:rsidRPr="00A06FD3">
        <w:rPr>
          <w:bCs/>
          <w:szCs w:val="22"/>
        </w:rPr>
        <w:t>p</w:t>
      </w:r>
      <w:r w:rsidR="006B0515" w:rsidRPr="00A06FD3">
        <w:rPr>
          <w:bCs/>
          <w:szCs w:val="22"/>
        </w:rPr>
        <w:t xml:space="preserve">ara las mujeres que hablan lengua indígena </w:t>
      </w:r>
      <w:r w:rsidR="00CE21AF" w:rsidRPr="00A06FD3">
        <w:rPr>
          <w:bCs/>
          <w:szCs w:val="22"/>
        </w:rPr>
        <w:t>fue</w:t>
      </w:r>
      <w:r w:rsidR="00564E53" w:rsidRPr="00A06FD3">
        <w:rPr>
          <w:bCs/>
          <w:szCs w:val="22"/>
        </w:rPr>
        <w:t xml:space="preserve"> de </w:t>
      </w:r>
      <w:r w:rsidR="006B0515" w:rsidRPr="00A06FD3">
        <w:rPr>
          <w:bCs/>
          <w:szCs w:val="22"/>
        </w:rPr>
        <w:t xml:space="preserve">2.85 </w:t>
      </w:r>
      <w:r w:rsidR="00CE21AF" w:rsidRPr="00A06FD3">
        <w:rPr>
          <w:bCs/>
          <w:szCs w:val="22"/>
        </w:rPr>
        <w:t xml:space="preserve">en 2019, </w:t>
      </w:r>
      <w:r w:rsidR="00CE21AF">
        <w:rPr>
          <w:bCs/>
          <w:szCs w:val="22"/>
        </w:rPr>
        <w:t xml:space="preserve">cifra menor a la de 1999 </w:t>
      </w:r>
      <w:r w:rsidR="00543C17">
        <w:rPr>
          <w:bCs/>
          <w:szCs w:val="22"/>
        </w:rPr>
        <w:t>que</w:t>
      </w:r>
      <w:r w:rsidR="00CE21AF">
        <w:rPr>
          <w:bCs/>
          <w:szCs w:val="22"/>
        </w:rPr>
        <w:t xml:space="preserve"> </w:t>
      </w:r>
      <w:r w:rsidR="002E7139" w:rsidRPr="00CE21AF">
        <w:rPr>
          <w:bCs/>
          <w:szCs w:val="22"/>
        </w:rPr>
        <w:t>fue de 4.</w:t>
      </w:r>
      <w:r w:rsidR="00A06FD3">
        <w:rPr>
          <w:bCs/>
          <w:szCs w:val="22"/>
        </w:rPr>
        <w:t>15</w:t>
      </w:r>
      <w:r w:rsidR="00CE21AF">
        <w:rPr>
          <w:bCs/>
          <w:szCs w:val="22"/>
        </w:rPr>
        <w:t xml:space="preserve"> </w:t>
      </w:r>
      <w:r w:rsidR="00CE21AF" w:rsidRPr="00A06FD3">
        <w:rPr>
          <w:bCs/>
          <w:szCs w:val="22"/>
        </w:rPr>
        <w:t xml:space="preserve">hijos por cada </w:t>
      </w:r>
      <w:r w:rsidR="00EC2751">
        <w:rPr>
          <w:bCs/>
          <w:szCs w:val="22"/>
        </w:rPr>
        <w:t>mujer</w:t>
      </w:r>
      <w:r w:rsidR="00CE21AF">
        <w:rPr>
          <w:bCs/>
          <w:szCs w:val="22"/>
        </w:rPr>
        <w:t>;</w:t>
      </w:r>
      <w:r w:rsidR="006B0515" w:rsidRPr="003F6F8A">
        <w:rPr>
          <w:bCs/>
          <w:szCs w:val="22"/>
        </w:rPr>
        <w:t xml:space="preserve"> mientras que </w:t>
      </w:r>
      <w:r w:rsidR="00CE21AF">
        <w:rPr>
          <w:bCs/>
          <w:szCs w:val="22"/>
        </w:rPr>
        <w:t xml:space="preserve">para </w:t>
      </w:r>
      <w:r w:rsidR="006B0515" w:rsidRPr="003F6F8A">
        <w:rPr>
          <w:bCs/>
          <w:szCs w:val="22"/>
        </w:rPr>
        <w:t xml:space="preserve">las mujeres que no son hablantes de lengua indígena </w:t>
      </w:r>
      <w:r w:rsidR="00CE21AF">
        <w:rPr>
          <w:bCs/>
          <w:szCs w:val="22"/>
        </w:rPr>
        <w:t xml:space="preserve">fue </w:t>
      </w:r>
      <w:r w:rsidR="006B0515" w:rsidRPr="003F6F8A">
        <w:rPr>
          <w:bCs/>
          <w:szCs w:val="22"/>
        </w:rPr>
        <w:t>de 1.82 hijos por mujer</w:t>
      </w:r>
      <w:r w:rsidR="002E7139">
        <w:rPr>
          <w:bCs/>
          <w:szCs w:val="22"/>
        </w:rPr>
        <w:t xml:space="preserve"> en 2019 y de 2.</w:t>
      </w:r>
      <w:r w:rsidR="00A06FD3">
        <w:rPr>
          <w:bCs/>
          <w:szCs w:val="22"/>
        </w:rPr>
        <w:t>76</w:t>
      </w:r>
      <w:r w:rsidR="00543C17">
        <w:rPr>
          <w:bCs/>
          <w:szCs w:val="22"/>
        </w:rPr>
        <w:t>,</w:t>
      </w:r>
      <w:r w:rsidR="00CE21AF">
        <w:rPr>
          <w:bCs/>
          <w:szCs w:val="22"/>
        </w:rPr>
        <w:t xml:space="preserve"> en 1999</w:t>
      </w:r>
      <w:r w:rsidR="006B0515" w:rsidRPr="003F6F8A">
        <w:rPr>
          <w:bCs/>
          <w:szCs w:val="22"/>
        </w:rPr>
        <w:t>.</w:t>
      </w:r>
    </w:p>
    <w:p w14:paraId="775806C5" w14:textId="77777777" w:rsidR="006B0515" w:rsidRDefault="006B0515" w:rsidP="00543C17">
      <w:pPr>
        <w:ind w:left="-567"/>
        <w:rPr>
          <w:rFonts w:cs="Arial"/>
          <w:bCs/>
          <w:szCs w:val="22"/>
        </w:rPr>
      </w:pPr>
    </w:p>
    <w:p w14:paraId="2D257414" w14:textId="77777777" w:rsidR="00543C17" w:rsidRDefault="006B0515" w:rsidP="00543C17">
      <w:pPr>
        <w:ind w:left="-567"/>
        <w:rPr>
          <w:rFonts w:cs="Arial"/>
          <w:bCs/>
          <w:szCs w:val="22"/>
        </w:rPr>
      </w:pPr>
      <w:r>
        <w:rPr>
          <w:rFonts w:cs="Arial"/>
          <w:bCs/>
          <w:szCs w:val="22"/>
        </w:rPr>
        <w:lastRenderedPageBreak/>
        <w:t xml:space="preserve">La tasa de fecundidad por edad </w:t>
      </w:r>
      <w:r w:rsidRPr="00CE21AF">
        <w:rPr>
          <w:rFonts w:cs="Arial"/>
          <w:bCs/>
          <w:szCs w:val="22"/>
        </w:rPr>
        <w:t>para 2019</w:t>
      </w:r>
      <w:r>
        <w:rPr>
          <w:rFonts w:cs="Arial"/>
          <w:bCs/>
          <w:szCs w:val="22"/>
        </w:rPr>
        <w:t xml:space="preserve"> muestra para las mujeres que hablan lengua indígena</w:t>
      </w:r>
      <w:r w:rsidR="00B018AE">
        <w:rPr>
          <w:rFonts w:cs="Arial"/>
          <w:bCs/>
          <w:szCs w:val="22"/>
        </w:rPr>
        <w:t xml:space="preserve"> </w:t>
      </w:r>
      <w:r>
        <w:rPr>
          <w:rFonts w:cs="Arial"/>
          <w:bCs/>
          <w:szCs w:val="22"/>
        </w:rPr>
        <w:t xml:space="preserve">una cúspide temprana que se centra en el grupo de 20 a 24 años. </w:t>
      </w:r>
    </w:p>
    <w:p w14:paraId="3CA6D96A" w14:textId="77777777" w:rsidR="0047746B" w:rsidRDefault="0047746B" w:rsidP="00543C17">
      <w:pPr>
        <w:ind w:left="-567"/>
        <w:rPr>
          <w:rFonts w:cs="Arial"/>
          <w:bCs/>
          <w:szCs w:val="22"/>
        </w:rPr>
      </w:pPr>
    </w:p>
    <w:p w14:paraId="0708B69F" w14:textId="187431CA" w:rsidR="006B0515" w:rsidRDefault="006B0515" w:rsidP="00543C17">
      <w:pPr>
        <w:ind w:left="-567"/>
        <w:rPr>
          <w:rFonts w:cs="Arial"/>
          <w:bCs/>
          <w:szCs w:val="22"/>
        </w:rPr>
      </w:pPr>
      <w:r>
        <w:rPr>
          <w:rFonts w:cs="Arial"/>
          <w:bCs/>
          <w:szCs w:val="22"/>
        </w:rPr>
        <w:t>Por el contrario, en las mujeres que no hablan lengua indígena</w:t>
      </w:r>
      <w:r w:rsidR="006F4B44">
        <w:rPr>
          <w:rFonts w:cs="Arial"/>
          <w:bCs/>
          <w:szCs w:val="22"/>
        </w:rPr>
        <w:t>,</w:t>
      </w:r>
      <w:r>
        <w:rPr>
          <w:rFonts w:cs="Arial"/>
          <w:bCs/>
          <w:szCs w:val="22"/>
        </w:rPr>
        <w:t xml:space="preserve"> se observa una cúspide dilatada que se centra en los grupos quinquenales de 20 a 24 y 25 a 29 años, </w:t>
      </w:r>
      <w:r w:rsidR="006F4B44">
        <w:rPr>
          <w:rFonts w:cs="Arial"/>
          <w:bCs/>
          <w:szCs w:val="22"/>
        </w:rPr>
        <w:t xml:space="preserve">lo que </w:t>
      </w:r>
      <w:r>
        <w:rPr>
          <w:rFonts w:cs="Arial"/>
          <w:bCs/>
          <w:szCs w:val="22"/>
        </w:rPr>
        <w:t xml:space="preserve">indica una transición </w:t>
      </w:r>
      <w:r w:rsidR="006F4B44">
        <w:rPr>
          <w:rFonts w:cs="Arial"/>
          <w:bCs/>
          <w:szCs w:val="22"/>
        </w:rPr>
        <w:t xml:space="preserve">en la cual </w:t>
      </w:r>
      <w:r>
        <w:rPr>
          <w:rFonts w:cs="Arial"/>
          <w:bCs/>
          <w:szCs w:val="22"/>
        </w:rPr>
        <w:t xml:space="preserve">la fecundidad </w:t>
      </w:r>
      <w:r w:rsidR="00B018AE">
        <w:rPr>
          <w:rFonts w:cs="Arial"/>
          <w:bCs/>
          <w:szCs w:val="22"/>
        </w:rPr>
        <w:t>se distribuye en un rango de edad más amplio</w:t>
      </w:r>
      <w:r>
        <w:rPr>
          <w:rFonts w:cs="Arial"/>
          <w:bCs/>
          <w:szCs w:val="22"/>
        </w:rPr>
        <w:t>.</w:t>
      </w:r>
    </w:p>
    <w:p w14:paraId="192F082E" w14:textId="77777777" w:rsidR="009475CF" w:rsidRDefault="009475CF" w:rsidP="00543C17">
      <w:pPr>
        <w:ind w:left="-567"/>
        <w:rPr>
          <w:rFonts w:cs="Arial"/>
          <w:bCs/>
          <w:szCs w:val="22"/>
        </w:rPr>
      </w:pPr>
    </w:p>
    <w:p w14:paraId="1FD3BB45" w14:textId="11251B57" w:rsidR="006B0515" w:rsidRDefault="006B0515" w:rsidP="00543C17">
      <w:pPr>
        <w:ind w:left="-567"/>
        <w:rPr>
          <w:rFonts w:cs="Arial"/>
          <w:szCs w:val="22"/>
        </w:rPr>
      </w:pPr>
      <w:r>
        <w:rPr>
          <w:rFonts w:cs="Arial"/>
          <w:szCs w:val="22"/>
        </w:rPr>
        <w:t>En las adolescentes que hablan lengua indígena, la tasa de fecundidad</w:t>
      </w:r>
      <w:r w:rsidR="00EC2751">
        <w:rPr>
          <w:rFonts w:cs="Arial"/>
          <w:szCs w:val="22"/>
        </w:rPr>
        <w:t xml:space="preserve"> específicas por edad</w:t>
      </w:r>
      <w:r>
        <w:rPr>
          <w:rFonts w:cs="Arial"/>
          <w:szCs w:val="22"/>
        </w:rPr>
        <w:t xml:space="preserve"> </w:t>
      </w:r>
      <w:r w:rsidR="00A06FD3">
        <w:rPr>
          <w:rFonts w:cs="Arial"/>
          <w:szCs w:val="22"/>
        </w:rPr>
        <w:t>fue</w:t>
      </w:r>
      <w:r>
        <w:rPr>
          <w:rFonts w:cs="Arial"/>
          <w:szCs w:val="22"/>
        </w:rPr>
        <w:t xml:space="preserve"> de 73.</w:t>
      </w:r>
      <w:r w:rsidR="00B02068">
        <w:rPr>
          <w:rFonts w:cs="Arial"/>
          <w:szCs w:val="22"/>
        </w:rPr>
        <w:t>46</w:t>
      </w:r>
      <w:r>
        <w:rPr>
          <w:rFonts w:cs="Arial"/>
          <w:szCs w:val="22"/>
        </w:rPr>
        <w:t xml:space="preserve"> hijos por cada mil mujeres de 15 a 19 años, dato que contrasta </w:t>
      </w:r>
      <w:r w:rsidR="006F4B44">
        <w:rPr>
          <w:rFonts w:cs="Arial"/>
          <w:szCs w:val="22"/>
        </w:rPr>
        <w:t xml:space="preserve">con </w:t>
      </w:r>
      <w:r>
        <w:rPr>
          <w:rFonts w:cs="Arial"/>
          <w:szCs w:val="22"/>
        </w:rPr>
        <w:t>respecto a la fecundidad de las adolescentes que no hablan lengua indígena (41.</w:t>
      </w:r>
      <w:r w:rsidR="00B02068">
        <w:rPr>
          <w:rFonts w:cs="Arial"/>
          <w:szCs w:val="22"/>
        </w:rPr>
        <w:t>15</w:t>
      </w:r>
      <w:r>
        <w:rPr>
          <w:rFonts w:cs="Arial"/>
          <w:szCs w:val="22"/>
        </w:rPr>
        <w:t xml:space="preserve"> por cada mil). Según reportes internacionales</w:t>
      </w:r>
      <w:r w:rsidR="006F4B44">
        <w:rPr>
          <w:rFonts w:cs="Arial"/>
          <w:szCs w:val="22"/>
        </w:rPr>
        <w:t>,</w:t>
      </w:r>
      <w:r>
        <w:rPr>
          <w:rFonts w:cs="Arial"/>
          <w:szCs w:val="22"/>
        </w:rPr>
        <w:t xml:space="preserve"> l</w:t>
      </w:r>
      <w:r w:rsidRPr="00CC107C">
        <w:rPr>
          <w:rFonts w:cs="Arial"/>
          <w:szCs w:val="22"/>
        </w:rPr>
        <w:t>as madres adolescentes tienen mayor probabilidad de enfrentarse a situaciones que vulneran sus derechos como es la violencia</w:t>
      </w:r>
      <w:r w:rsidR="005A43B2">
        <w:rPr>
          <w:rFonts w:cs="Arial"/>
          <w:szCs w:val="22"/>
        </w:rPr>
        <w:t xml:space="preserve">, y </w:t>
      </w:r>
      <w:r>
        <w:rPr>
          <w:rFonts w:cs="Arial"/>
          <w:szCs w:val="22"/>
        </w:rPr>
        <w:t>son más propensas a repetir ciclos de</w:t>
      </w:r>
      <w:r w:rsidRPr="00CC107C">
        <w:rPr>
          <w:rFonts w:cs="Arial"/>
          <w:szCs w:val="22"/>
        </w:rPr>
        <w:t xml:space="preserve"> pobreza</w:t>
      </w:r>
      <w:r w:rsidR="003A78A8">
        <w:rPr>
          <w:rFonts w:cs="Arial"/>
          <w:szCs w:val="22"/>
        </w:rPr>
        <w:t>.</w:t>
      </w:r>
      <w:r w:rsidR="002E5D1A">
        <w:rPr>
          <w:rStyle w:val="Refdenotaalpie"/>
          <w:rFonts w:cs="Arial"/>
          <w:szCs w:val="22"/>
        </w:rPr>
        <w:footnoteReference w:id="4"/>
      </w:r>
    </w:p>
    <w:p w14:paraId="18C3F80C" w14:textId="77777777" w:rsidR="006B0515" w:rsidRPr="00CC107C" w:rsidRDefault="006B0515" w:rsidP="006B0515">
      <w:pPr>
        <w:ind w:left="-567"/>
        <w:rPr>
          <w:rFonts w:cs="Arial"/>
          <w:szCs w:val="22"/>
        </w:rPr>
      </w:pPr>
    </w:p>
    <w:p w14:paraId="3F23D433" w14:textId="77777777" w:rsidR="006B0515" w:rsidRDefault="006B0515" w:rsidP="006B0515">
      <w:pPr>
        <w:autoSpaceDE w:val="0"/>
        <w:autoSpaceDN w:val="0"/>
        <w:adjustRightInd w:val="0"/>
        <w:ind w:left="709"/>
        <w:rPr>
          <w:rFonts w:eastAsiaTheme="minorHAnsi"/>
          <w:b/>
          <w:sz w:val="20"/>
          <w:szCs w:val="20"/>
          <w:lang w:eastAsia="en-US"/>
        </w:rPr>
      </w:pPr>
      <w:r w:rsidRPr="008E212D">
        <w:rPr>
          <w:rFonts w:eastAsiaTheme="minorHAnsi"/>
          <w:b/>
          <w:sz w:val="20"/>
          <w:szCs w:val="20"/>
          <w:lang w:eastAsia="en-US"/>
        </w:rPr>
        <w:t>Tasa de fecundidad por edad</w:t>
      </w:r>
      <w:r w:rsidRPr="001201AF">
        <w:rPr>
          <w:rFonts w:eastAsiaTheme="minorHAnsi"/>
          <w:b/>
          <w:sz w:val="20"/>
          <w:szCs w:val="20"/>
          <w:vertAlign w:val="superscript"/>
          <w:lang w:eastAsia="en-US"/>
        </w:rPr>
        <w:t>1</w:t>
      </w:r>
      <w:r w:rsidRPr="008E212D">
        <w:rPr>
          <w:rFonts w:eastAsiaTheme="minorHAnsi"/>
          <w:b/>
          <w:sz w:val="20"/>
          <w:szCs w:val="20"/>
          <w:lang w:eastAsia="en-US"/>
        </w:rPr>
        <w:t xml:space="preserve"> </w:t>
      </w:r>
      <w:r>
        <w:rPr>
          <w:rFonts w:eastAsiaTheme="minorHAnsi"/>
          <w:b/>
          <w:sz w:val="20"/>
          <w:szCs w:val="20"/>
          <w:lang w:eastAsia="en-US"/>
        </w:rPr>
        <w:t>de las mujeres en edad fértil por</w:t>
      </w:r>
      <w:r w:rsidRPr="008E212D">
        <w:rPr>
          <w:rFonts w:eastAsiaTheme="minorHAnsi"/>
          <w:b/>
          <w:sz w:val="20"/>
          <w:szCs w:val="20"/>
          <w:lang w:eastAsia="en-US"/>
        </w:rPr>
        <w:t xml:space="preserve"> condición</w:t>
      </w:r>
    </w:p>
    <w:p w14:paraId="5C906F42" w14:textId="77777777" w:rsidR="006B0515" w:rsidRDefault="006B0515" w:rsidP="006B0515">
      <w:pPr>
        <w:autoSpaceDE w:val="0"/>
        <w:autoSpaceDN w:val="0"/>
        <w:adjustRightInd w:val="0"/>
        <w:ind w:left="709"/>
        <w:rPr>
          <w:rFonts w:eastAsiaTheme="minorHAnsi"/>
          <w:b/>
          <w:sz w:val="20"/>
          <w:szCs w:val="20"/>
          <w:lang w:eastAsia="en-US"/>
        </w:rPr>
      </w:pPr>
      <w:r>
        <w:rPr>
          <w:rFonts w:eastAsiaTheme="minorHAnsi"/>
          <w:b/>
          <w:sz w:val="20"/>
          <w:szCs w:val="20"/>
          <w:lang w:eastAsia="en-US"/>
        </w:rPr>
        <w:t xml:space="preserve">de habla </w:t>
      </w:r>
      <w:r w:rsidRPr="008E212D">
        <w:rPr>
          <w:rFonts w:eastAsiaTheme="minorHAnsi"/>
          <w:b/>
          <w:sz w:val="20"/>
          <w:szCs w:val="20"/>
          <w:lang w:eastAsia="en-US"/>
        </w:rPr>
        <w:t>de lengua indígena</w:t>
      </w:r>
    </w:p>
    <w:p w14:paraId="2C0922CD" w14:textId="77777777" w:rsidR="006B0515" w:rsidRDefault="006B0515" w:rsidP="006B0515">
      <w:pPr>
        <w:autoSpaceDE w:val="0"/>
        <w:autoSpaceDN w:val="0"/>
        <w:adjustRightInd w:val="0"/>
        <w:ind w:left="709"/>
        <w:rPr>
          <w:rFonts w:eastAsiaTheme="minorHAnsi"/>
          <w:b/>
          <w:sz w:val="20"/>
          <w:szCs w:val="20"/>
          <w:lang w:eastAsia="en-US"/>
        </w:rPr>
      </w:pPr>
      <w:r>
        <w:rPr>
          <w:rFonts w:eastAsiaTheme="minorHAnsi"/>
          <w:b/>
          <w:sz w:val="20"/>
          <w:szCs w:val="20"/>
          <w:lang w:eastAsia="en-US"/>
        </w:rPr>
        <w:t>2019</w:t>
      </w:r>
    </w:p>
    <w:p w14:paraId="7588D48E" w14:textId="0103DE91" w:rsidR="006B0515" w:rsidRDefault="00BF5CF3" w:rsidP="006B0515">
      <w:pPr>
        <w:spacing w:after="200" w:line="276" w:lineRule="auto"/>
        <w:jc w:val="left"/>
        <w:rPr>
          <w:rFonts w:eastAsiaTheme="minorHAnsi"/>
          <w:bCs/>
          <w:sz w:val="16"/>
          <w:szCs w:val="16"/>
          <w:lang w:eastAsia="en-US"/>
        </w:rPr>
      </w:pPr>
      <w:r>
        <w:rPr>
          <w:noProof/>
          <w:lang w:val="es-MX" w:eastAsia="es-MX"/>
        </w:rPr>
        <w:drawing>
          <wp:inline distT="0" distB="0" distL="0" distR="0" wp14:anchorId="0C7E20BF" wp14:editId="7997CC9C">
            <wp:extent cx="4724400" cy="3028950"/>
            <wp:effectExtent l="0" t="0" r="0" b="0"/>
            <wp:docPr id="8" name="Gráfico 8">
              <a:extLst xmlns:a="http://schemas.openxmlformats.org/drawingml/2006/main">
                <a:ext uri="{FF2B5EF4-FFF2-40B4-BE49-F238E27FC236}">
                  <a16:creationId xmlns:a16="http://schemas.microsoft.com/office/drawing/2014/main" id="{00000000-0008-0000-0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8906D6" w14:textId="77777777" w:rsidR="006B0515" w:rsidRPr="00882BED" w:rsidRDefault="006B0515" w:rsidP="006B0515">
      <w:pPr>
        <w:spacing w:line="276" w:lineRule="auto"/>
        <w:ind w:left="709"/>
        <w:rPr>
          <w:rFonts w:eastAsiaTheme="minorHAnsi"/>
          <w:bCs/>
          <w:sz w:val="16"/>
          <w:szCs w:val="16"/>
          <w:lang w:eastAsia="en-US"/>
        </w:rPr>
      </w:pPr>
      <w:r w:rsidRPr="00882BED">
        <w:rPr>
          <w:rFonts w:eastAsiaTheme="minorHAnsi"/>
          <w:bCs/>
          <w:sz w:val="16"/>
          <w:szCs w:val="16"/>
          <w:vertAlign w:val="superscript"/>
          <w:lang w:eastAsia="en-US"/>
        </w:rPr>
        <w:t>1</w:t>
      </w:r>
      <w:r w:rsidRPr="00882BED">
        <w:rPr>
          <w:rFonts w:eastAsiaTheme="minorHAnsi"/>
          <w:bCs/>
          <w:sz w:val="16"/>
          <w:szCs w:val="16"/>
          <w:lang w:eastAsia="en-US"/>
        </w:rPr>
        <w:t xml:space="preserve"> </w:t>
      </w:r>
      <w:proofErr w:type="gramStart"/>
      <w:r w:rsidRPr="00882BED">
        <w:rPr>
          <w:rFonts w:eastAsiaTheme="minorHAnsi"/>
          <w:bCs/>
          <w:sz w:val="16"/>
          <w:szCs w:val="16"/>
          <w:lang w:eastAsia="en-US"/>
        </w:rPr>
        <w:t>La</w:t>
      </w:r>
      <w:proofErr w:type="gramEnd"/>
      <w:r w:rsidRPr="00882BED">
        <w:rPr>
          <w:rFonts w:eastAsiaTheme="minorHAnsi"/>
          <w:bCs/>
          <w:sz w:val="16"/>
          <w:szCs w:val="16"/>
          <w:lang w:eastAsia="en-US"/>
        </w:rPr>
        <w:t xml:space="preserve"> tasa específica representa a los nacidos vivos por cada 1 000 mujeres.</w:t>
      </w:r>
    </w:p>
    <w:p w14:paraId="461A7310" w14:textId="77777777" w:rsidR="00F74BC1" w:rsidRDefault="006B0515" w:rsidP="00F74BC1">
      <w:pPr>
        <w:spacing w:line="276" w:lineRule="auto"/>
        <w:ind w:left="709" w:right="1559"/>
        <w:jc w:val="left"/>
        <w:rPr>
          <w:rFonts w:eastAsiaTheme="minorHAnsi"/>
          <w:bCs/>
          <w:sz w:val="16"/>
          <w:szCs w:val="16"/>
          <w:lang w:eastAsia="en-US"/>
        </w:rPr>
      </w:pPr>
      <w:r>
        <w:rPr>
          <w:rFonts w:eastAsiaTheme="minorHAnsi"/>
          <w:bCs/>
          <w:sz w:val="16"/>
          <w:szCs w:val="16"/>
          <w:lang w:eastAsia="en-US"/>
        </w:rPr>
        <w:t xml:space="preserve"> </w:t>
      </w:r>
      <w:r w:rsidRPr="004F796D">
        <w:rPr>
          <w:rFonts w:eastAsiaTheme="minorHAnsi"/>
          <w:bCs/>
          <w:sz w:val="16"/>
          <w:szCs w:val="16"/>
          <w:lang w:eastAsia="en-US"/>
        </w:rPr>
        <w:t xml:space="preserve">Fuente: INEGI. </w:t>
      </w:r>
      <w:r w:rsidRPr="00B771B6">
        <w:rPr>
          <w:rFonts w:eastAsiaTheme="minorHAnsi"/>
          <w:bCs/>
          <w:sz w:val="16"/>
          <w:szCs w:val="16"/>
          <w:lang w:eastAsia="en-US"/>
        </w:rPr>
        <w:t>Censo de Población y Vivienda 2020. Base de datos del cuestionario ampliado.</w:t>
      </w:r>
      <w:r>
        <w:rPr>
          <w:rFonts w:eastAsiaTheme="minorHAnsi"/>
          <w:bCs/>
          <w:sz w:val="16"/>
          <w:szCs w:val="16"/>
          <w:lang w:eastAsia="en-US"/>
        </w:rPr>
        <w:t xml:space="preserve"> </w:t>
      </w:r>
      <w:r w:rsidR="00F74BC1">
        <w:rPr>
          <w:rFonts w:eastAsiaTheme="minorHAnsi"/>
          <w:bCs/>
          <w:sz w:val="16"/>
          <w:szCs w:val="16"/>
          <w:lang w:eastAsia="en-US"/>
        </w:rPr>
        <w:t xml:space="preserve"> </w:t>
      </w:r>
    </w:p>
    <w:p w14:paraId="4C091075" w14:textId="108A13CB" w:rsidR="006B0515" w:rsidRPr="00B771B6" w:rsidRDefault="00F74BC1" w:rsidP="00F74BC1">
      <w:pPr>
        <w:spacing w:line="276" w:lineRule="auto"/>
        <w:ind w:left="709" w:right="1559"/>
        <w:jc w:val="left"/>
        <w:rPr>
          <w:rFonts w:eastAsiaTheme="minorHAnsi"/>
          <w:bCs/>
          <w:sz w:val="16"/>
          <w:szCs w:val="16"/>
          <w:lang w:eastAsia="en-US"/>
        </w:rPr>
      </w:pPr>
      <w:r>
        <w:rPr>
          <w:rFonts w:eastAsiaTheme="minorHAnsi"/>
          <w:bCs/>
          <w:sz w:val="16"/>
          <w:szCs w:val="16"/>
          <w:lang w:eastAsia="en-US"/>
        </w:rPr>
        <w:t xml:space="preserve">              </w:t>
      </w:r>
      <w:r w:rsidR="006B0515">
        <w:rPr>
          <w:rFonts w:eastAsiaTheme="minorHAnsi"/>
          <w:bCs/>
          <w:sz w:val="16"/>
          <w:szCs w:val="16"/>
          <w:lang w:eastAsia="en-US"/>
        </w:rPr>
        <w:t>SNIEG.</w:t>
      </w:r>
      <w:r>
        <w:rPr>
          <w:rFonts w:eastAsiaTheme="minorHAnsi"/>
          <w:bCs/>
          <w:sz w:val="16"/>
          <w:szCs w:val="16"/>
          <w:lang w:eastAsia="en-US"/>
        </w:rPr>
        <w:t xml:space="preserve"> </w:t>
      </w:r>
      <w:r w:rsidR="006B0515" w:rsidRPr="00B771B6">
        <w:rPr>
          <w:rFonts w:eastAsiaTheme="minorHAnsi"/>
          <w:bCs/>
          <w:sz w:val="16"/>
          <w:szCs w:val="16"/>
          <w:lang w:eastAsia="en-US"/>
        </w:rPr>
        <w:t xml:space="preserve">Información de </w:t>
      </w:r>
      <w:r w:rsidR="00404C0A">
        <w:rPr>
          <w:rFonts w:eastAsiaTheme="minorHAnsi"/>
          <w:bCs/>
          <w:sz w:val="16"/>
          <w:szCs w:val="16"/>
          <w:lang w:eastAsia="en-US"/>
        </w:rPr>
        <w:t>I</w:t>
      </w:r>
      <w:r w:rsidR="006B0515" w:rsidRPr="00B771B6">
        <w:rPr>
          <w:rFonts w:eastAsiaTheme="minorHAnsi"/>
          <w:bCs/>
          <w:sz w:val="16"/>
          <w:szCs w:val="16"/>
          <w:lang w:eastAsia="en-US"/>
        </w:rPr>
        <w:t>nterés Nacional.</w:t>
      </w:r>
    </w:p>
    <w:p w14:paraId="12C92FE0" w14:textId="77777777" w:rsidR="006B0515" w:rsidRPr="00A354A2" w:rsidRDefault="006B0515" w:rsidP="006B0515">
      <w:pPr>
        <w:ind w:left="-567"/>
        <w:rPr>
          <w:b/>
        </w:rPr>
      </w:pPr>
    </w:p>
    <w:p w14:paraId="4B3E4FE8" w14:textId="16E96FE9" w:rsidR="006B0515" w:rsidRDefault="006B0515" w:rsidP="00851E2F">
      <w:pPr>
        <w:ind w:left="-567"/>
        <w:rPr>
          <w:rFonts w:eastAsiaTheme="minorHAnsi"/>
          <w:szCs w:val="22"/>
          <w:lang w:eastAsia="en-US"/>
        </w:rPr>
      </w:pPr>
      <w:bookmarkStart w:id="1" w:name="_Hlk70685673"/>
      <w:r>
        <w:rPr>
          <w:rFonts w:eastAsiaTheme="minorHAnsi"/>
          <w:szCs w:val="22"/>
          <w:lang w:eastAsia="en-US"/>
        </w:rPr>
        <w:t xml:space="preserve">Otro indicador útil para analizar la trayectoria reproductiva de las </w:t>
      </w:r>
      <w:r w:rsidR="001C0BF3">
        <w:rPr>
          <w:rFonts w:eastAsiaTheme="minorHAnsi"/>
          <w:szCs w:val="22"/>
          <w:lang w:eastAsia="en-US"/>
        </w:rPr>
        <w:t>mujeres</w:t>
      </w:r>
      <w:r>
        <w:rPr>
          <w:rFonts w:eastAsiaTheme="minorHAnsi"/>
          <w:szCs w:val="22"/>
          <w:lang w:eastAsia="en-US"/>
        </w:rPr>
        <w:t xml:space="preserve"> es el </w:t>
      </w:r>
      <w:r w:rsidRPr="0098128B">
        <w:rPr>
          <w:rFonts w:eastAsiaTheme="minorHAnsi"/>
          <w:szCs w:val="22"/>
          <w:lang w:eastAsia="en-US"/>
        </w:rPr>
        <w:t>promedio de hijos nacidos vivos (PHNV)</w:t>
      </w:r>
      <w:r>
        <w:rPr>
          <w:rFonts w:eastAsiaTheme="minorHAnsi"/>
          <w:szCs w:val="22"/>
          <w:lang w:eastAsia="en-US"/>
        </w:rPr>
        <w:t xml:space="preserve">. </w:t>
      </w:r>
      <w:r w:rsidRPr="00CE21AF">
        <w:rPr>
          <w:rFonts w:eastAsiaTheme="minorHAnsi"/>
          <w:szCs w:val="22"/>
          <w:lang w:eastAsia="en-US"/>
        </w:rPr>
        <w:t>Este indicador muestra la fecundidad acumulada de las mujeres, por lo que en</w:t>
      </w:r>
      <w:r w:rsidRPr="005A43B2">
        <w:rPr>
          <w:rFonts w:eastAsiaTheme="minorHAnsi"/>
          <w:szCs w:val="22"/>
          <w:highlight w:val="yellow"/>
          <w:lang w:eastAsia="en-US"/>
        </w:rPr>
        <w:t xml:space="preserve"> </w:t>
      </w:r>
      <w:r w:rsidRPr="00CE21AF">
        <w:rPr>
          <w:rFonts w:eastAsiaTheme="minorHAnsi"/>
          <w:szCs w:val="22"/>
          <w:lang w:eastAsia="en-US"/>
        </w:rPr>
        <w:t>edades tempranas las diferencias son poco significativas en las mujeres que hablan o no una lengua indígena.</w:t>
      </w:r>
      <w:r>
        <w:rPr>
          <w:rFonts w:eastAsiaTheme="minorHAnsi"/>
          <w:szCs w:val="22"/>
          <w:lang w:eastAsia="en-US"/>
        </w:rPr>
        <w:t xml:space="preserve"> </w:t>
      </w:r>
    </w:p>
    <w:bookmarkEnd w:id="1"/>
    <w:p w14:paraId="308C6594" w14:textId="77777777" w:rsidR="006B0515" w:rsidRDefault="006B0515" w:rsidP="00851E2F">
      <w:pPr>
        <w:ind w:left="-567"/>
        <w:rPr>
          <w:rFonts w:eastAsiaTheme="minorHAnsi"/>
          <w:szCs w:val="22"/>
          <w:lang w:eastAsia="en-US"/>
        </w:rPr>
      </w:pPr>
    </w:p>
    <w:p w14:paraId="1521A0A1" w14:textId="1C2535AE" w:rsidR="006B0515" w:rsidRDefault="006B0515" w:rsidP="00851E2F">
      <w:pPr>
        <w:ind w:left="-567"/>
        <w:rPr>
          <w:rFonts w:eastAsiaTheme="minorHAnsi"/>
          <w:szCs w:val="22"/>
          <w:lang w:eastAsia="en-US"/>
        </w:rPr>
      </w:pPr>
      <w:r>
        <w:rPr>
          <w:rFonts w:eastAsiaTheme="minorHAnsi"/>
          <w:szCs w:val="22"/>
          <w:lang w:eastAsia="en-US"/>
        </w:rPr>
        <w:t xml:space="preserve">A partir de los 25 años </w:t>
      </w:r>
      <w:r w:rsidR="005A43B2">
        <w:rPr>
          <w:rFonts w:eastAsiaTheme="minorHAnsi"/>
          <w:szCs w:val="22"/>
          <w:lang w:eastAsia="en-US"/>
        </w:rPr>
        <w:t>la</w:t>
      </w:r>
      <w:r>
        <w:rPr>
          <w:rFonts w:eastAsiaTheme="minorHAnsi"/>
          <w:szCs w:val="22"/>
          <w:lang w:eastAsia="en-US"/>
        </w:rPr>
        <w:t xml:space="preserve"> brecha se hace más pronunciada, por lo que la paridad promedio de las mujeres al final de su vida reproductiva (45 a 49 años) es de </w:t>
      </w:r>
      <w:r w:rsidRPr="00AF2BE2">
        <w:rPr>
          <w:rFonts w:eastAsiaTheme="minorHAnsi"/>
          <w:szCs w:val="22"/>
          <w:lang w:eastAsia="en-US"/>
        </w:rPr>
        <w:t>3.9</w:t>
      </w:r>
      <w:r>
        <w:rPr>
          <w:rFonts w:eastAsiaTheme="minorHAnsi"/>
          <w:szCs w:val="22"/>
          <w:lang w:eastAsia="en-US"/>
        </w:rPr>
        <w:t xml:space="preserve"> hijos en aquellas que hablan lengua indígena y </w:t>
      </w:r>
      <w:r w:rsidRPr="00AF2BE2">
        <w:rPr>
          <w:rFonts w:eastAsiaTheme="minorHAnsi"/>
          <w:szCs w:val="22"/>
          <w:lang w:eastAsia="en-US"/>
        </w:rPr>
        <w:t xml:space="preserve">de 2.5 hijos en las que no </w:t>
      </w:r>
      <w:r w:rsidR="007E1370">
        <w:rPr>
          <w:rFonts w:eastAsiaTheme="minorHAnsi"/>
          <w:szCs w:val="22"/>
          <w:lang w:eastAsia="en-US"/>
        </w:rPr>
        <w:t xml:space="preserve">tienen dicha </w:t>
      </w:r>
      <w:r w:rsidRPr="00AF2BE2">
        <w:rPr>
          <w:rFonts w:eastAsiaTheme="minorHAnsi"/>
          <w:szCs w:val="22"/>
          <w:lang w:eastAsia="en-US"/>
        </w:rPr>
        <w:t xml:space="preserve">condición. </w:t>
      </w:r>
    </w:p>
    <w:p w14:paraId="461C0D5D" w14:textId="77777777" w:rsidR="006B0515" w:rsidRDefault="006B0515" w:rsidP="006B0515">
      <w:pPr>
        <w:ind w:left="-567"/>
        <w:rPr>
          <w:rFonts w:eastAsiaTheme="minorHAnsi"/>
          <w:szCs w:val="22"/>
          <w:lang w:eastAsia="en-US"/>
        </w:rPr>
      </w:pPr>
    </w:p>
    <w:p w14:paraId="3D399090" w14:textId="3AFB5A3B" w:rsidR="006B0515" w:rsidRDefault="006B0515" w:rsidP="006B0515">
      <w:pPr>
        <w:ind w:left="-567"/>
        <w:rPr>
          <w:rFonts w:eastAsiaTheme="minorHAnsi"/>
          <w:szCs w:val="22"/>
          <w:lang w:eastAsia="en-US"/>
        </w:rPr>
      </w:pPr>
    </w:p>
    <w:p w14:paraId="7B54AD39" w14:textId="77777777" w:rsidR="006B0515" w:rsidRDefault="006B0515" w:rsidP="002E5D1A">
      <w:pPr>
        <w:rPr>
          <w:rFonts w:eastAsiaTheme="minorHAnsi"/>
          <w:szCs w:val="22"/>
          <w:lang w:eastAsia="en-US"/>
        </w:rPr>
      </w:pPr>
    </w:p>
    <w:p w14:paraId="6D31490E" w14:textId="733921ED" w:rsidR="006B0515" w:rsidRDefault="006B0515" w:rsidP="001C0BF3">
      <w:pPr>
        <w:ind w:left="709"/>
        <w:jc w:val="left"/>
        <w:rPr>
          <w:rFonts w:cs="Arial"/>
          <w:b/>
          <w:bCs/>
          <w:color w:val="000000"/>
          <w:sz w:val="20"/>
          <w:szCs w:val="20"/>
          <w:lang w:val="es-MX" w:eastAsia="en-US"/>
        </w:rPr>
      </w:pPr>
      <w:r w:rsidRPr="00752B80">
        <w:rPr>
          <w:rFonts w:cs="Arial"/>
          <w:b/>
          <w:bCs/>
          <w:color w:val="000000"/>
          <w:sz w:val="20"/>
          <w:szCs w:val="20"/>
          <w:lang w:val="es-MX" w:eastAsia="en-US"/>
        </w:rPr>
        <w:t xml:space="preserve">Promedio de hijos nacidos vivos </w:t>
      </w:r>
      <w:r>
        <w:rPr>
          <w:rFonts w:cs="Arial"/>
          <w:b/>
          <w:bCs/>
          <w:color w:val="000000"/>
          <w:sz w:val="20"/>
          <w:szCs w:val="20"/>
          <w:lang w:val="es-MX" w:eastAsia="en-US"/>
        </w:rPr>
        <w:t xml:space="preserve">de las mujeres de 15 años y más por </w:t>
      </w:r>
      <w:r w:rsidRPr="00752B80">
        <w:rPr>
          <w:rFonts w:cs="Arial"/>
          <w:b/>
          <w:bCs/>
          <w:color w:val="000000"/>
          <w:sz w:val="20"/>
          <w:szCs w:val="20"/>
          <w:lang w:val="es-MX" w:eastAsia="en-US"/>
        </w:rPr>
        <w:t>grupos</w:t>
      </w:r>
    </w:p>
    <w:p w14:paraId="415D4004" w14:textId="1042011F" w:rsidR="006B0515" w:rsidRPr="00752B80" w:rsidRDefault="006B0515" w:rsidP="001C0BF3">
      <w:pPr>
        <w:ind w:left="709"/>
        <w:jc w:val="left"/>
        <w:rPr>
          <w:rFonts w:eastAsiaTheme="minorHAnsi"/>
          <w:szCs w:val="22"/>
          <w:lang w:eastAsia="en-US"/>
        </w:rPr>
      </w:pPr>
      <w:r w:rsidRPr="00752B80">
        <w:rPr>
          <w:rFonts w:cs="Arial"/>
          <w:b/>
          <w:bCs/>
          <w:color w:val="000000"/>
          <w:sz w:val="20"/>
          <w:szCs w:val="20"/>
          <w:lang w:val="es-MX" w:eastAsia="en-US"/>
        </w:rPr>
        <w:t>de edad según condición</w:t>
      </w:r>
      <w:r>
        <w:rPr>
          <w:rFonts w:cs="Arial"/>
          <w:b/>
          <w:bCs/>
          <w:color w:val="000000"/>
          <w:sz w:val="20"/>
          <w:szCs w:val="20"/>
          <w:lang w:val="es-MX" w:eastAsia="en-US"/>
        </w:rPr>
        <w:t xml:space="preserve"> </w:t>
      </w:r>
      <w:r w:rsidRPr="00752B80">
        <w:rPr>
          <w:rFonts w:cs="Arial"/>
          <w:b/>
          <w:bCs/>
          <w:color w:val="000000"/>
          <w:sz w:val="20"/>
          <w:szCs w:val="20"/>
          <w:lang w:val="es-MX" w:eastAsia="en-US"/>
        </w:rPr>
        <w:t xml:space="preserve">de habla de lengua </w:t>
      </w:r>
      <w:r>
        <w:rPr>
          <w:rFonts w:cs="Arial"/>
          <w:b/>
          <w:bCs/>
          <w:color w:val="000000"/>
          <w:sz w:val="20"/>
          <w:szCs w:val="20"/>
          <w:lang w:val="es-MX" w:eastAsia="en-US"/>
        </w:rPr>
        <w:t>indígena</w:t>
      </w:r>
      <w:r w:rsidR="001C0BF3">
        <w:rPr>
          <w:rFonts w:cs="Arial"/>
          <w:b/>
          <w:bCs/>
          <w:color w:val="000000"/>
          <w:sz w:val="20"/>
          <w:szCs w:val="20"/>
          <w:lang w:val="es-MX" w:eastAsia="en-US"/>
        </w:rPr>
        <w:t xml:space="preserve">, </w:t>
      </w:r>
      <w:r>
        <w:rPr>
          <w:rFonts w:cs="Arial"/>
          <w:b/>
          <w:bCs/>
          <w:color w:val="000000"/>
          <w:sz w:val="20"/>
          <w:szCs w:val="20"/>
          <w:lang w:val="es-MX" w:eastAsia="en-US"/>
        </w:rPr>
        <w:t>2020</w:t>
      </w:r>
    </w:p>
    <w:p w14:paraId="316D9FBD" w14:textId="68765EA7" w:rsidR="006B0515" w:rsidRPr="00752B80" w:rsidRDefault="008D5271" w:rsidP="006B0515">
      <w:pPr>
        <w:ind w:left="-567"/>
        <w:rPr>
          <w:rFonts w:eastAsiaTheme="minorHAnsi"/>
          <w:szCs w:val="22"/>
          <w:lang w:val="es-MX" w:eastAsia="en-US"/>
        </w:rPr>
      </w:pPr>
      <w:r w:rsidRPr="008D5271">
        <w:rPr>
          <w:noProof/>
          <w:lang w:val="es-MX" w:eastAsia="es-MX"/>
        </w:rPr>
        <w:drawing>
          <wp:anchor distT="0" distB="0" distL="114300" distR="114300" simplePos="0" relativeHeight="251665408" behindDoc="0" locked="0" layoutInCell="1" allowOverlap="1" wp14:anchorId="46B84E3C" wp14:editId="524560A2">
            <wp:simplePos x="0" y="0"/>
            <wp:positionH relativeFrom="column">
              <wp:posOffset>472440</wp:posOffset>
            </wp:positionH>
            <wp:positionV relativeFrom="paragraph">
              <wp:posOffset>72390</wp:posOffset>
            </wp:positionV>
            <wp:extent cx="4800600" cy="240982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800600" cy="2409825"/>
                    </a:xfrm>
                    <a:prstGeom prst="rect">
                      <a:avLst/>
                    </a:prstGeom>
                  </pic:spPr>
                </pic:pic>
              </a:graphicData>
            </a:graphic>
            <wp14:sizeRelH relativeFrom="page">
              <wp14:pctWidth>0</wp14:pctWidth>
            </wp14:sizeRelH>
            <wp14:sizeRelV relativeFrom="page">
              <wp14:pctHeight>0</wp14:pctHeight>
            </wp14:sizeRelV>
          </wp:anchor>
        </w:drawing>
      </w:r>
    </w:p>
    <w:p w14:paraId="5595D7AC" w14:textId="61CA78A3" w:rsidR="006B0515" w:rsidRDefault="006B0515" w:rsidP="006B0515">
      <w:pPr>
        <w:ind w:left="-567"/>
        <w:rPr>
          <w:rFonts w:eastAsiaTheme="minorHAnsi"/>
          <w:szCs w:val="22"/>
          <w:lang w:eastAsia="en-US"/>
        </w:rPr>
      </w:pPr>
    </w:p>
    <w:p w14:paraId="707FBC4B" w14:textId="77777777" w:rsidR="006B0515" w:rsidRDefault="006B0515" w:rsidP="006B0515">
      <w:pPr>
        <w:ind w:left="-567"/>
        <w:rPr>
          <w:rFonts w:eastAsiaTheme="minorHAnsi"/>
          <w:szCs w:val="22"/>
          <w:lang w:eastAsia="en-US"/>
        </w:rPr>
      </w:pPr>
    </w:p>
    <w:p w14:paraId="6F678F24" w14:textId="77777777" w:rsidR="006B0515" w:rsidRDefault="006B0515" w:rsidP="006B0515">
      <w:pPr>
        <w:ind w:left="-567"/>
        <w:rPr>
          <w:rFonts w:eastAsiaTheme="minorHAnsi"/>
          <w:szCs w:val="22"/>
          <w:lang w:eastAsia="en-US"/>
        </w:rPr>
      </w:pPr>
    </w:p>
    <w:p w14:paraId="72EB48B1" w14:textId="77777777" w:rsidR="006B0515" w:rsidRDefault="006B0515" w:rsidP="006B0515">
      <w:pPr>
        <w:ind w:left="-567"/>
        <w:rPr>
          <w:rFonts w:eastAsiaTheme="minorHAnsi"/>
          <w:szCs w:val="22"/>
          <w:lang w:eastAsia="en-US"/>
        </w:rPr>
      </w:pPr>
    </w:p>
    <w:p w14:paraId="4750AECD" w14:textId="77777777" w:rsidR="006B0515" w:rsidRPr="0098128B" w:rsidRDefault="006B0515" w:rsidP="006B0515">
      <w:pPr>
        <w:ind w:left="-567"/>
        <w:rPr>
          <w:rFonts w:eastAsiaTheme="minorHAnsi"/>
          <w:szCs w:val="22"/>
          <w:lang w:eastAsia="en-US"/>
        </w:rPr>
      </w:pPr>
    </w:p>
    <w:p w14:paraId="7D4EDC17" w14:textId="77777777" w:rsidR="006B0515" w:rsidRPr="0098128B" w:rsidRDefault="006B0515" w:rsidP="006B0515">
      <w:pPr>
        <w:ind w:left="-567"/>
        <w:rPr>
          <w:rFonts w:cs="Arial"/>
          <w:bCs/>
          <w:szCs w:val="22"/>
          <w:lang w:val="es-MX"/>
        </w:rPr>
      </w:pPr>
    </w:p>
    <w:p w14:paraId="555E5497" w14:textId="77777777" w:rsidR="006B0515" w:rsidRDefault="006B0515" w:rsidP="006B0515">
      <w:pPr>
        <w:ind w:left="-567"/>
        <w:rPr>
          <w:rFonts w:cs="Arial"/>
          <w:szCs w:val="22"/>
        </w:rPr>
      </w:pPr>
    </w:p>
    <w:p w14:paraId="1EE016F9" w14:textId="77777777" w:rsidR="006B0515" w:rsidRDefault="006B0515" w:rsidP="006B0515">
      <w:pPr>
        <w:ind w:left="-567"/>
        <w:rPr>
          <w:rFonts w:cs="Arial"/>
          <w:szCs w:val="22"/>
        </w:rPr>
      </w:pPr>
    </w:p>
    <w:p w14:paraId="15DE1A70" w14:textId="77777777" w:rsidR="006B0515" w:rsidRDefault="006B0515" w:rsidP="006B0515">
      <w:pPr>
        <w:ind w:left="-567"/>
        <w:rPr>
          <w:rFonts w:cs="Arial"/>
          <w:szCs w:val="22"/>
        </w:rPr>
      </w:pPr>
    </w:p>
    <w:p w14:paraId="04A8F536" w14:textId="77777777" w:rsidR="006B0515" w:rsidRDefault="006B0515" w:rsidP="006B0515">
      <w:pPr>
        <w:ind w:left="-567"/>
        <w:rPr>
          <w:rFonts w:cs="Arial"/>
          <w:szCs w:val="22"/>
        </w:rPr>
      </w:pPr>
    </w:p>
    <w:p w14:paraId="60D3C6C5" w14:textId="77777777" w:rsidR="006B0515" w:rsidRDefault="006B0515" w:rsidP="006B0515">
      <w:pPr>
        <w:ind w:left="-567"/>
        <w:rPr>
          <w:rFonts w:cs="Arial"/>
          <w:szCs w:val="22"/>
        </w:rPr>
      </w:pPr>
    </w:p>
    <w:p w14:paraId="377D6F93" w14:textId="77777777" w:rsidR="006B0515" w:rsidRDefault="006B0515" w:rsidP="006B0515">
      <w:pPr>
        <w:ind w:left="-567"/>
        <w:rPr>
          <w:rFonts w:cs="Arial"/>
          <w:szCs w:val="22"/>
        </w:rPr>
      </w:pPr>
    </w:p>
    <w:p w14:paraId="622E257B" w14:textId="77777777" w:rsidR="006B0515" w:rsidRDefault="006B0515" w:rsidP="006B0515">
      <w:pPr>
        <w:ind w:left="-567"/>
        <w:rPr>
          <w:rFonts w:cs="Arial"/>
          <w:szCs w:val="22"/>
        </w:rPr>
      </w:pPr>
    </w:p>
    <w:p w14:paraId="1F60B9AD" w14:textId="77777777" w:rsidR="006B0515" w:rsidRDefault="006B0515" w:rsidP="006B0515">
      <w:pPr>
        <w:ind w:left="-567"/>
        <w:rPr>
          <w:rFonts w:cs="Arial"/>
          <w:szCs w:val="22"/>
        </w:rPr>
      </w:pPr>
    </w:p>
    <w:p w14:paraId="0EF340BA" w14:textId="77777777" w:rsidR="008D5271" w:rsidRDefault="006B0515" w:rsidP="006B0515">
      <w:pPr>
        <w:spacing w:line="276" w:lineRule="auto"/>
        <w:jc w:val="left"/>
        <w:rPr>
          <w:rFonts w:eastAsiaTheme="minorHAnsi"/>
          <w:bCs/>
          <w:sz w:val="16"/>
          <w:szCs w:val="16"/>
          <w:lang w:eastAsia="en-US"/>
        </w:rPr>
      </w:pPr>
      <w:r w:rsidRPr="00B771B6">
        <w:rPr>
          <w:rFonts w:eastAsiaTheme="minorHAnsi"/>
          <w:bCs/>
          <w:sz w:val="16"/>
          <w:szCs w:val="16"/>
          <w:lang w:eastAsia="en-US"/>
        </w:rPr>
        <w:t xml:space="preserve">                </w:t>
      </w:r>
    </w:p>
    <w:p w14:paraId="2206A3E0" w14:textId="2506D4C5" w:rsidR="006B0515" w:rsidRPr="00B771B6" w:rsidRDefault="006B0515" w:rsidP="00F74BC1">
      <w:pPr>
        <w:spacing w:line="276" w:lineRule="auto"/>
        <w:ind w:right="851" w:firstLine="708"/>
        <w:jc w:val="left"/>
        <w:rPr>
          <w:rFonts w:eastAsiaTheme="minorHAnsi"/>
          <w:bCs/>
          <w:sz w:val="16"/>
          <w:szCs w:val="16"/>
          <w:lang w:eastAsia="en-US"/>
        </w:rPr>
      </w:pPr>
      <w:r w:rsidRPr="00B771B6">
        <w:rPr>
          <w:rFonts w:eastAsiaTheme="minorHAnsi"/>
          <w:bCs/>
          <w:sz w:val="16"/>
          <w:szCs w:val="16"/>
          <w:lang w:eastAsia="en-US"/>
        </w:rPr>
        <w:t xml:space="preserve">Nota: Excluye a las mujeres que no especificaron si han tenido hijos nacidos vivos y a las que sí han tenido, </w:t>
      </w:r>
    </w:p>
    <w:p w14:paraId="73C986A3" w14:textId="77777777" w:rsidR="006B0515" w:rsidRDefault="006B0515" w:rsidP="006B0515">
      <w:pPr>
        <w:spacing w:line="276" w:lineRule="auto"/>
        <w:ind w:left="709"/>
        <w:jc w:val="left"/>
        <w:rPr>
          <w:rFonts w:eastAsiaTheme="minorHAnsi"/>
          <w:bCs/>
          <w:sz w:val="16"/>
          <w:szCs w:val="16"/>
          <w:lang w:eastAsia="en-US"/>
        </w:rPr>
      </w:pPr>
      <w:r w:rsidRPr="00B771B6">
        <w:rPr>
          <w:rFonts w:eastAsiaTheme="minorHAnsi"/>
          <w:bCs/>
          <w:sz w:val="16"/>
          <w:szCs w:val="16"/>
          <w:lang w:eastAsia="en-US"/>
        </w:rPr>
        <w:t xml:space="preserve">          pero no especificaron el total de ellos</w:t>
      </w:r>
      <w:r>
        <w:rPr>
          <w:rFonts w:eastAsiaTheme="minorHAnsi"/>
          <w:bCs/>
          <w:sz w:val="16"/>
          <w:szCs w:val="16"/>
          <w:lang w:eastAsia="en-US"/>
        </w:rPr>
        <w:t>.</w:t>
      </w:r>
    </w:p>
    <w:p w14:paraId="33527BBA" w14:textId="77777777" w:rsidR="00254C92" w:rsidRDefault="006B0515" w:rsidP="00254C92">
      <w:pPr>
        <w:spacing w:line="276" w:lineRule="auto"/>
        <w:ind w:left="709"/>
        <w:jc w:val="left"/>
        <w:rPr>
          <w:rFonts w:eastAsiaTheme="minorHAnsi"/>
          <w:bCs/>
          <w:sz w:val="16"/>
          <w:szCs w:val="16"/>
          <w:lang w:eastAsia="en-US"/>
        </w:rPr>
      </w:pPr>
      <w:r w:rsidRPr="00B771B6">
        <w:rPr>
          <w:rFonts w:eastAsiaTheme="minorHAnsi"/>
          <w:bCs/>
          <w:sz w:val="16"/>
          <w:szCs w:val="16"/>
          <w:lang w:eastAsia="en-US"/>
        </w:rPr>
        <w:t>Fuente: INEGI. Censo de Población y Vivienda 2020. Base de datos del cuestionario ampliado.</w:t>
      </w:r>
      <w:r>
        <w:rPr>
          <w:rFonts w:eastAsiaTheme="minorHAnsi"/>
          <w:bCs/>
          <w:sz w:val="16"/>
          <w:szCs w:val="16"/>
          <w:lang w:eastAsia="en-US"/>
        </w:rPr>
        <w:t xml:space="preserve"> SNIEG.</w:t>
      </w:r>
    </w:p>
    <w:p w14:paraId="297FD3CD" w14:textId="7E616EB3" w:rsidR="006B0515" w:rsidRPr="00B771B6" w:rsidRDefault="006B0515" w:rsidP="00254C92">
      <w:pPr>
        <w:spacing w:line="276" w:lineRule="auto"/>
        <w:ind w:left="1276"/>
        <w:jc w:val="left"/>
        <w:rPr>
          <w:rFonts w:eastAsiaTheme="minorHAnsi"/>
          <w:bCs/>
          <w:sz w:val="16"/>
          <w:szCs w:val="16"/>
          <w:lang w:eastAsia="en-US"/>
        </w:rPr>
      </w:pPr>
      <w:r w:rsidRPr="00B771B6">
        <w:rPr>
          <w:rFonts w:eastAsiaTheme="minorHAnsi"/>
          <w:bCs/>
          <w:sz w:val="16"/>
          <w:szCs w:val="16"/>
          <w:lang w:eastAsia="en-US"/>
        </w:rPr>
        <w:t xml:space="preserve">Información de </w:t>
      </w:r>
      <w:r w:rsidR="006F4B44">
        <w:rPr>
          <w:rFonts w:eastAsiaTheme="minorHAnsi"/>
          <w:bCs/>
          <w:sz w:val="16"/>
          <w:szCs w:val="16"/>
          <w:lang w:eastAsia="en-US"/>
        </w:rPr>
        <w:t>I</w:t>
      </w:r>
      <w:r w:rsidRPr="00B771B6">
        <w:rPr>
          <w:rFonts w:eastAsiaTheme="minorHAnsi"/>
          <w:bCs/>
          <w:sz w:val="16"/>
          <w:szCs w:val="16"/>
          <w:lang w:eastAsia="en-US"/>
        </w:rPr>
        <w:t>nterés Nacional.</w:t>
      </w:r>
    </w:p>
    <w:p w14:paraId="4E21F8C2" w14:textId="77777777" w:rsidR="006B0515" w:rsidRDefault="006B0515" w:rsidP="00851E2F">
      <w:pPr>
        <w:rPr>
          <w:b/>
        </w:rPr>
      </w:pPr>
    </w:p>
    <w:p w14:paraId="08510585" w14:textId="77777777" w:rsidR="006B0515" w:rsidRDefault="006B0515" w:rsidP="006B0515">
      <w:pPr>
        <w:ind w:left="-567"/>
        <w:rPr>
          <w:b/>
        </w:rPr>
      </w:pPr>
      <w:r w:rsidRPr="00A354A2">
        <w:rPr>
          <w:b/>
        </w:rPr>
        <w:t>SITUACIÓN CONYUGA</w:t>
      </w:r>
      <w:r>
        <w:rPr>
          <w:b/>
        </w:rPr>
        <w:t>L</w:t>
      </w:r>
    </w:p>
    <w:p w14:paraId="274D6708" w14:textId="64614C25" w:rsidR="006B0515" w:rsidRDefault="006B0515" w:rsidP="006B0515">
      <w:pPr>
        <w:ind w:left="-567"/>
        <w:rPr>
          <w:b/>
        </w:rPr>
      </w:pPr>
    </w:p>
    <w:p w14:paraId="5F765BB8" w14:textId="70D404AB" w:rsidR="006B0515" w:rsidRPr="00993D1F" w:rsidRDefault="006B0515" w:rsidP="006B0515">
      <w:pPr>
        <w:ind w:left="-567"/>
        <w:rPr>
          <w:rFonts w:eastAsiaTheme="minorHAnsi"/>
          <w:szCs w:val="22"/>
          <w:lang w:eastAsia="en-US"/>
        </w:rPr>
      </w:pPr>
      <w:r w:rsidRPr="00CE21AF">
        <w:rPr>
          <w:rFonts w:eastAsiaTheme="minorHAnsi"/>
          <w:szCs w:val="22"/>
          <w:lang w:eastAsia="en-US"/>
        </w:rPr>
        <w:t xml:space="preserve">De acuerdo </w:t>
      </w:r>
      <w:r w:rsidR="006F4B44" w:rsidRPr="00CE21AF">
        <w:rPr>
          <w:rFonts w:eastAsiaTheme="minorHAnsi"/>
          <w:szCs w:val="22"/>
          <w:lang w:eastAsia="en-US"/>
        </w:rPr>
        <w:t>con</w:t>
      </w:r>
      <w:r w:rsidRPr="00CE21AF">
        <w:rPr>
          <w:rFonts w:eastAsiaTheme="minorHAnsi"/>
          <w:szCs w:val="22"/>
          <w:lang w:eastAsia="en-US"/>
        </w:rPr>
        <w:t xml:space="preserve"> </w:t>
      </w:r>
      <w:r w:rsidR="00851E2F">
        <w:rPr>
          <w:rFonts w:eastAsiaTheme="minorHAnsi"/>
          <w:szCs w:val="22"/>
          <w:lang w:eastAsia="en-US"/>
        </w:rPr>
        <w:t>el Censo de población y Vivienda</w:t>
      </w:r>
      <w:r w:rsidRPr="00CE21AF">
        <w:rPr>
          <w:rFonts w:eastAsiaTheme="minorHAnsi"/>
          <w:szCs w:val="22"/>
          <w:lang w:eastAsia="en-US"/>
        </w:rPr>
        <w:t xml:space="preserve"> 2020</w:t>
      </w:r>
      <w:r w:rsidRPr="00993D1F">
        <w:rPr>
          <w:rFonts w:eastAsiaTheme="minorHAnsi"/>
          <w:szCs w:val="22"/>
          <w:lang w:eastAsia="en-US"/>
        </w:rPr>
        <w:t>, 47% de las mujeres de 15 años y más con al menos</w:t>
      </w:r>
      <w:r>
        <w:rPr>
          <w:rFonts w:eastAsiaTheme="minorHAnsi"/>
          <w:szCs w:val="22"/>
          <w:lang w:eastAsia="en-US"/>
        </w:rPr>
        <w:t xml:space="preserve"> un</w:t>
      </w:r>
      <w:r w:rsidRPr="00993D1F">
        <w:rPr>
          <w:rFonts w:eastAsiaTheme="minorHAnsi"/>
          <w:szCs w:val="22"/>
          <w:lang w:eastAsia="en-US"/>
        </w:rPr>
        <w:t xml:space="preserve"> hijo nacido vivo </w:t>
      </w:r>
      <w:r>
        <w:rPr>
          <w:rFonts w:eastAsiaTheme="minorHAnsi"/>
          <w:szCs w:val="22"/>
          <w:lang w:eastAsia="en-US"/>
        </w:rPr>
        <w:t>están</w:t>
      </w:r>
      <w:r w:rsidRPr="00993D1F">
        <w:rPr>
          <w:rFonts w:eastAsiaTheme="minorHAnsi"/>
          <w:szCs w:val="22"/>
          <w:lang w:eastAsia="en-US"/>
        </w:rPr>
        <w:t xml:space="preserve"> casadas</w:t>
      </w:r>
      <w:r w:rsidR="007E1370">
        <w:rPr>
          <w:rFonts w:eastAsiaTheme="minorHAnsi"/>
          <w:szCs w:val="22"/>
          <w:lang w:eastAsia="en-US"/>
        </w:rPr>
        <w:t xml:space="preserve">. En el caso de quienes hablan lengua indígena, 28% </w:t>
      </w:r>
      <w:r>
        <w:rPr>
          <w:rFonts w:eastAsiaTheme="minorHAnsi"/>
          <w:szCs w:val="22"/>
          <w:lang w:eastAsia="en-US"/>
        </w:rPr>
        <w:t xml:space="preserve">se encuentran </w:t>
      </w:r>
      <w:r w:rsidRPr="00993D1F">
        <w:rPr>
          <w:rFonts w:eastAsiaTheme="minorHAnsi"/>
          <w:szCs w:val="22"/>
          <w:lang w:eastAsia="en-US"/>
        </w:rPr>
        <w:t xml:space="preserve">en unión libre y </w:t>
      </w:r>
      <w:r w:rsidR="007E1370">
        <w:rPr>
          <w:rFonts w:eastAsiaTheme="minorHAnsi"/>
          <w:szCs w:val="22"/>
          <w:lang w:eastAsia="en-US"/>
        </w:rPr>
        <w:t>14% son</w:t>
      </w:r>
      <w:r w:rsidRPr="00993D1F">
        <w:rPr>
          <w:rFonts w:eastAsiaTheme="minorHAnsi"/>
          <w:szCs w:val="22"/>
          <w:lang w:eastAsia="en-US"/>
        </w:rPr>
        <w:t xml:space="preserve"> viudas</w:t>
      </w:r>
      <w:r w:rsidR="007E1370">
        <w:rPr>
          <w:rFonts w:eastAsiaTheme="minorHAnsi"/>
          <w:szCs w:val="22"/>
          <w:lang w:eastAsia="en-US"/>
        </w:rPr>
        <w:t>; e</w:t>
      </w:r>
      <w:r w:rsidRPr="00993D1F">
        <w:rPr>
          <w:rFonts w:eastAsiaTheme="minorHAnsi"/>
          <w:szCs w:val="22"/>
          <w:lang w:eastAsia="en-US"/>
        </w:rPr>
        <w:t xml:space="preserve">sta estructura </w:t>
      </w:r>
      <w:r>
        <w:rPr>
          <w:rFonts w:eastAsiaTheme="minorHAnsi"/>
          <w:szCs w:val="22"/>
          <w:lang w:eastAsia="en-US"/>
        </w:rPr>
        <w:t xml:space="preserve">es similar </w:t>
      </w:r>
      <w:r w:rsidRPr="00993D1F">
        <w:rPr>
          <w:rFonts w:eastAsiaTheme="minorHAnsi"/>
          <w:szCs w:val="22"/>
          <w:lang w:eastAsia="en-US"/>
        </w:rPr>
        <w:t>en las madres que no hablan lengua indígena, pero con un</w:t>
      </w:r>
      <w:r>
        <w:rPr>
          <w:rFonts w:eastAsiaTheme="minorHAnsi"/>
          <w:szCs w:val="22"/>
          <w:lang w:eastAsia="en-US"/>
        </w:rPr>
        <w:t xml:space="preserve"> </w:t>
      </w:r>
      <w:r w:rsidRPr="00993D1F">
        <w:rPr>
          <w:rFonts w:eastAsiaTheme="minorHAnsi"/>
          <w:szCs w:val="22"/>
          <w:lang w:eastAsia="en-US"/>
        </w:rPr>
        <w:t>porcentaje</w:t>
      </w:r>
      <w:r>
        <w:rPr>
          <w:rFonts w:eastAsiaTheme="minorHAnsi"/>
          <w:szCs w:val="22"/>
          <w:lang w:eastAsia="en-US"/>
        </w:rPr>
        <w:t xml:space="preserve"> menor</w:t>
      </w:r>
      <w:r w:rsidRPr="00993D1F">
        <w:rPr>
          <w:rFonts w:eastAsiaTheme="minorHAnsi"/>
          <w:szCs w:val="22"/>
          <w:lang w:eastAsia="en-US"/>
        </w:rPr>
        <w:t xml:space="preserve"> (22% en unión libre y 10% en las viudas)</w:t>
      </w:r>
      <w:r w:rsidR="007E1370">
        <w:rPr>
          <w:rFonts w:eastAsiaTheme="minorHAnsi"/>
          <w:szCs w:val="22"/>
          <w:lang w:eastAsia="en-US"/>
        </w:rPr>
        <w:t>.</w:t>
      </w:r>
    </w:p>
    <w:p w14:paraId="6D7FE134" w14:textId="77777777" w:rsidR="001C0BF3" w:rsidRDefault="001C0BF3" w:rsidP="001C0BF3">
      <w:pPr>
        <w:ind w:left="709"/>
        <w:jc w:val="left"/>
        <w:rPr>
          <w:rFonts w:cs="Arial"/>
          <w:b/>
          <w:bCs/>
          <w:color w:val="000000"/>
          <w:sz w:val="20"/>
          <w:szCs w:val="20"/>
          <w:lang w:val="es-MX" w:eastAsia="en-US"/>
        </w:rPr>
      </w:pPr>
    </w:p>
    <w:p w14:paraId="5A1DDC44" w14:textId="0FEF6199" w:rsidR="006B0515" w:rsidRDefault="006B0515" w:rsidP="001C0BF3">
      <w:pPr>
        <w:ind w:left="709"/>
        <w:jc w:val="left"/>
        <w:rPr>
          <w:rFonts w:cs="Arial"/>
          <w:b/>
          <w:bCs/>
          <w:color w:val="000000"/>
          <w:sz w:val="20"/>
          <w:szCs w:val="20"/>
          <w:lang w:val="es-MX" w:eastAsia="en-US"/>
        </w:rPr>
      </w:pPr>
      <w:r w:rsidRPr="00652270">
        <w:rPr>
          <w:rFonts w:cs="Arial"/>
          <w:b/>
          <w:bCs/>
          <w:color w:val="000000"/>
          <w:sz w:val="20"/>
          <w:szCs w:val="20"/>
          <w:lang w:val="es-MX" w:eastAsia="en-US"/>
        </w:rPr>
        <w:t>Distribución porcentual de mujeres de 15 años y más con al menos un hijo nacido</w:t>
      </w:r>
    </w:p>
    <w:p w14:paraId="4697F0C6" w14:textId="77777777" w:rsidR="006B0515" w:rsidRPr="00652270" w:rsidRDefault="006B0515" w:rsidP="001C0BF3">
      <w:pPr>
        <w:ind w:left="709"/>
        <w:jc w:val="left"/>
        <w:rPr>
          <w:rFonts w:cs="Arial"/>
          <w:b/>
          <w:bCs/>
          <w:color w:val="000000"/>
          <w:sz w:val="20"/>
          <w:szCs w:val="20"/>
          <w:lang w:val="es-MX" w:eastAsia="en-US"/>
        </w:rPr>
      </w:pPr>
      <w:r w:rsidRPr="00652270">
        <w:rPr>
          <w:rFonts w:cs="Arial"/>
          <w:b/>
          <w:bCs/>
          <w:color w:val="000000"/>
          <w:sz w:val="20"/>
          <w:szCs w:val="20"/>
          <w:lang w:val="es-MX" w:eastAsia="en-US"/>
        </w:rPr>
        <w:t>vivo por situación conyugal según condición de habla de lengua indígena</w:t>
      </w:r>
    </w:p>
    <w:p w14:paraId="4DFCAE20" w14:textId="77777777" w:rsidR="006B0515" w:rsidRPr="00652270" w:rsidRDefault="006B0515" w:rsidP="001C0BF3">
      <w:pPr>
        <w:ind w:left="709"/>
        <w:jc w:val="left"/>
        <w:rPr>
          <w:rFonts w:cs="Arial"/>
          <w:b/>
          <w:bCs/>
          <w:color w:val="000000"/>
          <w:sz w:val="20"/>
          <w:szCs w:val="20"/>
          <w:lang w:val="es-MX" w:eastAsia="en-US"/>
        </w:rPr>
      </w:pPr>
      <w:r w:rsidRPr="00652270">
        <w:rPr>
          <w:rFonts w:cs="Arial"/>
          <w:b/>
          <w:bCs/>
          <w:color w:val="000000"/>
          <w:sz w:val="20"/>
          <w:szCs w:val="20"/>
          <w:lang w:val="es-MX" w:eastAsia="en-US"/>
        </w:rPr>
        <w:t>2020</w:t>
      </w:r>
    </w:p>
    <w:p w14:paraId="71B0E56D" w14:textId="77777777" w:rsidR="006B0515" w:rsidRDefault="00A60E0E" w:rsidP="006B0515">
      <w:pPr>
        <w:ind w:left="-567"/>
        <w:rPr>
          <w:rFonts w:cs="Arial"/>
          <w:bCs/>
          <w:szCs w:val="22"/>
          <w:lang w:val="es-MX"/>
        </w:rPr>
      </w:pPr>
      <w:r>
        <w:rPr>
          <w:rFonts w:cs="Arial"/>
          <w:bCs/>
          <w:noProof/>
        </w:rPr>
        <w:object w:dxaOrig="1440" w:dyaOrig="1440" w14:anchorId="498A5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5.6pt;margin-top:1.8pt;width:370.5pt;height:202pt;z-index:251661312;mso-position-horizontal-relative:text;mso-position-vertical-relative:text">
            <v:imagedata r:id="rId10" o:title=""/>
            <w10:wrap type="square"/>
          </v:shape>
          <o:OLEObject Type="Embed" ProgID="PBrush" ShapeID="_x0000_s1028" DrawAspect="Content" ObjectID="_1682243226" r:id="rId11"/>
        </w:object>
      </w:r>
    </w:p>
    <w:p w14:paraId="2A5E84B4" w14:textId="77777777" w:rsidR="006B0515" w:rsidRPr="00210915" w:rsidRDefault="006B0515" w:rsidP="006B0515">
      <w:pPr>
        <w:tabs>
          <w:tab w:val="left" w:pos="851"/>
        </w:tabs>
        <w:ind w:left="-567"/>
        <w:rPr>
          <w:rFonts w:cs="Arial"/>
          <w:bCs/>
          <w:szCs w:val="22"/>
          <w:lang w:val="es-MX"/>
        </w:rPr>
      </w:pPr>
    </w:p>
    <w:p w14:paraId="0715BBD8" w14:textId="77777777" w:rsidR="006B0515" w:rsidRDefault="006B0515" w:rsidP="006B0515">
      <w:pPr>
        <w:ind w:left="-567"/>
        <w:rPr>
          <w:rFonts w:cs="Arial"/>
          <w:bCs/>
          <w:szCs w:val="22"/>
          <w:lang w:val="es-MX"/>
        </w:rPr>
      </w:pPr>
    </w:p>
    <w:p w14:paraId="67D407C3" w14:textId="77777777" w:rsidR="006B0515" w:rsidRDefault="006B0515" w:rsidP="006B0515">
      <w:pPr>
        <w:ind w:left="-567"/>
        <w:rPr>
          <w:rFonts w:cs="Arial"/>
          <w:bCs/>
          <w:szCs w:val="22"/>
          <w:lang w:val="es-MX"/>
        </w:rPr>
      </w:pPr>
    </w:p>
    <w:p w14:paraId="4C3AA9D1" w14:textId="77777777" w:rsidR="006B0515" w:rsidRDefault="006B0515" w:rsidP="006B0515">
      <w:pPr>
        <w:ind w:left="-567"/>
        <w:rPr>
          <w:rFonts w:cs="Arial"/>
          <w:bCs/>
          <w:szCs w:val="22"/>
          <w:lang w:val="es-MX"/>
        </w:rPr>
      </w:pPr>
    </w:p>
    <w:p w14:paraId="019198F0" w14:textId="77777777" w:rsidR="006B0515" w:rsidRDefault="006B0515" w:rsidP="006B0515">
      <w:pPr>
        <w:ind w:left="-567"/>
        <w:rPr>
          <w:rFonts w:cs="Arial"/>
          <w:bCs/>
          <w:szCs w:val="22"/>
          <w:lang w:val="es-MX"/>
        </w:rPr>
      </w:pPr>
    </w:p>
    <w:p w14:paraId="49A4D2C7" w14:textId="77777777" w:rsidR="006B0515" w:rsidRDefault="006B0515" w:rsidP="006B0515">
      <w:pPr>
        <w:ind w:left="-567"/>
        <w:rPr>
          <w:rFonts w:cs="Arial"/>
          <w:bCs/>
          <w:szCs w:val="22"/>
          <w:lang w:val="es-MX"/>
        </w:rPr>
      </w:pPr>
    </w:p>
    <w:p w14:paraId="533700D9" w14:textId="77777777" w:rsidR="006B0515" w:rsidRDefault="006B0515" w:rsidP="006B0515">
      <w:pPr>
        <w:ind w:left="-567"/>
        <w:rPr>
          <w:rFonts w:cs="Arial"/>
          <w:bCs/>
          <w:szCs w:val="22"/>
          <w:lang w:val="es-MX"/>
        </w:rPr>
      </w:pPr>
    </w:p>
    <w:p w14:paraId="00286100" w14:textId="77777777" w:rsidR="006B0515" w:rsidRDefault="006B0515" w:rsidP="006B0515">
      <w:pPr>
        <w:ind w:left="-567"/>
        <w:rPr>
          <w:rFonts w:cs="Arial"/>
          <w:bCs/>
          <w:szCs w:val="22"/>
          <w:lang w:val="es-MX"/>
        </w:rPr>
      </w:pPr>
    </w:p>
    <w:p w14:paraId="281DDA26" w14:textId="77777777" w:rsidR="006B0515" w:rsidRDefault="006B0515" w:rsidP="006B0515">
      <w:pPr>
        <w:ind w:left="-567"/>
        <w:rPr>
          <w:rFonts w:cs="Arial"/>
          <w:bCs/>
          <w:szCs w:val="22"/>
          <w:lang w:val="es-MX"/>
        </w:rPr>
      </w:pPr>
    </w:p>
    <w:p w14:paraId="1C46B089" w14:textId="77777777" w:rsidR="006B0515" w:rsidRDefault="006B0515" w:rsidP="006B0515">
      <w:pPr>
        <w:ind w:left="-567"/>
        <w:rPr>
          <w:rFonts w:cs="Arial"/>
          <w:bCs/>
          <w:szCs w:val="22"/>
          <w:lang w:val="es-MX"/>
        </w:rPr>
      </w:pPr>
    </w:p>
    <w:p w14:paraId="5EEF39A1" w14:textId="77777777" w:rsidR="006B0515" w:rsidRDefault="006B0515" w:rsidP="006B0515">
      <w:pPr>
        <w:ind w:left="-567"/>
        <w:rPr>
          <w:rFonts w:cs="Arial"/>
          <w:bCs/>
          <w:szCs w:val="22"/>
          <w:lang w:val="es-MX"/>
        </w:rPr>
      </w:pPr>
    </w:p>
    <w:p w14:paraId="1A82C8BB" w14:textId="77777777" w:rsidR="006B0515" w:rsidRDefault="006B0515" w:rsidP="006B0515">
      <w:pPr>
        <w:ind w:left="-567"/>
        <w:rPr>
          <w:rFonts w:cs="Arial"/>
          <w:bCs/>
          <w:szCs w:val="22"/>
          <w:lang w:val="es-MX"/>
        </w:rPr>
      </w:pPr>
    </w:p>
    <w:p w14:paraId="265B6F59" w14:textId="77777777" w:rsidR="006B0515" w:rsidRDefault="006B0515" w:rsidP="006B0515">
      <w:pPr>
        <w:ind w:left="-567"/>
        <w:rPr>
          <w:rFonts w:cs="Arial"/>
          <w:bCs/>
          <w:szCs w:val="22"/>
          <w:lang w:val="es-MX"/>
        </w:rPr>
      </w:pPr>
    </w:p>
    <w:p w14:paraId="1CCB72C4" w14:textId="77777777" w:rsidR="006B0515" w:rsidRDefault="006B0515" w:rsidP="006B0515">
      <w:pPr>
        <w:ind w:left="-567"/>
        <w:rPr>
          <w:rFonts w:cs="Arial"/>
          <w:bCs/>
          <w:szCs w:val="22"/>
          <w:lang w:val="es-MX"/>
        </w:rPr>
      </w:pPr>
    </w:p>
    <w:p w14:paraId="43FE7CFB" w14:textId="77777777" w:rsidR="006B0515" w:rsidRDefault="006B0515" w:rsidP="006B0515">
      <w:pPr>
        <w:spacing w:line="276" w:lineRule="auto"/>
        <w:ind w:left="-283" w:firstLine="992"/>
        <w:jc w:val="left"/>
        <w:rPr>
          <w:rFonts w:eastAsiaTheme="minorHAnsi"/>
          <w:bCs/>
          <w:sz w:val="16"/>
          <w:szCs w:val="16"/>
          <w:lang w:eastAsia="en-US"/>
        </w:rPr>
      </w:pPr>
    </w:p>
    <w:p w14:paraId="150D705E" w14:textId="77777777" w:rsidR="006B0515" w:rsidRDefault="006B0515" w:rsidP="006B0515">
      <w:pPr>
        <w:spacing w:line="276" w:lineRule="auto"/>
        <w:ind w:left="-283" w:firstLine="992"/>
        <w:jc w:val="left"/>
        <w:rPr>
          <w:rFonts w:eastAsiaTheme="minorHAnsi"/>
          <w:bCs/>
          <w:sz w:val="16"/>
          <w:szCs w:val="16"/>
          <w:lang w:eastAsia="en-US"/>
        </w:rPr>
      </w:pPr>
    </w:p>
    <w:p w14:paraId="5E85783A" w14:textId="77777777" w:rsidR="006B0515" w:rsidRPr="000562B0" w:rsidRDefault="006B0515" w:rsidP="006B0515">
      <w:pPr>
        <w:spacing w:line="276" w:lineRule="auto"/>
        <w:ind w:left="-283" w:firstLine="992"/>
        <w:jc w:val="left"/>
        <w:rPr>
          <w:rFonts w:eastAsiaTheme="minorHAnsi"/>
          <w:bCs/>
          <w:sz w:val="16"/>
          <w:szCs w:val="16"/>
          <w:lang w:eastAsia="en-US"/>
        </w:rPr>
      </w:pPr>
      <w:r w:rsidRPr="000562B0">
        <w:rPr>
          <w:rFonts w:eastAsiaTheme="minorHAnsi"/>
          <w:bCs/>
          <w:sz w:val="16"/>
          <w:szCs w:val="16"/>
          <w:lang w:eastAsia="en-US"/>
        </w:rPr>
        <w:t>Fuente: INEGI. Censo de Población y Vivienda 2020. Base de datos del cuestionario ampliado.</w:t>
      </w:r>
      <w:r>
        <w:rPr>
          <w:rFonts w:eastAsiaTheme="minorHAnsi"/>
          <w:bCs/>
          <w:sz w:val="16"/>
          <w:szCs w:val="16"/>
          <w:lang w:eastAsia="en-US"/>
        </w:rPr>
        <w:t xml:space="preserve"> SNIEG.</w:t>
      </w:r>
    </w:p>
    <w:p w14:paraId="416235CB" w14:textId="25E06618" w:rsidR="006B0515" w:rsidRPr="000562B0" w:rsidRDefault="006B0515" w:rsidP="00254C92">
      <w:pPr>
        <w:spacing w:line="276" w:lineRule="auto"/>
        <w:ind w:left="1276"/>
        <w:jc w:val="left"/>
        <w:rPr>
          <w:rFonts w:eastAsiaTheme="minorHAnsi"/>
          <w:bCs/>
          <w:sz w:val="16"/>
          <w:szCs w:val="16"/>
          <w:lang w:eastAsia="en-US"/>
        </w:rPr>
      </w:pPr>
      <w:r w:rsidRPr="000562B0">
        <w:rPr>
          <w:rFonts w:eastAsiaTheme="minorHAnsi"/>
          <w:bCs/>
          <w:sz w:val="16"/>
          <w:szCs w:val="16"/>
          <w:lang w:eastAsia="en-US"/>
        </w:rPr>
        <w:t xml:space="preserve">Información de </w:t>
      </w:r>
      <w:r w:rsidR="00404C0A">
        <w:rPr>
          <w:rFonts w:eastAsiaTheme="minorHAnsi"/>
          <w:bCs/>
          <w:sz w:val="16"/>
          <w:szCs w:val="16"/>
          <w:lang w:eastAsia="en-US"/>
        </w:rPr>
        <w:t>I</w:t>
      </w:r>
      <w:r w:rsidRPr="000562B0">
        <w:rPr>
          <w:rFonts w:eastAsiaTheme="minorHAnsi"/>
          <w:bCs/>
          <w:sz w:val="16"/>
          <w:szCs w:val="16"/>
          <w:lang w:eastAsia="en-US"/>
        </w:rPr>
        <w:t>nterés Nacional.</w:t>
      </w:r>
    </w:p>
    <w:p w14:paraId="163EEA97" w14:textId="77777777" w:rsidR="006F78C1" w:rsidRDefault="006F78C1" w:rsidP="00851E2F">
      <w:pPr>
        <w:ind w:left="-567"/>
        <w:rPr>
          <w:b/>
        </w:rPr>
      </w:pPr>
    </w:p>
    <w:p w14:paraId="3987E553" w14:textId="2D5E5064" w:rsidR="006B0515" w:rsidRDefault="006B0515" w:rsidP="00851E2F">
      <w:pPr>
        <w:ind w:left="-567"/>
        <w:rPr>
          <w:b/>
        </w:rPr>
      </w:pPr>
      <w:r>
        <w:rPr>
          <w:b/>
        </w:rPr>
        <w:t>NIVEL DE ESCOLARIDAD</w:t>
      </w:r>
    </w:p>
    <w:p w14:paraId="2D756EC8" w14:textId="77777777" w:rsidR="006B0515" w:rsidRDefault="006B0515" w:rsidP="00851E2F">
      <w:pPr>
        <w:ind w:left="-567"/>
        <w:rPr>
          <w:b/>
        </w:rPr>
      </w:pPr>
    </w:p>
    <w:p w14:paraId="0D27A907" w14:textId="240A7269" w:rsidR="006B0515" w:rsidRDefault="006B0515" w:rsidP="00851E2F">
      <w:pPr>
        <w:ind w:left="-567" w:right="49"/>
        <w:rPr>
          <w:rFonts w:cs="Arial"/>
          <w:szCs w:val="22"/>
        </w:rPr>
      </w:pPr>
      <w:r w:rsidRPr="00993D1F">
        <w:rPr>
          <w:rFonts w:cs="Arial"/>
          <w:szCs w:val="22"/>
        </w:rPr>
        <w:t>La educación constituye un derecho y resulta trascendental para el desarrollo de la población</w:t>
      </w:r>
      <w:r w:rsidR="00C23DA8">
        <w:rPr>
          <w:rFonts w:cs="Arial"/>
          <w:szCs w:val="22"/>
        </w:rPr>
        <w:t>.</w:t>
      </w:r>
      <w:r w:rsidRPr="00993D1F">
        <w:rPr>
          <w:rFonts w:cs="Arial"/>
          <w:szCs w:val="22"/>
        </w:rPr>
        <w:t xml:space="preserve"> </w:t>
      </w:r>
      <w:r w:rsidR="00C23DA8">
        <w:rPr>
          <w:rFonts w:cs="Arial"/>
          <w:szCs w:val="22"/>
        </w:rPr>
        <w:t>A</w:t>
      </w:r>
      <w:r>
        <w:rPr>
          <w:rFonts w:cs="Arial"/>
          <w:szCs w:val="22"/>
        </w:rPr>
        <w:t xml:space="preserve"> pesar de ello, el rezago educativo en las madres que hablan lengua indígena </w:t>
      </w:r>
      <w:r w:rsidR="00586371">
        <w:rPr>
          <w:rFonts w:cs="Arial"/>
          <w:szCs w:val="22"/>
        </w:rPr>
        <w:t>es</w:t>
      </w:r>
      <w:r>
        <w:rPr>
          <w:rFonts w:cs="Arial"/>
          <w:szCs w:val="22"/>
        </w:rPr>
        <w:t xml:space="preserve"> evidente. </w:t>
      </w:r>
      <w:r w:rsidRPr="00993D1F">
        <w:t xml:space="preserve">La importancia de atender el rezago educativo, por su impacto en la calidad de vida, queda de manifiesto en el Objetivo 4 de los Objetivos del Desarrollo Sostenible, el cual </w:t>
      </w:r>
      <w:r>
        <w:t>garantiza</w:t>
      </w:r>
      <w:r w:rsidRPr="00993D1F">
        <w:t xml:space="preserve"> una educación inclusiva, equitativa y de calidad para todos</w:t>
      </w:r>
      <w:r w:rsidR="003A78A8">
        <w:t>.</w:t>
      </w:r>
      <w:r w:rsidR="002E5D1A">
        <w:rPr>
          <w:rStyle w:val="Refdenotaalpie"/>
        </w:rPr>
        <w:footnoteReference w:id="5"/>
      </w:r>
    </w:p>
    <w:p w14:paraId="458C3820" w14:textId="77777777" w:rsidR="006B0515" w:rsidRDefault="006B0515" w:rsidP="00851E2F">
      <w:pPr>
        <w:ind w:left="-567" w:right="49"/>
        <w:rPr>
          <w:rFonts w:cs="Arial"/>
          <w:szCs w:val="22"/>
        </w:rPr>
      </w:pPr>
    </w:p>
    <w:p w14:paraId="2F520183" w14:textId="6529AAE1" w:rsidR="006B0515" w:rsidRPr="00A77CDA" w:rsidRDefault="006B0515" w:rsidP="00851E2F">
      <w:pPr>
        <w:ind w:left="-567" w:right="49"/>
        <w:rPr>
          <w:rFonts w:cs="Arial"/>
          <w:szCs w:val="22"/>
        </w:rPr>
      </w:pPr>
      <w:r w:rsidRPr="00A77CDA">
        <w:rPr>
          <w:rFonts w:cs="Arial"/>
          <w:szCs w:val="22"/>
        </w:rPr>
        <w:t>Datos de</w:t>
      </w:r>
      <w:r w:rsidR="00851E2F">
        <w:rPr>
          <w:rFonts w:cs="Arial"/>
          <w:szCs w:val="22"/>
        </w:rPr>
        <w:t>l Censo de población y vivienda 2020</w:t>
      </w:r>
      <w:r w:rsidRPr="00A77CDA">
        <w:rPr>
          <w:rFonts w:cs="Arial"/>
          <w:szCs w:val="22"/>
        </w:rPr>
        <w:t xml:space="preserve"> indican que 26% de las mujeres de 15 y más años, hablantes de lengua indígena con hijos nacidos vivos no tienen escolaridad; 62% tienen instrucción básica (preescolar, primaria o secundaria)</w:t>
      </w:r>
      <w:r w:rsidR="00566851">
        <w:rPr>
          <w:rFonts w:cs="Arial"/>
          <w:szCs w:val="22"/>
        </w:rPr>
        <w:t>,</w:t>
      </w:r>
      <w:r w:rsidRPr="00A77CDA">
        <w:rPr>
          <w:rFonts w:cs="Arial"/>
          <w:szCs w:val="22"/>
        </w:rPr>
        <w:t xml:space="preserve"> 8% tiene algún grado aprobado en </w:t>
      </w:r>
      <w:r w:rsidR="00586371">
        <w:rPr>
          <w:rFonts w:cs="Arial"/>
          <w:szCs w:val="22"/>
        </w:rPr>
        <w:t xml:space="preserve">el nivel </w:t>
      </w:r>
      <w:r w:rsidRPr="00A77CDA">
        <w:rPr>
          <w:rFonts w:cs="Arial"/>
          <w:szCs w:val="22"/>
        </w:rPr>
        <w:t xml:space="preserve">medio superior y 4% cuenta con estudios a nivel superior. Estos </w:t>
      </w:r>
      <w:r w:rsidR="00566851">
        <w:rPr>
          <w:rFonts w:cs="Arial"/>
          <w:szCs w:val="22"/>
        </w:rPr>
        <w:t xml:space="preserve">dos </w:t>
      </w:r>
      <w:r w:rsidRPr="00A77CDA">
        <w:rPr>
          <w:rFonts w:cs="Arial"/>
          <w:szCs w:val="22"/>
        </w:rPr>
        <w:t>últimos porcentajes son 21% y 17% entre las mujeres que no hablan lengua indígena y tienen al menos un hijo nacido vivo.</w:t>
      </w:r>
    </w:p>
    <w:p w14:paraId="7810C8EA" w14:textId="77777777" w:rsidR="006B0515" w:rsidRDefault="006B0515" w:rsidP="006B0515">
      <w:pPr>
        <w:ind w:left="-567" w:right="49"/>
        <w:rPr>
          <w:rFonts w:cs="Arial"/>
          <w:szCs w:val="22"/>
        </w:rPr>
      </w:pPr>
    </w:p>
    <w:p w14:paraId="5228DD37" w14:textId="77777777" w:rsidR="006B0515" w:rsidRDefault="006B0515" w:rsidP="006B0515">
      <w:pPr>
        <w:ind w:left="567" w:right="49" w:firstLine="284"/>
        <w:rPr>
          <w:rFonts w:cs="Arial"/>
          <w:b/>
          <w:sz w:val="20"/>
          <w:szCs w:val="22"/>
          <w:lang w:val="es-MX"/>
        </w:rPr>
      </w:pPr>
      <w:r w:rsidRPr="00BB37FA">
        <w:rPr>
          <w:rFonts w:cs="Arial"/>
          <w:b/>
          <w:sz w:val="20"/>
          <w:szCs w:val="22"/>
          <w:lang w:val="es-MX"/>
        </w:rPr>
        <w:t>Distribución porcentual de mujeres de 1</w:t>
      </w:r>
      <w:r>
        <w:rPr>
          <w:rFonts w:cs="Arial"/>
          <w:b/>
          <w:sz w:val="20"/>
          <w:szCs w:val="22"/>
          <w:lang w:val="es-MX"/>
        </w:rPr>
        <w:t>5</w:t>
      </w:r>
      <w:r w:rsidRPr="00BB37FA">
        <w:rPr>
          <w:rFonts w:cs="Arial"/>
          <w:b/>
          <w:sz w:val="20"/>
          <w:szCs w:val="22"/>
          <w:lang w:val="es-MX"/>
        </w:rPr>
        <w:t xml:space="preserve"> años y más con al menos un</w:t>
      </w:r>
    </w:p>
    <w:p w14:paraId="04BB61B9" w14:textId="77777777" w:rsidR="006B0515" w:rsidRDefault="006B0515" w:rsidP="006B0515">
      <w:pPr>
        <w:ind w:left="567" w:right="49" w:firstLine="284"/>
        <w:rPr>
          <w:rFonts w:cs="Arial"/>
          <w:b/>
          <w:sz w:val="20"/>
          <w:szCs w:val="22"/>
          <w:lang w:val="es-MX"/>
        </w:rPr>
      </w:pPr>
      <w:r w:rsidRPr="00BB37FA">
        <w:rPr>
          <w:rFonts w:cs="Arial"/>
          <w:b/>
          <w:sz w:val="20"/>
          <w:szCs w:val="22"/>
          <w:lang w:val="es-MX"/>
        </w:rPr>
        <w:t xml:space="preserve">hijo nacido vivo por nivel </w:t>
      </w:r>
      <w:r>
        <w:rPr>
          <w:rFonts w:cs="Arial"/>
          <w:b/>
          <w:sz w:val="20"/>
          <w:szCs w:val="22"/>
          <w:lang w:val="es-MX"/>
        </w:rPr>
        <w:t>escolar</w:t>
      </w:r>
      <w:r w:rsidRPr="00BB37FA">
        <w:rPr>
          <w:rFonts w:cs="Arial"/>
          <w:b/>
          <w:sz w:val="20"/>
          <w:szCs w:val="22"/>
          <w:lang w:val="es-MX"/>
        </w:rPr>
        <w:t xml:space="preserve"> según condic</w:t>
      </w:r>
      <w:r>
        <w:rPr>
          <w:rFonts w:cs="Arial"/>
          <w:b/>
          <w:sz w:val="20"/>
          <w:szCs w:val="22"/>
          <w:lang w:val="es-MX"/>
        </w:rPr>
        <w:t>ión de habla</w:t>
      </w:r>
    </w:p>
    <w:p w14:paraId="23A0A869" w14:textId="77777777" w:rsidR="006B0515" w:rsidRDefault="006B0515" w:rsidP="006B0515">
      <w:pPr>
        <w:ind w:left="567" w:right="49" w:firstLine="284"/>
        <w:rPr>
          <w:rFonts w:cs="Arial"/>
          <w:b/>
          <w:sz w:val="20"/>
          <w:szCs w:val="22"/>
          <w:lang w:val="es-MX"/>
        </w:rPr>
      </w:pPr>
      <w:r>
        <w:rPr>
          <w:rFonts w:cs="Arial"/>
          <w:b/>
          <w:sz w:val="20"/>
          <w:szCs w:val="22"/>
          <w:lang w:val="es-MX"/>
        </w:rPr>
        <w:t>de lengua indígena</w:t>
      </w:r>
    </w:p>
    <w:p w14:paraId="65699271" w14:textId="77777777" w:rsidR="006B0515" w:rsidRDefault="006B0515" w:rsidP="006B0515">
      <w:pPr>
        <w:ind w:left="567" w:right="49" w:firstLine="284"/>
        <w:rPr>
          <w:rFonts w:cs="Arial"/>
          <w:b/>
          <w:sz w:val="20"/>
          <w:szCs w:val="22"/>
          <w:lang w:val="es-MX"/>
        </w:rPr>
      </w:pPr>
      <w:r w:rsidRPr="00BB37FA">
        <w:rPr>
          <w:rFonts w:cs="Arial"/>
          <w:b/>
          <w:sz w:val="20"/>
          <w:szCs w:val="22"/>
          <w:lang w:val="es-MX"/>
        </w:rPr>
        <w:t>2020</w:t>
      </w:r>
    </w:p>
    <w:p w14:paraId="1E23F223" w14:textId="77777777" w:rsidR="006B0515" w:rsidRDefault="006B0515" w:rsidP="006B0515">
      <w:pPr>
        <w:ind w:left="-567" w:right="49"/>
        <w:rPr>
          <w:rFonts w:cs="Arial"/>
          <w:szCs w:val="22"/>
        </w:rPr>
      </w:pPr>
      <w:r w:rsidRPr="0045073F">
        <w:rPr>
          <w:noProof/>
          <w:lang w:val="es-MX" w:eastAsia="es-MX"/>
        </w:rPr>
        <w:drawing>
          <wp:anchor distT="0" distB="0" distL="114300" distR="114300" simplePos="0" relativeHeight="251663360" behindDoc="0" locked="0" layoutInCell="1" allowOverlap="1" wp14:anchorId="286BAB43" wp14:editId="4595E2A9">
            <wp:simplePos x="0" y="0"/>
            <wp:positionH relativeFrom="column">
              <wp:posOffset>539115</wp:posOffset>
            </wp:positionH>
            <wp:positionV relativeFrom="paragraph">
              <wp:posOffset>44450</wp:posOffset>
            </wp:positionV>
            <wp:extent cx="4267200" cy="1592826"/>
            <wp:effectExtent l="0" t="0" r="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267200" cy="1592826"/>
                    </a:xfrm>
                    <a:prstGeom prst="rect">
                      <a:avLst/>
                    </a:prstGeom>
                  </pic:spPr>
                </pic:pic>
              </a:graphicData>
            </a:graphic>
            <wp14:sizeRelH relativeFrom="page">
              <wp14:pctWidth>0</wp14:pctWidth>
            </wp14:sizeRelH>
            <wp14:sizeRelV relativeFrom="page">
              <wp14:pctHeight>0</wp14:pctHeight>
            </wp14:sizeRelV>
          </wp:anchor>
        </w:drawing>
      </w:r>
    </w:p>
    <w:p w14:paraId="640CF092" w14:textId="77777777" w:rsidR="006B0515" w:rsidRDefault="006B0515" w:rsidP="006B0515">
      <w:pPr>
        <w:ind w:left="-567" w:right="49"/>
        <w:jc w:val="center"/>
        <w:rPr>
          <w:rFonts w:cs="Arial"/>
          <w:szCs w:val="22"/>
        </w:rPr>
      </w:pPr>
    </w:p>
    <w:p w14:paraId="5F75F24B" w14:textId="77777777" w:rsidR="006B0515" w:rsidRDefault="006B0515" w:rsidP="006B0515">
      <w:pPr>
        <w:ind w:left="-567" w:right="49"/>
        <w:rPr>
          <w:rFonts w:cs="Arial"/>
          <w:szCs w:val="22"/>
        </w:rPr>
      </w:pPr>
    </w:p>
    <w:p w14:paraId="4ADD1E9B" w14:textId="77777777" w:rsidR="006B0515" w:rsidRDefault="006B0515" w:rsidP="006B0515">
      <w:pPr>
        <w:ind w:left="-567" w:right="49"/>
        <w:rPr>
          <w:rFonts w:cs="Arial"/>
          <w:szCs w:val="22"/>
        </w:rPr>
      </w:pPr>
    </w:p>
    <w:p w14:paraId="1FEC07B6" w14:textId="77777777" w:rsidR="006B0515" w:rsidRDefault="006B0515" w:rsidP="006B0515">
      <w:pPr>
        <w:ind w:left="-567" w:right="49"/>
        <w:rPr>
          <w:rFonts w:cs="Arial"/>
          <w:szCs w:val="22"/>
        </w:rPr>
      </w:pPr>
    </w:p>
    <w:p w14:paraId="3CF09E12" w14:textId="77777777" w:rsidR="006B0515" w:rsidRDefault="006B0515" w:rsidP="006B0515">
      <w:pPr>
        <w:ind w:left="-567" w:right="49"/>
        <w:rPr>
          <w:rFonts w:cs="Arial"/>
          <w:szCs w:val="22"/>
        </w:rPr>
      </w:pPr>
    </w:p>
    <w:p w14:paraId="75ECE0EB" w14:textId="77777777" w:rsidR="006B0515" w:rsidRDefault="006B0515" w:rsidP="006B0515">
      <w:pPr>
        <w:ind w:left="-567" w:right="49"/>
        <w:rPr>
          <w:rFonts w:cs="Arial"/>
          <w:szCs w:val="22"/>
        </w:rPr>
      </w:pPr>
    </w:p>
    <w:p w14:paraId="1B7D830C" w14:textId="77777777" w:rsidR="006B0515" w:rsidRDefault="006B0515" w:rsidP="006B0515">
      <w:pPr>
        <w:ind w:left="-567" w:right="49"/>
        <w:rPr>
          <w:rFonts w:cs="Arial"/>
          <w:szCs w:val="22"/>
        </w:rPr>
      </w:pPr>
    </w:p>
    <w:p w14:paraId="39191796" w14:textId="77777777" w:rsidR="006B0515" w:rsidRDefault="006B0515" w:rsidP="006B0515">
      <w:pPr>
        <w:ind w:left="-567" w:right="49"/>
        <w:rPr>
          <w:rFonts w:cs="Arial"/>
          <w:szCs w:val="22"/>
        </w:rPr>
      </w:pPr>
    </w:p>
    <w:p w14:paraId="12AAA020" w14:textId="77777777" w:rsidR="006B0515" w:rsidRDefault="006B0515" w:rsidP="006B0515">
      <w:pPr>
        <w:ind w:left="-567" w:right="49"/>
        <w:rPr>
          <w:rFonts w:cs="Arial"/>
          <w:szCs w:val="22"/>
        </w:rPr>
      </w:pPr>
    </w:p>
    <w:p w14:paraId="36CD9BCE" w14:textId="77777777" w:rsidR="006B0515" w:rsidRPr="00A77CDA" w:rsidRDefault="006B0515" w:rsidP="006B0515">
      <w:pPr>
        <w:ind w:left="-567" w:right="49"/>
        <w:rPr>
          <w:rFonts w:cs="Arial"/>
          <w:sz w:val="10"/>
          <w:szCs w:val="10"/>
        </w:rPr>
      </w:pPr>
    </w:p>
    <w:p w14:paraId="08DEFFD0" w14:textId="77777777" w:rsidR="006B0515" w:rsidRDefault="006B0515" w:rsidP="006B0515">
      <w:pPr>
        <w:ind w:left="851" w:right="49"/>
        <w:rPr>
          <w:rFonts w:cs="Arial"/>
          <w:sz w:val="16"/>
          <w:szCs w:val="16"/>
        </w:rPr>
      </w:pPr>
      <w:r w:rsidRPr="00D5063B">
        <w:rPr>
          <w:rFonts w:cs="Arial"/>
          <w:sz w:val="16"/>
          <w:szCs w:val="16"/>
        </w:rPr>
        <w:t>Nota: No se tabul</w:t>
      </w:r>
      <w:r>
        <w:rPr>
          <w:rFonts w:cs="Arial"/>
          <w:sz w:val="16"/>
          <w:szCs w:val="16"/>
        </w:rPr>
        <w:t>ó</w:t>
      </w:r>
      <w:r w:rsidRPr="00D5063B">
        <w:rPr>
          <w:rFonts w:cs="Arial"/>
          <w:sz w:val="16"/>
          <w:szCs w:val="16"/>
        </w:rPr>
        <w:t xml:space="preserve"> a quienes no especificaron condición de habla de lengua indígena</w:t>
      </w:r>
      <w:r>
        <w:rPr>
          <w:rFonts w:cs="Arial"/>
          <w:sz w:val="16"/>
          <w:szCs w:val="16"/>
        </w:rPr>
        <w:t xml:space="preserve"> y</w:t>
      </w:r>
      <w:r w:rsidRPr="00A74448">
        <w:t xml:space="preserve"> </w:t>
      </w:r>
      <w:r>
        <w:rPr>
          <w:rFonts w:cs="Arial"/>
          <w:sz w:val="16"/>
          <w:szCs w:val="16"/>
        </w:rPr>
        <w:t xml:space="preserve">nivel </w:t>
      </w:r>
    </w:p>
    <w:p w14:paraId="6E087719" w14:textId="77777777" w:rsidR="006B0515" w:rsidRDefault="006B0515" w:rsidP="006B0515">
      <w:pPr>
        <w:ind w:left="851" w:right="49"/>
        <w:rPr>
          <w:rFonts w:cs="Arial"/>
          <w:sz w:val="16"/>
          <w:szCs w:val="16"/>
        </w:rPr>
      </w:pPr>
      <w:r>
        <w:rPr>
          <w:rFonts w:cs="Arial"/>
          <w:sz w:val="16"/>
          <w:szCs w:val="16"/>
        </w:rPr>
        <w:t xml:space="preserve">          escolar.</w:t>
      </w:r>
    </w:p>
    <w:p w14:paraId="55CDDE2F" w14:textId="77777777" w:rsidR="006B0515" w:rsidRPr="00A77CDA" w:rsidRDefault="006B0515" w:rsidP="00F74BC1">
      <w:pPr>
        <w:ind w:left="851" w:right="1701"/>
        <w:rPr>
          <w:rFonts w:eastAsiaTheme="minorHAnsi"/>
          <w:bCs/>
          <w:sz w:val="16"/>
          <w:szCs w:val="16"/>
          <w:lang w:eastAsia="en-US"/>
        </w:rPr>
      </w:pPr>
      <w:r w:rsidRPr="00A77CDA">
        <w:rPr>
          <w:rFonts w:cs="Arial"/>
          <w:sz w:val="16"/>
          <w:szCs w:val="16"/>
        </w:rPr>
        <w:t xml:space="preserve">Fuente: INEGI. Censo de Población y Vivienda 2020. </w:t>
      </w:r>
      <w:r w:rsidRPr="00A77CDA">
        <w:rPr>
          <w:rFonts w:eastAsiaTheme="minorHAnsi"/>
          <w:bCs/>
          <w:sz w:val="16"/>
          <w:szCs w:val="16"/>
          <w:lang w:eastAsia="en-US"/>
        </w:rPr>
        <w:t>Base de datos del cuestionario ampliado.</w:t>
      </w:r>
    </w:p>
    <w:p w14:paraId="55D1A4B0" w14:textId="2FFD9DF3" w:rsidR="006B0515" w:rsidRPr="00D5063B" w:rsidRDefault="006B0515" w:rsidP="006B0515">
      <w:pPr>
        <w:tabs>
          <w:tab w:val="left" w:pos="1093"/>
          <w:tab w:val="left" w:pos="1173"/>
        </w:tabs>
        <w:ind w:left="1418" w:right="49"/>
        <w:rPr>
          <w:rFonts w:cs="Arial"/>
          <w:sz w:val="16"/>
          <w:szCs w:val="16"/>
        </w:rPr>
      </w:pPr>
      <w:r>
        <w:rPr>
          <w:rFonts w:cs="Arial"/>
          <w:sz w:val="16"/>
          <w:szCs w:val="16"/>
        </w:rPr>
        <w:t xml:space="preserve">SNIEG. </w:t>
      </w:r>
      <w:r w:rsidRPr="00A77CDA">
        <w:rPr>
          <w:rFonts w:eastAsiaTheme="minorHAnsi"/>
          <w:bCs/>
          <w:sz w:val="16"/>
          <w:szCs w:val="16"/>
          <w:lang w:eastAsia="en-US"/>
        </w:rPr>
        <w:t xml:space="preserve">Información de </w:t>
      </w:r>
      <w:r w:rsidR="00404C0A">
        <w:rPr>
          <w:rFonts w:eastAsiaTheme="minorHAnsi"/>
          <w:bCs/>
          <w:sz w:val="16"/>
          <w:szCs w:val="16"/>
          <w:lang w:eastAsia="en-US"/>
        </w:rPr>
        <w:t>I</w:t>
      </w:r>
      <w:r w:rsidRPr="00A77CDA">
        <w:rPr>
          <w:rFonts w:eastAsiaTheme="minorHAnsi"/>
          <w:bCs/>
          <w:sz w:val="16"/>
          <w:szCs w:val="16"/>
          <w:lang w:eastAsia="en-US"/>
        </w:rPr>
        <w:t>nterés Nacional.</w:t>
      </w:r>
      <w:r>
        <w:rPr>
          <w:rFonts w:cs="Arial"/>
          <w:sz w:val="16"/>
          <w:szCs w:val="16"/>
        </w:rPr>
        <w:tab/>
      </w:r>
    </w:p>
    <w:p w14:paraId="66A7D831" w14:textId="77777777" w:rsidR="006B0515" w:rsidRDefault="006B0515" w:rsidP="00F74BC1">
      <w:pPr>
        <w:ind w:left="-567" w:right="1701" w:firstLine="1560"/>
        <w:rPr>
          <w:rFonts w:cs="Arial"/>
          <w:szCs w:val="22"/>
        </w:rPr>
      </w:pPr>
    </w:p>
    <w:p w14:paraId="501DAAFD" w14:textId="77777777" w:rsidR="006B0515" w:rsidRDefault="006B0515" w:rsidP="006B0515">
      <w:pPr>
        <w:ind w:left="-567"/>
        <w:rPr>
          <w:rFonts w:cs="Arial"/>
          <w:b/>
          <w:szCs w:val="22"/>
          <w:lang w:val="es-MX"/>
        </w:rPr>
      </w:pPr>
      <w:r>
        <w:rPr>
          <w:rFonts w:cs="Arial"/>
          <w:b/>
          <w:szCs w:val="22"/>
          <w:lang w:val="es-MX"/>
        </w:rPr>
        <w:t>TRABAJO</w:t>
      </w:r>
    </w:p>
    <w:p w14:paraId="1D3587ED" w14:textId="77777777" w:rsidR="006B0515" w:rsidRPr="00F76586" w:rsidRDefault="006B0515" w:rsidP="006B0515">
      <w:pPr>
        <w:ind w:left="-567"/>
        <w:rPr>
          <w:rFonts w:cs="Arial"/>
          <w:b/>
          <w:szCs w:val="22"/>
          <w:lang w:val="es-MX"/>
        </w:rPr>
      </w:pPr>
    </w:p>
    <w:p w14:paraId="29AC44AC" w14:textId="5AF8B0C7" w:rsidR="006B0515" w:rsidRPr="00D6663C" w:rsidRDefault="006B0515" w:rsidP="006B0515">
      <w:pPr>
        <w:ind w:left="-567"/>
        <w:rPr>
          <w:bCs/>
          <w:szCs w:val="22"/>
          <w:lang w:val="es-MX"/>
        </w:rPr>
      </w:pPr>
      <w:r w:rsidRPr="00D6663C">
        <w:rPr>
          <w:bCs/>
          <w:szCs w:val="22"/>
          <w:lang w:val="es-MX"/>
        </w:rPr>
        <w:t xml:space="preserve">En 2020 la tasa de participación económica de las mujeres hablantes de lengua indígena con hijos nacidos vivos es de 28%, mientras que </w:t>
      </w:r>
      <w:r>
        <w:rPr>
          <w:bCs/>
          <w:szCs w:val="22"/>
          <w:lang w:val="es-MX"/>
        </w:rPr>
        <w:t>en el grupo de mujeres</w:t>
      </w:r>
      <w:r w:rsidRPr="00D6663C">
        <w:rPr>
          <w:bCs/>
          <w:szCs w:val="22"/>
          <w:lang w:val="es-MX"/>
        </w:rPr>
        <w:t xml:space="preserve"> </w:t>
      </w:r>
      <w:r>
        <w:rPr>
          <w:bCs/>
          <w:szCs w:val="22"/>
          <w:lang w:val="es-MX"/>
        </w:rPr>
        <w:t xml:space="preserve">que </w:t>
      </w:r>
      <w:r w:rsidRPr="00D6663C">
        <w:rPr>
          <w:bCs/>
          <w:szCs w:val="22"/>
          <w:lang w:val="es-MX"/>
        </w:rPr>
        <w:t xml:space="preserve">no </w:t>
      </w:r>
      <w:r>
        <w:rPr>
          <w:bCs/>
          <w:szCs w:val="22"/>
          <w:lang w:val="es-MX"/>
        </w:rPr>
        <w:t>hablan</w:t>
      </w:r>
      <w:r w:rsidRPr="00D6663C">
        <w:rPr>
          <w:bCs/>
          <w:szCs w:val="22"/>
          <w:lang w:val="es-MX"/>
        </w:rPr>
        <w:t xml:space="preserve"> lengua indígena es de 42 por ciento. La baja participación económica del primer grupo de mujeres tiene varias determinaciones sociales, sin embargo, la crianza de los hijos se combina con múltiples actividades que son parte de una economía de autoconsumo, como la cría de animales o el cultivo de productos</w:t>
      </w:r>
      <w:r w:rsidR="003A78A8">
        <w:rPr>
          <w:bCs/>
          <w:szCs w:val="22"/>
          <w:lang w:val="es-MX"/>
        </w:rPr>
        <w:t>.</w:t>
      </w:r>
      <w:r w:rsidR="002E5D1A">
        <w:rPr>
          <w:rStyle w:val="Refdenotaalpie"/>
          <w:bCs/>
          <w:szCs w:val="22"/>
          <w:lang w:val="es-MX"/>
        </w:rPr>
        <w:footnoteReference w:id="6"/>
      </w:r>
    </w:p>
    <w:p w14:paraId="50D34F74" w14:textId="30378B92" w:rsidR="006B0515" w:rsidRDefault="006B0515" w:rsidP="006B0515">
      <w:pPr>
        <w:ind w:left="709"/>
        <w:rPr>
          <w:rFonts w:cs="Arial"/>
          <w:b/>
          <w:bCs/>
          <w:color w:val="000000"/>
          <w:sz w:val="20"/>
          <w:szCs w:val="20"/>
          <w:lang w:val="es-MX" w:eastAsia="en-US"/>
        </w:rPr>
      </w:pPr>
    </w:p>
    <w:p w14:paraId="5DF22366" w14:textId="2D44E536" w:rsidR="00851E2F" w:rsidRDefault="00851E2F" w:rsidP="006B0515">
      <w:pPr>
        <w:ind w:left="709"/>
        <w:rPr>
          <w:rFonts w:cs="Arial"/>
          <w:b/>
          <w:bCs/>
          <w:color w:val="000000"/>
          <w:sz w:val="20"/>
          <w:szCs w:val="20"/>
          <w:lang w:val="es-MX" w:eastAsia="en-US"/>
        </w:rPr>
      </w:pPr>
    </w:p>
    <w:p w14:paraId="471A0456" w14:textId="4C25282A" w:rsidR="00851E2F" w:rsidRDefault="00851E2F" w:rsidP="006B0515">
      <w:pPr>
        <w:ind w:left="709"/>
        <w:rPr>
          <w:rFonts w:cs="Arial"/>
          <w:b/>
          <w:bCs/>
          <w:color w:val="000000"/>
          <w:sz w:val="20"/>
          <w:szCs w:val="20"/>
          <w:lang w:val="es-MX" w:eastAsia="en-US"/>
        </w:rPr>
      </w:pPr>
    </w:p>
    <w:p w14:paraId="4882B3B1" w14:textId="59345E5F" w:rsidR="00851E2F" w:rsidRDefault="00851E2F" w:rsidP="006B0515">
      <w:pPr>
        <w:ind w:left="709"/>
        <w:rPr>
          <w:rFonts w:cs="Arial"/>
          <w:b/>
          <w:bCs/>
          <w:color w:val="000000"/>
          <w:sz w:val="20"/>
          <w:szCs w:val="20"/>
          <w:lang w:val="es-MX" w:eastAsia="en-US"/>
        </w:rPr>
      </w:pPr>
    </w:p>
    <w:p w14:paraId="491550E2" w14:textId="51CCB6EE" w:rsidR="00851E2F" w:rsidRDefault="00851E2F" w:rsidP="006B0515">
      <w:pPr>
        <w:ind w:left="709"/>
        <w:rPr>
          <w:rFonts w:cs="Arial"/>
          <w:b/>
          <w:bCs/>
          <w:color w:val="000000"/>
          <w:sz w:val="20"/>
          <w:szCs w:val="20"/>
          <w:lang w:val="es-MX" w:eastAsia="en-US"/>
        </w:rPr>
      </w:pPr>
    </w:p>
    <w:p w14:paraId="3592B795" w14:textId="589990EA" w:rsidR="00851E2F" w:rsidRDefault="00851E2F" w:rsidP="006B0515">
      <w:pPr>
        <w:ind w:left="709"/>
        <w:rPr>
          <w:rFonts w:cs="Arial"/>
          <w:b/>
          <w:bCs/>
          <w:color w:val="000000"/>
          <w:sz w:val="20"/>
          <w:szCs w:val="20"/>
          <w:lang w:val="es-MX" w:eastAsia="en-US"/>
        </w:rPr>
      </w:pPr>
    </w:p>
    <w:p w14:paraId="16594D48" w14:textId="06BA69AB" w:rsidR="00851E2F" w:rsidRDefault="00851E2F" w:rsidP="006B0515">
      <w:pPr>
        <w:ind w:left="709"/>
        <w:rPr>
          <w:rFonts w:cs="Arial"/>
          <w:b/>
          <w:bCs/>
          <w:color w:val="000000"/>
          <w:sz w:val="20"/>
          <w:szCs w:val="20"/>
          <w:lang w:val="es-MX" w:eastAsia="en-US"/>
        </w:rPr>
      </w:pPr>
    </w:p>
    <w:p w14:paraId="38746B2F" w14:textId="77777777" w:rsidR="006F78C1" w:rsidRDefault="006F78C1" w:rsidP="006B0515">
      <w:pPr>
        <w:ind w:left="709"/>
        <w:rPr>
          <w:rFonts w:cs="Arial"/>
          <w:b/>
          <w:bCs/>
          <w:color w:val="000000"/>
          <w:sz w:val="20"/>
          <w:szCs w:val="20"/>
          <w:lang w:val="es-MX" w:eastAsia="en-US"/>
        </w:rPr>
      </w:pPr>
    </w:p>
    <w:p w14:paraId="559BEE3B" w14:textId="421850CC" w:rsidR="006B0515" w:rsidRDefault="006B0515" w:rsidP="006B0515">
      <w:pPr>
        <w:ind w:left="709"/>
        <w:rPr>
          <w:rFonts w:cs="Arial"/>
          <w:b/>
          <w:bCs/>
          <w:color w:val="000000"/>
          <w:sz w:val="20"/>
          <w:szCs w:val="20"/>
          <w:lang w:val="es-MX" w:eastAsia="en-US"/>
        </w:rPr>
      </w:pPr>
      <w:r w:rsidRPr="00941FAC">
        <w:rPr>
          <w:rFonts w:cs="Arial"/>
          <w:b/>
          <w:bCs/>
          <w:color w:val="000000"/>
          <w:sz w:val="20"/>
          <w:szCs w:val="20"/>
          <w:lang w:val="es-MX" w:eastAsia="en-US"/>
        </w:rPr>
        <w:lastRenderedPageBreak/>
        <w:t xml:space="preserve">Tasa de participación económica de las mujeres de 15 años con al menos </w:t>
      </w:r>
    </w:p>
    <w:p w14:paraId="5A0F2626" w14:textId="77777777" w:rsidR="006B0515" w:rsidRPr="00941FAC" w:rsidRDefault="006B0515" w:rsidP="006B0515">
      <w:pPr>
        <w:ind w:left="709"/>
        <w:rPr>
          <w:rFonts w:cs="Arial"/>
          <w:b/>
          <w:bCs/>
          <w:color w:val="000000"/>
          <w:sz w:val="20"/>
          <w:szCs w:val="20"/>
          <w:lang w:val="es-MX" w:eastAsia="en-US"/>
        </w:rPr>
      </w:pPr>
      <w:r w:rsidRPr="00941FAC">
        <w:rPr>
          <w:rFonts w:cs="Arial"/>
          <w:b/>
          <w:bCs/>
          <w:color w:val="000000"/>
          <w:sz w:val="20"/>
          <w:szCs w:val="20"/>
          <w:lang w:val="es-MX" w:eastAsia="en-US"/>
        </w:rPr>
        <w:t>un hijo nacido vivo según condición de habla de lengua indígena</w:t>
      </w:r>
    </w:p>
    <w:p w14:paraId="12375C0B" w14:textId="77777777" w:rsidR="006B0515" w:rsidRPr="00941FAC" w:rsidRDefault="006B0515" w:rsidP="006B0515">
      <w:pPr>
        <w:ind w:left="709"/>
        <w:rPr>
          <w:rFonts w:cs="Arial"/>
          <w:b/>
          <w:bCs/>
          <w:color w:val="000000"/>
          <w:sz w:val="20"/>
          <w:szCs w:val="20"/>
          <w:lang w:val="es-MX" w:eastAsia="en-US"/>
        </w:rPr>
      </w:pPr>
      <w:r w:rsidRPr="00941FAC">
        <w:rPr>
          <w:rFonts w:cs="Arial"/>
          <w:b/>
          <w:bCs/>
          <w:color w:val="000000"/>
          <w:sz w:val="20"/>
          <w:szCs w:val="20"/>
          <w:lang w:val="es-MX" w:eastAsia="en-US"/>
        </w:rPr>
        <w:t>2020</w:t>
      </w:r>
    </w:p>
    <w:p w14:paraId="70D2DC79" w14:textId="7506DA49" w:rsidR="006B0515" w:rsidRDefault="001C0BF3" w:rsidP="006B0515">
      <w:pPr>
        <w:ind w:left="-567"/>
        <w:rPr>
          <w:b/>
          <w:bCs/>
          <w:szCs w:val="22"/>
          <w:lang w:val="es-MX"/>
        </w:rPr>
      </w:pPr>
      <w:r>
        <w:rPr>
          <w:b/>
          <w:bCs/>
          <w:noProof/>
          <w:szCs w:val="22"/>
          <w:lang w:val="es-MX" w:eastAsia="es-MX"/>
        </w:rPr>
        <w:drawing>
          <wp:anchor distT="0" distB="0" distL="114300" distR="114300" simplePos="0" relativeHeight="251662336" behindDoc="0" locked="0" layoutInCell="1" allowOverlap="1" wp14:anchorId="22254583" wp14:editId="187C425B">
            <wp:simplePos x="0" y="0"/>
            <wp:positionH relativeFrom="column">
              <wp:posOffset>824865</wp:posOffset>
            </wp:positionH>
            <wp:positionV relativeFrom="paragraph">
              <wp:posOffset>69215</wp:posOffset>
            </wp:positionV>
            <wp:extent cx="3143250" cy="17240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0FCED" w14:textId="009B9746" w:rsidR="006B0515" w:rsidRDefault="006B0515" w:rsidP="006B0515">
      <w:pPr>
        <w:ind w:left="-567"/>
        <w:rPr>
          <w:b/>
          <w:bCs/>
          <w:szCs w:val="22"/>
          <w:lang w:val="es-MX"/>
        </w:rPr>
      </w:pPr>
    </w:p>
    <w:p w14:paraId="77D3EA62" w14:textId="713E105E" w:rsidR="006B0515" w:rsidRDefault="006B0515" w:rsidP="006B0515">
      <w:pPr>
        <w:ind w:left="-567"/>
        <w:rPr>
          <w:b/>
          <w:bCs/>
          <w:szCs w:val="22"/>
          <w:lang w:val="es-MX"/>
        </w:rPr>
      </w:pPr>
    </w:p>
    <w:p w14:paraId="17D3AD16" w14:textId="77777777" w:rsidR="006B0515" w:rsidRDefault="006B0515" w:rsidP="006B0515">
      <w:pPr>
        <w:ind w:left="-567"/>
        <w:rPr>
          <w:b/>
          <w:bCs/>
          <w:szCs w:val="22"/>
          <w:lang w:val="es-MX"/>
        </w:rPr>
      </w:pPr>
    </w:p>
    <w:p w14:paraId="2EA3E5A8" w14:textId="77777777" w:rsidR="006B0515" w:rsidRDefault="006B0515" w:rsidP="006B0515">
      <w:pPr>
        <w:ind w:left="-567"/>
        <w:rPr>
          <w:b/>
          <w:bCs/>
          <w:szCs w:val="22"/>
          <w:lang w:val="es-MX"/>
        </w:rPr>
      </w:pPr>
    </w:p>
    <w:p w14:paraId="60AE2E81" w14:textId="77777777" w:rsidR="006B0515" w:rsidRDefault="006B0515" w:rsidP="006B0515">
      <w:pPr>
        <w:ind w:left="-567"/>
        <w:rPr>
          <w:b/>
          <w:bCs/>
          <w:szCs w:val="22"/>
          <w:lang w:val="es-MX"/>
        </w:rPr>
      </w:pPr>
    </w:p>
    <w:p w14:paraId="153AE7DA" w14:textId="77777777" w:rsidR="006B0515" w:rsidRDefault="006B0515" w:rsidP="006B0515">
      <w:pPr>
        <w:ind w:left="-567"/>
        <w:rPr>
          <w:b/>
          <w:bCs/>
          <w:szCs w:val="22"/>
          <w:lang w:val="es-MX"/>
        </w:rPr>
      </w:pPr>
    </w:p>
    <w:p w14:paraId="0FDD59A2" w14:textId="77777777" w:rsidR="006B0515" w:rsidRDefault="006B0515" w:rsidP="006B0515">
      <w:pPr>
        <w:ind w:left="-567"/>
        <w:rPr>
          <w:b/>
          <w:bCs/>
          <w:szCs w:val="22"/>
          <w:lang w:val="es-MX"/>
        </w:rPr>
      </w:pPr>
    </w:p>
    <w:p w14:paraId="39C4619C" w14:textId="77777777" w:rsidR="006B0515" w:rsidRDefault="006B0515" w:rsidP="006B0515">
      <w:pPr>
        <w:ind w:left="-567"/>
        <w:rPr>
          <w:b/>
          <w:bCs/>
          <w:szCs w:val="22"/>
          <w:lang w:val="es-MX"/>
        </w:rPr>
      </w:pPr>
    </w:p>
    <w:p w14:paraId="54766C88" w14:textId="720A6A15" w:rsidR="006B0515" w:rsidRDefault="006B0515" w:rsidP="00851E2F">
      <w:pPr>
        <w:rPr>
          <w:b/>
          <w:bCs/>
          <w:szCs w:val="22"/>
          <w:lang w:val="es-MX"/>
        </w:rPr>
      </w:pPr>
    </w:p>
    <w:p w14:paraId="14949D58" w14:textId="2464FA3C" w:rsidR="00851E2F" w:rsidRDefault="00851E2F" w:rsidP="00851E2F">
      <w:pPr>
        <w:rPr>
          <w:b/>
          <w:bCs/>
          <w:szCs w:val="22"/>
          <w:lang w:val="es-MX"/>
        </w:rPr>
      </w:pPr>
    </w:p>
    <w:p w14:paraId="50E08B4A" w14:textId="77777777" w:rsidR="00851E2F" w:rsidRDefault="00851E2F" w:rsidP="00851E2F">
      <w:pPr>
        <w:rPr>
          <w:b/>
          <w:bCs/>
          <w:szCs w:val="22"/>
          <w:lang w:val="es-MX"/>
        </w:rPr>
      </w:pPr>
    </w:p>
    <w:p w14:paraId="5E2E8EEC" w14:textId="77777777" w:rsidR="006B0515" w:rsidRDefault="006B0515" w:rsidP="006B0515">
      <w:pPr>
        <w:ind w:left="709" w:right="49"/>
        <w:rPr>
          <w:rFonts w:cs="Arial"/>
          <w:sz w:val="16"/>
          <w:szCs w:val="16"/>
        </w:rPr>
      </w:pPr>
      <w:r w:rsidRPr="00D5063B">
        <w:rPr>
          <w:rFonts w:cs="Arial"/>
          <w:sz w:val="16"/>
          <w:szCs w:val="16"/>
        </w:rPr>
        <w:t xml:space="preserve">Fuente: </w:t>
      </w:r>
      <w:r w:rsidRPr="005D5B55">
        <w:rPr>
          <w:rFonts w:cs="Arial"/>
          <w:sz w:val="16"/>
          <w:szCs w:val="16"/>
        </w:rPr>
        <w:t xml:space="preserve">INEGI. Censo de Población y Vivienda 2020. </w:t>
      </w:r>
      <w:r w:rsidRPr="005D5B55">
        <w:rPr>
          <w:rFonts w:eastAsiaTheme="minorHAnsi"/>
          <w:bCs/>
          <w:sz w:val="16"/>
          <w:szCs w:val="16"/>
          <w:lang w:eastAsia="en-US"/>
        </w:rPr>
        <w:t>Base de datos del cuestionario ampliado.</w:t>
      </w:r>
    </w:p>
    <w:p w14:paraId="3B2DD4B1" w14:textId="59B96DD6" w:rsidR="006B0515" w:rsidRPr="00562845" w:rsidRDefault="006B0515" w:rsidP="006B0515">
      <w:pPr>
        <w:ind w:left="709" w:right="49"/>
        <w:rPr>
          <w:rFonts w:cs="Arial"/>
          <w:sz w:val="16"/>
          <w:szCs w:val="16"/>
        </w:rPr>
      </w:pPr>
      <w:r>
        <w:rPr>
          <w:rFonts w:cs="Arial"/>
          <w:sz w:val="16"/>
          <w:szCs w:val="16"/>
        </w:rPr>
        <w:t xml:space="preserve">             SNIEG.</w:t>
      </w:r>
      <w:r w:rsidRPr="005D5B55">
        <w:rPr>
          <w:rFonts w:cs="Arial"/>
          <w:sz w:val="16"/>
          <w:szCs w:val="16"/>
        </w:rPr>
        <w:t xml:space="preserve"> </w:t>
      </w:r>
      <w:r w:rsidRPr="005D5B55">
        <w:rPr>
          <w:rFonts w:eastAsiaTheme="minorHAnsi"/>
          <w:bCs/>
          <w:sz w:val="16"/>
          <w:szCs w:val="16"/>
          <w:lang w:eastAsia="en-US"/>
        </w:rPr>
        <w:t xml:space="preserve">Información de </w:t>
      </w:r>
      <w:r w:rsidR="00404C0A">
        <w:rPr>
          <w:rFonts w:eastAsiaTheme="minorHAnsi"/>
          <w:bCs/>
          <w:sz w:val="16"/>
          <w:szCs w:val="16"/>
          <w:lang w:eastAsia="en-US"/>
        </w:rPr>
        <w:t>I</w:t>
      </w:r>
      <w:r w:rsidRPr="005D5B55">
        <w:rPr>
          <w:rFonts w:eastAsiaTheme="minorHAnsi"/>
          <w:bCs/>
          <w:sz w:val="16"/>
          <w:szCs w:val="16"/>
          <w:lang w:eastAsia="en-US"/>
        </w:rPr>
        <w:t>nterés Nacional.</w:t>
      </w:r>
    </w:p>
    <w:p w14:paraId="17FF34C4" w14:textId="456A4920" w:rsidR="006B0515" w:rsidRDefault="006B0515" w:rsidP="006B0515">
      <w:pPr>
        <w:ind w:left="567" w:hanging="1134"/>
        <w:rPr>
          <w:rFonts w:cs="Arial"/>
          <w:b/>
          <w:bCs/>
          <w:szCs w:val="22"/>
          <w:lang w:val="es-MX"/>
        </w:rPr>
      </w:pPr>
    </w:p>
    <w:p w14:paraId="399D368A" w14:textId="01D7215B" w:rsidR="00BB772F" w:rsidRDefault="00BB772F" w:rsidP="00BB772F">
      <w:pPr>
        <w:ind w:left="-567"/>
        <w:rPr>
          <w:rFonts w:cs="Arial"/>
          <w:b/>
          <w:szCs w:val="22"/>
          <w:lang w:val="es-MX"/>
        </w:rPr>
      </w:pPr>
      <w:r w:rsidRPr="00BB772F">
        <w:rPr>
          <w:rFonts w:cs="Arial"/>
          <w:b/>
          <w:bCs/>
          <w:szCs w:val="22"/>
        </w:rPr>
        <w:t>MUJERES PRIVADAS DE LA LIBERTAD CON HIJOS MENORES DE SEIS AÑOS</w:t>
      </w:r>
    </w:p>
    <w:p w14:paraId="198423DF" w14:textId="192CF03A" w:rsidR="00BB772F" w:rsidRDefault="00BB772F" w:rsidP="006B0515">
      <w:pPr>
        <w:ind w:left="567" w:hanging="1134"/>
        <w:rPr>
          <w:rFonts w:cs="Arial"/>
          <w:b/>
          <w:bCs/>
          <w:szCs w:val="22"/>
          <w:lang w:val="es-MX"/>
        </w:rPr>
      </w:pPr>
    </w:p>
    <w:p w14:paraId="3D2BC654" w14:textId="6692A600" w:rsidR="00BB772F" w:rsidRPr="00BB772F" w:rsidRDefault="00BB772F" w:rsidP="00BB772F">
      <w:pPr>
        <w:ind w:left="-567"/>
        <w:rPr>
          <w:bCs/>
          <w:szCs w:val="22"/>
          <w:lang w:val="es-MX"/>
        </w:rPr>
      </w:pPr>
      <w:r w:rsidRPr="00BB772F">
        <w:rPr>
          <w:bCs/>
          <w:szCs w:val="22"/>
          <w:lang w:val="es-MX"/>
        </w:rPr>
        <w:t>Al cierre de 2019, en los centros penitenciarios estatales se encontraban 415 mujeres privadas de la libertad que tuvieron consigo a sus hijos menores de seis años</w:t>
      </w:r>
      <w:r w:rsidR="00BA33B2">
        <w:rPr>
          <w:bCs/>
          <w:szCs w:val="22"/>
          <w:lang w:val="es-MX"/>
        </w:rPr>
        <w:t xml:space="preserve">, las cuales </w:t>
      </w:r>
      <w:r w:rsidRPr="00BB772F">
        <w:rPr>
          <w:bCs/>
          <w:szCs w:val="22"/>
          <w:lang w:val="es-MX"/>
        </w:rPr>
        <w:t>representa</w:t>
      </w:r>
      <w:r w:rsidR="00BA33B2">
        <w:rPr>
          <w:bCs/>
          <w:szCs w:val="22"/>
          <w:lang w:val="es-MX"/>
        </w:rPr>
        <w:t>n</w:t>
      </w:r>
      <w:r w:rsidRPr="00BB772F">
        <w:rPr>
          <w:bCs/>
          <w:szCs w:val="22"/>
          <w:lang w:val="es-MX"/>
        </w:rPr>
        <w:t xml:space="preserve"> 4.4% del total de mujeres privadas de la libertad en los centros penitenciarios estatales.</w:t>
      </w:r>
    </w:p>
    <w:p w14:paraId="31B5737A" w14:textId="77777777" w:rsidR="00BB772F" w:rsidRDefault="00BB772F" w:rsidP="00BB772F">
      <w:pPr>
        <w:ind w:left="-567"/>
        <w:rPr>
          <w:bCs/>
          <w:szCs w:val="22"/>
          <w:lang w:val="es-MX"/>
        </w:rPr>
      </w:pPr>
    </w:p>
    <w:p w14:paraId="536449F9" w14:textId="6C0211BB" w:rsidR="00BB772F" w:rsidRDefault="00E517C4" w:rsidP="00BB772F">
      <w:pPr>
        <w:ind w:left="-567"/>
        <w:rPr>
          <w:bCs/>
          <w:szCs w:val="22"/>
          <w:lang w:val="es-MX"/>
        </w:rPr>
      </w:pPr>
      <w:r>
        <w:rPr>
          <w:bCs/>
          <w:szCs w:val="22"/>
          <w:lang w:val="es-MX"/>
        </w:rPr>
        <w:t>El mayor número</w:t>
      </w:r>
      <w:r w:rsidR="00BB772F" w:rsidRPr="00BB772F">
        <w:rPr>
          <w:bCs/>
          <w:szCs w:val="22"/>
          <w:lang w:val="es-MX"/>
        </w:rPr>
        <w:t xml:space="preserve"> </w:t>
      </w:r>
      <w:r w:rsidR="00B974A0">
        <w:rPr>
          <w:bCs/>
          <w:szCs w:val="22"/>
          <w:lang w:val="es-MX"/>
        </w:rPr>
        <w:t xml:space="preserve">de personas </w:t>
      </w:r>
      <w:r w:rsidR="00BB772F" w:rsidRPr="00BB772F">
        <w:rPr>
          <w:bCs/>
          <w:szCs w:val="22"/>
          <w:lang w:val="es-MX"/>
        </w:rPr>
        <w:t>se encontraba en el estado de México, Ciudad de México y Veracruz, que en conjunto concentraron 36.9% de las mujeres privadas de la libertad que vivían con sus hijos menores de seis años.</w:t>
      </w:r>
    </w:p>
    <w:p w14:paraId="266F2FEA" w14:textId="77777777" w:rsidR="00851E2F" w:rsidRDefault="00851E2F" w:rsidP="00BB772F">
      <w:pPr>
        <w:ind w:left="-567"/>
        <w:rPr>
          <w:bCs/>
          <w:szCs w:val="22"/>
          <w:lang w:val="es-MX"/>
        </w:rPr>
      </w:pPr>
    </w:p>
    <w:p w14:paraId="6843A288" w14:textId="05BF1FAA" w:rsidR="00851E2F" w:rsidRPr="00BB772F" w:rsidRDefault="00851E2F" w:rsidP="00BB772F">
      <w:pPr>
        <w:ind w:left="-567"/>
        <w:rPr>
          <w:bCs/>
          <w:szCs w:val="22"/>
          <w:lang w:val="es-MX"/>
        </w:rPr>
      </w:pPr>
      <w:r>
        <w:rPr>
          <w:noProof/>
          <w:lang w:val="es-MX" w:eastAsia="es-MX"/>
        </w:rPr>
        <w:drawing>
          <wp:inline distT="0" distB="0" distL="0" distR="0" wp14:anchorId="102E7196" wp14:editId="15D8F817">
            <wp:extent cx="5941060" cy="3552825"/>
            <wp:effectExtent l="0" t="0" r="2540" b="9525"/>
            <wp:docPr id="15" name="Gráfico 15">
              <a:extLst xmlns:a="http://schemas.openxmlformats.org/drawingml/2006/main">
                <a:ext uri="{FF2B5EF4-FFF2-40B4-BE49-F238E27FC236}">
                  <a16:creationId xmlns:a16="http://schemas.microsoft.com/office/drawing/2014/main" id="{3449E364-98C0-4BA2-9100-AA51114221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246708" w14:textId="5AB4D6CB" w:rsidR="00273387" w:rsidRPr="006F78C1" w:rsidRDefault="006F78C1" w:rsidP="006F78C1">
      <w:pPr>
        <w:ind w:right="-516"/>
        <w:contextualSpacing/>
        <w:jc w:val="center"/>
        <w:rPr>
          <w:rFonts w:cs="Arial"/>
          <w:color w:val="000000"/>
          <w:sz w:val="16"/>
          <w:szCs w:val="16"/>
          <w:lang w:val="es-ES_tradnl" w:eastAsia="es-MX"/>
        </w:rPr>
      </w:pPr>
      <w:r w:rsidRPr="001D2B8D">
        <w:rPr>
          <w:rFonts w:cs="Arial"/>
          <w:noProof/>
          <w:sz w:val="20"/>
          <w:lang w:val="es-MX" w:eastAsia="es-MX"/>
        </w:rPr>
        <w:drawing>
          <wp:inline distT="0" distB="0" distL="0" distR="0" wp14:anchorId="61B9E2E8" wp14:editId="34C29337">
            <wp:extent cx="179529" cy="181755"/>
            <wp:effectExtent l="0" t="0" r="0" b="8890"/>
            <wp:docPr id="47" name="Imagen 47"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282" cy="192642"/>
                    </a:xfrm>
                    <a:prstGeom prst="rect">
                      <a:avLst/>
                    </a:prstGeom>
                    <a:noFill/>
                    <a:ln>
                      <a:noFill/>
                    </a:ln>
                  </pic:spPr>
                </pic:pic>
              </a:graphicData>
            </a:graphic>
          </wp:inline>
        </w:drawing>
      </w:r>
      <w:r w:rsidRPr="001D2B8D">
        <w:rPr>
          <w:rFonts w:cs="Arial"/>
          <w:noProof/>
          <w:sz w:val="20"/>
          <w:lang w:eastAsia="es-MX"/>
        </w:rPr>
        <w:t xml:space="preserve"> </w:t>
      </w:r>
      <w:r w:rsidRPr="001D2B8D">
        <w:rPr>
          <w:rFonts w:cs="Arial"/>
          <w:noProof/>
          <w:sz w:val="20"/>
          <w:lang w:val="es-MX" w:eastAsia="es-MX"/>
        </w:rPr>
        <w:drawing>
          <wp:inline distT="0" distB="0" distL="0" distR="0" wp14:anchorId="21705101" wp14:editId="3D87B318">
            <wp:extent cx="191809" cy="190500"/>
            <wp:effectExtent l="0" t="0" r="0" b="0"/>
            <wp:docPr id="48" name="Imagen 48" descr="C:\Users\saladeprensa\Desktop\NVOS LOGOS\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318" cy="263507"/>
                    </a:xfrm>
                    <a:prstGeom prst="rect">
                      <a:avLst/>
                    </a:prstGeom>
                    <a:noFill/>
                    <a:ln>
                      <a:noFill/>
                    </a:ln>
                  </pic:spPr>
                </pic:pic>
              </a:graphicData>
            </a:graphic>
          </wp:inline>
        </w:drawing>
      </w:r>
      <w:r w:rsidRPr="001D2B8D">
        <w:rPr>
          <w:rFonts w:cs="Arial"/>
          <w:noProof/>
          <w:sz w:val="20"/>
          <w:lang w:eastAsia="es-MX"/>
        </w:rPr>
        <w:t xml:space="preserve"> </w:t>
      </w:r>
      <w:r w:rsidRPr="001D2B8D">
        <w:rPr>
          <w:rFonts w:cs="Arial"/>
          <w:noProof/>
          <w:sz w:val="20"/>
          <w:lang w:val="es-MX" w:eastAsia="es-MX"/>
        </w:rPr>
        <w:drawing>
          <wp:inline distT="0" distB="0" distL="0" distR="0" wp14:anchorId="771B08F5" wp14:editId="4C2BF2FA">
            <wp:extent cx="182097" cy="183693"/>
            <wp:effectExtent l="0" t="0" r="8890" b="6985"/>
            <wp:docPr id="49" name="Imagen 49" descr="C:\Users\saladeprensa\Desktop\NVOS LOGO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9186" cy="200931"/>
                    </a:xfrm>
                    <a:prstGeom prst="rect">
                      <a:avLst/>
                    </a:prstGeom>
                    <a:noFill/>
                    <a:ln>
                      <a:noFill/>
                    </a:ln>
                  </pic:spPr>
                </pic:pic>
              </a:graphicData>
            </a:graphic>
          </wp:inline>
        </w:drawing>
      </w:r>
      <w:r w:rsidRPr="001D2B8D">
        <w:rPr>
          <w:rFonts w:cs="Arial"/>
          <w:noProof/>
          <w:sz w:val="20"/>
          <w:lang w:eastAsia="es-MX"/>
        </w:rPr>
        <w:t xml:space="preserve"> </w:t>
      </w:r>
      <w:r w:rsidRPr="001D2B8D">
        <w:rPr>
          <w:rFonts w:cs="Arial"/>
          <w:noProof/>
          <w:sz w:val="20"/>
          <w:lang w:val="es-MX" w:eastAsia="es-MX"/>
        </w:rPr>
        <w:drawing>
          <wp:inline distT="0" distB="0" distL="0" distR="0" wp14:anchorId="4F04FF46" wp14:editId="531B06EC">
            <wp:extent cx="195388" cy="198610"/>
            <wp:effectExtent l="0" t="0" r="0" b="0"/>
            <wp:docPr id="50" name="Imagen 50" descr="C:\Users\saladeprensa\Desktop\NVOS LOGOS\Y.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6091" cy="239984"/>
                    </a:xfrm>
                    <a:prstGeom prst="rect">
                      <a:avLst/>
                    </a:prstGeom>
                    <a:noFill/>
                    <a:ln>
                      <a:noFill/>
                    </a:ln>
                  </pic:spPr>
                </pic:pic>
              </a:graphicData>
            </a:graphic>
          </wp:inline>
        </w:drawing>
      </w:r>
      <w:r w:rsidRPr="001D2B8D">
        <w:rPr>
          <w:rFonts w:cs="Arial"/>
          <w:noProof/>
          <w:sz w:val="20"/>
          <w:lang w:eastAsia="es-MX"/>
        </w:rPr>
        <w:t xml:space="preserve">  </w:t>
      </w:r>
      <w:r w:rsidRPr="001D2B8D">
        <w:rPr>
          <w:rFonts w:cs="Arial"/>
          <w:noProof/>
          <w:sz w:val="14"/>
          <w:szCs w:val="18"/>
          <w:lang w:val="es-MX" w:eastAsia="es-MX"/>
        </w:rPr>
        <w:drawing>
          <wp:inline distT="0" distB="0" distL="0" distR="0" wp14:anchorId="69067411" wp14:editId="4C27A066">
            <wp:extent cx="1639545" cy="225639"/>
            <wp:effectExtent l="0" t="0" r="0" b="3175"/>
            <wp:docPr id="51" name="Imagen 5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22824" cy="278387"/>
                    </a:xfrm>
                    <a:prstGeom prst="rect">
                      <a:avLst/>
                    </a:prstGeom>
                    <a:noFill/>
                    <a:ln>
                      <a:noFill/>
                    </a:ln>
                  </pic:spPr>
                </pic:pic>
              </a:graphicData>
            </a:graphic>
          </wp:inline>
        </w:drawing>
      </w:r>
      <w:r w:rsidR="00B974A0">
        <w:rPr>
          <w:bCs/>
          <w:szCs w:val="22"/>
          <w:lang w:val="es-MX"/>
        </w:rPr>
        <w:t xml:space="preserve"> </w:t>
      </w:r>
    </w:p>
    <w:sectPr w:rsidR="00273387" w:rsidRPr="006F78C1" w:rsidSect="00851E2F">
      <w:headerReference w:type="default" r:id="rId25"/>
      <w:footerReference w:type="default" r:id="rId26"/>
      <w:headerReference w:type="first" r:id="rId27"/>
      <w:footerReference w:type="first" r:id="rId28"/>
      <w:footnotePr>
        <w:numRestart w:val="eachSect"/>
      </w:footnotePr>
      <w:pgSz w:w="12242" w:h="15842" w:code="1"/>
      <w:pgMar w:top="1418" w:right="1185" w:bottom="1135" w:left="1701" w:header="567"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0AEB" w14:textId="77777777" w:rsidR="00A60E0E" w:rsidRDefault="00A60E0E" w:rsidP="006B0515">
      <w:r>
        <w:separator/>
      </w:r>
    </w:p>
  </w:endnote>
  <w:endnote w:type="continuationSeparator" w:id="0">
    <w:p w14:paraId="09B255CC" w14:textId="77777777" w:rsidR="00A60E0E" w:rsidRDefault="00A60E0E" w:rsidP="006B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2FA4" w14:textId="1AE41430" w:rsidR="00851E2F" w:rsidRPr="00851E2F" w:rsidRDefault="00851E2F" w:rsidP="00851E2F">
    <w:pPr>
      <w:pStyle w:val="Piedepgina"/>
      <w:jc w:val="center"/>
      <w:rPr>
        <w:b/>
        <w:color w:val="002060"/>
        <w:sz w:val="20"/>
        <w:szCs w:val="20"/>
      </w:rPr>
    </w:pPr>
    <w:r w:rsidRPr="00851E2F">
      <w:rPr>
        <w:b/>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E008" w14:textId="514924D2" w:rsidR="00185B82" w:rsidRPr="00185B82" w:rsidRDefault="00185B82" w:rsidP="00185B82">
    <w:pPr>
      <w:pStyle w:val="Piedepgina"/>
      <w:jc w:val="center"/>
      <w:rPr>
        <w:b/>
        <w:color w:val="002060"/>
        <w:sz w:val="20"/>
        <w:szCs w:val="20"/>
      </w:rPr>
    </w:pPr>
    <w:r w:rsidRPr="00185B82">
      <w:rPr>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09091" w14:textId="77777777" w:rsidR="00A60E0E" w:rsidRDefault="00A60E0E" w:rsidP="006B0515">
      <w:r>
        <w:separator/>
      </w:r>
    </w:p>
  </w:footnote>
  <w:footnote w:type="continuationSeparator" w:id="0">
    <w:p w14:paraId="05881DDA" w14:textId="77777777" w:rsidR="00A60E0E" w:rsidRDefault="00A60E0E" w:rsidP="006B0515">
      <w:r>
        <w:continuationSeparator/>
      </w:r>
    </w:p>
  </w:footnote>
  <w:footnote w:id="1">
    <w:p w14:paraId="04615712" w14:textId="6D865750" w:rsidR="00C23075" w:rsidRPr="00C23075" w:rsidRDefault="00C23075" w:rsidP="00C23075">
      <w:pPr>
        <w:pStyle w:val="Textonotapie"/>
        <w:ind w:left="-426" w:hanging="141"/>
        <w:rPr>
          <w:lang w:val="es-MX"/>
        </w:rPr>
      </w:pPr>
      <w:r>
        <w:rPr>
          <w:rStyle w:val="Refdenotaalpie"/>
        </w:rPr>
        <w:footnoteRef/>
      </w:r>
      <w:r>
        <w:t xml:space="preserve"> </w:t>
      </w:r>
      <w:r w:rsidRPr="00C23075">
        <w:rPr>
          <w:rFonts w:cs="Arial"/>
          <w:color w:val="000000" w:themeColor="text1"/>
          <w:sz w:val="16"/>
          <w:szCs w:val="16"/>
          <w:lang w:val="es-MX"/>
        </w:rPr>
        <w:t>El 11 de mayo de 2021 fue sustituido el archivo del comunicado con Estadísticas a propósito del Día de la Madre difundido el 7 de mayo de 2021 debido a imprecisiones en l</w:t>
      </w:r>
      <w:r w:rsidRPr="00C23075">
        <w:rPr>
          <w:rFonts w:cs="Arial"/>
          <w:color w:val="000000" w:themeColor="text1"/>
          <w:sz w:val="16"/>
          <w:szCs w:val="16"/>
          <w:lang w:eastAsia="en-US"/>
        </w:rPr>
        <w:t>a interpretación del promedio de hijos nacidos vivos (</w:t>
      </w:r>
      <w:r w:rsidRPr="00C23075">
        <w:rPr>
          <w:rFonts w:cs="Arial"/>
          <w:color w:val="000000" w:themeColor="text1"/>
          <w:sz w:val="16"/>
          <w:szCs w:val="16"/>
          <w:lang w:val="es-MX"/>
        </w:rPr>
        <w:t>referidos a la  Tasa de Fecundidad Global)</w:t>
      </w:r>
      <w:r>
        <w:rPr>
          <w:rFonts w:cs="Arial"/>
          <w:color w:val="000000" w:themeColor="text1"/>
          <w:sz w:val="16"/>
          <w:szCs w:val="16"/>
          <w:lang w:val="es-MX"/>
        </w:rPr>
        <w:t xml:space="preserve"> e</w:t>
      </w:r>
      <w:r w:rsidRPr="00C23075">
        <w:rPr>
          <w:rFonts w:cs="Arial"/>
          <w:color w:val="000000" w:themeColor="text1"/>
          <w:sz w:val="16"/>
          <w:szCs w:val="16"/>
          <w:lang w:val="es-MX"/>
        </w:rPr>
        <w:t xml:space="preserve">n las páginas 1 y 2.  Decía: </w:t>
      </w:r>
      <w:r>
        <w:rPr>
          <w:rFonts w:cs="Arial"/>
          <w:color w:val="000000" w:themeColor="text1"/>
          <w:sz w:val="16"/>
          <w:szCs w:val="16"/>
          <w:lang w:val="es-MX"/>
        </w:rPr>
        <w:t xml:space="preserve">hijos </w:t>
      </w:r>
      <w:r w:rsidRPr="00C23075">
        <w:rPr>
          <w:rFonts w:cs="Arial"/>
          <w:color w:val="000000" w:themeColor="text1"/>
          <w:sz w:val="16"/>
          <w:szCs w:val="16"/>
          <w:lang w:val="es-MX"/>
        </w:rPr>
        <w:t>por cada mil mujeres. Debe decir:</w:t>
      </w:r>
      <w:r w:rsidRPr="00C23075">
        <w:rPr>
          <w:rFonts w:cs="Arial"/>
          <w:color w:val="000000" w:themeColor="text1"/>
          <w:sz w:val="16"/>
          <w:szCs w:val="16"/>
        </w:rPr>
        <w:t xml:space="preserve"> </w:t>
      </w:r>
      <w:r w:rsidRPr="00C23075">
        <w:rPr>
          <w:rFonts w:cs="Arial"/>
          <w:bCs/>
          <w:color w:val="000000" w:themeColor="text1"/>
          <w:sz w:val="16"/>
          <w:szCs w:val="16"/>
        </w:rPr>
        <w:t>hijos en promedio por mujer</w:t>
      </w:r>
      <w:r>
        <w:rPr>
          <w:rFonts w:cs="Arial"/>
          <w:bCs/>
          <w:color w:val="000000" w:themeColor="text1"/>
          <w:sz w:val="16"/>
          <w:szCs w:val="16"/>
        </w:rPr>
        <w:t>.</w:t>
      </w:r>
    </w:p>
  </w:footnote>
  <w:footnote w:id="2">
    <w:p w14:paraId="508218ED" w14:textId="77777777" w:rsidR="00096962" w:rsidRPr="00185B82" w:rsidRDefault="00096962" w:rsidP="00096962">
      <w:pPr>
        <w:pStyle w:val="Textonotapie"/>
        <w:ind w:left="-426" w:hanging="141"/>
        <w:rPr>
          <w:sz w:val="16"/>
          <w:szCs w:val="16"/>
          <w:lang w:val="es-MX"/>
        </w:rPr>
      </w:pPr>
      <w:r w:rsidRPr="00A604BB">
        <w:rPr>
          <w:rStyle w:val="Refdenotaalpie"/>
          <w:sz w:val="18"/>
          <w:szCs w:val="18"/>
        </w:rPr>
        <w:footnoteRef/>
      </w:r>
      <w:r w:rsidRPr="00A604BB">
        <w:rPr>
          <w:sz w:val="18"/>
          <w:szCs w:val="18"/>
        </w:rPr>
        <w:t xml:space="preserve"> </w:t>
      </w:r>
      <w:r w:rsidRPr="00185B82">
        <w:rPr>
          <w:sz w:val="16"/>
          <w:szCs w:val="16"/>
          <w:lang w:val="es-MX"/>
        </w:rPr>
        <w:t xml:space="preserve">Universidad de Guadalajara (2018). </w:t>
      </w:r>
      <w:r w:rsidRPr="00185B82">
        <w:rPr>
          <w:i/>
          <w:sz w:val="16"/>
          <w:szCs w:val="16"/>
          <w:lang w:val="es-MX"/>
        </w:rPr>
        <w:t>10 de mayo - Día de la madre en México</w:t>
      </w:r>
      <w:r w:rsidRPr="00185B82">
        <w:rPr>
          <w:sz w:val="16"/>
          <w:szCs w:val="16"/>
          <w:lang w:val="es-MX"/>
        </w:rPr>
        <w:t>. https://www.udg.mx/es/efemerides/2018/10-mayo</w:t>
      </w:r>
    </w:p>
  </w:footnote>
  <w:footnote w:id="3">
    <w:p w14:paraId="5BF58659" w14:textId="03372CA9" w:rsidR="005A0675" w:rsidRPr="00185B82" w:rsidRDefault="005A0675" w:rsidP="005A0675">
      <w:pPr>
        <w:pStyle w:val="Textonotapie"/>
        <w:ind w:left="-426" w:hanging="141"/>
        <w:rPr>
          <w:sz w:val="16"/>
          <w:szCs w:val="16"/>
          <w:lang w:val="es-MX"/>
        </w:rPr>
      </w:pPr>
      <w:r w:rsidRPr="00185B82">
        <w:rPr>
          <w:rStyle w:val="Refdenotaalpie"/>
          <w:sz w:val="16"/>
          <w:szCs w:val="16"/>
        </w:rPr>
        <w:footnoteRef/>
      </w:r>
      <w:r w:rsidRPr="00185B82">
        <w:rPr>
          <w:sz w:val="16"/>
          <w:szCs w:val="16"/>
        </w:rPr>
        <w:t xml:space="preserve"> </w:t>
      </w:r>
      <w:r w:rsidR="00185B82">
        <w:rPr>
          <w:sz w:val="16"/>
          <w:szCs w:val="16"/>
        </w:rPr>
        <w:t xml:space="preserve"> </w:t>
      </w:r>
      <w:r w:rsidRPr="00185B82">
        <w:rPr>
          <w:sz w:val="16"/>
          <w:szCs w:val="16"/>
          <w:lang w:val="es-MX"/>
        </w:rPr>
        <w:t>Hay 12 103 mujeres con al menos un hijo nacido vivo que no especifican su condición de habla de lengua indígena.</w:t>
      </w:r>
    </w:p>
    <w:p w14:paraId="752FF073" w14:textId="77777777" w:rsidR="005A0675" w:rsidRDefault="005A0675" w:rsidP="005A0675">
      <w:pPr>
        <w:pStyle w:val="Textonotapie"/>
        <w:ind w:left="-426" w:hanging="142"/>
        <w:rPr>
          <w:lang w:val="es-MX"/>
        </w:rPr>
      </w:pPr>
    </w:p>
    <w:p w14:paraId="4B28701A" w14:textId="77777777" w:rsidR="005A0675" w:rsidRPr="00B05F61" w:rsidRDefault="005A0675" w:rsidP="005A0675">
      <w:pPr>
        <w:pStyle w:val="Textonotapie"/>
        <w:ind w:left="-426" w:hanging="142"/>
        <w:rPr>
          <w:lang w:val="es-MX"/>
        </w:rPr>
      </w:pPr>
    </w:p>
  </w:footnote>
  <w:footnote w:id="4">
    <w:p w14:paraId="77158DD3" w14:textId="00D78791" w:rsidR="002E5D1A" w:rsidRPr="00254C92" w:rsidRDefault="002E5D1A" w:rsidP="00254C92">
      <w:pPr>
        <w:pStyle w:val="Textonotapie"/>
        <w:ind w:left="-426" w:hanging="141"/>
        <w:jc w:val="left"/>
        <w:rPr>
          <w:sz w:val="18"/>
          <w:szCs w:val="18"/>
          <w:lang w:val="es-MX"/>
        </w:rPr>
      </w:pPr>
      <w:r w:rsidRPr="007002EC">
        <w:rPr>
          <w:sz w:val="18"/>
          <w:szCs w:val="18"/>
          <w:vertAlign w:val="superscript"/>
          <w:lang w:val="es-MX"/>
        </w:rPr>
        <w:footnoteRef/>
      </w:r>
      <w:r w:rsidRPr="00254C92">
        <w:rPr>
          <w:sz w:val="18"/>
          <w:szCs w:val="18"/>
          <w:lang w:val="es-MX"/>
        </w:rPr>
        <w:t xml:space="preserve"> </w:t>
      </w:r>
      <w:r w:rsidRPr="00851E2F">
        <w:rPr>
          <w:sz w:val="16"/>
          <w:szCs w:val="16"/>
          <w:lang w:val="es-MX"/>
        </w:rPr>
        <w:t xml:space="preserve">Fondo de las Naciones Unidas para la Infancia (2018). </w:t>
      </w:r>
      <w:r w:rsidRPr="00851E2F">
        <w:rPr>
          <w:i/>
          <w:sz w:val="16"/>
          <w:szCs w:val="16"/>
          <w:lang w:val="es-MX"/>
        </w:rPr>
        <w:t>Los derechos de la infancia y la adolescencia en México.</w:t>
      </w:r>
      <w:r w:rsidRPr="00851E2F">
        <w:rPr>
          <w:sz w:val="16"/>
          <w:szCs w:val="16"/>
          <w:lang w:val="es-MX"/>
        </w:rPr>
        <w:t xml:space="preserve"> https://www.undp.org/content/undp/es/home/sustainable-development-goals/goal-4-quality-education.html</w:t>
      </w:r>
    </w:p>
  </w:footnote>
  <w:footnote w:id="5">
    <w:p w14:paraId="75A77880" w14:textId="33731727" w:rsidR="002E5D1A" w:rsidRPr="00851E2F" w:rsidRDefault="002E5D1A" w:rsidP="00254C92">
      <w:pPr>
        <w:pStyle w:val="Textonotapie"/>
        <w:ind w:left="-425" w:hanging="142"/>
        <w:jc w:val="left"/>
        <w:rPr>
          <w:sz w:val="16"/>
          <w:szCs w:val="16"/>
          <w:lang w:val="es-MX"/>
        </w:rPr>
      </w:pPr>
      <w:r w:rsidRPr="007002EC">
        <w:rPr>
          <w:sz w:val="18"/>
          <w:szCs w:val="18"/>
          <w:vertAlign w:val="superscript"/>
          <w:lang w:val="es-MX"/>
        </w:rPr>
        <w:footnoteRef/>
      </w:r>
      <w:r w:rsidR="00C045EC" w:rsidRPr="00254C92">
        <w:rPr>
          <w:sz w:val="18"/>
          <w:szCs w:val="18"/>
          <w:lang w:val="es-MX"/>
        </w:rPr>
        <w:t xml:space="preserve"> </w:t>
      </w:r>
      <w:r w:rsidRPr="00851E2F">
        <w:rPr>
          <w:sz w:val="16"/>
          <w:szCs w:val="16"/>
          <w:lang w:val="es-MX"/>
        </w:rPr>
        <w:t xml:space="preserve">Organización de Naciones Unidas (2020). </w:t>
      </w:r>
      <w:r w:rsidRPr="00851E2F">
        <w:rPr>
          <w:i/>
          <w:sz w:val="16"/>
          <w:szCs w:val="16"/>
          <w:lang w:val="es-MX"/>
        </w:rPr>
        <w:t>Objetivos de desarrollo sostenible. Educación de calidad</w:t>
      </w:r>
      <w:r w:rsidRPr="00851E2F">
        <w:rPr>
          <w:sz w:val="16"/>
          <w:szCs w:val="16"/>
          <w:lang w:val="es-MX"/>
        </w:rPr>
        <w:t>. https://www.un.org/sustainabledevelopment/es/education/</w:t>
      </w:r>
    </w:p>
  </w:footnote>
  <w:footnote w:id="6">
    <w:p w14:paraId="70DD4471" w14:textId="7D70D9BC" w:rsidR="002E5D1A" w:rsidRPr="00254C92" w:rsidRDefault="002E5D1A" w:rsidP="007002EC">
      <w:pPr>
        <w:pStyle w:val="Textonotapie"/>
        <w:ind w:left="-426" w:hanging="142"/>
        <w:rPr>
          <w:sz w:val="18"/>
          <w:szCs w:val="18"/>
          <w:lang w:val="es-MX"/>
        </w:rPr>
      </w:pPr>
      <w:r w:rsidRPr="00851E2F">
        <w:rPr>
          <w:rStyle w:val="Refdenotaalpie"/>
          <w:sz w:val="16"/>
          <w:szCs w:val="16"/>
        </w:rPr>
        <w:footnoteRef/>
      </w:r>
      <w:r w:rsidRPr="00851E2F">
        <w:rPr>
          <w:sz w:val="16"/>
          <w:szCs w:val="16"/>
        </w:rPr>
        <w:t xml:space="preserve"> </w:t>
      </w:r>
      <w:r w:rsidRPr="00851E2F">
        <w:rPr>
          <w:sz w:val="16"/>
          <w:szCs w:val="16"/>
          <w:lang w:val="es-MX"/>
        </w:rPr>
        <w:t xml:space="preserve">Organización de Naciones Unidas (2015). </w:t>
      </w:r>
      <w:r w:rsidRPr="00851E2F">
        <w:rPr>
          <w:i/>
          <w:sz w:val="16"/>
          <w:szCs w:val="16"/>
          <w:lang w:val="es-MX"/>
        </w:rPr>
        <w:t>Consejo económico social. Examen al cabo de 20 años de la Declaración y Plataforma de Acción de Beijing y el futuro: un marco para promover las cuestiones relacionadas con las mujeres indígenas</w:t>
      </w:r>
      <w:r w:rsidRPr="00851E2F">
        <w:rPr>
          <w:sz w:val="16"/>
          <w:szCs w:val="16"/>
          <w:lang w:val="es-MX"/>
        </w:rPr>
        <w:t>. https://undocs.org/es/E/C.19/2015/2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7643" w14:textId="42238631" w:rsidR="00185B82" w:rsidRPr="00FE1C98" w:rsidRDefault="00185B82" w:rsidP="00185B82">
    <w:pPr>
      <w:pStyle w:val="Encabezado"/>
      <w:tabs>
        <w:tab w:val="clear" w:pos="4419"/>
        <w:tab w:val="clear" w:pos="8838"/>
      </w:tabs>
      <w:ind w:left="-567"/>
      <w:jc w:val="right"/>
      <w:rPr>
        <w:b/>
        <w:color w:val="002060"/>
        <w:sz w:val="26"/>
        <w:lang w:val="pt-BR"/>
      </w:rPr>
    </w:pPr>
    <w:r>
      <w:rPr>
        <w:noProof/>
        <w:lang w:val="es-MX" w:eastAsia="es-MX"/>
      </w:rPr>
      <w:drawing>
        <wp:anchor distT="0" distB="0" distL="114300" distR="114300" simplePos="0" relativeHeight="251661312" behindDoc="0" locked="0" layoutInCell="1" allowOverlap="1" wp14:anchorId="370A2040" wp14:editId="4A195B4F">
          <wp:simplePos x="0" y="0"/>
          <wp:positionH relativeFrom="margin">
            <wp:posOffset>-390525</wp:posOffset>
          </wp:positionH>
          <wp:positionV relativeFrom="margin">
            <wp:posOffset>-838200</wp:posOffset>
          </wp:positionV>
          <wp:extent cx="695325" cy="721995"/>
          <wp:effectExtent l="0" t="0" r="9525" b="190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3139">
      <w:rPr>
        <w:b/>
        <w:color w:val="002060"/>
        <w:sz w:val="24"/>
      </w:rPr>
      <w:t xml:space="preserve"> </w:t>
    </w:r>
    <w:r>
      <w:rPr>
        <w:b/>
        <w:color w:val="002060"/>
        <w:sz w:val="24"/>
      </w:rPr>
      <w:t>C</w:t>
    </w:r>
    <w:r w:rsidRPr="00FE1C98">
      <w:rPr>
        <w:b/>
        <w:color w:val="002060"/>
        <w:sz w:val="24"/>
      </w:rPr>
      <w:t>OMUNICADO DE PRENSA NÚM.</w:t>
    </w:r>
    <w:r>
      <w:rPr>
        <w:b/>
        <w:color w:val="002060"/>
        <w:sz w:val="24"/>
      </w:rPr>
      <w:t xml:space="preserve"> 270/21</w:t>
    </w:r>
  </w:p>
  <w:p w14:paraId="7AE1E791" w14:textId="6012ACF6" w:rsidR="00185B82" w:rsidRPr="00FE1C98" w:rsidRDefault="00185B82" w:rsidP="00185B82">
    <w:pPr>
      <w:pStyle w:val="Encabezado"/>
      <w:tabs>
        <w:tab w:val="clear" w:pos="4419"/>
        <w:tab w:val="clear" w:pos="8838"/>
      </w:tabs>
      <w:ind w:left="-567"/>
      <w:jc w:val="right"/>
      <w:rPr>
        <w:b/>
        <w:color w:val="002060"/>
        <w:sz w:val="26"/>
        <w:lang w:val="pt-BR"/>
      </w:rPr>
    </w:pPr>
    <w:r>
      <w:rPr>
        <w:b/>
        <w:color w:val="002060"/>
        <w:sz w:val="24"/>
        <w:lang w:val="pt-BR"/>
      </w:rPr>
      <w:t>7 DE MAYO DE 2021</w:t>
    </w:r>
  </w:p>
  <w:p w14:paraId="477D9000" w14:textId="12206D6D" w:rsidR="00185B82" w:rsidRPr="00FE1C98" w:rsidRDefault="00185B82" w:rsidP="00185B82">
    <w:pPr>
      <w:pStyle w:val="Encabezado"/>
      <w:tabs>
        <w:tab w:val="clear" w:pos="4419"/>
        <w:tab w:val="clear" w:pos="8838"/>
      </w:tabs>
      <w:ind w:left="-567"/>
      <w:jc w:val="right"/>
      <w:rPr>
        <w:b/>
        <w:color w:val="002060"/>
        <w:sz w:val="24"/>
      </w:rPr>
    </w:pPr>
    <w:r w:rsidRPr="00FE1C98">
      <w:rPr>
        <w:b/>
        <w:color w:val="002060"/>
        <w:sz w:val="24"/>
      </w:rPr>
      <w:t xml:space="preserve">PÁGINA </w:t>
    </w:r>
    <w:r w:rsidRPr="00FE1C98">
      <w:rPr>
        <w:b/>
        <w:color w:val="002060"/>
        <w:sz w:val="24"/>
      </w:rPr>
      <w:fldChar w:fldCharType="begin"/>
    </w:r>
    <w:r w:rsidRPr="00FE1C98">
      <w:rPr>
        <w:b/>
        <w:color w:val="002060"/>
        <w:sz w:val="24"/>
      </w:rPr>
      <w:instrText xml:space="preserve"> PAGE  \* Arabic </w:instrText>
    </w:r>
    <w:r w:rsidRPr="00FE1C98">
      <w:rPr>
        <w:b/>
        <w:color w:val="002060"/>
        <w:sz w:val="24"/>
      </w:rPr>
      <w:fldChar w:fldCharType="separate"/>
    </w:r>
    <w:r w:rsidR="00B02068">
      <w:rPr>
        <w:b/>
        <w:noProof/>
        <w:color w:val="002060"/>
        <w:sz w:val="24"/>
      </w:rPr>
      <w:t>4</w:t>
    </w:r>
    <w:r w:rsidRPr="00FE1C98">
      <w:rPr>
        <w:b/>
        <w:color w:val="002060"/>
        <w:sz w:val="24"/>
      </w:rPr>
      <w:fldChar w:fldCharType="end"/>
    </w:r>
    <w:r w:rsidRPr="00FE1C98">
      <w:rPr>
        <w:b/>
        <w:color w:val="002060"/>
        <w:sz w:val="24"/>
      </w:rPr>
      <w:t>/</w:t>
    </w:r>
    <w:r>
      <w:rPr>
        <w:b/>
        <w:color w:val="002060"/>
        <w:sz w:val="24"/>
      </w:rPr>
      <w:t>5</w:t>
    </w:r>
  </w:p>
  <w:p w14:paraId="6A3C1D09" w14:textId="7E167F3A" w:rsidR="0068353C" w:rsidRDefault="00A60E0E" w:rsidP="002065DD">
    <w:pPr>
      <w:pStyle w:val="Textoindependien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712B" w14:textId="490801C4" w:rsidR="00185B82" w:rsidRPr="00FE1C98" w:rsidRDefault="00185B82" w:rsidP="00185B82">
    <w:pPr>
      <w:pStyle w:val="Encabezado"/>
      <w:tabs>
        <w:tab w:val="clear" w:pos="4419"/>
        <w:tab w:val="clear" w:pos="8838"/>
      </w:tabs>
      <w:ind w:left="-567" w:right="142"/>
      <w:jc w:val="right"/>
      <w:rPr>
        <w:b/>
        <w:color w:val="002060"/>
        <w:sz w:val="26"/>
        <w:lang w:val="pt-BR"/>
      </w:rPr>
    </w:pPr>
    <w:r>
      <w:rPr>
        <w:noProof/>
        <w:lang w:val="es-MX" w:eastAsia="es-MX"/>
      </w:rPr>
      <w:drawing>
        <wp:anchor distT="0" distB="0" distL="114300" distR="114300" simplePos="0" relativeHeight="251659264" behindDoc="0" locked="0" layoutInCell="1" allowOverlap="1" wp14:anchorId="61BDCE6F" wp14:editId="46440833">
          <wp:simplePos x="0" y="0"/>
          <wp:positionH relativeFrom="margin">
            <wp:posOffset>-323850</wp:posOffset>
          </wp:positionH>
          <wp:positionV relativeFrom="margin">
            <wp:posOffset>-847725</wp:posOffset>
          </wp:positionV>
          <wp:extent cx="695325" cy="721995"/>
          <wp:effectExtent l="0" t="0" r="9525" b="190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3139">
      <w:rPr>
        <w:b/>
        <w:color w:val="002060"/>
        <w:sz w:val="24"/>
      </w:rPr>
      <w:t xml:space="preserve"> </w:t>
    </w:r>
    <w:r>
      <w:rPr>
        <w:b/>
        <w:color w:val="002060"/>
        <w:sz w:val="24"/>
      </w:rPr>
      <w:t>C</w:t>
    </w:r>
    <w:r w:rsidRPr="00FE1C98">
      <w:rPr>
        <w:b/>
        <w:color w:val="002060"/>
        <w:sz w:val="24"/>
      </w:rPr>
      <w:t>OMUNICADO DE PRENSA NÚM.</w:t>
    </w:r>
    <w:r>
      <w:rPr>
        <w:b/>
        <w:color w:val="002060"/>
        <w:sz w:val="24"/>
      </w:rPr>
      <w:t xml:space="preserve"> 271/21</w:t>
    </w:r>
  </w:p>
  <w:p w14:paraId="30D071CA" w14:textId="5338979D" w:rsidR="00185B82" w:rsidRPr="00FE1C98" w:rsidRDefault="00185B82" w:rsidP="00185B82">
    <w:pPr>
      <w:pStyle w:val="Encabezado"/>
      <w:tabs>
        <w:tab w:val="clear" w:pos="4419"/>
        <w:tab w:val="clear" w:pos="8838"/>
      </w:tabs>
      <w:ind w:left="-567" w:right="142"/>
      <w:jc w:val="right"/>
      <w:rPr>
        <w:b/>
        <w:color w:val="002060"/>
        <w:sz w:val="26"/>
        <w:lang w:val="pt-BR"/>
      </w:rPr>
    </w:pPr>
    <w:r>
      <w:rPr>
        <w:b/>
        <w:color w:val="002060"/>
        <w:sz w:val="24"/>
        <w:lang w:val="pt-BR"/>
      </w:rPr>
      <w:t>7 DE MAYO DE 2021</w:t>
    </w:r>
  </w:p>
  <w:p w14:paraId="47AA0CE7" w14:textId="29042A37" w:rsidR="00185B82" w:rsidRPr="00FE1C98" w:rsidRDefault="00185B82" w:rsidP="00185B82">
    <w:pPr>
      <w:pStyle w:val="Encabezado"/>
      <w:tabs>
        <w:tab w:val="clear" w:pos="4419"/>
        <w:tab w:val="clear" w:pos="8838"/>
      </w:tabs>
      <w:ind w:left="-567" w:right="142"/>
      <w:jc w:val="right"/>
      <w:rPr>
        <w:b/>
        <w:color w:val="002060"/>
        <w:sz w:val="24"/>
      </w:rPr>
    </w:pPr>
    <w:r w:rsidRPr="00FE1C98">
      <w:rPr>
        <w:b/>
        <w:color w:val="002060"/>
        <w:sz w:val="24"/>
      </w:rPr>
      <w:t xml:space="preserve">PÁGINA </w:t>
    </w:r>
    <w:r w:rsidRPr="00FE1C98">
      <w:rPr>
        <w:b/>
        <w:color w:val="002060"/>
        <w:sz w:val="24"/>
      </w:rPr>
      <w:fldChar w:fldCharType="begin"/>
    </w:r>
    <w:r w:rsidRPr="00FE1C98">
      <w:rPr>
        <w:b/>
        <w:color w:val="002060"/>
        <w:sz w:val="24"/>
      </w:rPr>
      <w:instrText xml:space="preserve"> PAGE  \* Arabic </w:instrText>
    </w:r>
    <w:r w:rsidRPr="00FE1C98">
      <w:rPr>
        <w:b/>
        <w:color w:val="002060"/>
        <w:sz w:val="24"/>
      </w:rPr>
      <w:fldChar w:fldCharType="separate"/>
    </w:r>
    <w:r w:rsidR="00B02068">
      <w:rPr>
        <w:b/>
        <w:noProof/>
        <w:color w:val="002060"/>
        <w:sz w:val="24"/>
      </w:rPr>
      <w:t>1</w:t>
    </w:r>
    <w:r w:rsidRPr="00FE1C98">
      <w:rPr>
        <w:b/>
        <w:color w:val="002060"/>
        <w:sz w:val="24"/>
      </w:rPr>
      <w:fldChar w:fldCharType="end"/>
    </w:r>
    <w:r w:rsidRPr="00FE1C98">
      <w:rPr>
        <w:b/>
        <w:color w:val="002060"/>
        <w:sz w:val="24"/>
      </w:rPr>
      <w:t>/</w:t>
    </w:r>
    <w:r>
      <w:rPr>
        <w:b/>
        <w:color w:val="002060"/>
        <w:sz w:val="24"/>
      </w:rPr>
      <w:t>5</w:t>
    </w:r>
  </w:p>
  <w:p w14:paraId="12FF96C5" w14:textId="77777777" w:rsidR="00931666" w:rsidRDefault="00A60E0E" w:rsidP="00CE7FF1">
    <w:pPr>
      <w:pStyle w:val="Encabezado"/>
      <w:ind w:hanging="426"/>
      <w:jc w:val="center"/>
      <w:rPr>
        <w:noProof/>
      </w:rPr>
    </w:pPr>
  </w:p>
  <w:p w14:paraId="0150CFC5" w14:textId="77777777" w:rsidR="00931666" w:rsidRDefault="00A60E0E" w:rsidP="00CE7FF1">
    <w:pPr>
      <w:pStyle w:val="Encabezado"/>
      <w:ind w:hanging="426"/>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3E04"/>
    <w:multiLevelType w:val="hybridMultilevel"/>
    <w:tmpl w:val="AEC692C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324445F"/>
    <w:multiLevelType w:val="hybridMultilevel"/>
    <w:tmpl w:val="5230941E"/>
    <w:lvl w:ilvl="0" w:tplc="080A0001">
      <w:start w:val="1"/>
      <w:numFmt w:val="bullet"/>
      <w:lvlText w:val=""/>
      <w:lvlJc w:val="left"/>
      <w:pPr>
        <w:ind w:left="5322" w:hanging="360"/>
      </w:pPr>
      <w:rPr>
        <w:rFonts w:ascii="Symbol" w:hAnsi="Symbol" w:hint="default"/>
      </w:rPr>
    </w:lvl>
    <w:lvl w:ilvl="1" w:tplc="080A0003" w:tentative="1">
      <w:start w:val="1"/>
      <w:numFmt w:val="bullet"/>
      <w:lvlText w:val="o"/>
      <w:lvlJc w:val="left"/>
      <w:pPr>
        <w:ind w:left="5328" w:hanging="360"/>
      </w:pPr>
      <w:rPr>
        <w:rFonts w:ascii="Courier New" w:hAnsi="Courier New" w:cs="Courier New" w:hint="default"/>
      </w:rPr>
    </w:lvl>
    <w:lvl w:ilvl="2" w:tplc="080A0005" w:tentative="1">
      <w:start w:val="1"/>
      <w:numFmt w:val="bullet"/>
      <w:lvlText w:val=""/>
      <w:lvlJc w:val="left"/>
      <w:pPr>
        <w:ind w:left="6048" w:hanging="360"/>
      </w:pPr>
      <w:rPr>
        <w:rFonts w:ascii="Wingdings" w:hAnsi="Wingdings" w:hint="default"/>
      </w:rPr>
    </w:lvl>
    <w:lvl w:ilvl="3" w:tplc="080A0001" w:tentative="1">
      <w:start w:val="1"/>
      <w:numFmt w:val="bullet"/>
      <w:lvlText w:val=""/>
      <w:lvlJc w:val="left"/>
      <w:pPr>
        <w:ind w:left="6768" w:hanging="360"/>
      </w:pPr>
      <w:rPr>
        <w:rFonts w:ascii="Symbol" w:hAnsi="Symbol" w:hint="default"/>
      </w:rPr>
    </w:lvl>
    <w:lvl w:ilvl="4" w:tplc="080A0003" w:tentative="1">
      <w:start w:val="1"/>
      <w:numFmt w:val="bullet"/>
      <w:lvlText w:val="o"/>
      <w:lvlJc w:val="left"/>
      <w:pPr>
        <w:ind w:left="7488" w:hanging="360"/>
      </w:pPr>
      <w:rPr>
        <w:rFonts w:ascii="Courier New" w:hAnsi="Courier New" w:cs="Courier New" w:hint="default"/>
      </w:rPr>
    </w:lvl>
    <w:lvl w:ilvl="5" w:tplc="080A0005" w:tentative="1">
      <w:start w:val="1"/>
      <w:numFmt w:val="bullet"/>
      <w:lvlText w:val=""/>
      <w:lvlJc w:val="left"/>
      <w:pPr>
        <w:ind w:left="8208" w:hanging="360"/>
      </w:pPr>
      <w:rPr>
        <w:rFonts w:ascii="Wingdings" w:hAnsi="Wingdings" w:hint="default"/>
      </w:rPr>
    </w:lvl>
    <w:lvl w:ilvl="6" w:tplc="080A0001" w:tentative="1">
      <w:start w:val="1"/>
      <w:numFmt w:val="bullet"/>
      <w:lvlText w:val=""/>
      <w:lvlJc w:val="left"/>
      <w:pPr>
        <w:ind w:left="8928" w:hanging="360"/>
      </w:pPr>
      <w:rPr>
        <w:rFonts w:ascii="Symbol" w:hAnsi="Symbol" w:hint="default"/>
      </w:rPr>
    </w:lvl>
    <w:lvl w:ilvl="7" w:tplc="080A0003" w:tentative="1">
      <w:start w:val="1"/>
      <w:numFmt w:val="bullet"/>
      <w:lvlText w:val="o"/>
      <w:lvlJc w:val="left"/>
      <w:pPr>
        <w:ind w:left="9648" w:hanging="360"/>
      </w:pPr>
      <w:rPr>
        <w:rFonts w:ascii="Courier New" w:hAnsi="Courier New" w:cs="Courier New" w:hint="default"/>
      </w:rPr>
    </w:lvl>
    <w:lvl w:ilvl="8" w:tplc="080A0005" w:tentative="1">
      <w:start w:val="1"/>
      <w:numFmt w:val="bullet"/>
      <w:lvlText w:val=""/>
      <w:lvlJc w:val="left"/>
      <w:pPr>
        <w:ind w:left="10368" w:hanging="360"/>
      </w:pPr>
      <w:rPr>
        <w:rFonts w:ascii="Wingdings" w:hAnsi="Wingdings" w:hint="default"/>
      </w:rPr>
    </w:lvl>
  </w:abstractNum>
  <w:abstractNum w:abstractNumId="2" w15:restartNumberingAfterBreak="0">
    <w:nsid w:val="3726798A"/>
    <w:multiLevelType w:val="hybridMultilevel"/>
    <w:tmpl w:val="55DC402E"/>
    <w:lvl w:ilvl="0" w:tplc="080A0001">
      <w:start w:val="1"/>
      <w:numFmt w:val="bullet"/>
      <w:lvlText w:val=""/>
      <w:lvlJc w:val="left"/>
      <w:pPr>
        <w:ind w:left="5541" w:hanging="360"/>
      </w:pPr>
      <w:rPr>
        <w:rFonts w:ascii="Symbol" w:hAnsi="Symbol" w:hint="default"/>
      </w:rPr>
    </w:lvl>
    <w:lvl w:ilvl="1" w:tplc="080A0003" w:tentative="1">
      <w:start w:val="1"/>
      <w:numFmt w:val="bullet"/>
      <w:lvlText w:val="o"/>
      <w:lvlJc w:val="left"/>
      <w:pPr>
        <w:ind w:left="6261" w:hanging="360"/>
      </w:pPr>
      <w:rPr>
        <w:rFonts w:ascii="Courier New" w:hAnsi="Courier New" w:cs="Courier New" w:hint="default"/>
      </w:rPr>
    </w:lvl>
    <w:lvl w:ilvl="2" w:tplc="080A0005" w:tentative="1">
      <w:start w:val="1"/>
      <w:numFmt w:val="bullet"/>
      <w:lvlText w:val=""/>
      <w:lvlJc w:val="left"/>
      <w:pPr>
        <w:ind w:left="6981" w:hanging="360"/>
      </w:pPr>
      <w:rPr>
        <w:rFonts w:ascii="Wingdings" w:hAnsi="Wingdings" w:hint="default"/>
      </w:rPr>
    </w:lvl>
    <w:lvl w:ilvl="3" w:tplc="080A0001" w:tentative="1">
      <w:start w:val="1"/>
      <w:numFmt w:val="bullet"/>
      <w:lvlText w:val=""/>
      <w:lvlJc w:val="left"/>
      <w:pPr>
        <w:ind w:left="7701" w:hanging="360"/>
      </w:pPr>
      <w:rPr>
        <w:rFonts w:ascii="Symbol" w:hAnsi="Symbol" w:hint="default"/>
      </w:rPr>
    </w:lvl>
    <w:lvl w:ilvl="4" w:tplc="080A0003" w:tentative="1">
      <w:start w:val="1"/>
      <w:numFmt w:val="bullet"/>
      <w:lvlText w:val="o"/>
      <w:lvlJc w:val="left"/>
      <w:pPr>
        <w:ind w:left="8421" w:hanging="360"/>
      </w:pPr>
      <w:rPr>
        <w:rFonts w:ascii="Courier New" w:hAnsi="Courier New" w:cs="Courier New" w:hint="default"/>
      </w:rPr>
    </w:lvl>
    <w:lvl w:ilvl="5" w:tplc="080A0005" w:tentative="1">
      <w:start w:val="1"/>
      <w:numFmt w:val="bullet"/>
      <w:lvlText w:val=""/>
      <w:lvlJc w:val="left"/>
      <w:pPr>
        <w:ind w:left="9141" w:hanging="360"/>
      </w:pPr>
      <w:rPr>
        <w:rFonts w:ascii="Wingdings" w:hAnsi="Wingdings" w:hint="default"/>
      </w:rPr>
    </w:lvl>
    <w:lvl w:ilvl="6" w:tplc="080A0001" w:tentative="1">
      <w:start w:val="1"/>
      <w:numFmt w:val="bullet"/>
      <w:lvlText w:val=""/>
      <w:lvlJc w:val="left"/>
      <w:pPr>
        <w:ind w:left="9861" w:hanging="360"/>
      </w:pPr>
      <w:rPr>
        <w:rFonts w:ascii="Symbol" w:hAnsi="Symbol" w:hint="default"/>
      </w:rPr>
    </w:lvl>
    <w:lvl w:ilvl="7" w:tplc="080A0003" w:tentative="1">
      <w:start w:val="1"/>
      <w:numFmt w:val="bullet"/>
      <w:lvlText w:val="o"/>
      <w:lvlJc w:val="left"/>
      <w:pPr>
        <w:ind w:left="10581" w:hanging="360"/>
      </w:pPr>
      <w:rPr>
        <w:rFonts w:ascii="Courier New" w:hAnsi="Courier New" w:cs="Courier New" w:hint="default"/>
      </w:rPr>
    </w:lvl>
    <w:lvl w:ilvl="8" w:tplc="080A0005" w:tentative="1">
      <w:start w:val="1"/>
      <w:numFmt w:val="bullet"/>
      <w:lvlText w:val=""/>
      <w:lvlJc w:val="left"/>
      <w:pPr>
        <w:ind w:left="1130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15"/>
    <w:rsid w:val="00020778"/>
    <w:rsid w:val="00021BD8"/>
    <w:rsid w:val="00022B38"/>
    <w:rsid w:val="00053510"/>
    <w:rsid w:val="000610A4"/>
    <w:rsid w:val="00063245"/>
    <w:rsid w:val="00071029"/>
    <w:rsid w:val="00077F01"/>
    <w:rsid w:val="00095D21"/>
    <w:rsid w:val="00096962"/>
    <w:rsid w:val="00107E37"/>
    <w:rsid w:val="00111F17"/>
    <w:rsid w:val="0013422A"/>
    <w:rsid w:val="00185B82"/>
    <w:rsid w:val="00197A4C"/>
    <w:rsid w:val="001C0BF3"/>
    <w:rsid w:val="001C6DF9"/>
    <w:rsid w:val="001D0AE0"/>
    <w:rsid w:val="00210844"/>
    <w:rsid w:val="0022478D"/>
    <w:rsid w:val="00254C92"/>
    <w:rsid w:val="00257B50"/>
    <w:rsid w:val="00262E9C"/>
    <w:rsid w:val="00273387"/>
    <w:rsid w:val="002756B7"/>
    <w:rsid w:val="002B23FC"/>
    <w:rsid w:val="002B31D9"/>
    <w:rsid w:val="002C0B94"/>
    <w:rsid w:val="002E5D1A"/>
    <w:rsid w:val="002E5D59"/>
    <w:rsid w:val="002E7139"/>
    <w:rsid w:val="003435E0"/>
    <w:rsid w:val="003611CF"/>
    <w:rsid w:val="0037502A"/>
    <w:rsid w:val="003840CE"/>
    <w:rsid w:val="003A12C9"/>
    <w:rsid w:val="003A78A8"/>
    <w:rsid w:val="003F6F8A"/>
    <w:rsid w:val="00401FF0"/>
    <w:rsid w:val="00404C0A"/>
    <w:rsid w:val="00405121"/>
    <w:rsid w:val="00442A54"/>
    <w:rsid w:val="0047746B"/>
    <w:rsid w:val="004C060A"/>
    <w:rsid w:val="004D12B5"/>
    <w:rsid w:val="004E3289"/>
    <w:rsid w:val="004E567D"/>
    <w:rsid w:val="004F3753"/>
    <w:rsid w:val="004F65C0"/>
    <w:rsid w:val="00542D36"/>
    <w:rsid w:val="00543C17"/>
    <w:rsid w:val="00550FE4"/>
    <w:rsid w:val="00564E53"/>
    <w:rsid w:val="00566851"/>
    <w:rsid w:val="00567F44"/>
    <w:rsid w:val="005762B0"/>
    <w:rsid w:val="00581497"/>
    <w:rsid w:val="00583C00"/>
    <w:rsid w:val="00583D2B"/>
    <w:rsid w:val="005857AE"/>
    <w:rsid w:val="00586371"/>
    <w:rsid w:val="005A0675"/>
    <w:rsid w:val="005A43B2"/>
    <w:rsid w:val="00641307"/>
    <w:rsid w:val="00672823"/>
    <w:rsid w:val="006737F4"/>
    <w:rsid w:val="006955C8"/>
    <w:rsid w:val="006B0515"/>
    <w:rsid w:val="006C1948"/>
    <w:rsid w:val="006E379A"/>
    <w:rsid w:val="006F45E5"/>
    <w:rsid w:val="006F4B44"/>
    <w:rsid w:val="006F78C1"/>
    <w:rsid w:val="007002EC"/>
    <w:rsid w:val="00741286"/>
    <w:rsid w:val="0077092A"/>
    <w:rsid w:val="007965CF"/>
    <w:rsid w:val="007B29D0"/>
    <w:rsid w:val="007E1370"/>
    <w:rsid w:val="0081124E"/>
    <w:rsid w:val="00835E7B"/>
    <w:rsid w:val="00836586"/>
    <w:rsid w:val="00851E2F"/>
    <w:rsid w:val="0089614F"/>
    <w:rsid w:val="008C01FC"/>
    <w:rsid w:val="008D5271"/>
    <w:rsid w:val="0093760E"/>
    <w:rsid w:val="009475CF"/>
    <w:rsid w:val="00956806"/>
    <w:rsid w:val="00971798"/>
    <w:rsid w:val="009B0E92"/>
    <w:rsid w:val="009B0EF5"/>
    <w:rsid w:val="009D2D51"/>
    <w:rsid w:val="009F5AE3"/>
    <w:rsid w:val="00A03C49"/>
    <w:rsid w:val="00A06FD3"/>
    <w:rsid w:val="00A23831"/>
    <w:rsid w:val="00A23B4C"/>
    <w:rsid w:val="00A253AF"/>
    <w:rsid w:val="00A560BA"/>
    <w:rsid w:val="00A604BB"/>
    <w:rsid w:val="00A60E0E"/>
    <w:rsid w:val="00A92A20"/>
    <w:rsid w:val="00AC4EB4"/>
    <w:rsid w:val="00AD339B"/>
    <w:rsid w:val="00AF2BE2"/>
    <w:rsid w:val="00B018AE"/>
    <w:rsid w:val="00B02068"/>
    <w:rsid w:val="00B22481"/>
    <w:rsid w:val="00B32C2E"/>
    <w:rsid w:val="00B54C7F"/>
    <w:rsid w:val="00B974A0"/>
    <w:rsid w:val="00BA33B2"/>
    <w:rsid w:val="00BB2C31"/>
    <w:rsid w:val="00BB772F"/>
    <w:rsid w:val="00BC3B2B"/>
    <w:rsid w:val="00BD38EA"/>
    <w:rsid w:val="00BE3B1E"/>
    <w:rsid w:val="00BF5CF3"/>
    <w:rsid w:val="00C045EC"/>
    <w:rsid w:val="00C23075"/>
    <w:rsid w:val="00C23DA8"/>
    <w:rsid w:val="00C43E9A"/>
    <w:rsid w:val="00C5122D"/>
    <w:rsid w:val="00C604A8"/>
    <w:rsid w:val="00C822F9"/>
    <w:rsid w:val="00CB2486"/>
    <w:rsid w:val="00CB7C0E"/>
    <w:rsid w:val="00CC4952"/>
    <w:rsid w:val="00CD0A7C"/>
    <w:rsid w:val="00CE21AF"/>
    <w:rsid w:val="00D00694"/>
    <w:rsid w:val="00D7088B"/>
    <w:rsid w:val="00D80E91"/>
    <w:rsid w:val="00DB1360"/>
    <w:rsid w:val="00DF7A1C"/>
    <w:rsid w:val="00E04668"/>
    <w:rsid w:val="00E122B1"/>
    <w:rsid w:val="00E14952"/>
    <w:rsid w:val="00E517C4"/>
    <w:rsid w:val="00E725D2"/>
    <w:rsid w:val="00E77086"/>
    <w:rsid w:val="00E80F0B"/>
    <w:rsid w:val="00EB1ACD"/>
    <w:rsid w:val="00EC2751"/>
    <w:rsid w:val="00F02D49"/>
    <w:rsid w:val="00F12D61"/>
    <w:rsid w:val="00F14679"/>
    <w:rsid w:val="00F328CA"/>
    <w:rsid w:val="00F41532"/>
    <w:rsid w:val="00F6549B"/>
    <w:rsid w:val="00F74BC1"/>
    <w:rsid w:val="00FB2442"/>
    <w:rsid w:val="00FC38D1"/>
    <w:rsid w:val="00FF24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DB138"/>
  <w15:chartTrackingRefBased/>
  <w15:docId w15:val="{FBA87B18-7BD3-4A00-950B-FEE9D34D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515"/>
    <w:pPr>
      <w:spacing w:after="0" w:line="240" w:lineRule="auto"/>
      <w:jc w:val="both"/>
    </w:pPr>
    <w:rPr>
      <w:rFonts w:ascii="Arial" w:eastAsia="Times New Roman" w:hAnsi="Arial"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B0515"/>
    <w:rPr>
      <w:color w:val="0000FF"/>
      <w:u w:val="single"/>
    </w:rPr>
  </w:style>
  <w:style w:type="paragraph" w:styleId="Encabezado">
    <w:name w:val="header"/>
    <w:basedOn w:val="Normal"/>
    <w:link w:val="EncabezadoCar"/>
    <w:uiPriority w:val="99"/>
    <w:unhideWhenUsed/>
    <w:rsid w:val="006B0515"/>
    <w:pPr>
      <w:tabs>
        <w:tab w:val="center" w:pos="4419"/>
        <w:tab w:val="right" w:pos="8838"/>
      </w:tabs>
    </w:pPr>
  </w:style>
  <w:style w:type="character" w:customStyle="1" w:styleId="EncabezadoCar">
    <w:name w:val="Encabezado Car"/>
    <w:basedOn w:val="Fuentedeprrafopredeter"/>
    <w:link w:val="Encabezado"/>
    <w:uiPriority w:val="99"/>
    <w:rsid w:val="006B0515"/>
    <w:rPr>
      <w:rFonts w:ascii="Arial" w:eastAsia="Times New Roman" w:hAnsi="Arial" w:cs="Times New Roman"/>
      <w:szCs w:val="24"/>
      <w:lang w:val="es-ES" w:eastAsia="es-ES"/>
    </w:rPr>
  </w:style>
  <w:style w:type="paragraph" w:styleId="Textoindependiente">
    <w:name w:val="Body Text"/>
    <w:basedOn w:val="Normal"/>
    <w:link w:val="TextoindependienteCar"/>
    <w:rsid w:val="006B0515"/>
    <w:rPr>
      <w:rFonts w:cs="Arial"/>
    </w:rPr>
  </w:style>
  <w:style w:type="character" w:customStyle="1" w:styleId="TextoindependienteCar">
    <w:name w:val="Texto independiente Car"/>
    <w:basedOn w:val="Fuentedeprrafopredeter"/>
    <w:link w:val="Textoindependiente"/>
    <w:rsid w:val="006B0515"/>
    <w:rPr>
      <w:rFonts w:ascii="Arial" w:eastAsia="Times New Roman" w:hAnsi="Arial" w:cs="Arial"/>
      <w:szCs w:val="24"/>
      <w:lang w:val="es-ES" w:eastAsia="es-ES"/>
    </w:rPr>
  </w:style>
  <w:style w:type="character" w:styleId="Refdecomentario">
    <w:name w:val="annotation reference"/>
    <w:basedOn w:val="Fuentedeprrafopredeter"/>
    <w:uiPriority w:val="99"/>
    <w:semiHidden/>
    <w:unhideWhenUsed/>
    <w:rsid w:val="006B0515"/>
    <w:rPr>
      <w:sz w:val="16"/>
      <w:szCs w:val="16"/>
    </w:rPr>
  </w:style>
  <w:style w:type="paragraph" w:styleId="Textocomentario">
    <w:name w:val="annotation text"/>
    <w:basedOn w:val="Normal"/>
    <w:link w:val="TextocomentarioCar"/>
    <w:uiPriority w:val="99"/>
    <w:unhideWhenUsed/>
    <w:rsid w:val="006B0515"/>
    <w:rPr>
      <w:sz w:val="20"/>
      <w:szCs w:val="20"/>
    </w:rPr>
  </w:style>
  <w:style w:type="character" w:customStyle="1" w:styleId="TextocomentarioCar">
    <w:name w:val="Texto comentario Car"/>
    <w:basedOn w:val="Fuentedeprrafopredeter"/>
    <w:link w:val="Textocomentario"/>
    <w:uiPriority w:val="99"/>
    <w:rsid w:val="006B0515"/>
    <w:rPr>
      <w:rFonts w:ascii="Arial" w:eastAsia="Times New Roman" w:hAnsi="Arial" w:cs="Times New Roman"/>
      <w:sz w:val="20"/>
      <w:szCs w:val="20"/>
      <w:lang w:val="es-ES" w:eastAsia="es-ES"/>
    </w:rPr>
  </w:style>
  <w:style w:type="paragraph" w:styleId="Textonotapie">
    <w:name w:val="footnote text"/>
    <w:basedOn w:val="Normal"/>
    <w:link w:val="TextonotapieCar"/>
    <w:uiPriority w:val="99"/>
    <w:semiHidden/>
    <w:unhideWhenUsed/>
    <w:rsid w:val="006B0515"/>
    <w:rPr>
      <w:sz w:val="20"/>
      <w:szCs w:val="20"/>
    </w:rPr>
  </w:style>
  <w:style w:type="character" w:customStyle="1" w:styleId="TextonotapieCar">
    <w:name w:val="Texto nota pie Car"/>
    <w:basedOn w:val="Fuentedeprrafopredeter"/>
    <w:link w:val="Textonotapie"/>
    <w:uiPriority w:val="99"/>
    <w:semiHidden/>
    <w:rsid w:val="006B0515"/>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6B0515"/>
    <w:rPr>
      <w:vertAlign w:val="superscript"/>
    </w:rPr>
  </w:style>
  <w:style w:type="paragraph" w:styleId="NormalWeb">
    <w:name w:val="Normal (Web)"/>
    <w:basedOn w:val="Normal"/>
    <w:uiPriority w:val="99"/>
    <w:semiHidden/>
    <w:unhideWhenUsed/>
    <w:rsid w:val="006B0515"/>
    <w:pPr>
      <w:spacing w:before="100" w:beforeAutospacing="1" w:after="100" w:afterAutospacing="1"/>
      <w:jc w:val="left"/>
    </w:pPr>
    <w:rPr>
      <w:rFonts w:ascii="Times New Roman" w:hAnsi="Times New Roman"/>
      <w:sz w:val="24"/>
      <w:lang w:val="es-MX" w:eastAsia="es-MX"/>
    </w:rPr>
  </w:style>
  <w:style w:type="paragraph" w:styleId="Textodeglobo">
    <w:name w:val="Balloon Text"/>
    <w:basedOn w:val="Normal"/>
    <w:link w:val="TextodegloboCar"/>
    <w:uiPriority w:val="99"/>
    <w:semiHidden/>
    <w:unhideWhenUsed/>
    <w:rsid w:val="006B05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0515"/>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6F4B44"/>
    <w:rPr>
      <w:b/>
      <w:bCs/>
    </w:rPr>
  </w:style>
  <w:style w:type="character" w:customStyle="1" w:styleId="AsuntodelcomentarioCar">
    <w:name w:val="Asunto del comentario Car"/>
    <w:basedOn w:val="TextocomentarioCar"/>
    <w:link w:val="Asuntodelcomentario"/>
    <w:uiPriority w:val="99"/>
    <w:semiHidden/>
    <w:rsid w:val="006F4B44"/>
    <w:rPr>
      <w:rFonts w:ascii="Arial" w:eastAsia="Times New Roman" w:hAnsi="Arial" w:cs="Times New Roman"/>
      <w:b/>
      <w:bCs/>
      <w:sz w:val="20"/>
      <w:szCs w:val="20"/>
      <w:lang w:val="es-ES" w:eastAsia="es-ES"/>
    </w:rPr>
  </w:style>
  <w:style w:type="paragraph" w:styleId="Revisin">
    <w:name w:val="Revision"/>
    <w:hidden/>
    <w:uiPriority w:val="99"/>
    <w:semiHidden/>
    <w:rsid w:val="00C604A8"/>
    <w:pPr>
      <w:spacing w:after="0" w:line="240" w:lineRule="auto"/>
    </w:pPr>
    <w:rPr>
      <w:rFonts w:ascii="Arial" w:eastAsia="Times New Roman" w:hAnsi="Arial" w:cs="Times New Roman"/>
      <w:szCs w:val="24"/>
      <w:lang w:val="es-ES" w:eastAsia="es-ES"/>
    </w:rPr>
  </w:style>
  <w:style w:type="paragraph" w:styleId="Textonotaalfinal">
    <w:name w:val="endnote text"/>
    <w:basedOn w:val="Normal"/>
    <w:link w:val="TextonotaalfinalCar"/>
    <w:uiPriority w:val="99"/>
    <w:semiHidden/>
    <w:unhideWhenUsed/>
    <w:rsid w:val="00254C92"/>
    <w:rPr>
      <w:sz w:val="20"/>
      <w:szCs w:val="20"/>
    </w:rPr>
  </w:style>
  <w:style w:type="character" w:customStyle="1" w:styleId="TextonotaalfinalCar">
    <w:name w:val="Texto nota al final Car"/>
    <w:basedOn w:val="Fuentedeprrafopredeter"/>
    <w:link w:val="Textonotaalfinal"/>
    <w:uiPriority w:val="99"/>
    <w:semiHidden/>
    <w:rsid w:val="00254C92"/>
    <w:rPr>
      <w:rFonts w:ascii="Arial" w:eastAsia="Times New Roman" w:hAnsi="Arial" w:cs="Times New Roman"/>
      <w:sz w:val="20"/>
      <w:szCs w:val="20"/>
      <w:lang w:val="es-ES" w:eastAsia="es-ES"/>
    </w:rPr>
  </w:style>
  <w:style w:type="character" w:styleId="Refdenotaalfinal">
    <w:name w:val="endnote reference"/>
    <w:basedOn w:val="Fuentedeprrafopredeter"/>
    <w:uiPriority w:val="99"/>
    <w:semiHidden/>
    <w:unhideWhenUsed/>
    <w:rsid w:val="00254C92"/>
    <w:rPr>
      <w:vertAlign w:val="superscript"/>
    </w:rPr>
  </w:style>
  <w:style w:type="paragraph" w:styleId="Prrafodelista">
    <w:name w:val="List Paragraph"/>
    <w:basedOn w:val="Normal"/>
    <w:uiPriority w:val="34"/>
    <w:qFormat/>
    <w:rsid w:val="0022478D"/>
    <w:pPr>
      <w:spacing w:after="160" w:line="259" w:lineRule="auto"/>
      <w:ind w:left="720"/>
      <w:contextualSpacing/>
      <w:jc w:val="left"/>
    </w:pPr>
    <w:rPr>
      <w:rFonts w:asciiTheme="minorHAnsi" w:eastAsiaTheme="minorHAnsi" w:hAnsiTheme="minorHAnsi" w:cstheme="minorBidi"/>
      <w:szCs w:val="22"/>
      <w:lang w:val="es-MX" w:eastAsia="en-US"/>
    </w:rPr>
  </w:style>
  <w:style w:type="paragraph" w:styleId="Piedepgina">
    <w:name w:val="footer"/>
    <w:basedOn w:val="Normal"/>
    <w:link w:val="PiedepginaCar"/>
    <w:uiPriority w:val="99"/>
    <w:unhideWhenUsed/>
    <w:rsid w:val="006955C8"/>
    <w:pPr>
      <w:tabs>
        <w:tab w:val="center" w:pos="4419"/>
        <w:tab w:val="right" w:pos="8838"/>
      </w:tabs>
    </w:pPr>
  </w:style>
  <w:style w:type="character" w:customStyle="1" w:styleId="PiedepginaCar">
    <w:name w:val="Pie de página Car"/>
    <w:basedOn w:val="Fuentedeprrafopredeter"/>
    <w:link w:val="Piedepgina"/>
    <w:uiPriority w:val="99"/>
    <w:rsid w:val="006955C8"/>
    <w:rPr>
      <w:rFonts w:ascii="Arial" w:eastAsia="Times New Roman" w:hAnsi="Arial" w:cs="Times New Roman"/>
      <w:szCs w:val="24"/>
      <w:lang w:val="es-ES" w:eastAsia="es-ES"/>
    </w:rPr>
  </w:style>
  <w:style w:type="character" w:customStyle="1" w:styleId="Mencinsinresolver1">
    <w:name w:val="Mención sin resolver1"/>
    <w:basedOn w:val="Fuentedeprrafopredeter"/>
    <w:uiPriority w:val="99"/>
    <w:semiHidden/>
    <w:unhideWhenUsed/>
    <w:rsid w:val="00B97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26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user/INEGIInform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instagram.com/inegi_inform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facebook.com/INEGIInforma/" TargetMode="External"/><Relationship Id="rId23" Type="http://schemas.openxmlformats.org/officeDocument/2006/relationships/hyperlink" Target="http://www.inegi.org.mx/"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twitter.com/INEGI_INFORM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image" Target="media/image8.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orge.quevedo\AppData\Local\Microsoft\Windows\INetCache\Content.Outlook\7HEQW1UJ\FINAL%20Insumos%20Bolet&#237;n%20D&#237;a%20de%20la%20Madres%20para%20DGES_1304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AIG\An&#225;lisis\An&#225;lisis%20de%20coyuntura\2021\Solicitudes%20de%20informaci&#243;n\2021.04.23_Gr&#225;ficos_Bolet&#237;n%20d&#237;a%20de%20las%20madres_DGEGSPJ.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72916326467568E-2"/>
          <c:y val="3.6345973076922077E-2"/>
          <c:w val="0.89046503930127152"/>
          <c:h val="0.7285686893361123"/>
        </c:manualLayout>
      </c:layout>
      <c:lineChart>
        <c:grouping val="standard"/>
        <c:varyColors val="0"/>
        <c:ser>
          <c:idx val="1"/>
          <c:order val="0"/>
          <c:tx>
            <c:strRef>
              <c:f>'TGF y Tasa específica de fec'!$C$5</c:f>
              <c:strCache>
                <c:ptCount val="1"/>
                <c:pt idx="0">
                  <c:v>Habla lengua indígena</c:v>
                </c:pt>
              </c:strCache>
            </c:strRef>
          </c:tx>
          <c:spPr>
            <a:ln w="28575" cap="rnd">
              <a:solidFill>
                <a:srgbClr val="AE492C"/>
              </a:solidFill>
              <a:round/>
            </a:ln>
            <a:effectLst/>
          </c:spPr>
          <c:marker>
            <c:symbol val="triangle"/>
            <c:size val="6"/>
            <c:spPr>
              <a:solidFill>
                <a:srgbClr val="AE492C"/>
              </a:solidFill>
              <a:ln w="9525">
                <a:noFill/>
              </a:ln>
              <a:effectLst/>
            </c:spPr>
          </c:marker>
          <c:cat>
            <c:strRef>
              <c:f>'TGF y Tasa específica de fec'!$D$33:$D$39</c:f>
              <c:strCache>
                <c:ptCount val="7"/>
                <c:pt idx="0">
                  <c:v>15 a 19
</c:v>
                </c:pt>
                <c:pt idx="1">
                  <c:v>20 a 24
</c:v>
                </c:pt>
                <c:pt idx="2">
                  <c:v>25 a 29
</c:v>
                </c:pt>
                <c:pt idx="3">
                  <c:v>30 a 34
</c:v>
                </c:pt>
                <c:pt idx="4">
                  <c:v>35 a 39
</c:v>
                </c:pt>
                <c:pt idx="5">
                  <c:v>40 a 44
</c:v>
                </c:pt>
                <c:pt idx="6">
                  <c:v>45 a 49
</c:v>
                </c:pt>
              </c:strCache>
            </c:strRef>
          </c:cat>
          <c:val>
            <c:numRef>
              <c:f>'TGF y Tasa específica de fec'!$C$9:$C$15</c:f>
              <c:numCache>
                <c:formatCode>0.00</c:formatCode>
                <c:ptCount val="7"/>
                <c:pt idx="0">
                  <c:v>73.45538821154409</c:v>
                </c:pt>
                <c:pt idx="1">
                  <c:v>155.61250984136558</c:v>
                </c:pt>
                <c:pt idx="2">
                  <c:v>141.70698072886975</c:v>
                </c:pt>
                <c:pt idx="3">
                  <c:v>109.12363219113696</c:v>
                </c:pt>
                <c:pt idx="4">
                  <c:v>63.552970801606811</c:v>
                </c:pt>
                <c:pt idx="5">
                  <c:v>23.119337752178065</c:v>
                </c:pt>
                <c:pt idx="6">
                  <c:v>4.0441358130271343</c:v>
                </c:pt>
              </c:numCache>
            </c:numRef>
          </c:val>
          <c:smooth val="0"/>
          <c:extLst>
            <c:ext xmlns:c16="http://schemas.microsoft.com/office/drawing/2014/chart" uri="{C3380CC4-5D6E-409C-BE32-E72D297353CC}">
              <c16:uniqueId val="{00000000-5CA8-4B6F-B12D-7EF408D607E4}"/>
            </c:ext>
          </c:extLst>
        </c:ser>
        <c:ser>
          <c:idx val="2"/>
          <c:order val="1"/>
          <c:tx>
            <c:strRef>
              <c:f>'TGF y Tasa específica de fec'!$D$5</c:f>
              <c:strCache>
                <c:ptCount val="1"/>
                <c:pt idx="0">
                  <c:v>No habla lengua indígena</c:v>
                </c:pt>
              </c:strCache>
            </c:strRef>
          </c:tx>
          <c:spPr>
            <a:ln w="28575" cap="rnd">
              <a:solidFill>
                <a:srgbClr val="EAB3A4"/>
              </a:solidFill>
              <a:round/>
            </a:ln>
            <a:effectLst/>
          </c:spPr>
          <c:marker>
            <c:symbol val="circle"/>
            <c:size val="6"/>
            <c:spPr>
              <a:solidFill>
                <a:srgbClr val="EAB3A4"/>
              </a:solidFill>
              <a:ln w="9525">
                <a:noFill/>
              </a:ln>
              <a:effectLst/>
            </c:spPr>
          </c:marker>
          <c:cat>
            <c:strRef>
              <c:f>'TGF y Tasa específica de fec'!$D$33:$D$39</c:f>
              <c:strCache>
                <c:ptCount val="7"/>
                <c:pt idx="0">
                  <c:v>15 a 19
</c:v>
                </c:pt>
                <c:pt idx="1">
                  <c:v>20 a 24
</c:v>
                </c:pt>
                <c:pt idx="2">
                  <c:v>25 a 29
</c:v>
                </c:pt>
                <c:pt idx="3">
                  <c:v>30 a 34
</c:v>
                </c:pt>
                <c:pt idx="4">
                  <c:v>35 a 39
</c:v>
                </c:pt>
                <c:pt idx="5">
                  <c:v>40 a 44
</c:v>
                </c:pt>
                <c:pt idx="6">
                  <c:v>45 a 49
</c:v>
                </c:pt>
              </c:strCache>
            </c:strRef>
          </c:cat>
          <c:val>
            <c:numRef>
              <c:f>'TGF y Tasa específica de fec'!$D$9:$D$15</c:f>
              <c:numCache>
                <c:formatCode>0.00</c:formatCode>
                <c:ptCount val="7"/>
                <c:pt idx="0">
                  <c:v>41.148473329108676</c:v>
                </c:pt>
                <c:pt idx="1">
                  <c:v>97.888032866055809</c:v>
                </c:pt>
                <c:pt idx="2">
                  <c:v>97.699434209976388</c:v>
                </c:pt>
                <c:pt idx="3">
                  <c:v>73.24710756640151</c:v>
                </c:pt>
                <c:pt idx="4">
                  <c:v>40.365110244025587</c:v>
                </c:pt>
                <c:pt idx="5">
                  <c:v>12.239338207795059</c:v>
                </c:pt>
                <c:pt idx="6">
                  <c:v>1.7236175151180824</c:v>
                </c:pt>
              </c:numCache>
            </c:numRef>
          </c:val>
          <c:smooth val="0"/>
          <c:extLst>
            <c:ext xmlns:c16="http://schemas.microsoft.com/office/drawing/2014/chart" uri="{C3380CC4-5D6E-409C-BE32-E72D297353CC}">
              <c16:uniqueId val="{00000001-5CA8-4B6F-B12D-7EF408D607E4}"/>
            </c:ext>
          </c:extLst>
        </c:ser>
        <c:dLbls>
          <c:showLegendKey val="0"/>
          <c:showVal val="0"/>
          <c:showCatName val="0"/>
          <c:showSerName val="0"/>
          <c:showPercent val="0"/>
          <c:showBubbleSize val="0"/>
        </c:dLbls>
        <c:marker val="1"/>
        <c:smooth val="0"/>
        <c:axId val="164532728"/>
        <c:axId val="443961024"/>
      </c:lineChart>
      <c:catAx>
        <c:axId val="1645327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3961024"/>
        <c:crosses val="autoZero"/>
        <c:auto val="1"/>
        <c:lblAlgn val="ctr"/>
        <c:lblOffset val="100"/>
        <c:noMultiLvlLbl val="0"/>
      </c:catAx>
      <c:valAx>
        <c:axId val="443961024"/>
        <c:scaling>
          <c:orientation val="minMax"/>
        </c:scaling>
        <c:delete val="0"/>
        <c:axPos val="l"/>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4532728"/>
        <c:crosses val="autoZero"/>
        <c:crossBetween val="between"/>
      </c:valAx>
      <c:spPr>
        <a:noFill/>
        <a:ln>
          <a:noFill/>
        </a:ln>
        <a:effectLst/>
      </c:spPr>
    </c:plotArea>
    <c:legend>
      <c:legendPos val="b"/>
      <c:layout>
        <c:manualLayout>
          <c:xMode val="edge"/>
          <c:yMode val="edge"/>
          <c:x val="0.13131929579889048"/>
          <c:y val="0.8430307788206417"/>
          <c:w val="0.72390920766341693"/>
          <c:h val="4.870460913788458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436066480994696E-3"/>
          <c:y val="3.286821672732794E-2"/>
          <c:w val="0.95117011718826627"/>
          <c:h val="0.28649895026521377"/>
        </c:manualLayout>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Gráfica!$A$6:$A$37</c:f>
              <c:strCache>
                <c:ptCount val="32"/>
                <c:pt idx="0">
                  <c:v>México</c:v>
                </c:pt>
                <c:pt idx="1">
                  <c:v>Ciudad de México</c:v>
                </c:pt>
                <c:pt idx="2">
                  <c:v>Veracruz de Ignacio de la Llave</c:v>
                </c:pt>
                <c:pt idx="3">
                  <c:v>Guerrero</c:v>
                </c:pt>
                <c:pt idx="4">
                  <c:v>Nuevo León</c:v>
                </c:pt>
                <c:pt idx="5">
                  <c:v>Tamaulipas</c:v>
                </c:pt>
                <c:pt idx="6">
                  <c:v>Hidalgo</c:v>
                </c:pt>
                <c:pt idx="7">
                  <c:v>Puebla</c:v>
                </c:pt>
                <c:pt idx="8">
                  <c:v>Chihuahua</c:v>
                </c:pt>
                <c:pt idx="9">
                  <c:v>Jalisco</c:v>
                </c:pt>
                <c:pt idx="10">
                  <c:v>Michoacán de Ocampo</c:v>
                </c:pt>
                <c:pt idx="11">
                  <c:v>Chiapas</c:v>
                </c:pt>
                <c:pt idx="12">
                  <c:v>Zacatecas</c:v>
                </c:pt>
                <c:pt idx="13">
                  <c:v>Nayarit</c:v>
                </c:pt>
                <c:pt idx="14">
                  <c:v>Sinaloa</c:v>
                </c:pt>
                <c:pt idx="15">
                  <c:v>Guanajuato</c:v>
                </c:pt>
                <c:pt idx="16">
                  <c:v>Morelos</c:v>
                </c:pt>
                <c:pt idx="17">
                  <c:v>Tabasco</c:v>
                </c:pt>
                <c:pt idx="18">
                  <c:v>Oaxaca</c:v>
                </c:pt>
                <c:pt idx="19">
                  <c:v>Quintana Roo</c:v>
                </c:pt>
                <c:pt idx="20">
                  <c:v>San Luis Potosí</c:v>
                </c:pt>
                <c:pt idx="21">
                  <c:v>Querétaro</c:v>
                </c:pt>
                <c:pt idx="22">
                  <c:v>Sonora</c:v>
                </c:pt>
                <c:pt idx="23">
                  <c:v>Durango</c:v>
                </c:pt>
                <c:pt idx="24">
                  <c:v>Aguascalientes</c:v>
                </c:pt>
                <c:pt idx="25">
                  <c:v>Colima</c:v>
                </c:pt>
                <c:pt idx="26">
                  <c:v>Baja California</c:v>
                </c:pt>
                <c:pt idx="27">
                  <c:v>Baja California Sur</c:v>
                </c:pt>
                <c:pt idx="28">
                  <c:v>Campeche</c:v>
                </c:pt>
                <c:pt idx="29">
                  <c:v>Coahuila de Zaragoza</c:v>
                </c:pt>
                <c:pt idx="30">
                  <c:v>Tlaxcala</c:v>
                </c:pt>
                <c:pt idx="31">
                  <c:v>Yucatán</c:v>
                </c:pt>
              </c:strCache>
            </c:strRef>
          </c:cat>
          <c:val>
            <c:numRef>
              <c:f>Gráfica!$C$6:$C$37</c:f>
              <c:numCache>
                <c:formatCode>#\ ###\ ##0</c:formatCode>
                <c:ptCount val="32"/>
                <c:pt idx="0">
                  <c:v>60</c:v>
                </c:pt>
                <c:pt idx="1">
                  <c:v>51</c:v>
                </c:pt>
                <c:pt idx="2">
                  <c:v>42</c:v>
                </c:pt>
                <c:pt idx="3">
                  <c:v>34</c:v>
                </c:pt>
                <c:pt idx="4">
                  <c:v>32</c:v>
                </c:pt>
                <c:pt idx="5">
                  <c:v>27</c:v>
                </c:pt>
                <c:pt idx="6">
                  <c:v>22</c:v>
                </c:pt>
                <c:pt idx="7">
                  <c:v>19</c:v>
                </c:pt>
                <c:pt idx="8">
                  <c:v>15</c:v>
                </c:pt>
                <c:pt idx="9">
                  <c:v>13</c:v>
                </c:pt>
                <c:pt idx="10">
                  <c:v>13</c:v>
                </c:pt>
                <c:pt idx="11">
                  <c:v>12</c:v>
                </c:pt>
                <c:pt idx="12">
                  <c:v>10</c:v>
                </c:pt>
                <c:pt idx="13">
                  <c:v>9</c:v>
                </c:pt>
                <c:pt idx="14">
                  <c:v>9</c:v>
                </c:pt>
                <c:pt idx="15">
                  <c:v>8</c:v>
                </c:pt>
                <c:pt idx="16">
                  <c:v>7</c:v>
                </c:pt>
                <c:pt idx="17">
                  <c:v>6</c:v>
                </c:pt>
                <c:pt idx="18">
                  <c:v>5</c:v>
                </c:pt>
                <c:pt idx="19">
                  <c:v>5</c:v>
                </c:pt>
                <c:pt idx="20">
                  <c:v>5</c:v>
                </c:pt>
                <c:pt idx="21">
                  <c:v>4</c:v>
                </c:pt>
                <c:pt idx="22">
                  <c:v>3</c:v>
                </c:pt>
                <c:pt idx="23">
                  <c:v>2</c:v>
                </c:pt>
                <c:pt idx="24">
                  <c:v>1</c:v>
                </c:pt>
                <c:pt idx="25">
                  <c:v>1</c:v>
                </c:pt>
                <c:pt idx="26">
                  <c:v>0</c:v>
                </c:pt>
                <c:pt idx="27">
                  <c:v>0</c:v>
                </c:pt>
                <c:pt idx="28">
                  <c:v>0</c:v>
                </c:pt>
                <c:pt idx="29">
                  <c:v>0</c:v>
                </c:pt>
                <c:pt idx="30">
                  <c:v>0</c:v>
                </c:pt>
                <c:pt idx="31">
                  <c:v>0</c:v>
                </c:pt>
              </c:numCache>
            </c:numRef>
          </c:val>
          <c:extLst>
            <c:ext xmlns:c16="http://schemas.microsoft.com/office/drawing/2014/chart" uri="{C3380CC4-5D6E-409C-BE32-E72D297353CC}">
              <c16:uniqueId val="{00000000-43DF-478A-B573-E762E0D14330}"/>
            </c:ext>
          </c:extLst>
        </c:ser>
        <c:dLbls>
          <c:dLblPos val="outEnd"/>
          <c:showLegendKey val="0"/>
          <c:showVal val="1"/>
          <c:showCatName val="0"/>
          <c:showSerName val="0"/>
          <c:showPercent val="0"/>
          <c:showBubbleSize val="0"/>
        </c:dLbls>
        <c:gapWidth val="50"/>
        <c:overlap val="-27"/>
        <c:axId val="443962984"/>
        <c:axId val="443964552"/>
      </c:barChart>
      <c:catAx>
        <c:axId val="443962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3964552"/>
        <c:crosses val="autoZero"/>
        <c:auto val="1"/>
        <c:lblAlgn val="ctr"/>
        <c:lblOffset val="100"/>
        <c:noMultiLvlLbl val="0"/>
      </c:catAx>
      <c:valAx>
        <c:axId val="443964552"/>
        <c:scaling>
          <c:orientation val="minMax"/>
        </c:scaling>
        <c:delete val="1"/>
        <c:axPos val="l"/>
        <c:numFmt formatCode="#\ ###\ ##0" sourceLinked="1"/>
        <c:majorTickMark val="none"/>
        <c:minorTickMark val="none"/>
        <c:tickLblPos val="nextTo"/>
        <c:crossAx val="443962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0.09581</cdr:x>
      <cdr:y>0.03593</cdr:y>
    </cdr:from>
    <cdr:to>
      <cdr:x>1</cdr:x>
      <cdr:y>0.16618</cdr:y>
    </cdr:to>
    <cdr:sp macro="" textlink="">
      <cdr:nvSpPr>
        <cdr:cNvPr id="2" name="CuadroTexto 1">
          <a:extLst xmlns:a="http://schemas.openxmlformats.org/drawingml/2006/main">
            <a:ext uri="{FF2B5EF4-FFF2-40B4-BE49-F238E27FC236}">
              <a16:creationId xmlns:a16="http://schemas.microsoft.com/office/drawing/2014/main" id="{065ED701-E95B-46D5-BEF4-A050C699BE67}"/>
            </a:ext>
          </a:extLst>
        </cdr:cNvPr>
        <cdr:cNvSpPr txBox="1"/>
      </cdr:nvSpPr>
      <cdr:spPr>
        <a:xfrm xmlns:a="http://schemas.openxmlformats.org/drawingml/2006/main">
          <a:off x="626969" y="215153"/>
          <a:ext cx="5916706" cy="7799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1000" b="1">
              <a:latin typeface="Arial" panose="020B0604020202020204" pitchFamily="34" charset="0"/>
              <a:cs typeface="Arial" panose="020B0604020202020204" pitchFamily="34" charset="0"/>
            </a:rPr>
            <a:t>Mujeres privadas de la libertad con hijos menores de seis años en los centros penitenciarios estatales, 2019</a:t>
          </a:r>
        </a:p>
      </cdr:txBody>
    </cdr:sp>
  </cdr:relSizeAnchor>
  <cdr:relSizeAnchor xmlns:cdr="http://schemas.openxmlformats.org/drawingml/2006/chartDrawing">
    <cdr:from>
      <cdr:x>0</cdr:x>
      <cdr:y>0.84615</cdr:y>
    </cdr:from>
    <cdr:to>
      <cdr:x>1</cdr:x>
      <cdr:y>1</cdr:y>
    </cdr:to>
    <cdr:sp macro="" textlink="">
      <cdr:nvSpPr>
        <cdr:cNvPr id="3" name="CuadroTexto 1">
          <a:extLst xmlns:a="http://schemas.openxmlformats.org/drawingml/2006/main">
            <a:ext uri="{FF2B5EF4-FFF2-40B4-BE49-F238E27FC236}">
              <a16:creationId xmlns:a16="http://schemas.microsoft.com/office/drawing/2014/main" id="{28BABA52-36BD-468D-A9F6-14987ACCB8B8}"/>
            </a:ext>
          </a:extLst>
        </cdr:cNvPr>
        <cdr:cNvSpPr txBox="1"/>
      </cdr:nvSpPr>
      <cdr:spPr>
        <a:xfrm xmlns:a="http://schemas.openxmlformats.org/drawingml/2006/main">
          <a:off x="0" y="3300414"/>
          <a:ext cx="6372225" cy="6000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s-MX" sz="700" b="0">
              <a:latin typeface="Arial" panose="020B0604020202020204" pitchFamily="34" charset="0"/>
              <a:cs typeface="Arial" panose="020B0604020202020204" pitchFamily="34" charset="0"/>
            </a:rPr>
            <a:t>Nota: la información se refiere a las mujeres adultas privadas de la libertad y adolescentes internadas que tuvieron consigo a sus hijos menores de seis años en los centros penitenciarios y centros especializados de tratamiento o internamiento para adolescentes, al 31 de diciembre. Sólo incluye registros de los centros que son responsabilidad de las administraciones públicas estatales o de la Ciudad de México. Incluye a una mujer</a:t>
          </a:r>
          <a:r>
            <a:rPr lang="es-MX" sz="700" b="0" baseline="0">
              <a:latin typeface="Arial" panose="020B0604020202020204" pitchFamily="34" charset="0"/>
              <a:cs typeface="Arial" panose="020B0604020202020204" pitchFamily="34" charset="0"/>
            </a:rPr>
            <a:t> internada en alguno de los centros especializados de tratamiento o internamiento para adolescentes.</a:t>
          </a:r>
          <a:endParaRPr lang="es-MX" sz="700" b="0">
            <a:latin typeface="Arial" panose="020B0604020202020204" pitchFamily="34" charset="0"/>
            <a:cs typeface="Arial" panose="020B0604020202020204" pitchFamily="34" charset="0"/>
          </a:endParaRPr>
        </a:p>
        <a:p xmlns:a="http://schemas.openxmlformats.org/drawingml/2006/main">
          <a:r>
            <a:rPr lang="es-MX" sz="700" b="0">
              <a:latin typeface="Arial" panose="020B0604020202020204" pitchFamily="34" charset="0"/>
              <a:cs typeface="Arial" panose="020B0604020202020204" pitchFamily="34" charset="0"/>
            </a:rPr>
            <a:t>Fuente: INEGI. Censo Nacional de Gobierno, Seguridad Pública y Sistema Penitenciario Estatales 2020.</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B412C-474A-4039-9632-67F16D41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7004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Díaz</dc:creator>
  <cp:keywords/>
  <dc:description/>
  <cp:lastModifiedBy>MORONES RUIZ FABIOLA CRISTINA</cp:lastModifiedBy>
  <cp:revision>2</cp:revision>
  <cp:lastPrinted>2021-04-30T19:45:00Z</cp:lastPrinted>
  <dcterms:created xsi:type="dcterms:W3CDTF">2021-05-11T18:00:00Z</dcterms:created>
  <dcterms:modified xsi:type="dcterms:W3CDTF">2021-05-11T18:00:00Z</dcterms:modified>
</cp:coreProperties>
</file>