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F882" w14:textId="77777777" w:rsidR="001B6F0D" w:rsidRDefault="001B6F0D" w:rsidP="001B6F0D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12D13446" w14:textId="77777777" w:rsidR="001B6F0D" w:rsidRDefault="001B6F0D" w:rsidP="001B6F0D">
      <w:pPr>
        <w:tabs>
          <w:tab w:val="center" w:pos="4448"/>
          <w:tab w:val="left" w:pos="6127"/>
        </w:tabs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073729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DE LAS PERSONAS </w:t>
      </w:r>
      <w:r>
        <w:rPr>
          <w:rFonts w:cs="Arial"/>
          <w:b/>
          <w:bCs/>
          <w:color w:val="000000" w:themeColor="text1"/>
          <w:sz w:val="24"/>
          <w:lang w:val="es-MX"/>
        </w:rPr>
        <w:t>OCUPADAS COMO MÉDICOS</w:t>
      </w:r>
    </w:p>
    <w:p w14:paraId="7ECF18E0" w14:textId="77777777" w:rsidR="006468C4" w:rsidRDefault="006468C4" w:rsidP="001B6F0D">
      <w:pPr>
        <w:tabs>
          <w:tab w:val="center" w:pos="4448"/>
          <w:tab w:val="left" w:pos="6127"/>
        </w:tabs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>
        <w:rPr>
          <w:rFonts w:cs="Arial"/>
          <w:b/>
          <w:bCs/>
          <w:color w:val="000000" w:themeColor="text1"/>
          <w:sz w:val="24"/>
          <w:lang w:val="es-MX"/>
        </w:rPr>
        <w:t>(23 DE OCTUBRE)</w:t>
      </w:r>
    </w:p>
    <w:p w14:paraId="69FA3319" w14:textId="77777777" w:rsidR="001B6F0D" w:rsidRDefault="001B6F0D" w:rsidP="001B6F0D">
      <w:pPr>
        <w:tabs>
          <w:tab w:val="center" w:pos="4448"/>
          <w:tab w:val="left" w:pos="6127"/>
        </w:tabs>
        <w:jc w:val="left"/>
        <w:rPr>
          <w:rFonts w:cs="Arial"/>
          <w:b/>
          <w:color w:val="000000" w:themeColor="text1"/>
          <w:sz w:val="24"/>
          <w:lang w:val="es-MX"/>
        </w:rPr>
      </w:pPr>
    </w:p>
    <w:p w14:paraId="3E872B50" w14:textId="77777777" w:rsidR="00082E74" w:rsidRDefault="00082E74" w:rsidP="006468C4">
      <w:pPr>
        <w:pStyle w:val="Prrafodelista"/>
        <w:numPr>
          <w:ilvl w:val="0"/>
          <w:numId w:val="1"/>
        </w:numPr>
        <w:spacing w:line="276" w:lineRule="auto"/>
        <w:ind w:left="1134" w:right="1021" w:hanging="283"/>
        <w:jc w:val="both"/>
        <w:rPr>
          <w:rFonts w:ascii="Arial" w:hAnsi="Arial" w:cs="Arial"/>
        </w:rPr>
      </w:pPr>
      <w:r w:rsidRPr="00F41609">
        <w:rPr>
          <w:rFonts w:ascii="Arial" w:hAnsi="Arial" w:cs="Arial"/>
        </w:rPr>
        <w:t xml:space="preserve">De acuerdo con la Encuesta Nacional de Ocupación y </w:t>
      </w:r>
      <w:r w:rsidRPr="00A16C1A">
        <w:rPr>
          <w:rFonts w:ascii="Arial" w:hAnsi="Arial" w:cs="Arial"/>
        </w:rPr>
        <w:t>Empleo</w:t>
      </w:r>
      <w:r w:rsidR="00F43CC2" w:rsidRPr="00A16C1A">
        <w:rPr>
          <w:rFonts w:ascii="Arial" w:hAnsi="Arial" w:cs="Arial"/>
        </w:rPr>
        <w:t xml:space="preserve"> </w:t>
      </w:r>
      <w:r w:rsidR="00F43CC2" w:rsidRPr="000A64FA">
        <w:rPr>
          <w:rFonts w:ascii="Arial" w:hAnsi="Arial" w:cs="Arial"/>
        </w:rPr>
        <w:t>(ENOE)</w:t>
      </w:r>
      <w:r w:rsidRPr="00A16C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al segundo trimestre de </w:t>
      </w:r>
      <w:r w:rsidRPr="00F41609">
        <w:rPr>
          <w:rFonts w:ascii="Arial" w:hAnsi="Arial" w:cs="Arial"/>
        </w:rPr>
        <w:t>202</w:t>
      </w:r>
      <w:r w:rsidR="00EE18D0">
        <w:rPr>
          <w:rFonts w:ascii="Arial" w:hAnsi="Arial" w:cs="Arial"/>
        </w:rPr>
        <w:t>1</w:t>
      </w:r>
      <w:r w:rsidRPr="00F41609">
        <w:rPr>
          <w:rFonts w:ascii="Arial" w:hAnsi="Arial" w:cs="Arial"/>
        </w:rPr>
        <w:t xml:space="preserve">, México cuenta con </w:t>
      </w:r>
      <w:r>
        <w:rPr>
          <w:rFonts w:ascii="Arial" w:hAnsi="Arial" w:cs="Arial"/>
        </w:rPr>
        <w:t>305 418</w:t>
      </w:r>
      <w:r w:rsidR="00F43CC2" w:rsidRPr="00F43CC2"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personas ocupadas como médicos, de las cuales 54% son hombres y 46% mujeres.</w:t>
      </w:r>
    </w:p>
    <w:p w14:paraId="62955EBF" w14:textId="77777777" w:rsidR="00082E74" w:rsidRPr="005E0579" w:rsidRDefault="00082E74" w:rsidP="006468C4">
      <w:pPr>
        <w:pStyle w:val="Prrafodelista"/>
        <w:numPr>
          <w:ilvl w:val="0"/>
          <w:numId w:val="1"/>
        </w:numPr>
        <w:spacing w:line="276" w:lineRule="auto"/>
        <w:ind w:left="1134" w:right="1021" w:hanging="283"/>
        <w:jc w:val="both"/>
        <w:rPr>
          <w:rFonts w:ascii="Arial" w:hAnsi="Arial" w:cs="Arial"/>
        </w:rPr>
      </w:pPr>
      <w:r w:rsidRPr="00082E74">
        <w:rPr>
          <w:rFonts w:ascii="Arial" w:hAnsi="Arial" w:cs="Arial"/>
        </w:rPr>
        <w:t>De cada 100 personas con esta ocupación, 67 son médicos generales y 33 especialistas en alguna otra</w:t>
      </w:r>
      <w:r>
        <w:rPr>
          <w:rFonts w:ascii="Arial" w:hAnsi="Arial" w:cs="Arial"/>
        </w:rPr>
        <w:t xml:space="preserve"> </w:t>
      </w:r>
      <w:r w:rsidRPr="00082E74">
        <w:rPr>
          <w:rFonts w:ascii="Arial" w:hAnsi="Arial" w:cs="Arial"/>
        </w:rPr>
        <w:t>rama de la medicina</w:t>
      </w:r>
      <w:r>
        <w:rPr>
          <w:rFonts w:ascii="Arial" w:hAnsi="Arial" w:cs="Arial"/>
        </w:rPr>
        <w:t>.</w:t>
      </w:r>
    </w:p>
    <w:p w14:paraId="1760B88E" w14:textId="77777777" w:rsidR="001B6F0D" w:rsidRPr="00A2635C" w:rsidRDefault="00082E74" w:rsidP="00A2635C">
      <w:pPr>
        <w:pStyle w:val="Prrafodelista"/>
        <w:numPr>
          <w:ilvl w:val="0"/>
          <w:numId w:val="1"/>
        </w:numPr>
        <w:spacing w:line="276" w:lineRule="auto"/>
        <w:ind w:left="1134" w:right="102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 trabajo lo </w:t>
      </w:r>
      <w:r w:rsidRPr="00082E74">
        <w:rPr>
          <w:rFonts w:ascii="Arial" w:hAnsi="Arial" w:cs="Arial"/>
        </w:rPr>
        <w:t xml:space="preserve">realizan principalmente de forma subordinada y </w:t>
      </w:r>
      <w:r w:rsidRPr="00A2635C">
        <w:rPr>
          <w:rFonts w:ascii="Arial" w:hAnsi="Arial" w:cs="Arial"/>
        </w:rPr>
        <w:t>remunerada (76%)</w:t>
      </w:r>
      <w:r w:rsidR="006468C4" w:rsidRPr="00A2635C">
        <w:rPr>
          <w:rFonts w:ascii="Arial" w:hAnsi="Arial" w:cs="Arial"/>
        </w:rPr>
        <w:t>. L</w:t>
      </w:r>
      <w:r w:rsidRPr="00A2635C">
        <w:rPr>
          <w:rFonts w:ascii="Arial" w:hAnsi="Arial" w:cs="Arial"/>
        </w:rPr>
        <w:t>os restantes lo hacen por su cuenta (12%) o emplean a otros trabajadores (12</w:t>
      </w:r>
      <w:r w:rsidR="006468C4" w:rsidRPr="00A2635C">
        <w:rPr>
          <w:rFonts w:ascii="Arial" w:hAnsi="Arial" w:cs="Arial"/>
        </w:rPr>
        <w:t>%</w:t>
      </w:r>
      <w:r w:rsidRPr="00A2635C">
        <w:rPr>
          <w:rFonts w:ascii="Arial" w:hAnsi="Arial" w:cs="Arial"/>
        </w:rPr>
        <w:t>).</w:t>
      </w:r>
    </w:p>
    <w:p w14:paraId="7494DA07" w14:textId="77777777" w:rsidR="00082E74" w:rsidRDefault="00082E74" w:rsidP="001B6F0D">
      <w:pPr>
        <w:tabs>
          <w:tab w:val="center" w:pos="4448"/>
          <w:tab w:val="left" w:pos="6127"/>
        </w:tabs>
        <w:jc w:val="left"/>
        <w:rPr>
          <w:rFonts w:cs="Arial"/>
          <w:b/>
          <w:color w:val="000000" w:themeColor="text1"/>
          <w:sz w:val="24"/>
          <w:lang w:val="es-MX"/>
        </w:rPr>
      </w:pPr>
    </w:p>
    <w:p w14:paraId="0D7D3276" w14:textId="77777777" w:rsidR="001B6F0D" w:rsidRDefault="001B6F0D" w:rsidP="006468C4">
      <w:pPr>
        <w:ind w:left="426" w:right="454"/>
        <w:rPr>
          <w:rFonts w:cs="Arial"/>
        </w:rPr>
      </w:pPr>
      <w:r w:rsidRPr="001E2B73">
        <w:rPr>
          <w:rFonts w:cs="Arial"/>
        </w:rPr>
        <w:t>El Instituto Nacional de Estadística y Geografía (INEGI) ofrece información estadística sobre las personas ocupadas como médicos.</w:t>
      </w:r>
    </w:p>
    <w:p w14:paraId="17058C59" w14:textId="77777777" w:rsidR="001B6F0D" w:rsidRPr="001E2B73" w:rsidRDefault="001B6F0D" w:rsidP="006468C4">
      <w:pPr>
        <w:ind w:left="426" w:right="454"/>
        <w:rPr>
          <w:rFonts w:cs="Arial"/>
        </w:rPr>
      </w:pPr>
    </w:p>
    <w:p w14:paraId="4AE5DDA4" w14:textId="77777777" w:rsidR="001B6F0D" w:rsidRDefault="00AD5CC8" w:rsidP="006468C4">
      <w:pPr>
        <w:ind w:left="426" w:right="454"/>
        <w:rPr>
          <w:rFonts w:cs="Arial"/>
        </w:rPr>
      </w:pPr>
      <w:r w:rsidRPr="00AD5CC8">
        <w:rPr>
          <w:rFonts w:cs="Arial"/>
        </w:rPr>
        <w:t xml:space="preserve">Conforme a los resultados de la Encuesta Nacional de Ocupación y Empleo (ENOE), correspondiente al </w:t>
      </w:r>
      <w:r w:rsidR="00BA56F0">
        <w:rPr>
          <w:rFonts w:cs="Arial"/>
        </w:rPr>
        <w:t>segundo</w:t>
      </w:r>
      <w:r w:rsidRPr="00AD5CC8">
        <w:rPr>
          <w:rFonts w:cs="Arial"/>
        </w:rPr>
        <w:t xml:space="preserve"> trimestre de 202</w:t>
      </w:r>
      <w:r>
        <w:rPr>
          <w:rFonts w:cs="Arial"/>
        </w:rPr>
        <w:t xml:space="preserve">1, </w:t>
      </w:r>
      <w:r w:rsidR="001B6F0D" w:rsidRPr="001E2B73">
        <w:rPr>
          <w:rFonts w:cs="Arial"/>
        </w:rPr>
        <w:t>México cuenta con 305 418 médicos</w:t>
      </w:r>
      <w:r w:rsidR="001B6F0D">
        <w:rPr>
          <w:rFonts w:cs="Arial"/>
        </w:rPr>
        <w:t>,</w:t>
      </w:r>
      <w:r w:rsidR="001B6F0D" w:rsidRPr="001E2B73">
        <w:rPr>
          <w:rFonts w:cs="Arial"/>
        </w:rPr>
        <w:t xml:space="preserve"> de los cuales 54% son hombres y 46% mujeres</w:t>
      </w:r>
      <w:r w:rsidR="00271928" w:rsidRPr="00A16C1A">
        <w:rPr>
          <w:rFonts w:cs="Arial"/>
        </w:rPr>
        <w:t xml:space="preserve">. </w:t>
      </w:r>
      <w:bookmarkStart w:id="0" w:name="_Hlk85099527"/>
      <w:r w:rsidR="00613469" w:rsidRPr="000A64FA">
        <w:rPr>
          <w:rFonts w:cs="Arial"/>
        </w:rPr>
        <w:t>El rango de edad que predomina es el de 25 a 44 años</w:t>
      </w:r>
      <w:r w:rsidR="00960468" w:rsidRPr="000A64FA">
        <w:rPr>
          <w:rFonts w:cs="Arial"/>
        </w:rPr>
        <w:t xml:space="preserve"> en ambos sexos.</w:t>
      </w:r>
      <w:r w:rsidR="00960468">
        <w:rPr>
          <w:rFonts w:cs="Arial"/>
          <w:color w:val="31849B" w:themeColor="accent5" w:themeShade="BF"/>
        </w:rPr>
        <w:t xml:space="preserve"> </w:t>
      </w:r>
      <w:r w:rsidR="00613469" w:rsidRPr="00613469">
        <w:rPr>
          <w:rFonts w:cs="Arial"/>
        </w:rPr>
        <w:t xml:space="preserve"> </w:t>
      </w:r>
      <w:bookmarkEnd w:id="0"/>
    </w:p>
    <w:p w14:paraId="6F74B5F7" w14:textId="77777777" w:rsidR="00BA56F0" w:rsidRDefault="006468C4" w:rsidP="001B6F0D">
      <w:pPr>
        <w:rPr>
          <w:rFonts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464F32" wp14:editId="4C590D40">
                <wp:simplePos x="0" y="0"/>
                <wp:positionH relativeFrom="margin">
                  <wp:posOffset>276225</wp:posOffset>
                </wp:positionH>
                <wp:positionV relativeFrom="paragraph">
                  <wp:posOffset>162560</wp:posOffset>
                </wp:positionV>
                <wp:extent cx="5314950" cy="393700"/>
                <wp:effectExtent l="0" t="0" r="0" b="6350"/>
                <wp:wrapNone/>
                <wp:docPr id="6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729AD" w14:textId="77777777" w:rsidR="001B6F0D" w:rsidRDefault="001B6F0D" w:rsidP="006468C4">
                            <w:pPr>
                              <w:ind w:right="-458" w:hanging="142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Porcentaje</w:t>
                            </w:r>
                            <w:r w:rsidRPr="00A6197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la población de 2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A6197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años y más ocupada como médico por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sexo</w:t>
                            </w:r>
                            <w:r w:rsidRPr="00A6197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2021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64F3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.75pt;margin-top:12.8pt;width:418.5pt;height:3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" fillcolor="white [3201]" stroked="f" strokeweight=".5pt">
                <v:textbox>
                  <w:txbxContent>
                    <w:p w14:paraId="195729AD" w14:textId="77777777" w:rsidR="001B6F0D" w:rsidRDefault="001B6F0D" w:rsidP="006468C4">
                      <w:pPr>
                        <w:ind w:right="-458" w:hanging="142"/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Porcentaje</w:t>
                      </w:r>
                      <w:r w:rsidRPr="00A6197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de la población de 2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A6197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años y más ocupada como médico por 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sexo</w:t>
                      </w:r>
                      <w:r w:rsidRPr="00A6197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, 2021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5B951" w14:textId="77777777" w:rsidR="001B6F0D" w:rsidRDefault="001B6F0D" w:rsidP="006468C4">
      <w:pPr>
        <w:ind w:firstLine="426"/>
        <w:rPr>
          <w:rFonts w:cs="Arial"/>
        </w:rPr>
      </w:pPr>
      <w:r>
        <w:rPr>
          <w:noProof/>
          <w:lang w:val="es-MX" w:eastAsia="es-MX"/>
        </w:rPr>
        <w:drawing>
          <wp:inline distT="0" distB="0" distL="0" distR="0" wp14:anchorId="0F5E3329" wp14:editId="2BDD5661">
            <wp:extent cx="6305550" cy="2836545"/>
            <wp:effectExtent l="0" t="0" r="0" b="190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05E73B3-E625-4531-BF88-ED6B0BC7B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E534A8B" w14:textId="77777777" w:rsidR="001B6F0D" w:rsidRDefault="006142A6" w:rsidP="006468C4">
      <w:pPr>
        <w:autoSpaceDE w:val="0"/>
        <w:autoSpaceDN w:val="0"/>
        <w:adjustRightInd w:val="0"/>
        <w:spacing w:before="240" w:after="240" w:line="280" w:lineRule="exact"/>
        <w:ind w:left="426" w:right="454"/>
        <w:rPr>
          <w:rFonts w:cs="Arial"/>
          <w:color w:val="000000" w:themeColor="text1"/>
        </w:rPr>
      </w:pPr>
      <w:r>
        <w:rPr>
          <w:rFonts w:cs="Arial"/>
        </w:rPr>
        <w:t xml:space="preserve">El promedio de años de escolaridad para </w:t>
      </w:r>
      <w:r w:rsidR="00F96DFE">
        <w:rPr>
          <w:rFonts w:cs="Arial"/>
        </w:rPr>
        <w:t xml:space="preserve">las </w:t>
      </w:r>
      <w:r w:rsidR="004A561D">
        <w:rPr>
          <w:rFonts w:cs="Arial"/>
        </w:rPr>
        <w:t xml:space="preserve">personas ocupadas como </w:t>
      </w:r>
      <w:r w:rsidR="00F96DFE">
        <w:rPr>
          <w:rFonts w:cs="Arial"/>
        </w:rPr>
        <w:t>médicos</w:t>
      </w:r>
      <w:r>
        <w:rPr>
          <w:rFonts w:cs="Arial"/>
        </w:rPr>
        <w:t xml:space="preserve"> es de </w:t>
      </w:r>
      <w:r w:rsidR="001B6F0D" w:rsidRPr="00C70E4A">
        <w:rPr>
          <w:rFonts w:cs="Arial"/>
        </w:rPr>
        <w:t>18.1 años</w:t>
      </w:r>
      <w:r w:rsidR="00271928">
        <w:rPr>
          <w:rFonts w:cs="Arial"/>
        </w:rPr>
        <w:t>, esto</w:t>
      </w:r>
      <w:r w:rsidR="00271928" w:rsidRPr="000928A0">
        <w:rPr>
          <w:rFonts w:cs="Arial"/>
        </w:rPr>
        <w:t xml:space="preserve"> sin</w:t>
      </w:r>
      <w:r w:rsidR="001B6F0D" w:rsidRPr="000928A0">
        <w:rPr>
          <w:rFonts w:cs="Arial"/>
        </w:rPr>
        <w:t xml:space="preserve"> considerar el internado médico y el año de servicio social</w:t>
      </w:r>
      <w:r w:rsidR="001B6F0D" w:rsidRPr="007562D9">
        <w:rPr>
          <w:rFonts w:cs="Arial"/>
          <w:color w:val="000000" w:themeColor="text1"/>
        </w:rPr>
        <w:t xml:space="preserve">. De cada 100 personas </w:t>
      </w:r>
      <w:r w:rsidR="001B6F0D">
        <w:rPr>
          <w:rFonts w:cs="Arial"/>
          <w:color w:val="000000" w:themeColor="text1"/>
        </w:rPr>
        <w:t>con esta ocupación</w:t>
      </w:r>
      <w:r w:rsidR="001B6F0D" w:rsidRPr="007562D9">
        <w:rPr>
          <w:rFonts w:cs="Arial"/>
          <w:color w:val="000000" w:themeColor="text1"/>
        </w:rPr>
        <w:t xml:space="preserve">, </w:t>
      </w:r>
      <w:r w:rsidR="008A0F47">
        <w:rPr>
          <w:rFonts w:cs="Arial"/>
          <w:color w:val="000000" w:themeColor="text1"/>
        </w:rPr>
        <w:t xml:space="preserve">67 </w:t>
      </w:r>
      <w:r w:rsidR="001B6F0D" w:rsidRPr="007562D9">
        <w:rPr>
          <w:rFonts w:cs="Arial"/>
          <w:color w:val="000000" w:themeColor="text1"/>
        </w:rPr>
        <w:t xml:space="preserve">son médicos generales y </w:t>
      </w:r>
      <w:r w:rsidR="008A0F47">
        <w:rPr>
          <w:rFonts w:cs="Arial"/>
          <w:color w:val="000000" w:themeColor="text1"/>
        </w:rPr>
        <w:t xml:space="preserve">33 </w:t>
      </w:r>
      <w:r w:rsidR="001B6F0D" w:rsidRPr="007562D9">
        <w:rPr>
          <w:rFonts w:cs="Arial"/>
          <w:color w:val="000000" w:themeColor="text1"/>
        </w:rPr>
        <w:t>especialistas en alguna</w:t>
      </w:r>
      <w:r w:rsidR="00271928">
        <w:rPr>
          <w:rFonts w:cs="Arial"/>
          <w:color w:val="000000" w:themeColor="text1"/>
        </w:rPr>
        <w:t xml:space="preserve"> otra</w:t>
      </w:r>
      <w:r w:rsidR="001B6F0D" w:rsidRPr="007562D9">
        <w:rPr>
          <w:rFonts w:cs="Arial"/>
          <w:color w:val="000000" w:themeColor="text1"/>
        </w:rPr>
        <w:t xml:space="preserve"> rama de la medicina.</w:t>
      </w:r>
      <w:r w:rsidR="001B6F0D">
        <w:rPr>
          <w:rFonts w:cs="Arial"/>
          <w:color w:val="000000" w:themeColor="text1"/>
        </w:rPr>
        <w:t xml:space="preserve"> Respecto </w:t>
      </w:r>
      <w:r w:rsidR="00271928">
        <w:rPr>
          <w:rFonts w:cs="Arial"/>
          <w:color w:val="000000" w:themeColor="text1"/>
        </w:rPr>
        <w:t>al</w:t>
      </w:r>
      <w:r w:rsidR="001B6F0D">
        <w:rPr>
          <w:rFonts w:cs="Arial"/>
          <w:color w:val="000000" w:themeColor="text1"/>
        </w:rPr>
        <w:t xml:space="preserve"> nivel de instrucción</w:t>
      </w:r>
      <w:r w:rsidR="006662E0">
        <w:rPr>
          <w:rFonts w:cs="Arial"/>
          <w:color w:val="000000" w:themeColor="text1"/>
        </w:rPr>
        <w:t>,</w:t>
      </w:r>
      <w:r w:rsidR="001B6F0D">
        <w:rPr>
          <w:rFonts w:cs="Arial"/>
          <w:color w:val="000000" w:themeColor="text1"/>
        </w:rPr>
        <w:t xml:space="preserve"> 69% cuentan con licenciatura, 27% </w:t>
      </w:r>
      <w:r w:rsidR="00271928">
        <w:rPr>
          <w:rFonts w:cs="Arial"/>
          <w:color w:val="000000" w:themeColor="text1"/>
        </w:rPr>
        <w:t xml:space="preserve">con </w:t>
      </w:r>
      <w:r w:rsidR="001B6F0D">
        <w:rPr>
          <w:rFonts w:cs="Arial"/>
          <w:color w:val="000000" w:themeColor="text1"/>
        </w:rPr>
        <w:t xml:space="preserve">maestría y 4% </w:t>
      </w:r>
      <w:r w:rsidR="00271928">
        <w:rPr>
          <w:rFonts w:cs="Arial"/>
          <w:color w:val="000000" w:themeColor="text1"/>
        </w:rPr>
        <w:t xml:space="preserve">con </w:t>
      </w:r>
      <w:r w:rsidR="001B6F0D">
        <w:rPr>
          <w:rFonts w:cs="Arial"/>
          <w:color w:val="000000" w:themeColor="text1"/>
        </w:rPr>
        <w:t>doctorado</w:t>
      </w:r>
      <w:r w:rsidR="00F43CC2">
        <w:rPr>
          <w:rStyle w:val="Refdenotaalpie"/>
          <w:rFonts w:cs="Arial"/>
          <w:color w:val="000000" w:themeColor="text1"/>
        </w:rPr>
        <w:footnoteReference w:id="2"/>
      </w:r>
      <w:r w:rsidR="001B6F0D">
        <w:rPr>
          <w:rFonts w:cs="Arial"/>
          <w:color w:val="000000" w:themeColor="text1"/>
        </w:rPr>
        <w:t>.</w:t>
      </w:r>
    </w:p>
    <w:p w14:paraId="7C5F828C" w14:textId="77777777" w:rsidR="001B6F0D" w:rsidRPr="007562D9" w:rsidRDefault="001B6F0D" w:rsidP="006468C4">
      <w:pPr>
        <w:autoSpaceDE w:val="0"/>
        <w:autoSpaceDN w:val="0"/>
        <w:adjustRightInd w:val="0"/>
        <w:spacing w:after="240" w:line="280" w:lineRule="exact"/>
        <w:ind w:left="426" w:right="454"/>
        <w:rPr>
          <w:rFonts w:cs="Arial"/>
          <w:color w:val="000000" w:themeColor="text1"/>
          <w:sz w:val="16"/>
          <w:szCs w:val="16"/>
          <w:lang w:eastAsia="es-MX"/>
        </w:rPr>
      </w:pPr>
      <w:r w:rsidRPr="007562D9">
        <w:rPr>
          <w:rFonts w:cs="Arial"/>
          <w:color w:val="000000" w:themeColor="text1"/>
        </w:rPr>
        <w:lastRenderedPageBreak/>
        <w:t xml:space="preserve">El número de </w:t>
      </w:r>
      <w:r w:rsidR="004A561D">
        <w:rPr>
          <w:rFonts w:cs="Arial"/>
          <w:color w:val="000000" w:themeColor="text1"/>
        </w:rPr>
        <w:t xml:space="preserve">personas ocupadas como </w:t>
      </w:r>
      <w:r w:rsidRPr="007562D9">
        <w:rPr>
          <w:rFonts w:cs="Arial"/>
          <w:color w:val="000000" w:themeColor="text1"/>
        </w:rPr>
        <w:t xml:space="preserve">médicos por cada </w:t>
      </w:r>
      <w:r w:rsidR="00F20F5B" w:rsidRPr="007562D9">
        <w:rPr>
          <w:rFonts w:cs="Arial"/>
          <w:color w:val="000000" w:themeColor="text1"/>
        </w:rPr>
        <w:t>1</w:t>
      </w:r>
      <w:r w:rsidR="004359CD">
        <w:rPr>
          <w:rFonts w:cs="Arial"/>
          <w:color w:val="000000" w:themeColor="text1"/>
        </w:rPr>
        <w:t xml:space="preserve"> </w:t>
      </w:r>
      <w:r w:rsidR="00F20F5B" w:rsidRPr="007562D9">
        <w:rPr>
          <w:rFonts w:cs="Arial"/>
          <w:color w:val="000000" w:themeColor="text1"/>
        </w:rPr>
        <w:t xml:space="preserve">000 habitantes </w:t>
      </w:r>
      <w:r w:rsidRPr="007562D9">
        <w:rPr>
          <w:rFonts w:cs="Arial"/>
          <w:color w:val="000000" w:themeColor="text1"/>
        </w:rPr>
        <w:t>en el país es de 2.</w:t>
      </w:r>
      <w:r>
        <w:rPr>
          <w:rFonts w:cs="Arial"/>
          <w:color w:val="000000" w:themeColor="text1"/>
        </w:rPr>
        <w:t>4</w:t>
      </w:r>
      <w:r w:rsidRPr="007562D9">
        <w:rPr>
          <w:rFonts w:cs="Arial"/>
          <w:color w:val="000000" w:themeColor="text1"/>
        </w:rPr>
        <w:t xml:space="preserve">, valor superior al promedio de dos médicos por cada </w:t>
      </w:r>
      <w:r w:rsidR="004359CD">
        <w:rPr>
          <w:rFonts w:cs="Arial"/>
          <w:color w:val="000000" w:themeColor="text1"/>
        </w:rPr>
        <w:t>1 000 habitantes</w:t>
      </w:r>
      <w:r w:rsidR="00F20F5B">
        <w:rPr>
          <w:rFonts w:cs="Arial"/>
          <w:color w:val="000000" w:themeColor="text1"/>
        </w:rPr>
        <w:t xml:space="preserve"> </w:t>
      </w:r>
      <w:r w:rsidRPr="007562D9">
        <w:rPr>
          <w:rFonts w:cs="Arial"/>
          <w:color w:val="000000" w:themeColor="text1"/>
        </w:rPr>
        <w:t>de los países de América Latina y el Caribe, pero inferior al</w:t>
      </w:r>
      <w:r w:rsidR="00271928">
        <w:rPr>
          <w:rFonts w:cs="Arial"/>
          <w:color w:val="000000" w:themeColor="text1"/>
        </w:rPr>
        <w:t xml:space="preserve"> valor promedio de la </w:t>
      </w:r>
      <w:r w:rsidR="00271928" w:rsidRPr="007562D9">
        <w:rPr>
          <w:rFonts w:cs="Arial"/>
          <w:color w:val="000000" w:themeColor="text1"/>
        </w:rPr>
        <w:t xml:space="preserve">Organización para la Cooperación y el Desarrollo Económicos (OCDE) </w:t>
      </w:r>
      <w:r w:rsidR="00334C3C">
        <w:rPr>
          <w:rFonts w:cs="Arial"/>
          <w:color w:val="000000" w:themeColor="text1"/>
        </w:rPr>
        <w:t xml:space="preserve">que es </w:t>
      </w:r>
      <w:r w:rsidR="00271928">
        <w:rPr>
          <w:rFonts w:cs="Arial"/>
          <w:color w:val="000000" w:themeColor="text1"/>
        </w:rPr>
        <w:t xml:space="preserve">de </w:t>
      </w:r>
      <w:r w:rsidRPr="007562D9">
        <w:rPr>
          <w:rFonts w:cs="Arial"/>
          <w:color w:val="000000" w:themeColor="text1"/>
        </w:rPr>
        <w:t xml:space="preserve">3.5 </w:t>
      </w:r>
      <w:r w:rsidR="00D44C1F" w:rsidRPr="007562D9">
        <w:rPr>
          <w:rFonts w:cs="Arial"/>
          <w:color w:val="000000" w:themeColor="text1"/>
        </w:rPr>
        <w:t>médicos por cada 1</w:t>
      </w:r>
      <w:r w:rsidR="004359CD">
        <w:rPr>
          <w:rFonts w:cs="Arial"/>
          <w:color w:val="000000" w:themeColor="text1"/>
        </w:rPr>
        <w:t xml:space="preserve"> </w:t>
      </w:r>
      <w:r w:rsidR="00D44C1F" w:rsidRPr="007562D9">
        <w:rPr>
          <w:rFonts w:cs="Arial"/>
          <w:color w:val="000000" w:themeColor="text1"/>
        </w:rPr>
        <w:t>000 habitantes</w:t>
      </w:r>
      <w:r w:rsidR="00D44C1F">
        <w:rPr>
          <w:rStyle w:val="Refdenotaalpie"/>
          <w:rFonts w:cs="Arial"/>
          <w:color w:val="000000" w:themeColor="text1"/>
        </w:rPr>
        <w:footnoteReference w:id="3"/>
      </w:r>
      <w:r w:rsidRPr="007562D9">
        <w:rPr>
          <w:rFonts w:cs="Arial"/>
          <w:color w:val="000000" w:themeColor="text1"/>
        </w:rPr>
        <w:t>.</w:t>
      </w:r>
    </w:p>
    <w:p w14:paraId="77201CB5" w14:textId="77777777" w:rsidR="001B6F0D" w:rsidRDefault="001B6F0D" w:rsidP="004359CD">
      <w:pPr>
        <w:pStyle w:val="Textocomentario"/>
        <w:spacing w:line="280" w:lineRule="exact"/>
        <w:ind w:left="426" w:right="4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Por sector de actividad, 98% </w:t>
      </w:r>
      <w:r w:rsidR="00AA323A">
        <w:rPr>
          <w:rFonts w:cs="Arial"/>
          <w:sz w:val="22"/>
          <w:szCs w:val="22"/>
        </w:rPr>
        <w:t>de l</w:t>
      </w:r>
      <w:r w:rsidR="00F8587E">
        <w:rPr>
          <w:rFonts w:cs="Arial"/>
          <w:sz w:val="22"/>
          <w:szCs w:val="22"/>
        </w:rPr>
        <w:t xml:space="preserve">as </w:t>
      </w:r>
      <w:r w:rsidR="003728AC">
        <w:rPr>
          <w:rFonts w:cs="Arial"/>
          <w:sz w:val="22"/>
          <w:szCs w:val="22"/>
        </w:rPr>
        <w:t>personas ocupadas como</w:t>
      </w:r>
      <w:r w:rsidR="00AA323A">
        <w:rPr>
          <w:rFonts w:cs="Arial"/>
          <w:sz w:val="22"/>
          <w:szCs w:val="22"/>
        </w:rPr>
        <w:t xml:space="preserve"> médicos </w:t>
      </w:r>
      <w:r>
        <w:rPr>
          <w:rFonts w:cs="Arial"/>
          <w:sz w:val="22"/>
          <w:szCs w:val="22"/>
        </w:rPr>
        <w:t>se desempeñan en el sector terciario o de servicios, de los cuales</w:t>
      </w:r>
      <w:r w:rsidR="00AA323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94 de cada 100 se ubican en el subsector de salud y asistencia social.</w:t>
      </w:r>
    </w:p>
    <w:p w14:paraId="25FA42AB" w14:textId="77777777" w:rsidR="00247AC4" w:rsidRDefault="004359CD" w:rsidP="004359CD">
      <w:pPr>
        <w:autoSpaceDE w:val="0"/>
        <w:autoSpaceDN w:val="0"/>
        <w:adjustRightInd w:val="0"/>
        <w:spacing w:before="240" w:after="240" w:line="280" w:lineRule="exact"/>
        <w:ind w:left="426" w:right="454"/>
        <w:rPr>
          <w:rFonts w:cs="Arial"/>
        </w:rPr>
      </w:pPr>
      <w:r>
        <w:rPr>
          <w:rFonts w:cs="Arial"/>
        </w:rPr>
        <w:t>D</w:t>
      </w:r>
      <w:r w:rsidR="00F8587E">
        <w:rPr>
          <w:rFonts w:cs="Arial"/>
        </w:rPr>
        <w:t xml:space="preserve">el total de </w:t>
      </w:r>
      <w:r w:rsidR="003728AC">
        <w:rPr>
          <w:rFonts w:cs="Arial"/>
        </w:rPr>
        <w:t xml:space="preserve">personas ocupadas como </w:t>
      </w:r>
      <w:r w:rsidR="00F8587E">
        <w:rPr>
          <w:rFonts w:cs="Arial"/>
        </w:rPr>
        <w:t xml:space="preserve">médicos en el país, </w:t>
      </w:r>
      <w:r w:rsidR="001B6F0D" w:rsidRPr="00121C60">
        <w:rPr>
          <w:rFonts w:cs="Arial"/>
        </w:rPr>
        <w:t xml:space="preserve">33% </w:t>
      </w:r>
      <w:r>
        <w:rPr>
          <w:rFonts w:cs="Arial"/>
        </w:rPr>
        <w:t>laboran</w:t>
      </w:r>
      <w:r w:rsidR="001B6F0D" w:rsidRPr="00121C60">
        <w:rPr>
          <w:rFonts w:cs="Arial"/>
        </w:rPr>
        <w:t xml:space="preserve"> en grandes establecimientos, 28% en micronegocios, 20% en establecimientos medianos, 17% en pequeñas unidades económicas y </w:t>
      </w:r>
      <w:r w:rsidR="00F050D0" w:rsidRPr="00EC0FE0">
        <w:rPr>
          <w:rFonts w:cs="Arial"/>
        </w:rPr>
        <w:t>2</w:t>
      </w:r>
      <w:r w:rsidR="001B6F0D" w:rsidRPr="00EC0FE0">
        <w:rPr>
          <w:rFonts w:cs="Arial"/>
        </w:rPr>
        <w:t>%</w:t>
      </w:r>
      <w:r w:rsidR="001B6F0D" w:rsidRPr="00121C60">
        <w:rPr>
          <w:rFonts w:cs="Arial"/>
        </w:rPr>
        <w:t xml:space="preserve"> en otro tipo de empresas. </w:t>
      </w:r>
    </w:p>
    <w:p w14:paraId="0CDC57CA" w14:textId="77777777" w:rsidR="001B6F0D" w:rsidRDefault="006662E0" w:rsidP="004359CD">
      <w:pPr>
        <w:autoSpaceDE w:val="0"/>
        <w:autoSpaceDN w:val="0"/>
        <w:adjustRightInd w:val="0"/>
        <w:spacing w:before="240" w:after="240" w:line="280" w:lineRule="exact"/>
        <w:ind w:left="426" w:right="454"/>
        <w:rPr>
          <w:rFonts w:cs="Arial"/>
        </w:rPr>
      </w:pPr>
      <w:r>
        <w:rPr>
          <w:rFonts w:cs="Arial"/>
        </w:rPr>
        <w:t>Con r</w:t>
      </w:r>
      <w:r w:rsidR="001B6F0D" w:rsidRPr="00121C60">
        <w:rPr>
          <w:rFonts w:cs="Arial"/>
        </w:rPr>
        <w:t xml:space="preserve">especto al tipo de unidad económica, </w:t>
      </w:r>
      <w:bookmarkStart w:id="1" w:name="_Hlk82519840"/>
      <w:r w:rsidR="001B6F0D" w:rsidRPr="00121C60">
        <w:rPr>
          <w:rFonts w:cs="Arial"/>
        </w:rPr>
        <w:t>de cada 100 médicos</w:t>
      </w:r>
      <w:r w:rsidR="004359CD">
        <w:rPr>
          <w:rFonts w:cs="Arial"/>
        </w:rPr>
        <w:t>,</w:t>
      </w:r>
      <w:r w:rsidR="001B6F0D" w:rsidRPr="00121C60">
        <w:rPr>
          <w:rFonts w:cs="Arial"/>
        </w:rPr>
        <w:t xml:space="preserve"> 68 laboran en instituciones (preferentemente públicas), 29 para empresas y tres en el sector informal.</w:t>
      </w:r>
    </w:p>
    <w:p w14:paraId="7C20A6AA" w14:textId="77777777" w:rsidR="00646EC4" w:rsidRPr="000928A0" w:rsidRDefault="00646EC4" w:rsidP="004359CD">
      <w:pPr>
        <w:autoSpaceDE w:val="0"/>
        <w:autoSpaceDN w:val="0"/>
        <w:adjustRightInd w:val="0"/>
        <w:spacing w:before="240" w:after="240" w:line="280" w:lineRule="exact"/>
        <w:ind w:left="426" w:right="454"/>
        <w:rPr>
          <w:rFonts w:cs="Arial"/>
        </w:rPr>
      </w:pPr>
      <w:r>
        <w:rPr>
          <w:rFonts w:cs="Arial"/>
        </w:rPr>
        <w:t>El promedio</w:t>
      </w:r>
      <w:r w:rsidRPr="000928A0">
        <w:rPr>
          <w:rFonts w:cs="Arial"/>
        </w:rPr>
        <w:t xml:space="preserve"> de horas trabajadas</w:t>
      </w:r>
      <w:r w:rsidR="004359CD">
        <w:rPr>
          <w:rFonts w:cs="Arial"/>
        </w:rPr>
        <w:t xml:space="preserve"> por semana</w:t>
      </w:r>
      <w:r w:rsidRPr="000928A0">
        <w:rPr>
          <w:rFonts w:cs="Arial"/>
        </w:rPr>
        <w:t xml:space="preserve"> </w:t>
      </w:r>
      <w:r>
        <w:rPr>
          <w:rFonts w:cs="Arial"/>
        </w:rPr>
        <w:t xml:space="preserve">de una persona ocupada como médico </w:t>
      </w:r>
      <w:r w:rsidRPr="000928A0">
        <w:rPr>
          <w:rFonts w:cs="Arial"/>
        </w:rPr>
        <w:t>es de 41.</w:t>
      </w:r>
      <w:r>
        <w:rPr>
          <w:rFonts w:cs="Arial"/>
        </w:rPr>
        <w:t>7</w:t>
      </w:r>
      <w:r w:rsidRPr="000928A0">
        <w:rPr>
          <w:rFonts w:cs="Arial"/>
        </w:rPr>
        <w:t xml:space="preserve">. </w:t>
      </w:r>
      <w:r>
        <w:rPr>
          <w:rFonts w:cs="Arial"/>
        </w:rPr>
        <w:t xml:space="preserve">Según la distribución por </w:t>
      </w:r>
      <w:r w:rsidRPr="000928A0">
        <w:rPr>
          <w:rFonts w:cs="Arial"/>
        </w:rPr>
        <w:t xml:space="preserve">rangos de </w:t>
      </w:r>
      <w:r>
        <w:rPr>
          <w:rFonts w:cs="Arial"/>
        </w:rPr>
        <w:t xml:space="preserve">horas trabajadas, se tiene un porcentaje significativo de profesionistas médicos que trabajan de 35 a 48 horas (64%), seguido por quienes laboran de 15 a 34 horas (19%), los que rebasan las </w:t>
      </w:r>
      <w:r w:rsidRPr="000928A0">
        <w:rPr>
          <w:rFonts w:cs="Arial"/>
        </w:rPr>
        <w:t xml:space="preserve">48 horas </w:t>
      </w:r>
      <w:r>
        <w:rPr>
          <w:rFonts w:cs="Arial"/>
        </w:rPr>
        <w:t>de trabajo (15%) y los que trabajan menos de 15 horas (2</w:t>
      </w:r>
      <w:r w:rsidR="004359CD">
        <w:rPr>
          <w:rFonts w:cs="Arial"/>
        </w:rPr>
        <w:t>%</w:t>
      </w:r>
      <w:r>
        <w:rPr>
          <w:rFonts w:cs="Arial"/>
        </w:rPr>
        <w:t xml:space="preserve">). </w:t>
      </w:r>
    </w:p>
    <w:bookmarkEnd w:id="1"/>
    <w:p w14:paraId="0BA6B023" w14:textId="69F1DBDE" w:rsidR="001B6F0D" w:rsidRDefault="00FC7B13" w:rsidP="004359CD">
      <w:pPr>
        <w:autoSpaceDE w:val="0"/>
        <w:autoSpaceDN w:val="0"/>
        <w:adjustRightInd w:val="0"/>
        <w:spacing w:after="120" w:line="280" w:lineRule="exact"/>
        <w:ind w:left="426" w:right="454"/>
        <w:rPr>
          <w:rFonts w:cs="Arial"/>
          <w:color w:val="000000" w:themeColor="text1"/>
        </w:rPr>
      </w:pPr>
      <w:r w:rsidRPr="00A00C2E">
        <w:rPr>
          <w:rFonts w:cs="Arial"/>
          <w:noProof/>
          <w:color w:val="000000" w:themeColor="text1"/>
          <w:lang w:val="es-MX" w:eastAsia="en-US"/>
        </w:rPr>
        <w:t xml:space="preserve">Para </w:t>
      </w:r>
      <w:r w:rsidR="004359CD">
        <w:rPr>
          <w:rFonts w:cs="Arial"/>
          <w:noProof/>
          <w:color w:val="000000" w:themeColor="text1"/>
          <w:lang w:val="es-MX" w:eastAsia="en-US"/>
        </w:rPr>
        <w:t xml:space="preserve">el personal </w:t>
      </w:r>
      <w:r w:rsidRPr="00A00C2E">
        <w:rPr>
          <w:rFonts w:cs="Arial"/>
          <w:noProof/>
          <w:color w:val="000000" w:themeColor="text1"/>
          <w:lang w:val="es-MX" w:eastAsia="en-US"/>
        </w:rPr>
        <w:t>médico e</w:t>
      </w:r>
      <w:r w:rsidR="00277613" w:rsidRPr="00A00C2E">
        <w:rPr>
          <w:rFonts w:cs="Arial"/>
          <w:noProof/>
          <w:color w:val="000000" w:themeColor="text1"/>
          <w:lang w:val="es-MX" w:eastAsia="en-US"/>
        </w:rPr>
        <w:t>l pago</w:t>
      </w:r>
      <w:r w:rsidR="001B6F0D" w:rsidRPr="009B1F61">
        <w:rPr>
          <w:rFonts w:cs="Arial"/>
          <w:color w:val="000000" w:themeColor="text1"/>
        </w:rPr>
        <w:t xml:space="preserve"> promedio</w:t>
      </w:r>
      <w:r>
        <w:rPr>
          <w:rFonts w:cs="Arial"/>
          <w:color w:val="000000" w:themeColor="text1"/>
        </w:rPr>
        <w:t xml:space="preserve"> por hora trabajada</w:t>
      </w:r>
      <w:r w:rsidR="001B6F0D" w:rsidRPr="009B1F61">
        <w:rPr>
          <w:rFonts w:cs="Arial"/>
          <w:color w:val="000000" w:themeColor="text1"/>
        </w:rPr>
        <w:t xml:space="preserve"> </w:t>
      </w:r>
      <w:r w:rsidR="00277613">
        <w:rPr>
          <w:rFonts w:cs="Arial"/>
          <w:color w:val="000000" w:themeColor="text1"/>
        </w:rPr>
        <w:t xml:space="preserve">es de </w:t>
      </w:r>
      <w:r w:rsidR="001B6F0D">
        <w:rPr>
          <w:rFonts w:cs="Arial"/>
          <w:color w:val="000000" w:themeColor="text1"/>
        </w:rPr>
        <w:t>122</w:t>
      </w:r>
      <w:r w:rsidR="001B6F0D" w:rsidRPr="009B1F61">
        <w:rPr>
          <w:rFonts w:cs="Arial"/>
          <w:color w:val="000000" w:themeColor="text1"/>
        </w:rPr>
        <w:t xml:space="preserve"> pesos</w:t>
      </w:r>
      <w:r w:rsidR="001B6F0D">
        <w:rPr>
          <w:rFonts w:cs="Arial"/>
          <w:color w:val="000000" w:themeColor="text1"/>
        </w:rPr>
        <w:t xml:space="preserve">. El ingreso mensual de las personas con esta profesión es diferencial conforme a su nivel de instrucción, </w:t>
      </w:r>
      <w:r w:rsidR="007748FC">
        <w:rPr>
          <w:rFonts w:cs="Arial"/>
          <w:color w:val="000000" w:themeColor="text1"/>
        </w:rPr>
        <w:t xml:space="preserve">tipo de unidad económica en que se desempeñan y posición en el trabajo. </w:t>
      </w:r>
      <w:r>
        <w:rPr>
          <w:rFonts w:cs="Arial"/>
          <w:color w:val="000000" w:themeColor="text1"/>
        </w:rPr>
        <w:t>De acuerdo con el nivel de instrucción</w:t>
      </w:r>
      <w:r w:rsidR="007748FC">
        <w:rPr>
          <w:rFonts w:cs="Arial"/>
          <w:color w:val="000000" w:themeColor="text1"/>
        </w:rPr>
        <w:t xml:space="preserve">, </w:t>
      </w:r>
      <w:r w:rsidR="004359CD">
        <w:rPr>
          <w:rFonts w:cs="Arial"/>
          <w:color w:val="000000" w:themeColor="text1"/>
        </w:rPr>
        <w:t>las personas ocupadas como médicos y que</w:t>
      </w:r>
      <w:r w:rsidR="001B6F0D">
        <w:rPr>
          <w:rFonts w:cs="Arial"/>
          <w:color w:val="000000" w:themeColor="text1"/>
        </w:rPr>
        <w:t xml:space="preserve"> </w:t>
      </w:r>
      <w:r w:rsidR="007748FC">
        <w:rPr>
          <w:rFonts w:cs="Arial"/>
          <w:color w:val="000000" w:themeColor="text1"/>
        </w:rPr>
        <w:t>cuentan con</w:t>
      </w:r>
      <w:r w:rsidR="001B6F0D">
        <w:rPr>
          <w:rFonts w:cs="Arial"/>
          <w:color w:val="000000" w:themeColor="text1"/>
        </w:rPr>
        <w:t xml:space="preserve"> licenciatura perciben</w:t>
      </w:r>
      <w:r w:rsidR="00A00C2E">
        <w:rPr>
          <w:rFonts w:cs="Arial"/>
          <w:color w:val="000000" w:themeColor="text1"/>
        </w:rPr>
        <w:t xml:space="preserve"> </w:t>
      </w:r>
      <w:r w:rsidR="004359CD">
        <w:rPr>
          <w:rFonts w:cs="Arial"/>
          <w:color w:val="000000" w:themeColor="text1"/>
        </w:rPr>
        <w:t>u</w:t>
      </w:r>
      <w:r w:rsidR="00554E3A">
        <w:rPr>
          <w:rFonts w:cs="Arial"/>
          <w:color w:val="000000" w:themeColor="text1"/>
        </w:rPr>
        <w:t xml:space="preserve">n promedio </w:t>
      </w:r>
      <w:r w:rsidR="00A00C2E">
        <w:rPr>
          <w:rFonts w:cs="Arial"/>
          <w:color w:val="000000" w:themeColor="text1"/>
        </w:rPr>
        <w:t>mensu</w:t>
      </w:r>
      <w:r w:rsidR="004359CD">
        <w:rPr>
          <w:rFonts w:cs="Arial"/>
          <w:color w:val="000000" w:themeColor="text1"/>
        </w:rPr>
        <w:t xml:space="preserve">al de </w:t>
      </w:r>
      <w:r w:rsidR="001B6F0D">
        <w:rPr>
          <w:rFonts w:cs="Arial"/>
          <w:color w:val="000000" w:themeColor="text1"/>
        </w:rPr>
        <w:t xml:space="preserve"> 17</w:t>
      </w:r>
      <w:r w:rsidR="005409B5">
        <w:rPr>
          <w:rFonts w:cs="Arial"/>
          <w:color w:val="000000" w:themeColor="text1"/>
        </w:rPr>
        <w:t xml:space="preserve"> </w:t>
      </w:r>
      <w:r w:rsidR="001B6F0D">
        <w:rPr>
          <w:rFonts w:cs="Arial"/>
          <w:color w:val="000000" w:themeColor="text1"/>
        </w:rPr>
        <w:t>422</w:t>
      </w:r>
      <w:r w:rsidR="005409B5">
        <w:rPr>
          <w:rFonts w:cs="Arial"/>
          <w:color w:val="000000" w:themeColor="text1"/>
        </w:rPr>
        <w:t xml:space="preserve"> pesos</w:t>
      </w:r>
      <w:r w:rsidR="007F33D7">
        <w:rPr>
          <w:rFonts w:cs="Arial"/>
          <w:color w:val="000000" w:themeColor="text1"/>
        </w:rPr>
        <w:t>;</w:t>
      </w:r>
      <w:r w:rsidR="001B6F0D">
        <w:rPr>
          <w:rFonts w:cs="Arial"/>
          <w:color w:val="000000" w:themeColor="text1"/>
        </w:rPr>
        <w:t xml:space="preserve"> con maestría </w:t>
      </w:r>
      <w:r w:rsidR="005409B5">
        <w:rPr>
          <w:rFonts w:cs="Arial"/>
          <w:color w:val="000000" w:themeColor="text1"/>
        </w:rPr>
        <w:t xml:space="preserve"> </w:t>
      </w:r>
      <w:r w:rsidR="001B6F0D">
        <w:rPr>
          <w:rFonts w:cs="Arial"/>
          <w:color w:val="000000" w:themeColor="text1"/>
        </w:rPr>
        <w:t>21</w:t>
      </w:r>
      <w:r w:rsidR="005409B5">
        <w:rPr>
          <w:rFonts w:cs="Arial"/>
          <w:color w:val="000000" w:themeColor="text1"/>
        </w:rPr>
        <w:t xml:space="preserve"> </w:t>
      </w:r>
      <w:r w:rsidR="001B6F0D">
        <w:rPr>
          <w:rFonts w:cs="Arial"/>
          <w:color w:val="000000" w:themeColor="text1"/>
        </w:rPr>
        <w:t>041</w:t>
      </w:r>
      <w:r w:rsidR="005409B5">
        <w:rPr>
          <w:rFonts w:cs="Arial"/>
          <w:color w:val="000000" w:themeColor="text1"/>
        </w:rPr>
        <w:t xml:space="preserve"> pesos</w:t>
      </w:r>
      <w:r w:rsidR="001B6F0D">
        <w:rPr>
          <w:rFonts w:cs="Arial"/>
          <w:color w:val="000000" w:themeColor="text1"/>
        </w:rPr>
        <w:t xml:space="preserve"> y los que tienen doctorado 26</w:t>
      </w:r>
      <w:r w:rsidR="005409B5">
        <w:rPr>
          <w:rFonts w:cs="Arial"/>
          <w:color w:val="000000" w:themeColor="text1"/>
        </w:rPr>
        <w:t xml:space="preserve"> </w:t>
      </w:r>
      <w:r w:rsidR="004C4013">
        <w:rPr>
          <w:rFonts w:cs="Arial"/>
          <w:color w:val="000000" w:themeColor="text1"/>
        </w:rPr>
        <w:t>69</w:t>
      </w:r>
      <w:r w:rsidR="001B6F0D">
        <w:rPr>
          <w:rFonts w:cs="Arial"/>
          <w:color w:val="000000" w:themeColor="text1"/>
        </w:rPr>
        <w:t>5</w:t>
      </w:r>
      <w:r w:rsidR="005409B5">
        <w:rPr>
          <w:rFonts w:cs="Arial"/>
          <w:color w:val="000000" w:themeColor="text1"/>
        </w:rPr>
        <w:t xml:space="preserve"> pesos</w:t>
      </w:r>
      <w:r w:rsidR="001B6F0D">
        <w:rPr>
          <w:rFonts w:cs="Arial"/>
          <w:color w:val="000000" w:themeColor="text1"/>
        </w:rPr>
        <w:t xml:space="preserve"> en el mismo lapso.</w:t>
      </w:r>
    </w:p>
    <w:p w14:paraId="14BFE33E" w14:textId="77777777" w:rsidR="00244184" w:rsidRDefault="00244184" w:rsidP="00960F5E">
      <w:pPr>
        <w:autoSpaceDE w:val="0"/>
        <w:autoSpaceDN w:val="0"/>
        <w:adjustRightInd w:val="0"/>
        <w:spacing w:after="120" w:line="240" w:lineRule="exact"/>
        <w:rPr>
          <w:rFonts w:cs="Arial"/>
          <w:color w:val="000000" w:themeColor="text1"/>
        </w:rPr>
      </w:pPr>
      <w:r w:rsidRPr="00A13AF5">
        <w:rPr>
          <w:rFonts w:cs="Arial"/>
          <w:noProof/>
          <w:color w:val="000000" w:themeColor="text1"/>
          <w:lang w:val="es-MX" w:eastAsia="es-MX"/>
        </w:rPr>
        <w:drawing>
          <wp:anchor distT="0" distB="0" distL="114300" distR="114300" simplePos="0" relativeHeight="251665920" behindDoc="0" locked="0" layoutInCell="1" allowOverlap="1" wp14:anchorId="6547A0B3" wp14:editId="07ECEE96">
            <wp:simplePos x="0" y="0"/>
            <wp:positionH relativeFrom="margin">
              <wp:posOffset>238125</wp:posOffset>
            </wp:positionH>
            <wp:positionV relativeFrom="paragraph">
              <wp:posOffset>229870</wp:posOffset>
            </wp:positionV>
            <wp:extent cx="6315075" cy="2800350"/>
            <wp:effectExtent l="0" t="0" r="9525" b="0"/>
            <wp:wrapTopAndBottom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9BC9B6F3-CD95-4F29-A179-7428E97B32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D81AA" w14:textId="77777777" w:rsidR="00EB632A" w:rsidRDefault="00277613" w:rsidP="005409B5">
      <w:pPr>
        <w:autoSpaceDE w:val="0"/>
        <w:autoSpaceDN w:val="0"/>
        <w:adjustRightInd w:val="0"/>
        <w:spacing w:after="120" w:line="240" w:lineRule="exact"/>
        <w:ind w:left="426" w:right="454"/>
        <w:rPr>
          <w:rFonts w:cs="Arial"/>
          <w:color w:val="000000" w:themeColor="text1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3872" behindDoc="0" locked="0" layoutInCell="1" allowOverlap="1" wp14:anchorId="2789B820" wp14:editId="69696FFA">
            <wp:simplePos x="0" y="0"/>
            <wp:positionH relativeFrom="column">
              <wp:posOffset>266700</wp:posOffset>
            </wp:positionH>
            <wp:positionV relativeFrom="paragraph">
              <wp:posOffset>598170</wp:posOffset>
            </wp:positionV>
            <wp:extent cx="6513830" cy="2600960"/>
            <wp:effectExtent l="0" t="0" r="1270" b="8890"/>
            <wp:wrapSquare wrapText="bothSides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595DE841-24B5-4CA3-A633-EE71060963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B13">
        <w:rPr>
          <w:rFonts w:cs="Arial"/>
          <w:color w:val="000000" w:themeColor="text1"/>
        </w:rPr>
        <w:t>De acuerdo con el tipo de unidad económica en que se desempeñan, e</w:t>
      </w:r>
      <w:r>
        <w:rPr>
          <w:rFonts w:cs="Arial"/>
          <w:color w:val="000000" w:themeColor="text1"/>
        </w:rPr>
        <w:t xml:space="preserve">l </w:t>
      </w:r>
      <w:r w:rsidR="00EB632A">
        <w:rPr>
          <w:rFonts w:cs="Arial"/>
          <w:color w:val="000000" w:themeColor="text1"/>
        </w:rPr>
        <w:t>ingreso mensual es de 20</w:t>
      </w:r>
      <w:r w:rsidR="005409B5">
        <w:rPr>
          <w:rFonts w:cs="Arial"/>
          <w:color w:val="000000" w:themeColor="text1"/>
        </w:rPr>
        <w:t xml:space="preserve"> </w:t>
      </w:r>
      <w:r w:rsidR="00EB632A">
        <w:rPr>
          <w:rFonts w:cs="Arial"/>
          <w:color w:val="000000" w:themeColor="text1"/>
        </w:rPr>
        <w:t xml:space="preserve">263 </w:t>
      </w:r>
      <w:r w:rsidR="005409B5">
        <w:rPr>
          <w:rFonts w:cs="Arial"/>
          <w:color w:val="000000" w:themeColor="text1"/>
        </w:rPr>
        <w:t xml:space="preserve">pesos </w:t>
      </w:r>
      <w:r w:rsidR="00EB632A">
        <w:rPr>
          <w:rFonts w:cs="Arial"/>
          <w:color w:val="000000" w:themeColor="text1"/>
        </w:rPr>
        <w:t>en empresas, de</w:t>
      </w:r>
      <w:r w:rsidR="005409B5">
        <w:rPr>
          <w:rFonts w:cs="Arial"/>
          <w:color w:val="000000" w:themeColor="text1"/>
        </w:rPr>
        <w:t xml:space="preserve"> </w:t>
      </w:r>
      <w:r w:rsidR="00EB632A">
        <w:rPr>
          <w:rFonts w:cs="Arial"/>
          <w:color w:val="000000" w:themeColor="text1"/>
        </w:rPr>
        <w:t>18</w:t>
      </w:r>
      <w:r w:rsidR="005409B5">
        <w:rPr>
          <w:rFonts w:cs="Arial"/>
          <w:color w:val="000000" w:themeColor="text1"/>
        </w:rPr>
        <w:t xml:space="preserve"> </w:t>
      </w:r>
      <w:r w:rsidR="00EB632A">
        <w:rPr>
          <w:rFonts w:cs="Arial"/>
          <w:color w:val="000000" w:themeColor="text1"/>
        </w:rPr>
        <w:t xml:space="preserve">675 </w:t>
      </w:r>
      <w:r w:rsidR="005409B5">
        <w:rPr>
          <w:rFonts w:cs="Arial"/>
          <w:color w:val="000000" w:themeColor="text1"/>
        </w:rPr>
        <w:t xml:space="preserve">pesos </w:t>
      </w:r>
      <w:r w:rsidR="00960F5E">
        <w:rPr>
          <w:rFonts w:cs="Arial"/>
          <w:color w:val="000000" w:themeColor="text1"/>
        </w:rPr>
        <w:t>en</w:t>
      </w:r>
      <w:r w:rsidR="00EB632A">
        <w:rPr>
          <w:rFonts w:cs="Arial"/>
          <w:color w:val="000000" w:themeColor="text1"/>
        </w:rPr>
        <w:t xml:space="preserve"> instituciones de salud y de 14</w:t>
      </w:r>
      <w:r w:rsidR="005409B5">
        <w:rPr>
          <w:rFonts w:cs="Arial"/>
          <w:color w:val="000000" w:themeColor="text1"/>
        </w:rPr>
        <w:t xml:space="preserve"> </w:t>
      </w:r>
      <w:r w:rsidR="00EB632A">
        <w:rPr>
          <w:rFonts w:cs="Arial"/>
          <w:color w:val="000000" w:themeColor="text1"/>
        </w:rPr>
        <w:t>114</w:t>
      </w:r>
      <w:r w:rsidR="005409B5">
        <w:rPr>
          <w:rFonts w:cs="Arial"/>
          <w:color w:val="000000" w:themeColor="text1"/>
        </w:rPr>
        <w:t xml:space="preserve"> pesos</w:t>
      </w:r>
      <w:r w:rsidR="00EB632A">
        <w:rPr>
          <w:rFonts w:cs="Arial"/>
          <w:color w:val="000000" w:themeColor="text1"/>
        </w:rPr>
        <w:t xml:space="preserve"> para quienes prestan sus servicios médicos informalmente.</w:t>
      </w:r>
    </w:p>
    <w:p w14:paraId="09E41CD2" w14:textId="77777777" w:rsidR="00646EC4" w:rsidRDefault="00646EC4" w:rsidP="001B6F0D">
      <w:pPr>
        <w:autoSpaceDE w:val="0"/>
        <w:autoSpaceDN w:val="0"/>
        <w:adjustRightInd w:val="0"/>
        <w:spacing w:after="240" w:line="280" w:lineRule="exact"/>
        <w:rPr>
          <w:rFonts w:cs="Arial"/>
          <w:color w:val="000000" w:themeColor="text1"/>
        </w:rPr>
      </w:pPr>
    </w:p>
    <w:p w14:paraId="0F325166" w14:textId="77777777" w:rsidR="001B6F0D" w:rsidRDefault="00646EC4" w:rsidP="005409B5">
      <w:pPr>
        <w:autoSpaceDE w:val="0"/>
        <w:autoSpaceDN w:val="0"/>
        <w:adjustRightInd w:val="0"/>
        <w:spacing w:after="240" w:line="280" w:lineRule="exact"/>
        <w:ind w:left="426" w:right="454"/>
        <w:rPr>
          <w:rFonts w:cs="Arial"/>
          <w:color w:val="000000" w:themeColor="text1"/>
        </w:rPr>
      </w:pPr>
      <w:r w:rsidRPr="00A13AF5">
        <w:rPr>
          <w:rFonts w:cs="Arial"/>
          <w:noProof/>
          <w:color w:val="000000" w:themeColor="text1"/>
          <w:lang w:val="es-MX" w:eastAsia="es-MX"/>
        </w:rPr>
        <w:drawing>
          <wp:anchor distT="0" distB="0" distL="114300" distR="114300" simplePos="0" relativeHeight="251655680" behindDoc="0" locked="0" layoutInCell="1" allowOverlap="1" wp14:anchorId="0CF9A72F" wp14:editId="608F75FD">
            <wp:simplePos x="0" y="0"/>
            <wp:positionH relativeFrom="margin">
              <wp:align>right</wp:align>
            </wp:positionH>
            <wp:positionV relativeFrom="paragraph">
              <wp:posOffset>1089025</wp:posOffset>
            </wp:positionV>
            <wp:extent cx="6549390" cy="2814320"/>
            <wp:effectExtent l="0" t="0" r="3810" b="5080"/>
            <wp:wrapTopAndBottom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191FFAC8-708A-4089-9016-5130BAE2FE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</w:rPr>
        <w:t xml:space="preserve">Del total de personas ocupadas como médicos en México, 76% </w:t>
      </w:r>
      <w:r w:rsidRPr="00E3055E">
        <w:rPr>
          <w:rFonts w:cs="Arial"/>
        </w:rPr>
        <w:t xml:space="preserve">realizan </w:t>
      </w:r>
      <w:r>
        <w:rPr>
          <w:rFonts w:cs="Arial"/>
        </w:rPr>
        <w:t xml:space="preserve">su trabajo, </w:t>
      </w:r>
      <w:r w:rsidRPr="00E3055E">
        <w:rPr>
          <w:rFonts w:cs="Arial"/>
        </w:rPr>
        <w:t>principalmente de forma subordinada y remunerada</w:t>
      </w:r>
      <w:r>
        <w:rPr>
          <w:rFonts w:cs="Arial"/>
        </w:rPr>
        <w:t>, seguido por quienes lo hacen por su cuenta (12%) y por quienes emplean a otros trabajadores (12</w:t>
      </w:r>
      <w:r w:rsidR="005409B5">
        <w:rPr>
          <w:rFonts w:cs="Arial"/>
        </w:rPr>
        <w:t>%</w:t>
      </w:r>
      <w:r>
        <w:rPr>
          <w:rFonts w:cs="Arial"/>
        </w:rPr>
        <w:t xml:space="preserve">). </w:t>
      </w:r>
      <w:r w:rsidR="001B6F0D">
        <w:rPr>
          <w:rFonts w:cs="Arial"/>
          <w:color w:val="000000" w:themeColor="text1"/>
        </w:rPr>
        <w:t>Con respecto a</w:t>
      </w:r>
      <w:r w:rsidR="00277613">
        <w:rPr>
          <w:rFonts w:cs="Arial"/>
          <w:color w:val="000000" w:themeColor="text1"/>
        </w:rPr>
        <w:t>l</w:t>
      </w:r>
      <w:r w:rsidR="000830EF">
        <w:rPr>
          <w:rFonts w:cs="Arial"/>
          <w:color w:val="000000" w:themeColor="text1"/>
        </w:rPr>
        <w:t xml:space="preserve"> </w:t>
      </w:r>
      <w:r w:rsidR="001B6F0D">
        <w:rPr>
          <w:rFonts w:cs="Arial"/>
          <w:color w:val="000000" w:themeColor="text1"/>
        </w:rPr>
        <w:t xml:space="preserve">ingreso mensual </w:t>
      </w:r>
      <w:r w:rsidR="006662E0">
        <w:rPr>
          <w:rFonts w:cs="Arial"/>
          <w:color w:val="000000" w:themeColor="text1"/>
        </w:rPr>
        <w:t>conforme</w:t>
      </w:r>
      <w:r w:rsidR="001B6F0D">
        <w:rPr>
          <w:rFonts w:cs="Arial"/>
          <w:color w:val="000000" w:themeColor="text1"/>
        </w:rPr>
        <w:t xml:space="preserve"> su posición en el trabajo, los </w:t>
      </w:r>
      <w:r w:rsidR="007748FC">
        <w:rPr>
          <w:rFonts w:cs="Arial"/>
          <w:color w:val="000000" w:themeColor="text1"/>
        </w:rPr>
        <w:t xml:space="preserve">empleadores </w:t>
      </w:r>
      <w:r w:rsidR="007748FC" w:rsidRPr="00783C66">
        <w:rPr>
          <w:rFonts w:cs="Arial"/>
          <w:color w:val="000000" w:themeColor="text1"/>
        </w:rPr>
        <w:t>perciben</w:t>
      </w:r>
      <w:r w:rsidR="001B6F0D" w:rsidRPr="00783C66">
        <w:rPr>
          <w:rFonts w:cs="Arial"/>
          <w:color w:val="000000" w:themeColor="text1"/>
        </w:rPr>
        <w:t xml:space="preserve"> 28</w:t>
      </w:r>
      <w:r w:rsidR="005409B5">
        <w:rPr>
          <w:rFonts w:cs="Arial"/>
          <w:color w:val="000000" w:themeColor="text1"/>
        </w:rPr>
        <w:t xml:space="preserve"> </w:t>
      </w:r>
      <w:r w:rsidR="001B6F0D" w:rsidRPr="00783C66">
        <w:rPr>
          <w:rFonts w:cs="Arial"/>
          <w:color w:val="000000" w:themeColor="text1"/>
        </w:rPr>
        <w:t>307</w:t>
      </w:r>
      <w:r w:rsidR="005409B5">
        <w:rPr>
          <w:rFonts w:cs="Arial"/>
          <w:color w:val="000000" w:themeColor="text1"/>
        </w:rPr>
        <w:t xml:space="preserve"> pesos</w:t>
      </w:r>
      <w:r w:rsidR="001B6F0D" w:rsidRPr="00783C66">
        <w:rPr>
          <w:rFonts w:cs="Arial"/>
          <w:color w:val="000000" w:themeColor="text1"/>
        </w:rPr>
        <w:t xml:space="preserve">, </w:t>
      </w:r>
      <w:r w:rsidR="007748FC" w:rsidRPr="00783C66">
        <w:rPr>
          <w:rFonts w:cs="Arial"/>
          <w:color w:val="000000" w:themeColor="text1"/>
        </w:rPr>
        <w:t xml:space="preserve">quienes trabajan </w:t>
      </w:r>
      <w:r w:rsidR="001B6F0D" w:rsidRPr="00783C66">
        <w:rPr>
          <w:rFonts w:cs="Arial"/>
          <w:color w:val="000000" w:themeColor="text1"/>
        </w:rPr>
        <w:t>de manera subordinada 18</w:t>
      </w:r>
      <w:r w:rsidR="005409B5">
        <w:rPr>
          <w:rFonts w:cs="Arial"/>
          <w:color w:val="000000" w:themeColor="text1"/>
        </w:rPr>
        <w:t xml:space="preserve"> </w:t>
      </w:r>
      <w:r w:rsidR="001B6F0D" w:rsidRPr="00783C66">
        <w:rPr>
          <w:rFonts w:cs="Arial"/>
          <w:color w:val="000000" w:themeColor="text1"/>
        </w:rPr>
        <w:t>184</w:t>
      </w:r>
      <w:r w:rsidR="005409B5">
        <w:rPr>
          <w:rFonts w:cs="Arial"/>
          <w:color w:val="000000" w:themeColor="text1"/>
        </w:rPr>
        <w:t xml:space="preserve"> pesos</w:t>
      </w:r>
      <w:r w:rsidR="001B6F0D" w:rsidRPr="00783C66">
        <w:rPr>
          <w:rFonts w:cs="Arial"/>
          <w:color w:val="000000" w:themeColor="text1"/>
        </w:rPr>
        <w:t xml:space="preserve"> y </w:t>
      </w:r>
      <w:r w:rsidR="007748FC" w:rsidRPr="00783C66">
        <w:rPr>
          <w:rFonts w:cs="Arial"/>
          <w:color w:val="000000" w:themeColor="text1"/>
        </w:rPr>
        <w:t>los que ejercen</w:t>
      </w:r>
      <w:r w:rsidR="001B6F0D" w:rsidRPr="00783C66">
        <w:rPr>
          <w:rFonts w:cs="Arial"/>
          <w:color w:val="000000" w:themeColor="text1"/>
        </w:rPr>
        <w:t xml:space="preserve"> por su cuenta 10</w:t>
      </w:r>
      <w:r w:rsidR="005409B5">
        <w:rPr>
          <w:rFonts w:cs="Arial"/>
          <w:color w:val="000000" w:themeColor="text1"/>
        </w:rPr>
        <w:t xml:space="preserve"> </w:t>
      </w:r>
      <w:r w:rsidR="001B6F0D" w:rsidRPr="00783C66">
        <w:rPr>
          <w:rFonts w:cs="Arial"/>
          <w:color w:val="000000" w:themeColor="text1"/>
        </w:rPr>
        <w:t>426</w:t>
      </w:r>
      <w:r w:rsidR="005409B5">
        <w:rPr>
          <w:rFonts w:cs="Arial"/>
          <w:color w:val="000000" w:themeColor="text1"/>
        </w:rPr>
        <w:t xml:space="preserve"> pesos</w:t>
      </w:r>
      <w:r w:rsidR="001B6F0D" w:rsidRPr="00783C66">
        <w:rPr>
          <w:rFonts w:cs="Arial"/>
          <w:color w:val="000000" w:themeColor="text1"/>
        </w:rPr>
        <w:t>.</w:t>
      </w:r>
    </w:p>
    <w:p w14:paraId="186976DF" w14:textId="77777777" w:rsidR="005409B5" w:rsidRDefault="005409B5" w:rsidP="00646EC4">
      <w:pPr>
        <w:autoSpaceDE w:val="0"/>
        <w:autoSpaceDN w:val="0"/>
        <w:adjustRightInd w:val="0"/>
        <w:spacing w:before="240" w:after="180" w:line="280" w:lineRule="exact"/>
        <w:rPr>
          <w:rFonts w:cs="Arial"/>
        </w:rPr>
      </w:pPr>
    </w:p>
    <w:p w14:paraId="2102010F" w14:textId="77777777" w:rsidR="005409B5" w:rsidRDefault="005409B5" w:rsidP="00646EC4">
      <w:pPr>
        <w:autoSpaceDE w:val="0"/>
        <w:autoSpaceDN w:val="0"/>
        <w:adjustRightInd w:val="0"/>
        <w:spacing w:before="240" w:after="180" w:line="280" w:lineRule="exact"/>
        <w:rPr>
          <w:rFonts w:cs="Arial"/>
        </w:rPr>
      </w:pPr>
    </w:p>
    <w:p w14:paraId="64EF7131" w14:textId="77777777" w:rsidR="00646EC4" w:rsidRDefault="001B6F0D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rPr>
          <w:rFonts w:cs="Arial"/>
        </w:rPr>
      </w:pPr>
      <w:r>
        <w:rPr>
          <w:rFonts w:cs="Arial"/>
        </w:rPr>
        <w:lastRenderedPageBreak/>
        <w:t>Finalmente, 85</w:t>
      </w:r>
      <w:r w:rsidRPr="000928A0">
        <w:rPr>
          <w:rFonts w:cs="Arial"/>
        </w:rPr>
        <w:t xml:space="preserve">% de </w:t>
      </w:r>
      <w:r>
        <w:rPr>
          <w:rFonts w:cs="Arial"/>
        </w:rPr>
        <w:t xml:space="preserve">las </w:t>
      </w:r>
      <w:r w:rsidR="00A00C2E">
        <w:rPr>
          <w:rFonts w:cs="Arial"/>
        </w:rPr>
        <w:t>personas ocupadas como</w:t>
      </w:r>
      <w:r w:rsidRPr="000928A0">
        <w:rPr>
          <w:rFonts w:cs="Arial"/>
        </w:rPr>
        <w:t xml:space="preserve"> médicos</w:t>
      </w:r>
      <w:r w:rsidR="005E2632">
        <w:rPr>
          <w:rFonts w:cs="Arial"/>
        </w:rPr>
        <w:t xml:space="preserve"> </w:t>
      </w:r>
      <w:r w:rsidR="00B825DE" w:rsidRPr="00783C66">
        <w:rPr>
          <w:rFonts w:cs="Arial"/>
        </w:rPr>
        <w:t>asalariados</w:t>
      </w:r>
      <w:r>
        <w:rPr>
          <w:rFonts w:cs="Arial"/>
        </w:rPr>
        <w:t xml:space="preserve"> tiene</w:t>
      </w:r>
      <w:r w:rsidRPr="000928A0">
        <w:rPr>
          <w:rFonts w:cs="Arial"/>
        </w:rPr>
        <w:t xml:space="preserve"> acceso a las instituciones de salud</w:t>
      </w:r>
      <w:r>
        <w:rPr>
          <w:rFonts w:cs="Arial"/>
        </w:rPr>
        <w:t xml:space="preserve"> como prestación laboral</w:t>
      </w:r>
      <w:r w:rsidRPr="000928A0">
        <w:rPr>
          <w:rFonts w:cs="Arial"/>
        </w:rPr>
        <w:t xml:space="preserve">, </w:t>
      </w:r>
      <w:r>
        <w:rPr>
          <w:rFonts w:cs="Arial"/>
        </w:rPr>
        <w:t xml:space="preserve">89% goza de </w:t>
      </w:r>
      <w:r w:rsidRPr="000928A0">
        <w:rPr>
          <w:rFonts w:cs="Arial"/>
        </w:rPr>
        <w:t>otro tipo de prestaciones</w:t>
      </w:r>
      <w:r w:rsidRPr="00CD28DE">
        <w:rPr>
          <w:rFonts w:cs="Arial"/>
        </w:rPr>
        <w:t xml:space="preserve"> </w:t>
      </w:r>
      <w:r w:rsidRPr="000928A0">
        <w:rPr>
          <w:rFonts w:cs="Arial"/>
        </w:rPr>
        <w:t xml:space="preserve">como aguinaldo y vacaciones con goce de sueldo </w:t>
      </w:r>
      <w:r>
        <w:rPr>
          <w:rFonts w:cs="Arial"/>
        </w:rPr>
        <w:t>y 93</w:t>
      </w:r>
      <w:r w:rsidRPr="000928A0">
        <w:rPr>
          <w:rFonts w:cs="Arial"/>
        </w:rPr>
        <w:t>% cuenta con un contrato escrito</w:t>
      </w:r>
      <w:r w:rsidR="0035676A">
        <w:rPr>
          <w:rFonts w:cs="Arial"/>
        </w:rPr>
        <w:t>,</w:t>
      </w:r>
      <w:r w:rsidRPr="000928A0">
        <w:rPr>
          <w:rFonts w:cs="Arial"/>
        </w:rPr>
        <w:t xml:space="preserve"> contrato de base, planta o </w:t>
      </w:r>
      <w:r w:rsidR="0035676A">
        <w:rPr>
          <w:rFonts w:cs="Arial"/>
        </w:rPr>
        <w:t xml:space="preserve">por </w:t>
      </w:r>
      <w:r w:rsidRPr="000928A0">
        <w:rPr>
          <w:rFonts w:cs="Arial"/>
        </w:rPr>
        <w:t xml:space="preserve">tiempo indefinido. </w:t>
      </w:r>
    </w:p>
    <w:p w14:paraId="50D64F59" w14:textId="77777777" w:rsidR="005409B5" w:rsidRDefault="005409B5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rPr>
          <w:rFonts w:cs="Arial"/>
        </w:rPr>
      </w:pPr>
    </w:p>
    <w:p w14:paraId="48AEEE69" w14:textId="77777777" w:rsidR="005409B5" w:rsidRDefault="005409B5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  <w:r w:rsidRPr="005409B5">
        <w:rPr>
          <w:rFonts w:cs="Arial"/>
          <w:b/>
        </w:rPr>
        <w:t>-</w:t>
      </w:r>
      <w:proofErr w:type="spellStart"/>
      <w:r w:rsidRPr="005409B5">
        <w:rPr>
          <w:rFonts w:cs="Arial"/>
          <w:b/>
        </w:rPr>
        <w:t>oOo</w:t>
      </w:r>
      <w:proofErr w:type="spellEnd"/>
      <w:r w:rsidRPr="005409B5">
        <w:rPr>
          <w:rFonts w:cs="Arial"/>
          <w:b/>
        </w:rPr>
        <w:t>-</w:t>
      </w:r>
    </w:p>
    <w:p w14:paraId="79FD0D41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7BF27204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1F0D09F4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52438AEA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04351278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031248CF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6F7FDE0D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1776830D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388E4A89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45CE482E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15B3E175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30DD09B1" w14:textId="77777777" w:rsidR="00A2635C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p w14:paraId="2AC98A04" w14:textId="77777777" w:rsidR="00A2635C" w:rsidRPr="0058442B" w:rsidRDefault="00A2635C" w:rsidP="0058442B">
      <w:pPr>
        <w:ind w:left="426" w:right="454"/>
        <w:jc w:val="center"/>
        <w:rPr>
          <w:rFonts w:cs="Arial"/>
          <w:color w:val="000000" w:themeColor="text1"/>
          <w:szCs w:val="22"/>
        </w:rPr>
      </w:pPr>
      <w:r w:rsidRPr="0058442B">
        <w:rPr>
          <w:rFonts w:cs="Arial"/>
          <w:color w:val="000000" w:themeColor="text1"/>
          <w:szCs w:val="22"/>
        </w:rPr>
        <w:t xml:space="preserve">Para consultas de medios y periodistas, contactar a: </w:t>
      </w:r>
      <w:hyperlink r:id="rId12" w:history="1">
        <w:r w:rsidRPr="0058442B">
          <w:rPr>
            <w:rStyle w:val="Hipervnculo"/>
            <w:rFonts w:cs="Arial"/>
            <w:color w:val="000000" w:themeColor="text1"/>
            <w:szCs w:val="22"/>
          </w:rPr>
          <w:t>comunicacionsocial@inegi.org.mx</w:t>
        </w:r>
      </w:hyperlink>
    </w:p>
    <w:p w14:paraId="10C09692" w14:textId="77777777" w:rsidR="00A2635C" w:rsidRPr="0058442B" w:rsidRDefault="00A2635C" w:rsidP="0058442B">
      <w:pPr>
        <w:pStyle w:val="NormalWeb"/>
        <w:spacing w:before="0" w:beforeAutospacing="0" w:after="0" w:afterAutospacing="0"/>
        <w:ind w:left="426" w:right="454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8442B">
        <w:rPr>
          <w:rFonts w:ascii="Arial" w:hAnsi="Arial" w:cs="Arial"/>
          <w:color w:val="000000" w:themeColor="text1"/>
          <w:sz w:val="22"/>
          <w:szCs w:val="22"/>
        </w:rPr>
        <w:t xml:space="preserve">o llamar al teléfono (55) 52-78-10-00, </w:t>
      </w:r>
      <w:proofErr w:type="spellStart"/>
      <w:r w:rsidRPr="0058442B">
        <w:rPr>
          <w:rFonts w:ascii="Arial" w:hAnsi="Arial" w:cs="Arial"/>
          <w:color w:val="000000" w:themeColor="text1"/>
          <w:sz w:val="22"/>
          <w:szCs w:val="22"/>
        </w:rPr>
        <w:t>exts</w:t>
      </w:r>
      <w:proofErr w:type="spellEnd"/>
      <w:r w:rsidRPr="0058442B">
        <w:rPr>
          <w:rFonts w:ascii="Arial" w:hAnsi="Arial" w:cs="Arial"/>
          <w:color w:val="000000" w:themeColor="text1"/>
          <w:sz w:val="22"/>
          <w:szCs w:val="22"/>
        </w:rPr>
        <w:t>. 1134, 1260 y 1241.</w:t>
      </w:r>
    </w:p>
    <w:p w14:paraId="475D0DB8" w14:textId="77777777" w:rsidR="00A2635C" w:rsidRPr="0058442B" w:rsidRDefault="00A2635C" w:rsidP="0058442B">
      <w:pPr>
        <w:pStyle w:val="NormalWeb"/>
        <w:spacing w:before="0" w:beforeAutospacing="0" w:after="0" w:afterAutospacing="0"/>
        <w:ind w:left="426" w:right="454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7E42BE7" w14:textId="77777777" w:rsidR="00A2635C" w:rsidRPr="0058442B" w:rsidRDefault="00A2635C" w:rsidP="0058442B">
      <w:pPr>
        <w:ind w:left="426" w:right="454"/>
        <w:contextualSpacing/>
        <w:jc w:val="center"/>
        <w:rPr>
          <w:rFonts w:cs="Arial"/>
          <w:color w:val="000000" w:themeColor="text1"/>
          <w:szCs w:val="22"/>
        </w:rPr>
      </w:pPr>
      <w:r w:rsidRPr="0058442B">
        <w:rPr>
          <w:rFonts w:cs="Arial"/>
          <w:color w:val="000000" w:themeColor="text1"/>
          <w:szCs w:val="22"/>
        </w:rPr>
        <w:t>Dirección de Atención a Medios / Dirección General Adjunta de Comunicación</w:t>
      </w:r>
    </w:p>
    <w:p w14:paraId="67751183" w14:textId="77777777" w:rsidR="00A2635C" w:rsidRPr="004F69D7" w:rsidRDefault="00A2635C" w:rsidP="00A2635C">
      <w:pPr>
        <w:ind w:left="-426" w:right="-518"/>
        <w:contextualSpacing/>
        <w:jc w:val="center"/>
        <w:rPr>
          <w:rFonts w:cs="Arial"/>
          <w:color w:val="000000" w:themeColor="text1"/>
          <w:sz w:val="20"/>
          <w:szCs w:val="20"/>
        </w:rPr>
      </w:pPr>
    </w:p>
    <w:p w14:paraId="112DAB34" w14:textId="77777777" w:rsidR="00A2635C" w:rsidRPr="00802758" w:rsidRDefault="00A2635C" w:rsidP="00A2635C">
      <w:pPr>
        <w:ind w:left="-425" w:right="-516"/>
        <w:contextualSpacing/>
        <w:jc w:val="center"/>
        <w:rPr>
          <w:rFonts w:cs="Arial"/>
        </w:rPr>
      </w:pPr>
      <w:r w:rsidRPr="00BF5137">
        <w:rPr>
          <w:noProof/>
        </w:rPr>
        <w:drawing>
          <wp:inline distT="0" distB="0" distL="0" distR="0" wp14:anchorId="7AAE426C" wp14:editId="0A372F6F">
            <wp:extent cx="366395" cy="364490"/>
            <wp:effectExtent l="0" t="0" r="0" b="0"/>
            <wp:docPr id="7" name="Imagen 7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</w:rPr>
        <w:drawing>
          <wp:inline distT="0" distB="0" distL="0" distR="0" wp14:anchorId="02237518" wp14:editId="254FBCF0">
            <wp:extent cx="364490" cy="364490"/>
            <wp:effectExtent l="0" t="0" r="0" b="0"/>
            <wp:docPr id="12" name="Imagen 12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</w:rPr>
        <w:drawing>
          <wp:inline distT="0" distB="0" distL="0" distR="0" wp14:anchorId="7F1004E6" wp14:editId="2498E7DD">
            <wp:extent cx="364490" cy="364490"/>
            <wp:effectExtent l="0" t="0" r="0" b="0"/>
            <wp:docPr id="13" name="Imagen 13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</w:rPr>
        <w:drawing>
          <wp:inline distT="0" distB="0" distL="0" distR="0" wp14:anchorId="1903C9F3" wp14:editId="41673FC0">
            <wp:extent cx="364490" cy="364490"/>
            <wp:effectExtent l="0" t="0" r="0" b="0"/>
            <wp:docPr id="18" name="Imagen 18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3F1F87">
        <w:rPr>
          <w:noProof/>
          <w:sz w:val="14"/>
          <w:szCs w:val="18"/>
        </w:rPr>
        <w:drawing>
          <wp:inline distT="0" distB="0" distL="0" distR="0" wp14:anchorId="310585BD" wp14:editId="3BE86719">
            <wp:extent cx="2286000" cy="271145"/>
            <wp:effectExtent l="0" t="0" r="0" b="0"/>
            <wp:docPr id="19" name="Imagen 1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DB0DA" w14:textId="77777777" w:rsidR="00A2635C" w:rsidRPr="005409B5" w:rsidRDefault="00A2635C" w:rsidP="005409B5">
      <w:pPr>
        <w:autoSpaceDE w:val="0"/>
        <w:autoSpaceDN w:val="0"/>
        <w:adjustRightInd w:val="0"/>
        <w:spacing w:before="240" w:after="180" w:line="280" w:lineRule="exact"/>
        <w:ind w:left="426" w:right="170"/>
        <w:jc w:val="center"/>
        <w:rPr>
          <w:rFonts w:cs="Arial"/>
          <w:b/>
        </w:rPr>
      </w:pPr>
    </w:p>
    <w:sectPr w:rsidR="00A2635C" w:rsidRPr="005409B5" w:rsidSect="004359CD">
      <w:headerReference w:type="default" r:id="rId23"/>
      <w:footerReference w:type="default" r:id="rId24"/>
      <w:headerReference w:type="first" r:id="rId25"/>
      <w:footerReference w:type="first" r:id="rId26"/>
      <w:pgSz w:w="12242" w:h="15842" w:code="1"/>
      <w:pgMar w:top="720" w:right="720" w:bottom="851" w:left="720" w:header="567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FA5E" w14:textId="77777777" w:rsidR="006D0E81" w:rsidRDefault="006D0E81">
      <w:r>
        <w:separator/>
      </w:r>
    </w:p>
  </w:endnote>
  <w:endnote w:type="continuationSeparator" w:id="0">
    <w:p w14:paraId="113AC0CA" w14:textId="77777777" w:rsidR="006D0E81" w:rsidRDefault="006D0E81">
      <w:r>
        <w:continuationSeparator/>
      </w:r>
    </w:p>
  </w:endnote>
  <w:endnote w:type="continuationNotice" w:id="1">
    <w:p w14:paraId="02C252DB" w14:textId="77777777" w:rsidR="006D0E81" w:rsidRDefault="006D0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589D" w14:textId="77777777" w:rsidR="005409B5" w:rsidRPr="005409B5" w:rsidRDefault="005409B5" w:rsidP="005409B5">
    <w:pPr>
      <w:pStyle w:val="Piedepgina"/>
      <w:ind w:left="426" w:right="454"/>
      <w:jc w:val="center"/>
      <w:rPr>
        <w:b/>
        <w:color w:val="002060"/>
        <w:sz w:val="20"/>
        <w:szCs w:val="20"/>
      </w:rPr>
    </w:pPr>
    <w:r w:rsidRPr="005409B5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0B20" w14:textId="77777777" w:rsidR="006468C4" w:rsidRPr="006468C4" w:rsidRDefault="006468C4" w:rsidP="006468C4">
    <w:pPr>
      <w:pStyle w:val="Piedepgina"/>
      <w:ind w:right="454" w:firstLine="426"/>
      <w:jc w:val="center"/>
      <w:rPr>
        <w:b/>
        <w:color w:val="002060"/>
        <w:sz w:val="20"/>
        <w:szCs w:val="20"/>
      </w:rPr>
    </w:pPr>
    <w:r w:rsidRPr="006468C4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AC3B" w14:textId="77777777" w:rsidR="006D0E81" w:rsidRDefault="006D0E81">
      <w:r>
        <w:separator/>
      </w:r>
    </w:p>
  </w:footnote>
  <w:footnote w:type="continuationSeparator" w:id="0">
    <w:p w14:paraId="7D1A5C59" w14:textId="77777777" w:rsidR="006D0E81" w:rsidRDefault="006D0E81">
      <w:r>
        <w:continuationSeparator/>
      </w:r>
    </w:p>
  </w:footnote>
  <w:footnote w:type="continuationNotice" w:id="1">
    <w:p w14:paraId="2C8E3C20" w14:textId="77777777" w:rsidR="006D0E81" w:rsidRDefault="006D0E81"/>
  </w:footnote>
  <w:footnote w:id="2">
    <w:p w14:paraId="4212D5D0" w14:textId="77777777" w:rsidR="00C70E4A" w:rsidRPr="000A64FA" w:rsidRDefault="00C70E4A" w:rsidP="006468C4">
      <w:pPr>
        <w:pStyle w:val="Textonotapie"/>
        <w:ind w:left="426" w:right="312"/>
        <w:rPr>
          <w:rFonts w:cs="Arial"/>
          <w:sz w:val="16"/>
          <w:szCs w:val="16"/>
        </w:rPr>
      </w:pPr>
      <w:r w:rsidRPr="000A64FA">
        <w:rPr>
          <w:rFonts w:cs="Arial"/>
          <w:sz w:val="16"/>
          <w:szCs w:val="16"/>
        </w:rPr>
        <w:t>*El dato corresponde a la población de 25 años y más ocupada como médicos.</w:t>
      </w:r>
    </w:p>
    <w:p w14:paraId="67A172C3" w14:textId="77777777" w:rsidR="006468C4" w:rsidRDefault="00F43CC2" w:rsidP="006468C4">
      <w:pPr>
        <w:pStyle w:val="Textonotapie"/>
        <w:ind w:left="426" w:right="312"/>
        <w:jc w:val="left"/>
        <w:rPr>
          <w:rFonts w:cs="Arial"/>
          <w:sz w:val="16"/>
          <w:szCs w:val="16"/>
        </w:rPr>
      </w:pPr>
      <w:r w:rsidRPr="000A64FA">
        <w:rPr>
          <w:rFonts w:cs="Arial"/>
          <w:sz w:val="16"/>
          <w:szCs w:val="16"/>
        </w:rPr>
        <w:footnoteRef/>
      </w:r>
      <w:r w:rsidRPr="000A64FA">
        <w:rPr>
          <w:rFonts w:cs="Arial"/>
          <w:sz w:val="16"/>
          <w:szCs w:val="16"/>
        </w:rPr>
        <w:t xml:space="preserve"> Para la ENOE </w:t>
      </w:r>
      <w:r w:rsidR="00577842" w:rsidRPr="000A64FA">
        <w:rPr>
          <w:rFonts w:cs="Arial"/>
          <w:sz w:val="16"/>
          <w:szCs w:val="16"/>
        </w:rPr>
        <w:t>la</w:t>
      </w:r>
      <w:r w:rsidR="00F2755B" w:rsidRPr="000A64FA">
        <w:rPr>
          <w:rFonts w:cs="Arial"/>
          <w:sz w:val="16"/>
          <w:szCs w:val="16"/>
        </w:rPr>
        <w:t>s</w:t>
      </w:r>
      <w:r w:rsidR="00577842" w:rsidRPr="000A64FA">
        <w:rPr>
          <w:rFonts w:cs="Arial"/>
          <w:sz w:val="16"/>
          <w:szCs w:val="16"/>
        </w:rPr>
        <w:t xml:space="preserve"> especialidad</w:t>
      </w:r>
      <w:r w:rsidR="00F2755B" w:rsidRPr="000A64FA">
        <w:rPr>
          <w:rFonts w:cs="Arial"/>
          <w:sz w:val="16"/>
          <w:szCs w:val="16"/>
        </w:rPr>
        <w:t>es</w:t>
      </w:r>
      <w:r w:rsidR="00577842" w:rsidRPr="000A64FA">
        <w:rPr>
          <w:rFonts w:cs="Arial"/>
          <w:sz w:val="16"/>
          <w:szCs w:val="16"/>
        </w:rPr>
        <w:t xml:space="preserve"> médica</w:t>
      </w:r>
      <w:r w:rsidR="00F2755B" w:rsidRPr="000A64FA">
        <w:rPr>
          <w:rFonts w:cs="Arial"/>
          <w:sz w:val="16"/>
          <w:szCs w:val="16"/>
        </w:rPr>
        <w:t>s</w:t>
      </w:r>
      <w:r w:rsidR="00577842" w:rsidRPr="000A64FA">
        <w:rPr>
          <w:rFonts w:cs="Arial"/>
          <w:sz w:val="16"/>
          <w:szCs w:val="16"/>
        </w:rPr>
        <w:t xml:space="preserve"> </w:t>
      </w:r>
      <w:r w:rsidR="00F2755B" w:rsidRPr="000A64FA">
        <w:rPr>
          <w:rFonts w:cs="Arial"/>
          <w:sz w:val="16"/>
          <w:szCs w:val="16"/>
        </w:rPr>
        <w:t>equivalen a</w:t>
      </w:r>
      <w:r w:rsidRPr="000A64FA">
        <w:rPr>
          <w:rFonts w:cs="Arial"/>
          <w:sz w:val="16"/>
          <w:szCs w:val="16"/>
        </w:rPr>
        <w:t>l nivel</w:t>
      </w:r>
      <w:r w:rsidR="00F2755B" w:rsidRPr="000A64FA">
        <w:rPr>
          <w:rFonts w:cs="Arial"/>
          <w:sz w:val="16"/>
          <w:szCs w:val="16"/>
        </w:rPr>
        <w:t xml:space="preserve"> de</w:t>
      </w:r>
      <w:r w:rsidRPr="000A64FA">
        <w:rPr>
          <w:rFonts w:cs="Arial"/>
          <w:sz w:val="16"/>
          <w:szCs w:val="16"/>
        </w:rPr>
        <w:t xml:space="preserve"> maestría </w:t>
      </w:r>
      <w:r w:rsidR="00C70E4A" w:rsidRPr="000A64FA">
        <w:rPr>
          <w:rFonts w:cs="Arial"/>
          <w:sz w:val="16"/>
          <w:szCs w:val="16"/>
        </w:rPr>
        <w:t xml:space="preserve">y </w:t>
      </w:r>
      <w:r w:rsidR="00F2755B" w:rsidRPr="000A64FA">
        <w:rPr>
          <w:rFonts w:cs="Arial"/>
          <w:sz w:val="16"/>
          <w:szCs w:val="16"/>
        </w:rPr>
        <w:t xml:space="preserve">las subespecialidades médicas equivalen al nivel </w:t>
      </w:r>
      <w:r w:rsidR="00C70E4A" w:rsidRPr="000A64FA">
        <w:rPr>
          <w:rFonts w:cs="Arial"/>
          <w:sz w:val="16"/>
          <w:szCs w:val="16"/>
        </w:rPr>
        <w:t>de</w:t>
      </w:r>
      <w:r w:rsidR="00F2755B" w:rsidRPr="000A64FA">
        <w:rPr>
          <w:rFonts w:cs="Arial"/>
          <w:sz w:val="16"/>
          <w:szCs w:val="16"/>
        </w:rPr>
        <w:t>l</w:t>
      </w:r>
      <w:r w:rsidR="00C70E4A" w:rsidRPr="000A64FA">
        <w:rPr>
          <w:rFonts w:cs="Arial"/>
          <w:sz w:val="16"/>
          <w:szCs w:val="16"/>
        </w:rPr>
        <w:t xml:space="preserve"> doctorado.</w:t>
      </w:r>
      <w:r w:rsidR="00F2755B" w:rsidRPr="000A64FA">
        <w:rPr>
          <w:rFonts w:cs="Arial"/>
          <w:sz w:val="16"/>
          <w:szCs w:val="16"/>
        </w:rPr>
        <w:t xml:space="preserve"> </w:t>
      </w:r>
    </w:p>
    <w:p w14:paraId="37BC99C0" w14:textId="77777777" w:rsidR="00F43CC2" w:rsidRPr="00A16C1A" w:rsidRDefault="00F2755B" w:rsidP="006468C4">
      <w:pPr>
        <w:pStyle w:val="Textonotapie"/>
        <w:ind w:left="426" w:right="312"/>
        <w:jc w:val="left"/>
        <w:rPr>
          <w:lang w:val="es-MX"/>
        </w:rPr>
      </w:pPr>
      <w:r w:rsidRPr="000A64FA">
        <w:rPr>
          <w:rFonts w:cs="Arial"/>
          <w:sz w:val="16"/>
          <w:szCs w:val="16"/>
        </w:rPr>
        <w:t xml:space="preserve">Fuente: </w:t>
      </w:r>
      <w:r w:rsidR="00D86037" w:rsidRPr="000A64FA">
        <w:rPr>
          <w:rFonts w:cs="Arial"/>
          <w:sz w:val="16"/>
          <w:szCs w:val="16"/>
        </w:rPr>
        <w:t xml:space="preserve">INEGI (2009). </w:t>
      </w:r>
      <w:r w:rsidRPr="000A64FA">
        <w:rPr>
          <w:rFonts w:cs="Arial"/>
          <w:sz w:val="16"/>
          <w:szCs w:val="16"/>
        </w:rPr>
        <w:t>Manual del Entrevistador</w:t>
      </w:r>
      <w:r w:rsidR="00D86037" w:rsidRPr="000A64FA">
        <w:rPr>
          <w:rFonts w:cs="Arial"/>
          <w:sz w:val="16"/>
          <w:szCs w:val="16"/>
        </w:rPr>
        <w:t xml:space="preserve"> de la ENOE, p. 116. Disponible en:</w:t>
      </w:r>
      <w:r w:rsidR="000A64FA" w:rsidRPr="000A64FA">
        <w:rPr>
          <w:rFonts w:cs="Arial"/>
          <w:sz w:val="16"/>
          <w:szCs w:val="16"/>
        </w:rPr>
        <w:t xml:space="preserve"> </w:t>
      </w:r>
      <w:r w:rsidR="00D86037" w:rsidRPr="000A64FA">
        <w:rPr>
          <w:rFonts w:cs="Arial"/>
          <w:sz w:val="16"/>
          <w:szCs w:val="16"/>
        </w:rPr>
        <w:t xml:space="preserve"> </w:t>
      </w:r>
      <w:hyperlink r:id="rId1" w:history="1">
        <w:r w:rsidR="00D86037" w:rsidRPr="000A64FA">
          <w:rPr>
            <w:rStyle w:val="Hipervnculo"/>
            <w:rFonts w:cs="Arial"/>
            <w:color w:val="auto"/>
            <w:sz w:val="16"/>
            <w:szCs w:val="16"/>
          </w:rPr>
          <w:t>https://www.inegi.org.mx/contenidos/productos/prod_serv/contenidos/espanol/bvinegi/productos/metodologias/est/Manual_entrev_ENOE_I.pdf</w:t>
        </w:r>
      </w:hyperlink>
      <w:r w:rsidR="00D86037" w:rsidRPr="000A64FA">
        <w:rPr>
          <w:rFonts w:cs="Arial"/>
          <w:sz w:val="16"/>
          <w:szCs w:val="16"/>
        </w:rPr>
        <w:t xml:space="preserve"> </w:t>
      </w:r>
    </w:p>
  </w:footnote>
  <w:footnote w:id="3">
    <w:p w14:paraId="59633EB4" w14:textId="77777777" w:rsidR="00AD5CC8" w:rsidRPr="00AD5CC8" w:rsidRDefault="00D44C1F" w:rsidP="004359CD">
      <w:pPr>
        <w:pStyle w:val="Textonotapie"/>
        <w:ind w:left="426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D44C1F">
        <w:rPr>
          <w:rFonts w:cs="Arial"/>
          <w:color w:val="000000" w:themeColor="text1"/>
          <w:sz w:val="16"/>
          <w:szCs w:val="16"/>
        </w:rPr>
        <w:t>Organización para la Cooperación y el Desarrollo Económicos (OCDE)</w:t>
      </w:r>
      <w:r w:rsidR="00577842">
        <w:rPr>
          <w:rFonts w:cs="Arial"/>
          <w:color w:val="000000" w:themeColor="text1"/>
          <w:sz w:val="16"/>
          <w:szCs w:val="16"/>
        </w:rPr>
        <w:t xml:space="preserve"> </w:t>
      </w:r>
      <w:r w:rsidR="00AD5CC8" w:rsidRPr="00AD5CC8">
        <w:rPr>
          <w:rFonts w:cs="Arial"/>
          <w:color w:val="000000" w:themeColor="text1"/>
          <w:sz w:val="16"/>
          <w:szCs w:val="16"/>
        </w:rPr>
        <w:t>/</w:t>
      </w:r>
      <w:r w:rsidR="00577842">
        <w:rPr>
          <w:rFonts w:cs="Arial"/>
          <w:color w:val="000000" w:themeColor="text1"/>
          <w:sz w:val="16"/>
          <w:szCs w:val="16"/>
        </w:rPr>
        <w:t xml:space="preserve"> </w:t>
      </w:r>
      <w:proofErr w:type="spellStart"/>
      <w:r w:rsidR="00AD5CC8" w:rsidRPr="00577842">
        <w:rPr>
          <w:rFonts w:cs="Arial"/>
          <w:i/>
          <w:color w:val="000000" w:themeColor="text1"/>
          <w:sz w:val="16"/>
          <w:szCs w:val="16"/>
        </w:rPr>
        <w:t>The</w:t>
      </w:r>
      <w:proofErr w:type="spellEnd"/>
      <w:r w:rsidR="00AD5CC8" w:rsidRPr="00577842">
        <w:rPr>
          <w:rFonts w:cs="Arial"/>
          <w:i/>
          <w:color w:val="000000" w:themeColor="text1"/>
          <w:sz w:val="16"/>
          <w:szCs w:val="16"/>
        </w:rPr>
        <w:t xml:space="preserve"> </w:t>
      </w:r>
      <w:proofErr w:type="spellStart"/>
      <w:r w:rsidR="00AD5CC8" w:rsidRPr="00577842">
        <w:rPr>
          <w:rFonts w:cs="Arial"/>
          <w:i/>
          <w:color w:val="000000" w:themeColor="text1"/>
          <w:sz w:val="16"/>
          <w:szCs w:val="16"/>
        </w:rPr>
        <w:t>World</w:t>
      </w:r>
      <w:proofErr w:type="spellEnd"/>
      <w:r w:rsidR="00AD5CC8" w:rsidRPr="00577842">
        <w:rPr>
          <w:rFonts w:cs="Arial"/>
          <w:i/>
          <w:color w:val="000000" w:themeColor="text1"/>
          <w:sz w:val="16"/>
          <w:szCs w:val="16"/>
        </w:rPr>
        <w:t xml:space="preserve"> Bank</w:t>
      </w:r>
      <w:r w:rsidR="00AD5CC8" w:rsidRPr="00AD5CC8">
        <w:rPr>
          <w:rFonts w:cs="Arial"/>
          <w:color w:val="000000" w:themeColor="text1"/>
          <w:sz w:val="16"/>
          <w:szCs w:val="16"/>
        </w:rPr>
        <w:t xml:space="preserve"> (2020), Panorama de la Salud: Latinoamérica y el Caribe 2020, </w:t>
      </w:r>
      <w:r w:rsidR="00AD5CC8" w:rsidRPr="00577842">
        <w:rPr>
          <w:rFonts w:cs="Arial"/>
          <w:i/>
          <w:color w:val="000000" w:themeColor="text1"/>
          <w:sz w:val="16"/>
          <w:szCs w:val="16"/>
        </w:rPr>
        <w:t>OECD Publishing</w:t>
      </w:r>
      <w:r w:rsidR="00AD5CC8" w:rsidRPr="00AD5CC8">
        <w:rPr>
          <w:rFonts w:cs="Arial"/>
          <w:color w:val="000000" w:themeColor="text1"/>
          <w:sz w:val="16"/>
          <w:szCs w:val="16"/>
        </w:rPr>
        <w:t>, Par</w:t>
      </w:r>
      <w:r w:rsidR="00577842">
        <w:rPr>
          <w:rFonts w:cs="Arial"/>
          <w:color w:val="000000" w:themeColor="text1"/>
          <w:sz w:val="16"/>
          <w:szCs w:val="16"/>
        </w:rPr>
        <w:t>í</w:t>
      </w:r>
      <w:r w:rsidR="00AD5CC8" w:rsidRPr="00AD5CC8">
        <w:rPr>
          <w:rFonts w:cs="Arial"/>
          <w:color w:val="000000" w:themeColor="text1"/>
          <w:sz w:val="16"/>
          <w:szCs w:val="16"/>
        </w:rPr>
        <w:t>s, </w:t>
      </w:r>
      <w:hyperlink r:id="rId2" w:history="1">
        <w:r w:rsidR="00AD5CC8" w:rsidRPr="00740A92">
          <w:rPr>
            <w:rStyle w:val="Hipervnculo"/>
            <w:rFonts w:cs="Arial"/>
            <w:color w:val="0068B6"/>
            <w:sz w:val="16"/>
            <w:szCs w:val="16"/>
            <w:shd w:val="clear" w:color="auto" w:fill="FFFFFF"/>
          </w:rPr>
          <w:t>https://doi.org/10.1787/740f9640-es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48FA" w14:textId="77777777" w:rsidR="00422622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39459821" w14:textId="77777777" w:rsidR="00422622" w:rsidRDefault="006D0E81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3DEA06D3" w14:textId="77777777" w:rsidR="00422622" w:rsidRPr="00A36C24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4359CD" w:rsidRPr="004359CD">
      <w:rPr>
        <w:b/>
        <w:color w:val="002060"/>
        <w:sz w:val="24"/>
      </w:rPr>
      <w:t>580</w:t>
    </w:r>
    <w:r w:rsidRPr="004359CD">
      <w:rPr>
        <w:b/>
        <w:color w:val="002060"/>
        <w:sz w:val="24"/>
      </w:rPr>
      <w:t>/2</w:t>
    </w:r>
    <w:r w:rsidR="004359CD" w:rsidRPr="004359CD">
      <w:rPr>
        <w:b/>
        <w:color w:val="002060"/>
        <w:sz w:val="24"/>
      </w:rPr>
      <w:t>1</w:t>
    </w:r>
    <w:r w:rsidRPr="004359CD">
      <w:rPr>
        <w:b/>
        <w:color w:val="002060"/>
        <w:spacing w:val="-11"/>
        <w:sz w:val="24"/>
      </w:rPr>
      <w:t xml:space="preserve"> </w:t>
    </w:r>
  </w:p>
  <w:p w14:paraId="5614A883" w14:textId="77777777" w:rsidR="00422622" w:rsidRPr="00A36C24" w:rsidRDefault="004359CD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22</w:t>
    </w:r>
    <w:r w:rsidR="0035676A">
      <w:rPr>
        <w:b/>
        <w:color w:val="002060"/>
        <w:sz w:val="24"/>
      </w:rPr>
      <w:t xml:space="preserve"> DE</w:t>
    </w:r>
    <w:r>
      <w:rPr>
        <w:b/>
        <w:color w:val="002060"/>
        <w:sz w:val="24"/>
      </w:rPr>
      <w:t xml:space="preserve"> OCTUBRE</w:t>
    </w:r>
    <w:r w:rsidR="0035676A" w:rsidRPr="00A36C24">
      <w:rPr>
        <w:b/>
        <w:color w:val="002060"/>
        <w:spacing w:val="-6"/>
        <w:sz w:val="24"/>
      </w:rPr>
      <w:t xml:space="preserve"> </w:t>
    </w:r>
    <w:r w:rsidR="0035676A" w:rsidRPr="00A36C24">
      <w:rPr>
        <w:b/>
        <w:color w:val="002060"/>
        <w:sz w:val="24"/>
      </w:rPr>
      <w:t>DE</w:t>
    </w:r>
    <w:r w:rsidR="0035676A" w:rsidRPr="00A36C24">
      <w:rPr>
        <w:b/>
        <w:color w:val="002060"/>
        <w:spacing w:val="-5"/>
        <w:sz w:val="24"/>
      </w:rPr>
      <w:t xml:space="preserve"> </w:t>
    </w:r>
    <w:r w:rsidR="0035676A" w:rsidRPr="00A36C24">
      <w:rPr>
        <w:b/>
        <w:color w:val="002060"/>
        <w:sz w:val="24"/>
      </w:rPr>
      <w:t>20</w:t>
    </w:r>
    <w:r w:rsidR="0035676A">
      <w:rPr>
        <w:b/>
        <w:color w:val="002060"/>
        <w:sz w:val="24"/>
      </w:rPr>
      <w:t>21</w:t>
    </w:r>
  </w:p>
  <w:p w14:paraId="71919DF3" w14:textId="77777777" w:rsidR="00422622" w:rsidRPr="00A36C24" w:rsidRDefault="0035676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F050D0">
      <w:rPr>
        <w:b/>
        <w:noProof/>
        <w:color w:val="002060"/>
        <w:sz w:val="24"/>
      </w:rPr>
      <w:t>4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5409B5">
      <w:rPr>
        <w:b/>
        <w:color w:val="002060"/>
        <w:sz w:val="24"/>
      </w:rPr>
      <w:t>4</w:t>
    </w:r>
  </w:p>
  <w:p w14:paraId="7A6576D9" w14:textId="77777777" w:rsidR="00422622" w:rsidRPr="00A36C24" w:rsidRDefault="0035676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218D618A" w14:textId="77777777" w:rsidR="00422622" w:rsidRDefault="0035676A" w:rsidP="004359CD">
    <w:pPr>
      <w:pStyle w:val="Encabezado"/>
      <w:ind w:left="426"/>
      <w:rPr>
        <w:noProof/>
      </w:rPr>
    </w:pPr>
    <w:r>
      <w:rPr>
        <w:noProof/>
        <w:lang w:val="es-MX" w:eastAsia="es-MX"/>
      </w:rPr>
      <w:drawing>
        <wp:inline distT="0" distB="0" distL="0" distR="0" wp14:anchorId="48404E0D" wp14:editId="65FF2D6D">
          <wp:extent cx="775278" cy="805260"/>
          <wp:effectExtent l="0" t="0" r="635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A2DBD54">
      <w:rPr>
        <w:noProof/>
      </w:rPr>
      <w:t xml:space="preserve">                                                 </w:t>
    </w:r>
  </w:p>
  <w:p w14:paraId="47E3A49A" w14:textId="77777777" w:rsidR="00422622" w:rsidRDefault="006D0E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F495" w14:textId="77777777" w:rsidR="00422622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20FFBC3E" w14:textId="77777777" w:rsidR="00422622" w:rsidRDefault="006D0E81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0DE54E46" w14:textId="77777777" w:rsidR="00422622" w:rsidRPr="00A36C24" w:rsidRDefault="0035676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NÚM</w:t>
    </w:r>
    <w:r w:rsidRPr="006468C4">
      <w:rPr>
        <w:b/>
        <w:color w:val="002060"/>
        <w:sz w:val="24"/>
      </w:rPr>
      <w:t xml:space="preserve">. </w:t>
    </w:r>
    <w:r w:rsidR="006468C4" w:rsidRPr="006468C4">
      <w:rPr>
        <w:b/>
        <w:color w:val="002060"/>
        <w:sz w:val="24"/>
      </w:rPr>
      <w:t>580</w:t>
    </w:r>
    <w:r w:rsidRPr="006468C4">
      <w:rPr>
        <w:b/>
        <w:color w:val="002060"/>
        <w:sz w:val="24"/>
      </w:rPr>
      <w:t>/2</w:t>
    </w:r>
    <w:r w:rsidR="004359CD">
      <w:rPr>
        <w:b/>
        <w:color w:val="002060"/>
        <w:sz w:val="24"/>
      </w:rPr>
      <w:t>1</w:t>
    </w:r>
    <w:r w:rsidRPr="006468C4">
      <w:rPr>
        <w:b/>
        <w:color w:val="002060"/>
        <w:spacing w:val="-11"/>
        <w:sz w:val="24"/>
      </w:rPr>
      <w:t xml:space="preserve"> </w:t>
    </w:r>
  </w:p>
  <w:p w14:paraId="30F88C4D" w14:textId="77777777" w:rsidR="00422622" w:rsidRPr="00A36C24" w:rsidRDefault="006468C4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22</w:t>
    </w:r>
    <w:r w:rsidR="0035676A">
      <w:rPr>
        <w:b/>
        <w:color w:val="002060"/>
        <w:sz w:val="24"/>
      </w:rPr>
      <w:t xml:space="preserve"> DE </w:t>
    </w:r>
    <w:r>
      <w:rPr>
        <w:b/>
        <w:color w:val="002060"/>
        <w:sz w:val="24"/>
      </w:rPr>
      <w:t>OCTUBRE</w:t>
    </w:r>
    <w:r w:rsidR="0035676A" w:rsidRPr="00A36C24">
      <w:rPr>
        <w:b/>
        <w:color w:val="002060"/>
        <w:spacing w:val="-6"/>
        <w:sz w:val="24"/>
      </w:rPr>
      <w:t xml:space="preserve"> </w:t>
    </w:r>
    <w:r w:rsidR="0035676A" w:rsidRPr="00A36C24">
      <w:rPr>
        <w:b/>
        <w:color w:val="002060"/>
        <w:sz w:val="24"/>
      </w:rPr>
      <w:t>DE</w:t>
    </w:r>
    <w:r w:rsidR="0035676A" w:rsidRPr="00A36C24">
      <w:rPr>
        <w:b/>
        <w:color w:val="002060"/>
        <w:spacing w:val="-5"/>
        <w:sz w:val="24"/>
      </w:rPr>
      <w:t xml:space="preserve"> </w:t>
    </w:r>
    <w:r w:rsidR="0035676A" w:rsidRPr="00A36C24">
      <w:rPr>
        <w:b/>
        <w:color w:val="002060"/>
        <w:sz w:val="24"/>
      </w:rPr>
      <w:t>20</w:t>
    </w:r>
    <w:r w:rsidR="0035676A">
      <w:rPr>
        <w:b/>
        <w:color w:val="002060"/>
        <w:sz w:val="24"/>
      </w:rPr>
      <w:t>21</w:t>
    </w:r>
  </w:p>
  <w:p w14:paraId="4A2B3AA4" w14:textId="77777777" w:rsidR="00422622" w:rsidRPr="00A36C24" w:rsidRDefault="0035676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F050D0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5409B5">
      <w:rPr>
        <w:b/>
        <w:color w:val="002060"/>
        <w:sz w:val="24"/>
      </w:rPr>
      <w:t>4</w:t>
    </w:r>
  </w:p>
  <w:p w14:paraId="77758928" w14:textId="77777777" w:rsidR="00422622" w:rsidRPr="00A36C24" w:rsidRDefault="0035676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731BACBA" w14:textId="77777777" w:rsidR="00440A02" w:rsidRDefault="0035676A" w:rsidP="006468C4">
    <w:pPr>
      <w:pStyle w:val="Encabezado"/>
      <w:ind w:left="426"/>
      <w:rPr>
        <w:noProof/>
      </w:rPr>
    </w:pPr>
    <w:r>
      <w:rPr>
        <w:noProof/>
        <w:lang w:val="es-MX" w:eastAsia="es-MX"/>
      </w:rPr>
      <w:drawing>
        <wp:inline distT="0" distB="0" distL="0" distR="0" wp14:anchorId="097E8D3C" wp14:editId="56FCFA15">
          <wp:extent cx="775278" cy="805260"/>
          <wp:effectExtent l="0" t="0" r="635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A2DBD54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3E6"/>
    <w:multiLevelType w:val="hybridMultilevel"/>
    <w:tmpl w:val="EFA67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1D4"/>
    <w:multiLevelType w:val="hybridMultilevel"/>
    <w:tmpl w:val="40B2426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0D"/>
    <w:rsid w:val="00082E74"/>
    <w:rsid w:val="000830EF"/>
    <w:rsid w:val="000A5AC5"/>
    <w:rsid w:val="000A5C3D"/>
    <w:rsid w:val="000A64FA"/>
    <w:rsid w:val="000F6C03"/>
    <w:rsid w:val="0010708E"/>
    <w:rsid w:val="001B6F0D"/>
    <w:rsid w:val="001F4F55"/>
    <w:rsid w:val="00241885"/>
    <w:rsid w:val="00244184"/>
    <w:rsid w:val="00247AC4"/>
    <w:rsid w:val="00271928"/>
    <w:rsid w:val="00277613"/>
    <w:rsid w:val="00334C3C"/>
    <w:rsid w:val="0035676A"/>
    <w:rsid w:val="003728AC"/>
    <w:rsid w:val="00395577"/>
    <w:rsid w:val="003A6FF2"/>
    <w:rsid w:val="003C3810"/>
    <w:rsid w:val="003E21BE"/>
    <w:rsid w:val="00434ADA"/>
    <w:rsid w:val="004359CD"/>
    <w:rsid w:val="004A561D"/>
    <w:rsid w:val="004A637A"/>
    <w:rsid w:val="004C4013"/>
    <w:rsid w:val="004E647D"/>
    <w:rsid w:val="00501F8D"/>
    <w:rsid w:val="005409B5"/>
    <w:rsid w:val="00550FE4"/>
    <w:rsid w:val="00554E3A"/>
    <w:rsid w:val="00577842"/>
    <w:rsid w:val="0058442B"/>
    <w:rsid w:val="005B0258"/>
    <w:rsid w:val="005E2632"/>
    <w:rsid w:val="005F177C"/>
    <w:rsid w:val="00602FFA"/>
    <w:rsid w:val="00613469"/>
    <w:rsid w:val="006142A6"/>
    <w:rsid w:val="006468C4"/>
    <w:rsid w:val="00646EC4"/>
    <w:rsid w:val="0065014C"/>
    <w:rsid w:val="006662E0"/>
    <w:rsid w:val="006A0300"/>
    <w:rsid w:val="006D0E81"/>
    <w:rsid w:val="00705D20"/>
    <w:rsid w:val="00722334"/>
    <w:rsid w:val="00734865"/>
    <w:rsid w:val="00740A92"/>
    <w:rsid w:val="007748FC"/>
    <w:rsid w:val="00783C66"/>
    <w:rsid w:val="007F33D7"/>
    <w:rsid w:val="00800315"/>
    <w:rsid w:val="00822168"/>
    <w:rsid w:val="00837EAA"/>
    <w:rsid w:val="008550C5"/>
    <w:rsid w:val="0088024C"/>
    <w:rsid w:val="008A0F47"/>
    <w:rsid w:val="008B4455"/>
    <w:rsid w:val="008D74DC"/>
    <w:rsid w:val="008F3517"/>
    <w:rsid w:val="00960468"/>
    <w:rsid w:val="00960F5E"/>
    <w:rsid w:val="009F0C8C"/>
    <w:rsid w:val="00A00C2E"/>
    <w:rsid w:val="00A16C1A"/>
    <w:rsid w:val="00A2635C"/>
    <w:rsid w:val="00A53738"/>
    <w:rsid w:val="00A733BA"/>
    <w:rsid w:val="00A95F3B"/>
    <w:rsid w:val="00AA323A"/>
    <w:rsid w:val="00AB1017"/>
    <w:rsid w:val="00AD5CC8"/>
    <w:rsid w:val="00B139AF"/>
    <w:rsid w:val="00B7702A"/>
    <w:rsid w:val="00B803F1"/>
    <w:rsid w:val="00B825DE"/>
    <w:rsid w:val="00BA56F0"/>
    <w:rsid w:val="00BF71FA"/>
    <w:rsid w:val="00C4710F"/>
    <w:rsid w:val="00C70E4A"/>
    <w:rsid w:val="00C96C0E"/>
    <w:rsid w:val="00D239EA"/>
    <w:rsid w:val="00D32C39"/>
    <w:rsid w:val="00D44C1F"/>
    <w:rsid w:val="00D831C9"/>
    <w:rsid w:val="00D86037"/>
    <w:rsid w:val="00DE11BB"/>
    <w:rsid w:val="00E74666"/>
    <w:rsid w:val="00E76AE7"/>
    <w:rsid w:val="00E870E4"/>
    <w:rsid w:val="00EA1503"/>
    <w:rsid w:val="00EB632A"/>
    <w:rsid w:val="00EC0FE0"/>
    <w:rsid w:val="00EC2A4E"/>
    <w:rsid w:val="00EC4879"/>
    <w:rsid w:val="00EE18D0"/>
    <w:rsid w:val="00F050D0"/>
    <w:rsid w:val="00F20F5B"/>
    <w:rsid w:val="00F2755B"/>
    <w:rsid w:val="00F43CC2"/>
    <w:rsid w:val="00F5737D"/>
    <w:rsid w:val="00F75F82"/>
    <w:rsid w:val="00F771CD"/>
    <w:rsid w:val="00F8587E"/>
    <w:rsid w:val="00F96DFE"/>
    <w:rsid w:val="00FB3DC5"/>
    <w:rsid w:val="00FC7B13"/>
    <w:rsid w:val="00FE0B1F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B6AE"/>
  <w15:chartTrackingRefBased/>
  <w15:docId w15:val="{242002DE-5B4F-4896-95DD-C2DD8358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0D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82E74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6F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B6F0D"/>
    <w:rPr>
      <w:rFonts w:ascii="Arial" w:eastAsia="Times New Roman" w:hAnsi="Arial" w:cs="Times New Roman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6F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6F0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2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2E0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62E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2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2E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2F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FF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34C3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C3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82E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82E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82E7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2E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4C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4C1F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44C1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1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14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14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86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635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787/740f9640-es" TargetMode="External"/><Relationship Id="rId1" Type="http://schemas.openxmlformats.org/officeDocument/2006/relationships/hyperlink" Target="https://www.inegi.org.mx/contenidos/productos/prod_serv/contenidos/espanol/bvinegi/productos/metodologias/est/Manual_entrev_ENOE_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1\Medicos\INDICADORES%20ESTRAT&#201;GICOS%20PARA%20BOLETIN%20M&#201;DICOS_09092021%20calculos%20RA.xls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desantiago\AppData\Local\Microsoft\Windows\INetCache\Content.Outlook\FXL4YEQF\INDICADORES%20ESTRAT&#201;GICOS%20PARA%20BOLETIN%20M&#201;DICOS_2t2021_25ymas.xls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589824795885754"/>
          <c:y val="0.14640240151310838"/>
          <c:w val="0.30166472963942237"/>
          <c:h val="0.7320451464722046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84-42EF-80E3-B38CEF766B4B}"/>
              </c:ext>
            </c:extLst>
          </c:dPt>
          <c:dPt>
            <c:idx val="1"/>
            <c:bubble3D val="0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84-42EF-80E3-B38CEF766B4B}"/>
              </c:ext>
            </c:extLst>
          </c:dPt>
          <c:dLbls>
            <c:dLbl>
              <c:idx val="0"/>
              <c:layout>
                <c:manualLayout>
                  <c:x val="-0.15466272965879266"/>
                  <c:y val="1.13072324292796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Mujeres</a:t>
                    </a:r>
                  </a:p>
                  <a:p>
                    <a:fld id="{DDAF8213-4238-4AFD-BEC8-647F6337AB01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E84-42EF-80E3-B38CEF766B4B}"/>
                </c:ext>
              </c:extLst>
            </c:dLbl>
            <c:dLbl>
              <c:idx val="1"/>
              <c:layout>
                <c:manualLayout>
                  <c:x val="0.14424409448818898"/>
                  <c:y val="-0.1016539078448527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Hombres</a:t>
                    </a:r>
                  </a:p>
                  <a:p>
                    <a:fld id="{EDE60398-AC11-4E63-B59D-FB70BFC37D30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E84-42EF-80E3-B38CEF766B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G.Quinquenales!$E$43:$F$43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G.Quinquenales!$E$44:$F$44</c:f>
              <c:numCache>
                <c:formatCode>0</c:formatCode>
                <c:ptCount val="2"/>
                <c:pt idx="0">
                  <c:v>45.766970445447576</c:v>
                </c:pt>
                <c:pt idx="1">
                  <c:v>54.233029554552424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84-42EF-80E3-B38CEF766B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914260717410336E-2"/>
          <c:y val="0.17017225935238894"/>
          <c:w val="0.82260192475940508"/>
          <c:h val="0.6135918319058197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E69-4E10-8CFF-FFE37F1F96D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E69-4E10-8CFF-FFE37F1F96D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47F775B-0774-4640-8EBB-B571BF156ABA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r>
                      <a:rPr lang="en-US" dirty="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8E69-4E10-8CFF-FFE37F1F96D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A685037-E793-4D5F-9AF4-E0A7E19A346F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E69-4E10-8CFF-FFE37F1F96D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522DC3D-7AC5-4145-A172-85110FDEA7AF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E69-4E10-8CFF-FFE37F1F96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'Nivel académico_ingreso'!$B$11:$B$13</c:f>
              <c:strCache>
                <c:ptCount val="3"/>
                <c:pt idx="0">
                  <c:v>Licenciatura </c:v>
                </c:pt>
                <c:pt idx="1">
                  <c:v>Maestría </c:v>
                </c:pt>
                <c:pt idx="2">
                  <c:v>Doctorado </c:v>
                </c:pt>
              </c:strCache>
            </c:strRef>
          </c:cat>
          <c:val>
            <c:numRef>
              <c:f>'Nivel académico_ingreso'!$C$11:$C$13</c:f>
              <c:numCache>
                <c:formatCode>#,##0</c:formatCode>
                <c:ptCount val="3"/>
                <c:pt idx="0">
                  <c:v>69.02638351374182</c:v>
                </c:pt>
                <c:pt idx="1">
                  <c:v>26.932597292890399</c:v>
                </c:pt>
                <c:pt idx="2">
                  <c:v>4.0410191933677782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E69-4E10-8CFF-FFE37F1F96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16666768"/>
        <c:axId val="516667160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3.2803432247519942E-2"/>
                  <c:y val="2.77777281920467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$ </a:t>
                    </a:r>
                    <a:fld id="{2D5E70A8-6137-43DD-AD11-C39347C51C72}" type="VALUE">
                      <a:rPr lang="en-US"/>
                      <a:pPr/>
                      <a:t>[VALOR]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E69-4E10-8CFF-FFE37F1F96D4}"/>
                </c:ext>
              </c:extLst>
            </c:dLbl>
            <c:dLbl>
              <c:idx val="1"/>
              <c:layout>
                <c:manualLayout>
                  <c:x val="1.9508388607100337E-3"/>
                  <c:y val="2.2670596236681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$</a:t>
                    </a:r>
                    <a:r>
                      <a:rPr lang="en-US" baseline="0"/>
                      <a:t> </a:t>
                    </a:r>
                    <a:fld id="{E8517FA2-733C-440D-9487-7EBE2AD248AD}" type="VALUE">
                      <a:rPr lang="en-US"/>
                      <a:pPr/>
                      <a:t>[VALOR]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E69-4E10-8CFF-FFE37F1F96D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$ </a:t>
                    </a:r>
                    <a:fld id="{B27EAD9A-FC69-4389-B85B-13532918DB01}" type="VALUE">
                      <a:rPr lang="en-US"/>
                      <a:pPr/>
                      <a:t>[VALOR]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8E69-4E10-8CFF-FFE37F1F96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'Nivel académico_ingreso'!$B$11:$B$13</c:f>
              <c:strCache>
                <c:ptCount val="3"/>
                <c:pt idx="0">
                  <c:v>Licenciatura </c:v>
                </c:pt>
                <c:pt idx="1">
                  <c:v>Maestría </c:v>
                </c:pt>
                <c:pt idx="2">
                  <c:v>Doctorado </c:v>
                </c:pt>
              </c:strCache>
            </c:strRef>
          </c:cat>
          <c:val>
            <c:numRef>
              <c:f>'Nivel académico_ingreso'!$D$11:$D$13</c:f>
              <c:numCache>
                <c:formatCode>#,##0</c:formatCode>
                <c:ptCount val="3"/>
                <c:pt idx="0">
                  <c:v>17422.377611302709</c:v>
                </c:pt>
                <c:pt idx="1">
                  <c:v>21040.770733211688</c:v>
                </c:pt>
                <c:pt idx="2">
                  <c:v>26694.766993820427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E69-4E10-8CFF-FFE37F1F96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669512"/>
        <c:axId val="516669120"/>
      </c:lineChart>
      <c:catAx>
        <c:axId val="5166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67160"/>
        <c:crosses val="autoZero"/>
        <c:auto val="1"/>
        <c:lblAlgn val="ctr"/>
        <c:lblOffset val="100"/>
        <c:noMultiLvlLbl val="0"/>
      </c:catAx>
      <c:valAx>
        <c:axId val="51666716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66768"/>
        <c:crosses val="autoZero"/>
        <c:crossBetween val="between"/>
      </c:valAx>
      <c:valAx>
        <c:axId val="516669120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69512"/>
        <c:crosses val="max"/>
        <c:crossBetween val="between"/>
      </c:valAx>
      <c:catAx>
        <c:axId val="516669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16669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5969283022501E-2"/>
          <c:y val="0.14795806163877953"/>
          <c:w val="0.86840779143852154"/>
          <c:h val="0.70225570558562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2A5-47B3-A734-E89EA4A3CFB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A2A5-47B3-A734-E89EA4A3CFB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2A5-47B3-A734-E89EA4A3CFB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E294376-E39C-4C1E-AC57-EE1B66133A56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2A5-47B3-A734-E89EA4A3CFB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BD6F127-F4D0-4F66-90A5-D42E54B65041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A2A5-47B3-A734-E89EA4A3CFB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0B89627-4008-48CE-9BDA-099798ADA39A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2A5-47B3-A734-E89EA4A3CF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 2021'!$J$86:$J$88</c:f>
              <c:strCache>
                <c:ptCount val="3"/>
                <c:pt idx="0">
                  <c:v>Empresas y negocios</c:v>
                </c:pt>
                <c:pt idx="1">
                  <c:v>Instituciones</c:v>
                </c:pt>
                <c:pt idx="2">
                  <c:v>Sector de los hogares</c:v>
                </c:pt>
              </c:strCache>
            </c:strRef>
          </c:cat>
          <c:val>
            <c:numRef>
              <c:f>'Trimestre 2 2021'!$K$86:$K$88</c:f>
              <c:numCache>
                <c:formatCode>0</c:formatCode>
                <c:ptCount val="3"/>
                <c:pt idx="0">
                  <c:v>29.236839938435423</c:v>
                </c:pt>
                <c:pt idx="1">
                  <c:v>67.559205234255742</c:v>
                </c:pt>
                <c:pt idx="2">
                  <c:v>3.2039548273088303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A5-47B3-A734-E89EA4A3C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6675392"/>
        <c:axId val="516661672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5.0925925925925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A5-47B3-A734-E89EA4A3CFB6}"/>
                </c:ext>
              </c:extLst>
            </c:dLbl>
            <c:dLbl>
              <c:idx val="1"/>
              <c:layout>
                <c:manualLayout>
                  <c:x val="3.6111111111111011E-2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A5-47B3-A734-E89EA4A3CF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 2021'!$J$86:$J$88</c:f>
              <c:strCache>
                <c:ptCount val="3"/>
                <c:pt idx="0">
                  <c:v>Empresas y negocios</c:v>
                </c:pt>
                <c:pt idx="1">
                  <c:v>Instituciones</c:v>
                </c:pt>
                <c:pt idx="2">
                  <c:v>Sector de los hogares</c:v>
                </c:pt>
              </c:strCache>
            </c:strRef>
          </c:cat>
          <c:val>
            <c:numRef>
              <c:f>'Trimestre 2 2021'!$L$86:$L$88</c:f>
              <c:numCache>
                <c:formatCode>"$"#,##0</c:formatCode>
                <c:ptCount val="3"/>
                <c:pt idx="0">
                  <c:v>20263.114903805996</c:v>
                </c:pt>
                <c:pt idx="1">
                  <c:v>18675.367868581467</c:v>
                </c:pt>
                <c:pt idx="2">
                  <c:v>14114.136389044159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2A5-47B3-A734-E89EA4A3C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671864"/>
        <c:axId val="516673432"/>
      </c:lineChart>
      <c:catAx>
        <c:axId val="516671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73432"/>
        <c:crosses val="autoZero"/>
        <c:auto val="1"/>
        <c:lblAlgn val="ctr"/>
        <c:lblOffset val="100"/>
        <c:noMultiLvlLbl val="0"/>
      </c:catAx>
      <c:valAx>
        <c:axId val="516673432"/>
        <c:scaling>
          <c:orientation val="minMax"/>
        </c:scaling>
        <c:delete val="0"/>
        <c:axPos val="l"/>
        <c:numFmt formatCode="&quot;$&quot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71864"/>
        <c:crosses val="autoZero"/>
        <c:crossBetween val="between"/>
      </c:valAx>
      <c:valAx>
        <c:axId val="516661672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75392"/>
        <c:crosses val="max"/>
        <c:crossBetween val="between"/>
      </c:valAx>
      <c:catAx>
        <c:axId val="516675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16661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512778570703102E-2"/>
          <c:y val="0.13719185423365488"/>
          <c:w val="0.85061037431420872"/>
          <c:h val="0.61275404883071283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935-4197-BA3E-FB09EFD5165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935-4197-BA3E-FB09EFD5165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935-4197-BA3E-FB09EFD51655}"/>
              </c:ext>
            </c:extLst>
          </c:dPt>
          <c:dLbls>
            <c:dLbl>
              <c:idx val="0"/>
              <c:layout>
                <c:manualLayout>
                  <c:x val="0"/>
                  <c:y val="-0.29696844710249537"/>
                </c:manualLayout>
              </c:layout>
              <c:tx>
                <c:rich>
                  <a:bodyPr/>
                  <a:lstStyle/>
                  <a:p>
                    <a:fld id="{BB03C861-FA3D-4531-87D2-60B8E01CF726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r>
                      <a:rPr lang="en-US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935-4197-BA3E-FB09EFD51655}"/>
                </c:ext>
              </c:extLst>
            </c:dLbl>
            <c:dLbl>
              <c:idx val="1"/>
              <c:layout>
                <c:manualLayout>
                  <c:x val="0"/>
                  <c:y val="-7.836667354093628E-2"/>
                </c:manualLayout>
              </c:layout>
              <c:tx>
                <c:rich>
                  <a:bodyPr/>
                  <a:lstStyle/>
                  <a:p>
                    <a:fld id="{75232F08-1BBA-4BC9-8FFB-C620368D8A5A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r>
                      <a:rPr lang="en-US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935-4197-BA3E-FB09EFD51655}"/>
                </c:ext>
              </c:extLst>
            </c:dLbl>
            <c:dLbl>
              <c:idx val="2"/>
              <c:layout>
                <c:manualLayout>
                  <c:x val="-1.3587638723400992E-16"/>
                  <c:y val="-7.8366673540936349E-2"/>
                </c:manualLayout>
              </c:layout>
              <c:tx>
                <c:rich>
                  <a:bodyPr/>
                  <a:lstStyle/>
                  <a:p>
                    <a:fld id="{D86A7120-FD47-42AD-A365-78B67043F43D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935-4197-BA3E-FB09EFD516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Pos_ocupación_ingreso!$A$22:$A$24</c:f>
              <c:strCache>
                <c:ptCount val="3"/>
                <c:pt idx="0">
                  <c:v>Trabajadores subordinados y remunerados</c:v>
                </c:pt>
                <c:pt idx="1">
                  <c:v>Empleadores</c:v>
                </c:pt>
                <c:pt idx="2">
                  <c:v>Trabajadores por cuenta propia</c:v>
                </c:pt>
              </c:strCache>
            </c:strRef>
          </c:cat>
          <c:val>
            <c:numRef>
              <c:f>Pos_ocupación_ingreso!$B$22:$B$24</c:f>
              <c:numCache>
                <c:formatCode>0</c:formatCode>
                <c:ptCount val="3"/>
                <c:pt idx="0">
                  <c:v>76.419035735973907</c:v>
                </c:pt>
                <c:pt idx="1">
                  <c:v>11.570969208459294</c:v>
                </c:pt>
                <c:pt idx="2">
                  <c:v>12.009995055566801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935-4197-BA3E-FB09EFD5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16676568"/>
        <c:axId val="516675000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4.297774020560341E-2"/>
                  <c:y val="1.388888888888884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dirty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t>$ </a:t>
                    </a:r>
                    <a:fld id="{D4AEFECF-2B7B-4E79-9E6D-D5D55D94FE57}" type="VALUE"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defRPr>
                      </a:pPr>
                      <a:t>[VALOR]</a:t>
                    </a:fld>
                    <a:endParaRPr lang="en-US" dirty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935-4197-BA3E-FB09EFD51655}"/>
                </c:ext>
              </c:extLst>
            </c:dLbl>
            <c:dLbl>
              <c:idx val="1"/>
              <c:layout>
                <c:manualLayout>
                  <c:x val="1.432591340186774E-2"/>
                  <c:y val="1.388888888888888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t>$ </a:t>
                    </a:r>
                    <a:fld id="{434AC6AA-A3F9-4CCD-AE4B-72D0716F434C}" type="VALUE"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defRPr>
                      </a:pPr>
                      <a:t>[VALOR]</a:t>
                    </a:fld>
                    <a:endParaRPr lang="en-US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2935-4197-BA3E-FB09EFD51655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t>$ </a:t>
                    </a:r>
                    <a:fld id="{7DC3E9F8-6568-4AD3-A240-A4490181D5B4}" type="VALUE"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defRPr>
                      </a:pPr>
                      <a:t>[VALOR]</a:t>
                    </a:fld>
                    <a:endParaRPr lang="en-US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935-4197-BA3E-FB09EFD516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Pos_ocupación_ingreso!$A$22:$A$24</c:f>
              <c:strCache>
                <c:ptCount val="3"/>
                <c:pt idx="0">
                  <c:v>Trabajadores subordinados y remunerados</c:v>
                </c:pt>
                <c:pt idx="1">
                  <c:v>Empleadores</c:v>
                </c:pt>
                <c:pt idx="2">
                  <c:v>Trabajadores por cuenta propia</c:v>
                </c:pt>
              </c:strCache>
            </c:strRef>
          </c:cat>
          <c:val>
            <c:numRef>
              <c:f>Pos_ocupación_ingreso!$C$22:$C$24</c:f>
              <c:numCache>
                <c:formatCode>#,##0</c:formatCode>
                <c:ptCount val="3"/>
                <c:pt idx="0">
                  <c:v>18184.106493674513</c:v>
                </c:pt>
                <c:pt idx="1">
                  <c:v>28307.073181162134</c:v>
                </c:pt>
                <c:pt idx="2">
                  <c:v>10426.313288789903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2935-4197-BA3E-FB09EFD5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673824"/>
        <c:axId val="516674608"/>
      </c:lineChart>
      <c:catAx>
        <c:axId val="51667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74608"/>
        <c:crosses val="autoZero"/>
        <c:auto val="1"/>
        <c:lblAlgn val="ctr"/>
        <c:lblOffset val="100"/>
        <c:noMultiLvlLbl val="0"/>
      </c:catAx>
      <c:valAx>
        <c:axId val="51667460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73824"/>
        <c:crosses val="autoZero"/>
        <c:crossBetween val="between"/>
      </c:valAx>
      <c:valAx>
        <c:axId val="516675000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6676568"/>
        <c:crosses val="max"/>
        <c:crossBetween val="between"/>
      </c:valAx>
      <c:catAx>
        <c:axId val="516676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16675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0.00381</cdr:x>
      <cdr:y>0</cdr:y>
    </cdr:from>
    <cdr:to>
      <cdr:x>1</cdr:x>
      <cdr:y>0.16799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21265" y="0"/>
          <a:ext cx="5560385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</cdr:x>
      <cdr:y>0.90245</cdr:y>
    </cdr:from>
    <cdr:to>
      <cdr:x>1</cdr:x>
      <cdr:y>0.99231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0" y="2456120"/>
          <a:ext cx="5581650" cy="2445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 (Nueva Edición) (ENOE</a:t>
          </a:r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2021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). Tabulados. </a:t>
          </a:r>
        </a:p>
        <a:p xmlns:a="http://schemas.openxmlformats.org/drawingml/2006/main">
          <a:endParaRPr lang="es-MX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0.00261</cdr:x>
      <cdr:y>0.01099</cdr:y>
    </cdr:from>
    <cdr:to>
      <cdr:x>0.88896</cdr:x>
      <cdr:y>0.16759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4630" y="29261"/>
          <a:ext cx="4974336" cy="4169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just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Porcentaje</a:t>
          </a:r>
          <a:r>
            <a:rPr lang="es-MX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de la población de 25 años y más ocupada como médico por </a:t>
          </a:r>
          <a:r>
            <a:rPr lang="es-MX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nivel de instrucción y promedio de ingresos mensuales (pesos)</a:t>
          </a: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, 2021 </a:t>
          </a:r>
          <a:endParaRPr lang="es-MX" sz="1000">
            <a:solidFill>
              <a:sysClr val="windowText" lastClr="000000"/>
            </a:solidFill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</cdr:x>
      <cdr:y>0.90665</cdr:y>
    </cdr:from>
    <cdr:to>
      <cdr:x>1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0" y="2414015"/>
          <a:ext cx="5612130" cy="2485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 (Nueva Edición) (ENOE</a:t>
          </a:r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2021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). Tabulados. </a:t>
          </a:r>
        </a:p>
        <a:p xmlns:a="http://schemas.openxmlformats.org/drawingml/2006/main">
          <a:endParaRPr lang="es-MX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0.00578</cdr:y>
    </cdr:from>
    <cdr:to>
      <cdr:x>0.83708</cdr:x>
      <cdr:y>0.19003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15038"/>
          <a:ext cx="5675870" cy="479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just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Porcentaje de la población de 25 años y más ocupada como médico </a:t>
          </a:r>
          <a:r>
            <a:rPr lang="es-MX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por tipo de unidad económica y promedio de ingresos mensuales (pesos)</a:t>
          </a: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, 2021 </a:t>
          </a:r>
          <a:endParaRPr lang="es-MX" sz="1000">
            <a:solidFill>
              <a:sysClr val="windowText" lastClr="000000"/>
            </a:solidFill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</cdr:x>
      <cdr:y>0.93864</cdr:y>
    </cdr:from>
    <cdr:to>
      <cdr:x>0.99362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0" y="3562502"/>
          <a:ext cx="6737298" cy="232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 (Nueva Edición) (ENOE</a:t>
          </a:r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2021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). Tabulados. </a:t>
          </a:r>
        </a:p>
        <a:p xmlns:a="http://schemas.openxmlformats.org/drawingml/2006/main">
          <a:endParaRPr lang="es-MX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0.0013</cdr:x>
      <cdr:y>0.00741</cdr:y>
    </cdr:from>
    <cdr:to>
      <cdr:x>0.86661</cdr:x>
      <cdr:y>0.18027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8910" y="22816"/>
          <a:ext cx="5931032" cy="5322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just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Porcentaje de la población de 25 años y más ocupada como médico </a:t>
          </a:r>
          <a:r>
            <a:rPr lang="es-MX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por posición en el trabajo y promedio de ingresos mensuales (pesos)</a:t>
          </a: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, 2021 </a:t>
          </a:r>
          <a:endParaRPr lang="es-MX" sz="1000">
            <a:solidFill>
              <a:sysClr val="windowText" lastClr="000000"/>
            </a:solidFill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0.0013</cdr:x>
      <cdr:y>0.87924</cdr:y>
    </cdr:from>
    <cdr:to>
      <cdr:x>1</cdr:x>
      <cdr:y>0.94592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8910" y="2474469"/>
          <a:ext cx="6845280" cy="187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 (Nueva Edición) (ENOE</a:t>
          </a:r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2021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). Tabulados. </a:t>
          </a:r>
        </a:p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6D1C-6C82-46D7-AF29-E91DE4C9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3</cp:revision>
  <dcterms:created xsi:type="dcterms:W3CDTF">2021-10-22T14:32:00Z</dcterms:created>
  <dcterms:modified xsi:type="dcterms:W3CDTF">2021-10-25T16:58:00Z</dcterms:modified>
</cp:coreProperties>
</file>