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64CF9" w14:textId="77777777" w:rsidR="008F71E8" w:rsidRDefault="008F71E8" w:rsidP="00467B51">
      <w:pPr>
        <w:pStyle w:val="Encabezado"/>
        <w:jc w:val="center"/>
        <w:rPr>
          <w:rFonts w:cs="Arial"/>
          <w:b/>
          <w:bCs/>
          <w:color w:val="000000" w:themeColor="text1"/>
          <w:sz w:val="24"/>
          <w:lang w:val="es-MX"/>
        </w:rPr>
      </w:pPr>
    </w:p>
    <w:p w14:paraId="7D410839" w14:textId="0867495E" w:rsidR="00467B51" w:rsidRDefault="00DB5649" w:rsidP="00467B51">
      <w:pPr>
        <w:pStyle w:val="Encabezado"/>
        <w:jc w:val="center"/>
        <w:rPr>
          <w:rFonts w:cs="Arial"/>
          <w:b/>
          <w:bCs/>
          <w:color w:val="000000" w:themeColor="text1"/>
          <w:sz w:val="24"/>
          <w:lang w:val="es-MX"/>
        </w:rPr>
      </w:pPr>
      <w:r w:rsidRPr="003B6056">
        <w:rPr>
          <w:rFonts w:cs="Arial"/>
          <w:b/>
          <w:bCs/>
          <w:color w:val="000000" w:themeColor="text1"/>
          <w:sz w:val="24"/>
          <w:lang w:val="es-MX"/>
        </w:rPr>
        <w:t>E</w:t>
      </w:r>
      <w:r w:rsidR="00ED113C">
        <w:rPr>
          <w:rFonts w:cs="Arial"/>
          <w:b/>
          <w:bCs/>
          <w:color w:val="000000" w:themeColor="text1"/>
          <w:sz w:val="24"/>
          <w:lang w:val="es-MX"/>
        </w:rPr>
        <w:t xml:space="preserve">STADÍSTICAS A PROPÓSITO DEL DÍA MUNDIAL </w:t>
      </w:r>
      <w:r w:rsidRPr="003B6056">
        <w:rPr>
          <w:rFonts w:cs="Arial"/>
          <w:b/>
          <w:bCs/>
          <w:color w:val="000000" w:themeColor="text1"/>
          <w:sz w:val="24"/>
          <w:lang w:val="es-MX"/>
        </w:rPr>
        <w:t>DE</w:t>
      </w:r>
      <w:r>
        <w:rPr>
          <w:rFonts w:cs="Arial"/>
          <w:b/>
          <w:bCs/>
          <w:color w:val="000000" w:themeColor="text1"/>
          <w:sz w:val="24"/>
          <w:lang w:val="es-MX"/>
        </w:rPr>
        <w:t xml:space="preserve"> </w:t>
      </w:r>
      <w:r w:rsidRPr="003B6056">
        <w:rPr>
          <w:rFonts w:cs="Arial"/>
          <w:b/>
          <w:bCs/>
          <w:color w:val="000000" w:themeColor="text1"/>
          <w:sz w:val="24"/>
          <w:lang w:val="es-MX"/>
        </w:rPr>
        <w:t>L</w:t>
      </w:r>
      <w:r>
        <w:rPr>
          <w:rFonts w:cs="Arial"/>
          <w:b/>
          <w:bCs/>
          <w:color w:val="000000" w:themeColor="text1"/>
          <w:sz w:val="24"/>
          <w:lang w:val="es-MX"/>
        </w:rPr>
        <w:t>A</w:t>
      </w:r>
      <w:r w:rsidRPr="003B6056">
        <w:rPr>
          <w:rFonts w:cs="Arial"/>
          <w:b/>
          <w:bCs/>
          <w:color w:val="000000" w:themeColor="text1"/>
          <w:sz w:val="24"/>
          <w:lang w:val="es-MX"/>
        </w:rPr>
        <w:t xml:space="preserve"> </w:t>
      </w:r>
      <w:r>
        <w:rPr>
          <w:rFonts w:cs="Arial"/>
          <w:b/>
          <w:bCs/>
          <w:color w:val="000000" w:themeColor="text1"/>
          <w:sz w:val="24"/>
          <w:lang w:val="es-MX"/>
        </w:rPr>
        <w:t>POBLACIÓN</w:t>
      </w:r>
      <w:r w:rsidR="00467B51">
        <w:rPr>
          <w:rFonts w:cs="Arial"/>
          <w:b/>
          <w:bCs/>
          <w:color w:val="000000" w:themeColor="text1"/>
          <w:sz w:val="24"/>
          <w:lang w:val="es-MX"/>
        </w:rPr>
        <w:t xml:space="preserve"> </w:t>
      </w:r>
    </w:p>
    <w:p w14:paraId="22409705" w14:textId="1DC1264D" w:rsidR="00DB5649" w:rsidRPr="00467B51" w:rsidRDefault="00DB5649" w:rsidP="00467B51">
      <w:pPr>
        <w:pStyle w:val="Encabezado"/>
        <w:jc w:val="center"/>
        <w:rPr>
          <w:rFonts w:cs="Arial"/>
          <w:b/>
          <w:bCs/>
          <w:color w:val="000000" w:themeColor="text1"/>
          <w:sz w:val="24"/>
          <w:lang w:val="es-MX"/>
        </w:rPr>
      </w:pPr>
      <w:r w:rsidRPr="003B6056">
        <w:rPr>
          <w:rFonts w:cs="Arial"/>
          <w:b/>
          <w:sz w:val="24"/>
          <w:lang w:val="es-MX"/>
        </w:rPr>
        <w:t>DATOS NACIONALES</w:t>
      </w:r>
    </w:p>
    <w:p w14:paraId="22EE6C6A" w14:textId="77777777" w:rsidR="00DB5649" w:rsidRPr="003B6056" w:rsidRDefault="00DB5649" w:rsidP="00DB5649">
      <w:pPr>
        <w:spacing w:before="120" w:line="276" w:lineRule="auto"/>
        <w:jc w:val="center"/>
        <w:rPr>
          <w:rFonts w:cs="Arial"/>
          <w:bCs/>
          <w:sz w:val="2"/>
          <w:szCs w:val="2"/>
        </w:rPr>
      </w:pPr>
    </w:p>
    <w:p w14:paraId="2FC1F0EE" w14:textId="297AC9B6" w:rsidR="00DB5649" w:rsidRPr="00873568" w:rsidRDefault="00467B51" w:rsidP="0027222A">
      <w:pPr>
        <w:pStyle w:val="Textoindependiente"/>
        <w:numPr>
          <w:ilvl w:val="0"/>
          <w:numId w:val="1"/>
        </w:numPr>
        <w:autoSpaceDE w:val="0"/>
        <w:autoSpaceDN w:val="0"/>
        <w:adjustRightInd w:val="0"/>
        <w:spacing w:after="120"/>
        <w:ind w:left="284" w:right="425" w:hanging="284"/>
        <w:rPr>
          <w:sz w:val="24"/>
        </w:rPr>
      </w:pPr>
      <w:bookmarkStart w:id="0" w:name="_Hlk58484744"/>
      <w:r>
        <w:rPr>
          <w:sz w:val="24"/>
        </w:rPr>
        <w:t>De acuerdo con</w:t>
      </w:r>
      <w:r w:rsidR="00DB5649">
        <w:rPr>
          <w:sz w:val="24"/>
        </w:rPr>
        <w:t xml:space="preserve"> datos d</w:t>
      </w:r>
      <w:r w:rsidR="00DB5649" w:rsidRPr="00873568">
        <w:rPr>
          <w:sz w:val="24"/>
        </w:rPr>
        <w:t>el Censo</w:t>
      </w:r>
      <w:r w:rsidR="00DB5649">
        <w:rPr>
          <w:sz w:val="24"/>
        </w:rPr>
        <w:t xml:space="preserve"> de Población</w:t>
      </w:r>
      <w:r w:rsidR="00DB5649" w:rsidRPr="00873568">
        <w:rPr>
          <w:sz w:val="24"/>
        </w:rPr>
        <w:t xml:space="preserve"> </w:t>
      </w:r>
      <w:r w:rsidR="00DB5649">
        <w:rPr>
          <w:sz w:val="24"/>
        </w:rPr>
        <w:t xml:space="preserve">y Vivienda </w:t>
      </w:r>
      <w:r w:rsidR="00DB5649" w:rsidRPr="00873568">
        <w:rPr>
          <w:sz w:val="24"/>
        </w:rPr>
        <w:t xml:space="preserve">2020 </w:t>
      </w:r>
      <w:r w:rsidR="00DB5649">
        <w:rPr>
          <w:sz w:val="24"/>
        </w:rPr>
        <w:t>e</w:t>
      </w:r>
      <w:r w:rsidR="00DB5649" w:rsidRPr="00873568">
        <w:rPr>
          <w:sz w:val="24"/>
        </w:rPr>
        <w:t xml:space="preserve">n México </w:t>
      </w:r>
      <w:r w:rsidR="00DB5649">
        <w:rPr>
          <w:sz w:val="24"/>
        </w:rPr>
        <w:t>residen</w:t>
      </w:r>
      <w:r w:rsidR="00DB5649" w:rsidRPr="00873568">
        <w:rPr>
          <w:sz w:val="24"/>
        </w:rPr>
        <w:t xml:space="preserve"> 126 millones de personas</w:t>
      </w:r>
      <w:r>
        <w:rPr>
          <w:sz w:val="24"/>
        </w:rPr>
        <w:t>:</w:t>
      </w:r>
      <w:r w:rsidR="00DB5649" w:rsidRPr="00873568">
        <w:rPr>
          <w:sz w:val="24"/>
        </w:rPr>
        <w:t xml:space="preserve"> 51% son mujeres y 49% hombres.</w:t>
      </w:r>
    </w:p>
    <w:bookmarkEnd w:id="0"/>
    <w:p w14:paraId="02B7CE07" w14:textId="2B29B947" w:rsidR="005F19B4" w:rsidRPr="005F19B4" w:rsidRDefault="005F19B4" w:rsidP="0027222A">
      <w:pPr>
        <w:pStyle w:val="Textoindependiente"/>
        <w:numPr>
          <w:ilvl w:val="0"/>
          <w:numId w:val="1"/>
        </w:numPr>
        <w:autoSpaceDE w:val="0"/>
        <w:autoSpaceDN w:val="0"/>
        <w:adjustRightInd w:val="0"/>
        <w:spacing w:after="120"/>
        <w:ind w:left="284" w:right="425" w:hanging="284"/>
        <w:rPr>
          <w:sz w:val="24"/>
        </w:rPr>
      </w:pPr>
      <w:r>
        <w:rPr>
          <w:sz w:val="24"/>
        </w:rPr>
        <w:t>En 2020, siete estados concentran 49% de la población del país</w:t>
      </w:r>
      <w:r w:rsidRPr="005F19B4">
        <w:rPr>
          <w:sz w:val="24"/>
        </w:rPr>
        <w:t>: México (14%), Ciudad de México y Jalisco (7% cada una), Veracruz (6%), Guanajuato, Nu</w:t>
      </w:r>
      <w:r>
        <w:rPr>
          <w:sz w:val="24"/>
        </w:rPr>
        <w:t>evo León y Puebla (5% cada una).</w:t>
      </w:r>
      <w:r w:rsidRPr="005F19B4">
        <w:rPr>
          <w:sz w:val="24"/>
        </w:rPr>
        <w:t xml:space="preserve"> </w:t>
      </w:r>
    </w:p>
    <w:p w14:paraId="6BA64C93" w14:textId="1DD6F511" w:rsidR="00DB5649" w:rsidRPr="00873568" w:rsidRDefault="00DB5649" w:rsidP="0027222A">
      <w:pPr>
        <w:pStyle w:val="Textoindependiente"/>
        <w:numPr>
          <w:ilvl w:val="0"/>
          <w:numId w:val="1"/>
        </w:numPr>
        <w:autoSpaceDE w:val="0"/>
        <w:autoSpaceDN w:val="0"/>
        <w:adjustRightInd w:val="0"/>
        <w:spacing w:after="120"/>
        <w:ind w:left="284" w:right="425" w:hanging="284"/>
        <w:rPr>
          <w:sz w:val="24"/>
        </w:rPr>
      </w:pPr>
      <w:r w:rsidRPr="00873568">
        <w:rPr>
          <w:sz w:val="24"/>
        </w:rPr>
        <w:t xml:space="preserve">De acuerdo con </w:t>
      </w:r>
      <w:r>
        <w:rPr>
          <w:sz w:val="24"/>
        </w:rPr>
        <w:t xml:space="preserve">la </w:t>
      </w:r>
      <w:r w:rsidR="00467B51">
        <w:rPr>
          <w:sz w:val="24"/>
        </w:rPr>
        <w:t>m</w:t>
      </w:r>
      <w:r>
        <w:rPr>
          <w:sz w:val="24"/>
        </w:rPr>
        <w:t xml:space="preserve">uestra </w:t>
      </w:r>
      <w:r w:rsidR="00C55BAB">
        <w:rPr>
          <w:sz w:val="24"/>
        </w:rPr>
        <w:t>c</w:t>
      </w:r>
      <w:r>
        <w:rPr>
          <w:sz w:val="24"/>
        </w:rPr>
        <w:t>ensal</w:t>
      </w:r>
      <w:r w:rsidRPr="00873568">
        <w:rPr>
          <w:sz w:val="24"/>
        </w:rPr>
        <w:t>, entre marzo de 2015 y marzo de 2020 se fueron a vivir a otro país 802 807 personas.</w:t>
      </w:r>
    </w:p>
    <w:p w14:paraId="65D49943" w14:textId="77777777" w:rsidR="00DB5649" w:rsidRPr="0099054D" w:rsidRDefault="00DB5649" w:rsidP="00DB5649">
      <w:pPr>
        <w:ind w:left="-567"/>
        <w:rPr>
          <w:rFonts w:cs="Arial"/>
          <w:color w:val="FF0000"/>
          <w:sz w:val="14"/>
          <w:szCs w:val="14"/>
          <w:shd w:val="clear" w:color="auto" w:fill="FFFFFF"/>
        </w:rPr>
      </w:pPr>
    </w:p>
    <w:p w14:paraId="280894E7" w14:textId="0CBE30A6" w:rsidR="00DB5649" w:rsidRPr="00E3294F" w:rsidRDefault="00DB5649" w:rsidP="00DB5649">
      <w:pPr>
        <w:ind w:left="-567"/>
        <w:rPr>
          <w:rFonts w:cs="Arial"/>
          <w:bCs/>
          <w:szCs w:val="22"/>
          <w:lang w:val="es-MX"/>
        </w:rPr>
      </w:pPr>
      <w:r w:rsidRPr="00162FEA">
        <w:rPr>
          <w:rFonts w:cs="Arial"/>
          <w:bCs/>
          <w:szCs w:val="22"/>
        </w:rPr>
        <w:t>La Asamblea General de las Naciones Unidas determina c</w:t>
      </w:r>
      <w:r w:rsidR="0027222A">
        <w:rPr>
          <w:rFonts w:cs="Arial"/>
          <w:bCs/>
          <w:szCs w:val="22"/>
        </w:rPr>
        <w:t xml:space="preserve">onmemorar </w:t>
      </w:r>
      <w:r w:rsidRPr="00162FEA">
        <w:rPr>
          <w:rFonts w:cs="Arial"/>
          <w:bCs/>
          <w:szCs w:val="22"/>
        </w:rPr>
        <w:t xml:space="preserve">el Día Mundial de la Población con la intención de concientizar sobre las cuestiones de población, sus relaciones con el medio ambiente y el desarrollo. </w:t>
      </w:r>
      <w:r w:rsidR="00C92851">
        <w:rPr>
          <w:rFonts w:cs="Arial"/>
          <w:bCs/>
          <w:szCs w:val="22"/>
        </w:rPr>
        <w:t>La</w:t>
      </w:r>
      <w:r w:rsidR="000A71C9">
        <w:rPr>
          <w:rFonts w:cs="Arial"/>
          <w:bCs/>
          <w:szCs w:val="22"/>
        </w:rPr>
        <w:t xml:space="preserve"> celebración se llevó a cabo</w:t>
      </w:r>
      <w:r w:rsidRPr="00162FEA">
        <w:rPr>
          <w:rFonts w:cs="Arial"/>
          <w:bCs/>
          <w:szCs w:val="22"/>
        </w:rPr>
        <w:t xml:space="preserve"> por primera vez el 11 de julio de 1990</w:t>
      </w:r>
      <w:r w:rsidRPr="00162FEA">
        <w:rPr>
          <w:rStyle w:val="Refdenotaalpie"/>
          <w:rFonts w:cs="Arial"/>
          <w:szCs w:val="22"/>
        </w:rPr>
        <w:footnoteReference w:id="1"/>
      </w:r>
      <w:r w:rsidR="009C7717">
        <w:rPr>
          <w:rFonts w:cs="Arial"/>
          <w:bCs/>
          <w:szCs w:val="22"/>
        </w:rPr>
        <w:t xml:space="preserve">. </w:t>
      </w:r>
      <w:r w:rsidRPr="00E3294F">
        <w:rPr>
          <w:rFonts w:cs="Arial"/>
          <w:bCs/>
          <w:szCs w:val="22"/>
          <w:lang w:val="es-MX"/>
        </w:rPr>
        <w:t>Con el objetivo de conmemorar esta fecha</w:t>
      </w:r>
      <w:r>
        <w:rPr>
          <w:rFonts w:cs="Arial"/>
          <w:bCs/>
          <w:szCs w:val="22"/>
          <w:lang w:val="es-MX"/>
        </w:rPr>
        <w:t>,</w:t>
      </w:r>
      <w:r w:rsidRPr="00E3294F">
        <w:rPr>
          <w:rFonts w:cs="Arial"/>
          <w:bCs/>
          <w:szCs w:val="22"/>
          <w:lang w:val="es-MX"/>
        </w:rPr>
        <w:t xml:space="preserve"> el Instituto Nacional de Estadística y Geografía (INEGI) integra información sobre los componentes demográficos que afectan el monto y estructura de la</w:t>
      </w:r>
      <w:r>
        <w:rPr>
          <w:rFonts w:cs="Arial"/>
          <w:bCs/>
          <w:szCs w:val="22"/>
          <w:lang w:val="es-MX"/>
        </w:rPr>
        <w:t xml:space="preserve"> población</w:t>
      </w:r>
      <w:r w:rsidR="0027222A">
        <w:rPr>
          <w:rFonts w:cs="Arial"/>
          <w:bCs/>
          <w:szCs w:val="22"/>
          <w:lang w:val="es-MX"/>
        </w:rPr>
        <w:t>.</w:t>
      </w:r>
      <w:r>
        <w:rPr>
          <w:rFonts w:cs="Arial"/>
          <w:bCs/>
          <w:szCs w:val="22"/>
          <w:lang w:val="es-MX"/>
        </w:rPr>
        <w:t xml:space="preserve"> </w:t>
      </w:r>
      <w:r w:rsidR="0027222A">
        <w:rPr>
          <w:rFonts w:cs="Arial"/>
          <w:bCs/>
          <w:szCs w:val="22"/>
          <w:lang w:val="es-MX"/>
        </w:rPr>
        <w:t>P</w:t>
      </w:r>
      <w:r>
        <w:rPr>
          <w:rFonts w:cs="Arial"/>
          <w:bCs/>
          <w:szCs w:val="22"/>
          <w:lang w:val="es-MX"/>
        </w:rPr>
        <w:t>ara ello se usó la información de</w:t>
      </w:r>
      <w:r w:rsidRPr="00E3294F">
        <w:rPr>
          <w:rFonts w:cs="Arial"/>
          <w:bCs/>
          <w:szCs w:val="22"/>
          <w:lang w:val="es-MX"/>
        </w:rPr>
        <w:t>l Censo de Población y Vivienda de 1990 y 2020, así como las proyecciones que estima el Consejo Nacional de Población (CONAPO).</w:t>
      </w:r>
    </w:p>
    <w:p w14:paraId="6C453B88" w14:textId="77777777" w:rsidR="00DB5649" w:rsidRPr="00E3294F" w:rsidRDefault="00DB5649" w:rsidP="00DB5649">
      <w:pPr>
        <w:ind w:left="-567"/>
        <w:rPr>
          <w:lang w:val="es-MX"/>
        </w:rPr>
      </w:pPr>
    </w:p>
    <w:p w14:paraId="3709B38A" w14:textId="77777777" w:rsidR="00DB5649" w:rsidRPr="00E3294F" w:rsidRDefault="00DB5649" w:rsidP="00DB5649">
      <w:pPr>
        <w:autoSpaceDE w:val="0"/>
        <w:autoSpaceDN w:val="0"/>
        <w:adjustRightInd w:val="0"/>
        <w:ind w:left="-567"/>
        <w:rPr>
          <w:rFonts w:eastAsiaTheme="minorHAnsi" w:cs="Arial"/>
          <w:b/>
          <w:szCs w:val="22"/>
          <w:lang w:val="es-MX" w:eastAsia="en-US"/>
        </w:rPr>
      </w:pPr>
      <w:r w:rsidRPr="00E3294F">
        <w:rPr>
          <w:rFonts w:eastAsiaTheme="minorHAnsi" w:cs="Arial"/>
          <w:b/>
          <w:szCs w:val="22"/>
          <w:lang w:val="es-MX" w:eastAsia="en-US"/>
        </w:rPr>
        <w:t>MONTO Y ESTRUCTURA DE LA POBLACIÓN</w:t>
      </w:r>
    </w:p>
    <w:p w14:paraId="0A39749A" w14:textId="77777777" w:rsidR="00DB5649" w:rsidRPr="00E3294F" w:rsidRDefault="00DB5649" w:rsidP="00DB5649">
      <w:pPr>
        <w:autoSpaceDE w:val="0"/>
        <w:autoSpaceDN w:val="0"/>
        <w:adjustRightInd w:val="0"/>
        <w:ind w:left="-567"/>
        <w:rPr>
          <w:rFonts w:eastAsiaTheme="minorHAnsi" w:cs="Arial"/>
          <w:b/>
          <w:szCs w:val="22"/>
          <w:lang w:val="es-MX" w:eastAsia="en-US"/>
        </w:rPr>
      </w:pPr>
    </w:p>
    <w:p w14:paraId="593AE5A6" w14:textId="34099D0D" w:rsidR="00DB5649" w:rsidRPr="00E3294F" w:rsidRDefault="00DB5649" w:rsidP="00DB5649">
      <w:pPr>
        <w:ind w:left="-567"/>
        <w:rPr>
          <w:rFonts w:eastAsiaTheme="minorHAnsi"/>
          <w:szCs w:val="22"/>
          <w:lang w:eastAsia="en-US"/>
        </w:rPr>
      </w:pPr>
      <w:r w:rsidRPr="00E3294F">
        <w:rPr>
          <w:rFonts w:eastAsiaTheme="minorHAnsi"/>
          <w:szCs w:val="22"/>
          <w:lang w:val="es-MX" w:eastAsia="en-US"/>
        </w:rPr>
        <w:t xml:space="preserve">De acuerdo con el Censo de Población y Vivienda 2020, la población que reside en </w:t>
      </w:r>
      <w:r w:rsidRPr="00E3294F">
        <w:rPr>
          <w:rFonts w:eastAsiaTheme="minorHAnsi"/>
          <w:szCs w:val="22"/>
          <w:lang w:eastAsia="en-US"/>
        </w:rPr>
        <w:t>México asciende a 126 millones de personas</w:t>
      </w:r>
      <w:r w:rsidR="0027222A">
        <w:rPr>
          <w:rFonts w:eastAsiaTheme="minorHAnsi"/>
          <w:szCs w:val="22"/>
          <w:lang w:eastAsia="en-US"/>
        </w:rPr>
        <w:t>:</w:t>
      </w:r>
      <w:r w:rsidRPr="00E3294F">
        <w:rPr>
          <w:rFonts w:eastAsiaTheme="minorHAnsi"/>
          <w:szCs w:val="22"/>
          <w:lang w:eastAsia="en-US"/>
        </w:rPr>
        <w:t xml:space="preserve"> 51% son mujeres y 49% hombres. Al analizar la pirámide de la población</w:t>
      </w:r>
      <w:r w:rsidR="000A71C9">
        <w:rPr>
          <w:rFonts w:eastAsiaTheme="minorHAnsi"/>
          <w:szCs w:val="22"/>
          <w:lang w:eastAsia="en-US"/>
        </w:rPr>
        <w:t>,</w:t>
      </w:r>
      <w:r w:rsidRPr="00E3294F">
        <w:rPr>
          <w:rFonts w:eastAsiaTheme="minorHAnsi"/>
          <w:szCs w:val="22"/>
          <w:lang w:eastAsia="en-US"/>
        </w:rPr>
        <w:t xml:space="preserve"> se observa que en los últimos treinta años</w:t>
      </w:r>
      <w:r w:rsidR="0027222A">
        <w:rPr>
          <w:rFonts w:eastAsiaTheme="minorHAnsi"/>
          <w:szCs w:val="22"/>
          <w:lang w:eastAsia="en-US"/>
        </w:rPr>
        <w:t xml:space="preserve"> (1990 a 2020) </w:t>
      </w:r>
      <w:r w:rsidRPr="00E3294F">
        <w:rPr>
          <w:rFonts w:eastAsiaTheme="minorHAnsi"/>
          <w:szCs w:val="22"/>
          <w:lang w:eastAsia="en-US"/>
        </w:rPr>
        <w:t xml:space="preserve">la base se ha </w:t>
      </w:r>
      <w:r w:rsidRPr="00162FEA">
        <w:rPr>
          <w:rFonts w:eastAsiaTheme="minorHAnsi"/>
          <w:szCs w:val="22"/>
          <w:lang w:eastAsia="en-US"/>
        </w:rPr>
        <w:t>reducido</w:t>
      </w:r>
      <w:r w:rsidR="0027222A">
        <w:rPr>
          <w:rFonts w:eastAsiaTheme="minorHAnsi"/>
          <w:szCs w:val="22"/>
          <w:lang w:eastAsia="en-US"/>
        </w:rPr>
        <w:t xml:space="preserve"> debido a la disminución de la población de </w:t>
      </w:r>
      <w:r w:rsidRPr="00E3294F">
        <w:rPr>
          <w:rFonts w:eastAsiaTheme="minorHAnsi"/>
          <w:szCs w:val="22"/>
          <w:lang w:eastAsia="en-US"/>
        </w:rPr>
        <w:t xml:space="preserve">niños (38% a 25%) y jóvenes de 15 a 29 años (29% a 25%). </w:t>
      </w:r>
    </w:p>
    <w:p w14:paraId="438909DD" w14:textId="77777777" w:rsidR="00DB5649" w:rsidRPr="00E3294F" w:rsidRDefault="00DB5649" w:rsidP="00DB5649">
      <w:pPr>
        <w:ind w:left="-567" w:firstLine="1843"/>
        <w:rPr>
          <w:b/>
          <w:bCs/>
          <w:sz w:val="20"/>
          <w:szCs w:val="20"/>
          <w:lang w:val="es-MX"/>
        </w:rPr>
      </w:pPr>
    </w:p>
    <w:p w14:paraId="7B4C4716" w14:textId="77777777" w:rsidR="00DB5649" w:rsidRPr="00E3294F" w:rsidRDefault="00DB5649" w:rsidP="00DB5649">
      <w:pPr>
        <w:ind w:left="-567" w:firstLine="1843"/>
        <w:rPr>
          <w:b/>
          <w:bCs/>
          <w:sz w:val="20"/>
          <w:szCs w:val="20"/>
          <w:lang w:val="es-MX"/>
        </w:rPr>
      </w:pPr>
      <w:r w:rsidRPr="00E3294F">
        <w:rPr>
          <w:b/>
          <w:bCs/>
          <w:sz w:val="20"/>
          <w:szCs w:val="20"/>
          <w:lang w:val="es-MX"/>
        </w:rPr>
        <w:t>Estructura de la población por grupo quinquenal de edad y sexo</w:t>
      </w:r>
    </w:p>
    <w:p w14:paraId="38501519" w14:textId="055F8664" w:rsidR="00DB5649" w:rsidRDefault="00DB5649" w:rsidP="00181F14">
      <w:pPr>
        <w:tabs>
          <w:tab w:val="left" w:pos="2842"/>
        </w:tabs>
        <w:ind w:firstLine="1276"/>
        <w:jc w:val="left"/>
        <w:rPr>
          <w:b/>
          <w:bCs/>
          <w:sz w:val="20"/>
          <w:szCs w:val="20"/>
          <w:lang w:val="es-MX"/>
        </w:rPr>
      </w:pPr>
      <w:r w:rsidRPr="00E3294F">
        <w:rPr>
          <w:b/>
          <w:bCs/>
          <w:sz w:val="20"/>
          <w:szCs w:val="20"/>
          <w:lang w:val="es-MX"/>
        </w:rPr>
        <w:t>1990 y 2020</w:t>
      </w:r>
      <w:r w:rsidR="00181F14">
        <w:rPr>
          <w:b/>
          <w:bCs/>
          <w:sz w:val="20"/>
          <w:szCs w:val="20"/>
          <w:lang w:val="es-MX"/>
        </w:rPr>
        <w:tab/>
      </w:r>
    </w:p>
    <w:p w14:paraId="44C85E60" w14:textId="024C0757" w:rsidR="00E11FF8" w:rsidRPr="00E3294F" w:rsidRDefault="00181F14" w:rsidP="00C87BD8">
      <w:pPr>
        <w:ind w:firstLine="1276"/>
        <w:jc w:val="left"/>
        <w:rPr>
          <w:sz w:val="20"/>
          <w:szCs w:val="20"/>
          <w:lang w:val="es-MX"/>
        </w:rPr>
      </w:pPr>
      <w:r w:rsidRPr="00181F14">
        <w:rPr>
          <w:noProof/>
          <w:lang w:val="es-MX" w:eastAsia="es-MX"/>
        </w:rPr>
        <w:drawing>
          <wp:inline distT="0" distB="0" distL="0" distR="0" wp14:anchorId="7DC3767E" wp14:editId="46388726">
            <wp:extent cx="3453765" cy="2662346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779" cy="268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A59AE" w14:textId="702FED6A" w:rsidR="00DB5649" w:rsidRDefault="00DB5649" w:rsidP="00E11FF8">
      <w:pPr>
        <w:ind w:left="1276"/>
        <w:jc w:val="left"/>
        <w:rPr>
          <w:sz w:val="16"/>
          <w:szCs w:val="16"/>
          <w:lang w:val="es-MX"/>
        </w:rPr>
      </w:pPr>
      <w:r w:rsidRPr="00E3294F">
        <w:rPr>
          <w:sz w:val="16"/>
          <w:szCs w:val="16"/>
          <w:lang w:val="es-MX"/>
        </w:rPr>
        <w:t>Fuente</w:t>
      </w:r>
      <w:r>
        <w:rPr>
          <w:sz w:val="16"/>
          <w:szCs w:val="16"/>
          <w:lang w:val="es-MX"/>
        </w:rPr>
        <w:t>s</w:t>
      </w:r>
      <w:r w:rsidRPr="00E3294F">
        <w:rPr>
          <w:sz w:val="16"/>
          <w:szCs w:val="16"/>
          <w:lang w:val="es-MX"/>
        </w:rPr>
        <w:t xml:space="preserve">: INEGI. XI Censo General de Población y Vivienda 1990. </w:t>
      </w:r>
      <w:r w:rsidRPr="00E3294F">
        <w:rPr>
          <w:rFonts w:cs="Arial"/>
          <w:sz w:val="16"/>
          <w:szCs w:val="16"/>
        </w:rPr>
        <w:t xml:space="preserve">Consulta interactiva </w:t>
      </w:r>
      <w:r>
        <w:rPr>
          <w:sz w:val="16"/>
          <w:szCs w:val="16"/>
          <w:lang w:val="es-MX"/>
        </w:rPr>
        <w:t xml:space="preserve">de datos. </w:t>
      </w:r>
    </w:p>
    <w:p w14:paraId="407F36E3" w14:textId="77777777" w:rsidR="00DB5649" w:rsidRDefault="00DB5649" w:rsidP="00DB5649">
      <w:pPr>
        <w:ind w:left="1985"/>
        <w:rPr>
          <w:rFonts w:cs="Arial"/>
          <w:sz w:val="16"/>
          <w:szCs w:val="16"/>
        </w:rPr>
      </w:pPr>
      <w:r w:rsidRPr="00E3294F">
        <w:rPr>
          <w:sz w:val="16"/>
          <w:szCs w:val="16"/>
          <w:lang w:val="es-MX"/>
        </w:rPr>
        <w:t xml:space="preserve">Censo de Población y Vivienda 2020. </w:t>
      </w:r>
      <w:r w:rsidRPr="00E3294F">
        <w:rPr>
          <w:rFonts w:cs="Arial"/>
          <w:sz w:val="16"/>
          <w:szCs w:val="16"/>
        </w:rPr>
        <w:t>Consulta interactiva de datos. Cuestionario Bás</w:t>
      </w:r>
      <w:r>
        <w:rPr>
          <w:rFonts w:cs="Arial"/>
          <w:sz w:val="16"/>
          <w:szCs w:val="16"/>
        </w:rPr>
        <w:t>ico.</w:t>
      </w:r>
    </w:p>
    <w:p w14:paraId="6B6971A9" w14:textId="77777777" w:rsidR="00DB5649" w:rsidRPr="00E3294F" w:rsidRDefault="00DB5649" w:rsidP="00DB5649">
      <w:pPr>
        <w:ind w:left="1985"/>
        <w:rPr>
          <w:rFonts w:cs="Arial"/>
          <w:sz w:val="16"/>
          <w:szCs w:val="16"/>
        </w:rPr>
      </w:pPr>
      <w:r w:rsidRPr="00E3294F">
        <w:rPr>
          <w:rFonts w:eastAsiaTheme="minorHAnsi"/>
          <w:bCs/>
          <w:sz w:val="16"/>
          <w:szCs w:val="16"/>
          <w:lang w:eastAsia="en-US"/>
        </w:rPr>
        <w:t>SNIEG. Información de Interés Nacional.</w:t>
      </w:r>
    </w:p>
    <w:p w14:paraId="473A605F" w14:textId="77777777" w:rsidR="00DB5649" w:rsidRPr="00E3294F" w:rsidRDefault="00DB5649" w:rsidP="00DB5649">
      <w:pPr>
        <w:rPr>
          <w:sz w:val="16"/>
          <w:szCs w:val="16"/>
        </w:rPr>
      </w:pPr>
    </w:p>
    <w:p w14:paraId="258FFFA5" w14:textId="18B640A3" w:rsidR="00DB5649" w:rsidRPr="00E3294F" w:rsidRDefault="00DB5649" w:rsidP="00DB5649">
      <w:pPr>
        <w:ind w:left="-567"/>
        <w:rPr>
          <w:rFonts w:eastAsiaTheme="minorHAnsi"/>
          <w:szCs w:val="22"/>
          <w:lang w:eastAsia="en-US"/>
        </w:rPr>
      </w:pPr>
      <w:r w:rsidRPr="00E3294F">
        <w:rPr>
          <w:rFonts w:eastAsiaTheme="minorHAnsi"/>
          <w:szCs w:val="22"/>
          <w:lang w:eastAsia="en-US"/>
        </w:rPr>
        <w:t xml:space="preserve">En contraste, hay </w:t>
      </w:r>
      <w:r>
        <w:rPr>
          <w:rFonts w:eastAsiaTheme="minorHAnsi"/>
          <w:szCs w:val="22"/>
          <w:lang w:eastAsia="en-US"/>
        </w:rPr>
        <w:t xml:space="preserve">un </w:t>
      </w:r>
      <w:r w:rsidRPr="00E3294F">
        <w:rPr>
          <w:rFonts w:eastAsiaTheme="minorHAnsi"/>
          <w:szCs w:val="22"/>
          <w:lang w:eastAsia="en-US"/>
        </w:rPr>
        <w:t>aumento porcentual en el mismo periodo de “adultos jóvenes” (30 a 59 años) y de adultos mayores (60 años y más)</w:t>
      </w:r>
      <w:r>
        <w:rPr>
          <w:rFonts w:eastAsiaTheme="minorHAnsi"/>
          <w:szCs w:val="22"/>
          <w:lang w:eastAsia="en-US"/>
        </w:rPr>
        <w:t>;</w:t>
      </w:r>
      <w:r w:rsidRPr="00E3294F">
        <w:rPr>
          <w:rFonts w:eastAsiaTheme="minorHAnsi"/>
          <w:szCs w:val="22"/>
          <w:lang w:eastAsia="en-US"/>
        </w:rPr>
        <w:t xml:space="preserve"> en los primeros</w:t>
      </w:r>
      <w:r>
        <w:rPr>
          <w:rFonts w:eastAsiaTheme="minorHAnsi"/>
          <w:szCs w:val="22"/>
          <w:lang w:eastAsia="en-US"/>
        </w:rPr>
        <w:t>,</w:t>
      </w:r>
      <w:r w:rsidRPr="00E3294F">
        <w:rPr>
          <w:rFonts w:eastAsiaTheme="minorHAnsi"/>
          <w:szCs w:val="22"/>
          <w:lang w:eastAsia="en-US"/>
        </w:rPr>
        <w:t xml:space="preserve"> </w:t>
      </w:r>
      <w:r>
        <w:rPr>
          <w:rFonts w:eastAsiaTheme="minorHAnsi"/>
          <w:szCs w:val="22"/>
          <w:lang w:eastAsia="en-US"/>
        </w:rPr>
        <w:t>la</w:t>
      </w:r>
      <w:r w:rsidRPr="00E3294F">
        <w:rPr>
          <w:rFonts w:eastAsiaTheme="minorHAnsi"/>
          <w:szCs w:val="22"/>
          <w:lang w:eastAsia="en-US"/>
        </w:rPr>
        <w:t xml:space="preserve"> participación relativa pasó de 26% a 38%, mientras que en </w:t>
      </w:r>
      <w:r>
        <w:rPr>
          <w:rFonts w:eastAsiaTheme="minorHAnsi"/>
          <w:szCs w:val="22"/>
          <w:lang w:eastAsia="en-US"/>
        </w:rPr>
        <w:t>los</w:t>
      </w:r>
      <w:r w:rsidRPr="00E3294F">
        <w:rPr>
          <w:rFonts w:eastAsiaTheme="minorHAnsi"/>
          <w:szCs w:val="22"/>
          <w:lang w:eastAsia="en-US"/>
        </w:rPr>
        <w:t xml:space="preserve"> segundo</w:t>
      </w:r>
      <w:r>
        <w:rPr>
          <w:rFonts w:eastAsiaTheme="minorHAnsi"/>
          <w:szCs w:val="22"/>
          <w:lang w:eastAsia="en-US"/>
        </w:rPr>
        <w:t>s</w:t>
      </w:r>
      <w:r w:rsidRPr="00E3294F">
        <w:rPr>
          <w:rFonts w:eastAsiaTheme="minorHAnsi"/>
          <w:szCs w:val="22"/>
          <w:lang w:eastAsia="en-US"/>
        </w:rPr>
        <w:t xml:space="preserve"> aumentó de 6% a 12 por ciento.</w:t>
      </w:r>
      <w:r>
        <w:rPr>
          <w:rFonts w:eastAsiaTheme="minorHAnsi"/>
          <w:szCs w:val="22"/>
          <w:lang w:eastAsia="en-US"/>
        </w:rPr>
        <w:t xml:space="preserve"> </w:t>
      </w:r>
      <w:r w:rsidRPr="00E3294F">
        <w:rPr>
          <w:rFonts w:eastAsiaTheme="minorHAnsi"/>
          <w:szCs w:val="22"/>
          <w:lang w:eastAsia="en-US"/>
        </w:rPr>
        <w:t>Estas tendencias conllevan a un proceso de envejecimiento, que al igual que en otras partes de</w:t>
      </w:r>
      <w:r w:rsidR="000A71C9">
        <w:rPr>
          <w:rFonts w:eastAsiaTheme="minorHAnsi"/>
          <w:szCs w:val="22"/>
          <w:lang w:eastAsia="en-US"/>
        </w:rPr>
        <w:t>l</w:t>
      </w:r>
      <w:r w:rsidRPr="00E3294F">
        <w:rPr>
          <w:rFonts w:eastAsiaTheme="minorHAnsi"/>
          <w:szCs w:val="22"/>
          <w:lang w:eastAsia="en-US"/>
        </w:rPr>
        <w:t xml:space="preserve"> mundo, se ha ido consolidando como parte de una dinámica demográfica que se caracteriza por una reducción de la fecundidad y un aumento de la esperanza de vida. Si bien la proporción de adultos mayores </w:t>
      </w:r>
      <w:r>
        <w:rPr>
          <w:rFonts w:eastAsiaTheme="minorHAnsi"/>
          <w:szCs w:val="22"/>
          <w:lang w:eastAsia="en-US"/>
        </w:rPr>
        <w:t xml:space="preserve">se </w:t>
      </w:r>
      <w:r w:rsidRPr="00E3294F">
        <w:rPr>
          <w:rFonts w:eastAsiaTheme="minorHAnsi"/>
          <w:szCs w:val="22"/>
          <w:lang w:eastAsia="en-US"/>
        </w:rPr>
        <w:t xml:space="preserve">ha </w:t>
      </w:r>
      <w:r>
        <w:rPr>
          <w:rFonts w:eastAsiaTheme="minorHAnsi"/>
          <w:szCs w:val="22"/>
          <w:lang w:eastAsia="en-US"/>
        </w:rPr>
        <w:t xml:space="preserve">incrementado </w:t>
      </w:r>
      <w:r w:rsidRPr="00E3294F">
        <w:rPr>
          <w:rFonts w:eastAsiaTheme="minorHAnsi"/>
          <w:szCs w:val="22"/>
          <w:lang w:eastAsia="en-US"/>
        </w:rPr>
        <w:t>como parte del proceso de envejecimiento, México sigue siendo un país de jóvenes</w:t>
      </w:r>
      <w:r w:rsidR="000A71C9">
        <w:rPr>
          <w:rFonts w:eastAsiaTheme="minorHAnsi"/>
          <w:szCs w:val="22"/>
          <w:lang w:eastAsia="en-US"/>
        </w:rPr>
        <w:t>,</w:t>
      </w:r>
      <w:r w:rsidRPr="00E3294F">
        <w:rPr>
          <w:rFonts w:eastAsiaTheme="minorHAnsi"/>
          <w:szCs w:val="22"/>
          <w:lang w:eastAsia="en-US"/>
        </w:rPr>
        <w:t xml:space="preserve"> ya que la edad mediana de </w:t>
      </w:r>
      <w:r w:rsidR="009C7717">
        <w:rPr>
          <w:rFonts w:eastAsiaTheme="minorHAnsi"/>
          <w:szCs w:val="22"/>
          <w:lang w:eastAsia="en-US"/>
        </w:rPr>
        <w:t>su población</w:t>
      </w:r>
      <w:r w:rsidRPr="00E3294F">
        <w:rPr>
          <w:rFonts w:eastAsiaTheme="minorHAnsi"/>
          <w:szCs w:val="22"/>
          <w:lang w:eastAsia="en-US"/>
        </w:rPr>
        <w:t xml:space="preserve"> es de 29 años.</w:t>
      </w:r>
    </w:p>
    <w:p w14:paraId="204F1C55" w14:textId="77777777" w:rsidR="00DB5649" w:rsidRPr="00E3294F" w:rsidRDefault="00DB5649" w:rsidP="00DB5649">
      <w:pPr>
        <w:ind w:left="-567"/>
        <w:rPr>
          <w:rFonts w:eastAsiaTheme="minorHAnsi"/>
          <w:szCs w:val="22"/>
          <w:lang w:eastAsia="en-US"/>
        </w:rPr>
      </w:pPr>
    </w:p>
    <w:p w14:paraId="15FEB5FC" w14:textId="77777777" w:rsidR="00DB5649" w:rsidRPr="00E3294F" w:rsidRDefault="00DB5649" w:rsidP="00DB5649">
      <w:pPr>
        <w:autoSpaceDE w:val="0"/>
        <w:autoSpaceDN w:val="0"/>
        <w:adjustRightInd w:val="0"/>
        <w:ind w:left="-567"/>
        <w:rPr>
          <w:rFonts w:eastAsiaTheme="minorHAnsi" w:cs="Arial"/>
          <w:b/>
          <w:szCs w:val="22"/>
          <w:lang w:val="es-MX" w:eastAsia="en-US"/>
        </w:rPr>
      </w:pPr>
      <w:r w:rsidRPr="00E3294F">
        <w:rPr>
          <w:rFonts w:eastAsiaTheme="minorHAnsi" w:cs="Arial"/>
          <w:b/>
          <w:szCs w:val="22"/>
          <w:lang w:val="es-MX" w:eastAsia="en-US"/>
        </w:rPr>
        <w:t>DISTRIBUCIÓN TERRITORIAL DE LA POBLACIÓN</w:t>
      </w:r>
    </w:p>
    <w:p w14:paraId="67983480" w14:textId="77777777" w:rsidR="00DB5649" w:rsidRPr="00E3294F" w:rsidRDefault="00DB5649" w:rsidP="00DB5649">
      <w:pPr>
        <w:ind w:left="-567"/>
        <w:rPr>
          <w:rFonts w:eastAsiaTheme="minorHAnsi"/>
          <w:szCs w:val="22"/>
          <w:lang w:eastAsia="en-US"/>
        </w:rPr>
      </w:pPr>
    </w:p>
    <w:p w14:paraId="5522F5EE" w14:textId="3C7B0E5E" w:rsidR="00DB5649" w:rsidRPr="00404251" w:rsidRDefault="00DB5649" w:rsidP="00DB5649">
      <w:pPr>
        <w:ind w:left="-567"/>
        <w:rPr>
          <w:rFonts w:cs="Arial"/>
          <w:szCs w:val="22"/>
        </w:rPr>
      </w:pPr>
      <w:bookmarkStart w:id="1" w:name="_Hlk73363603"/>
      <w:r>
        <w:rPr>
          <w:rFonts w:cs="Arial"/>
          <w:szCs w:val="22"/>
        </w:rPr>
        <w:t>La</w:t>
      </w:r>
      <w:r w:rsidRPr="00E3294F">
        <w:rPr>
          <w:rFonts w:cs="Arial"/>
          <w:szCs w:val="22"/>
        </w:rPr>
        <w:t xml:space="preserve"> distribución territorial de la población es un aspecto importante para el desarrollo</w:t>
      </w:r>
      <w:r>
        <w:rPr>
          <w:rFonts w:cs="Arial"/>
          <w:szCs w:val="22"/>
        </w:rPr>
        <w:t xml:space="preserve"> de las regiones</w:t>
      </w:r>
      <w:r w:rsidRPr="00E3294F">
        <w:rPr>
          <w:rFonts w:cs="Arial"/>
          <w:szCs w:val="22"/>
        </w:rPr>
        <w:t xml:space="preserve">, sobre todo en comunidades pequeñas y dispersas donde se dificulta el acceso </w:t>
      </w:r>
      <w:r w:rsidR="000A71C9">
        <w:rPr>
          <w:rFonts w:cs="Arial"/>
          <w:szCs w:val="22"/>
        </w:rPr>
        <w:t>a</w:t>
      </w:r>
      <w:r w:rsidR="000A71C9" w:rsidRPr="00E3294F">
        <w:rPr>
          <w:rFonts w:cs="Arial"/>
          <w:szCs w:val="22"/>
        </w:rPr>
        <w:t xml:space="preserve"> </w:t>
      </w:r>
      <w:r w:rsidRPr="00E3294F">
        <w:rPr>
          <w:rFonts w:cs="Arial"/>
          <w:szCs w:val="22"/>
        </w:rPr>
        <w:t xml:space="preserve">recursos y servicios que brinda el </w:t>
      </w:r>
      <w:r w:rsidRPr="00404251">
        <w:rPr>
          <w:rFonts w:cs="Arial"/>
          <w:szCs w:val="22"/>
        </w:rPr>
        <w:t>Estado</w:t>
      </w:r>
      <w:r w:rsidRPr="00404251">
        <w:rPr>
          <w:rStyle w:val="Refdenotaalpie"/>
          <w:rFonts w:cs="Arial"/>
          <w:szCs w:val="22"/>
        </w:rPr>
        <w:footnoteReference w:id="2"/>
      </w:r>
      <w:r w:rsidR="009C7717">
        <w:rPr>
          <w:rFonts w:cs="Arial"/>
          <w:szCs w:val="22"/>
        </w:rPr>
        <w:t>.</w:t>
      </w:r>
      <w:r w:rsidRPr="00404251">
        <w:rPr>
          <w:rFonts w:cs="Arial"/>
          <w:szCs w:val="22"/>
        </w:rPr>
        <w:t xml:space="preserve"> En 2020, 79% de la población reside en localidades de 2 500 habitantes o más, mientras </w:t>
      </w:r>
      <w:bookmarkStart w:id="2" w:name="_Hlk73363815"/>
      <w:bookmarkEnd w:id="1"/>
      <w:r w:rsidRPr="00404251">
        <w:rPr>
          <w:rFonts w:cs="Arial"/>
          <w:szCs w:val="22"/>
        </w:rPr>
        <w:t>que 21% vive en localidades de menor tamaño (menos de 2 500 habitantes</w:t>
      </w:r>
      <w:bookmarkEnd w:id="2"/>
      <w:r w:rsidRPr="00404251">
        <w:rPr>
          <w:rFonts w:cs="Arial"/>
          <w:szCs w:val="22"/>
        </w:rPr>
        <w:t xml:space="preserve">). </w:t>
      </w:r>
    </w:p>
    <w:p w14:paraId="394186B9" w14:textId="77777777" w:rsidR="00DB5649" w:rsidRPr="00404251" w:rsidRDefault="00DB5649" w:rsidP="00DB5649">
      <w:pPr>
        <w:ind w:left="-567"/>
        <w:rPr>
          <w:rFonts w:cs="Arial"/>
          <w:szCs w:val="22"/>
        </w:rPr>
      </w:pPr>
    </w:p>
    <w:p w14:paraId="533E9F0F" w14:textId="15B558D8" w:rsidR="00197852" w:rsidRDefault="0096720F" w:rsidP="00DB5649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>L</w:t>
      </w:r>
      <w:r w:rsidR="00DB5649" w:rsidRPr="00404251">
        <w:rPr>
          <w:rFonts w:cs="Arial"/>
          <w:szCs w:val="22"/>
        </w:rPr>
        <w:t>as entidades con mayor peso relativo respecto al total de la población son: México (14%), Ciudad de México y Jalisco (7% cada una), Veracruz (6%), Guanajuato, Nuevo León y Puebla (5% cada una),</w:t>
      </w:r>
      <w:r w:rsidR="00DB5649">
        <w:rPr>
          <w:rFonts w:cs="Arial"/>
          <w:szCs w:val="22"/>
        </w:rPr>
        <w:t xml:space="preserve"> </w:t>
      </w:r>
      <w:r w:rsidR="00DB5649" w:rsidRPr="00404251">
        <w:rPr>
          <w:rFonts w:cs="Arial"/>
          <w:szCs w:val="22"/>
        </w:rPr>
        <w:t xml:space="preserve">juntas concentran el 49% de la población del país. </w:t>
      </w:r>
    </w:p>
    <w:p w14:paraId="691F2ECA" w14:textId="77777777" w:rsidR="00197852" w:rsidRDefault="00197852" w:rsidP="00DB5649">
      <w:pPr>
        <w:ind w:left="-567"/>
        <w:rPr>
          <w:rFonts w:cs="Arial"/>
          <w:szCs w:val="22"/>
        </w:rPr>
      </w:pPr>
    </w:p>
    <w:p w14:paraId="5DB9F1F5" w14:textId="2468F22B" w:rsidR="00DB5649" w:rsidRPr="00404251" w:rsidRDefault="00DB5649" w:rsidP="00DB5649">
      <w:pPr>
        <w:ind w:left="-567"/>
        <w:rPr>
          <w:rFonts w:cs="Arial"/>
          <w:szCs w:val="22"/>
        </w:rPr>
      </w:pPr>
      <w:r w:rsidRPr="00404251">
        <w:rPr>
          <w:rFonts w:cs="Arial"/>
          <w:szCs w:val="22"/>
        </w:rPr>
        <w:t>El resto de la población (51%) se distribuye en las 25 entidades federativas restantes; destacando nueve entidades que tienen 1% (Aguascalientes, Baja California Sur, Campeche, Colima, Durango, Nayarit, Quintana Roo, Tlaxcala y Zacatecas</w:t>
      </w:r>
      <w:r>
        <w:rPr>
          <w:rFonts w:cs="Arial"/>
          <w:szCs w:val="22"/>
        </w:rPr>
        <w:t>)</w:t>
      </w:r>
      <w:r w:rsidRPr="00404251">
        <w:rPr>
          <w:rFonts w:cs="Arial"/>
          <w:szCs w:val="22"/>
        </w:rPr>
        <w:t xml:space="preserve">.  </w:t>
      </w:r>
    </w:p>
    <w:p w14:paraId="41841992" w14:textId="77777777" w:rsidR="00DB5649" w:rsidRPr="00E3294F" w:rsidRDefault="00DB5649" w:rsidP="00DB5649">
      <w:pPr>
        <w:ind w:left="-567"/>
        <w:rPr>
          <w:rFonts w:cs="Arial"/>
          <w:szCs w:val="22"/>
        </w:rPr>
      </w:pPr>
    </w:p>
    <w:p w14:paraId="03D5E084" w14:textId="77777777" w:rsidR="00DB5649" w:rsidRPr="00E3294F" w:rsidRDefault="00DB5649" w:rsidP="00DB5649">
      <w:pPr>
        <w:ind w:left="-567" w:firstLine="1701"/>
        <w:rPr>
          <w:rFonts w:cs="Arial"/>
          <w:b/>
          <w:sz w:val="20"/>
          <w:szCs w:val="20"/>
        </w:rPr>
      </w:pPr>
      <w:r w:rsidRPr="00E3294F">
        <w:rPr>
          <w:rFonts w:cs="Arial"/>
          <w:b/>
          <w:sz w:val="20"/>
          <w:szCs w:val="20"/>
        </w:rPr>
        <w:t>Distribución porcentual de la población por entidad federativa</w:t>
      </w:r>
    </w:p>
    <w:p w14:paraId="3F12DFB3" w14:textId="77777777" w:rsidR="00DB5649" w:rsidRPr="00E3294F" w:rsidRDefault="00DB5649" w:rsidP="00DB5649">
      <w:pPr>
        <w:ind w:left="-567" w:firstLine="1701"/>
        <w:jc w:val="left"/>
        <w:rPr>
          <w:rFonts w:cs="Arial"/>
          <w:b/>
          <w:sz w:val="20"/>
          <w:szCs w:val="20"/>
        </w:rPr>
      </w:pPr>
      <w:r w:rsidRPr="00E3294F">
        <w:rPr>
          <w:rFonts w:cs="Arial"/>
          <w:b/>
          <w:sz w:val="20"/>
          <w:szCs w:val="20"/>
        </w:rPr>
        <w:t>2020</w:t>
      </w:r>
    </w:p>
    <w:p w14:paraId="521CB543" w14:textId="77777777" w:rsidR="00DB5649" w:rsidRPr="00E3294F" w:rsidRDefault="00DB5649" w:rsidP="00DB5649">
      <w:pPr>
        <w:ind w:left="1843" w:hanging="709"/>
        <w:rPr>
          <w:rFonts w:cs="Arial"/>
          <w:sz w:val="16"/>
          <w:szCs w:val="16"/>
        </w:rPr>
      </w:pPr>
    </w:p>
    <w:p w14:paraId="3262A003" w14:textId="77777777" w:rsidR="00DB5649" w:rsidRPr="00E3294F" w:rsidRDefault="00DB5649" w:rsidP="00DB5649">
      <w:pPr>
        <w:ind w:left="1843" w:hanging="709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  <w:lang w:val="es-MX" w:eastAsia="es-MX"/>
        </w:rPr>
        <w:drawing>
          <wp:inline distT="0" distB="0" distL="0" distR="0" wp14:anchorId="475A56D2" wp14:editId="4EE430C8">
            <wp:extent cx="4464601" cy="29908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369" cy="300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0395B" w14:textId="07EF5233" w:rsidR="000437DA" w:rsidRDefault="00DB5649" w:rsidP="00ED1C4F">
      <w:pPr>
        <w:rPr>
          <w:rFonts w:cs="Arial"/>
          <w:sz w:val="16"/>
          <w:szCs w:val="16"/>
        </w:rPr>
      </w:pPr>
      <w:r w:rsidRPr="00E3294F">
        <w:rPr>
          <w:rFonts w:cs="Arial"/>
          <w:sz w:val="16"/>
          <w:szCs w:val="16"/>
        </w:rPr>
        <w:t xml:space="preserve">                     </w:t>
      </w:r>
    </w:p>
    <w:p w14:paraId="5E8408F8" w14:textId="77777777" w:rsidR="000437DA" w:rsidRDefault="00DB5649" w:rsidP="00DB5649">
      <w:pPr>
        <w:ind w:left="1134"/>
        <w:rPr>
          <w:rFonts w:cs="Arial"/>
          <w:sz w:val="16"/>
          <w:szCs w:val="16"/>
        </w:rPr>
      </w:pPr>
      <w:r w:rsidRPr="00E3294F">
        <w:rPr>
          <w:rFonts w:cs="Arial"/>
          <w:sz w:val="16"/>
          <w:szCs w:val="16"/>
        </w:rPr>
        <w:t xml:space="preserve">Fuente: INEGI. </w:t>
      </w:r>
      <w:r w:rsidRPr="00E3294F">
        <w:rPr>
          <w:sz w:val="16"/>
          <w:szCs w:val="16"/>
          <w:lang w:val="es-MX"/>
        </w:rPr>
        <w:t xml:space="preserve">Censo de Población y Vivienda 2020. </w:t>
      </w:r>
      <w:r w:rsidRPr="00E3294F">
        <w:rPr>
          <w:rFonts w:cs="Arial"/>
          <w:sz w:val="16"/>
          <w:szCs w:val="16"/>
        </w:rPr>
        <w:t xml:space="preserve">Consulta interactiva de datos. </w:t>
      </w:r>
    </w:p>
    <w:p w14:paraId="4C7EC782" w14:textId="30746F25" w:rsidR="00DB5649" w:rsidRPr="00CA1F49" w:rsidRDefault="000437DA" w:rsidP="000437DA">
      <w:pPr>
        <w:ind w:left="1134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             </w:t>
      </w:r>
      <w:r w:rsidR="00DB5649" w:rsidRPr="00E3294F">
        <w:rPr>
          <w:rFonts w:cs="Arial"/>
          <w:sz w:val="16"/>
          <w:szCs w:val="16"/>
        </w:rPr>
        <w:t>Cuestionario Bási</w:t>
      </w:r>
      <w:r>
        <w:rPr>
          <w:rFonts w:cs="Arial"/>
          <w:sz w:val="16"/>
          <w:szCs w:val="16"/>
        </w:rPr>
        <w:t xml:space="preserve">co. </w:t>
      </w:r>
      <w:r w:rsidR="00DB5649" w:rsidRPr="00E3294F">
        <w:rPr>
          <w:rFonts w:eastAsiaTheme="minorHAnsi"/>
          <w:bCs/>
          <w:sz w:val="16"/>
          <w:szCs w:val="16"/>
          <w:lang w:eastAsia="en-US"/>
        </w:rPr>
        <w:t>SNIEG. Información de Interés Nacional.</w:t>
      </w:r>
    </w:p>
    <w:p w14:paraId="06666DD4" w14:textId="77777777" w:rsidR="004A0064" w:rsidRDefault="004A0064" w:rsidP="00DB5649">
      <w:pPr>
        <w:ind w:left="-567"/>
        <w:rPr>
          <w:rFonts w:eastAsiaTheme="minorHAnsi" w:cs="Arial"/>
          <w:b/>
          <w:szCs w:val="22"/>
          <w:lang w:val="es-MX" w:eastAsia="en-US"/>
        </w:rPr>
      </w:pPr>
    </w:p>
    <w:p w14:paraId="0C82FA5F" w14:textId="77777777" w:rsidR="004A0064" w:rsidRDefault="004A0064" w:rsidP="00DB5649">
      <w:pPr>
        <w:ind w:left="-567"/>
        <w:rPr>
          <w:rFonts w:eastAsiaTheme="minorHAnsi" w:cs="Arial"/>
          <w:b/>
          <w:szCs w:val="22"/>
          <w:lang w:val="es-MX" w:eastAsia="en-US"/>
        </w:rPr>
      </w:pPr>
    </w:p>
    <w:p w14:paraId="36B89ECB" w14:textId="22901504" w:rsidR="00DB5649" w:rsidRPr="00E3294F" w:rsidRDefault="00DB5649" w:rsidP="00DB5649">
      <w:pPr>
        <w:ind w:left="-567"/>
        <w:rPr>
          <w:rFonts w:eastAsiaTheme="minorHAnsi" w:cs="Arial"/>
          <w:b/>
          <w:szCs w:val="22"/>
          <w:lang w:val="es-MX" w:eastAsia="en-US"/>
        </w:rPr>
      </w:pPr>
      <w:r w:rsidRPr="00E3294F">
        <w:rPr>
          <w:rFonts w:eastAsiaTheme="minorHAnsi" w:cs="Arial"/>
          <w:b/>
          <w:szCs w:val="22"/>
          <w:lang w:val="es-MX" w:eastAsia="en-US"/>
        </w:rPr>
        <w:t xml:space="preserve">TASA GLOBAL DE FECUNIDAD </w:t>
      </w:r>
    </w:p>
    <w:p w14:paraId="63B0A00B" w14:textId="77777777" w:rsidR="00DB5649" w:rsidRPr="00E3294F" w:rsidRDefault="00DB5649" w:rsidP="00DB5649">
      <w:pPr>
        <w:ind w:left="-567"/>
        <w:rPr>
          <w:rFonts w:cs="Arial"/>
          <w:szCs w:val="22"/>
        </w:rPr>
      </w:pPr>
    </w:p>
    <w:p w14:paraId="4162041D" w14:textId="77777777" w:rsidR="0096720F" w:rsidRDefault="00DB5649" w:rsidP="00DB5649">
      <w:pPr>
        <w:ind w:left="-567"/>
        <w:rPr>
          <w:rFonts w:cs="Arial"/>
          <w:szCs w:val="22"/>
        </w:rPr>
      </w:pPr>
      <w:r w:rsidRPr="0085113B">
        <w:rPr>
          <w:rFonts w:cs="Arial"/>
          <w:szCs w:val="22"/>
        </w:rPr>
        <w:t>La fecundidad es uno de</w:t>
      </w:r>
      <w:r>
        <w:rPr>
          <w:rFonts w:cs="Arial"/>
          <w:szCs w:val="22"/>
        </w:rPr>
        <w:t xml:space="preserve"> los</w:t>
      </w:r>
      <w:r w:rsidRPr="0085113B">
        <w:rPr>
          <w:rFonts w:cs="Arial"/>
          <w:szCs w:val="22"/>
        </w:rPr>
        <w:t xml:space="preserve"> componentes que más ha incidido en la estructura por edad y sexo de la población</w:t>
      </w:r>
      <w:r w:rsidRPr="0085113B">
        <w:rPr>
          <w:rStyle w:val="Refdenotaalpie"/>
          <w:rFonts w:cs="Arial"/>
          <w:szCs w:val="22"/>
        </w:rPr>
        <w:footnoteReference w:id="3"/>
      </w:r>
      <w:r w:rsidR="009C7717">
        <w:rPr>
          <w:rFonts w:cs="Arial"/>
          <w:szCs w:val="22"/>
        </w:rPr>
        <w:t>.</w:t>
      </w:r>
      <w:r w:rsidRPr="0085113B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L</w:t>
      </w:r>
      <w:r w:rsidRPr="0085113B">
        <w:rPr>
          <w:rFonts w:cs="Arial"/>
          <w:szCs w:val="22"/>
        </w:rPr>
        <w:t>a tasa global de fecundidad (TGF), se define como el número de h</w:t>
      </w:r>
      <w:r w:rsidRPr="0085113B">
        <w:t xml:space="preserve">ijos que </w:t>
      </w:r>
      <w:r w:rsidRPr="00E3294F">
        <w:t>en promedio tendrá una mujer al final de su vida reproductiva</w:t>
      </w:r>
      <w:r w:rsidRPr="00E3294F">
        <w:rPr>
          <w:rFonts w:cs="Arial"/>
          <w:szCs w:val="22"/>
        </w:rPr>
        <w:t xml:space="preserve">. </w:t>
      </w:r>
    </w:p>
    <w:p w14:paraId="2B5971F0" w14:textId="77777777" w:rsidR="0096720F" w:rsidRDefault="0096720F" w:rsidP="00DB5649">
      <w:pPr>
        <w:ind w:left="-567"/>
        <w:rPr>
          <w:rFonts w:cs="Arial"/>
          <w:szCs w:val="22"/>
        </w:rPr>
      </w:pPr>
    </w:p>
    <w:p w14:paraId="09F8BF15" w14:textId="68449D75" w:rsidR="00DB5649" w:rsidRPr="00E3294F" w:rsidRDefault="00DB5649" w:rsidP="00DB5649">
      <w:pPr>
        <w:ind w:left="-567"/>
        <w:rPr>
          <w:rFonts w:cs="Arial"/>
          <w:bCs/>
          <w:szCs w:val="22"/>
        </w:rPr>
      </w:pPr>
      <w:r w:rsidRPr="00E3294F">
        <w:rPr>
          <w:rFonts w:cs="Arial"/>
          <w:szCs w:val="22"/>
        </w:rPr>
        <w:t xml:space="preserve">De acuerdo con información de </w:t>
      </w:r>
      <w:r w:rsidRPr="00E3294F">
        <w:rPr>
          <w:rFonts w:cs="Arial"/>
          <w:bCs/>
          <w:szCs w:val="22"/>
        </w:rPr>
        <w:t xml:space="preserve">la </w:t>
      </w:r>
      <w:r w:rsidR="0096720F">
        <w:rPr>
          <w:rFonts w:cs="Arial"/>
          <w:bCs/>
          <w:szCs w:val="22"/>
        </w:rPr>
        <w:t>m</w:t>
      </w:r>
      <w:r w:rsidRPr="00E3294F">
        <w:rPr>
          <w:rFonts w:cs="Arial"/>
          <w:bCs/>
          <w:szCs w:val="22"/>
        </w:rPr>
        <w:t>uestra censal de 2020, la TGF en 2019 es de 1.88 hijos por mujer, siendo Chiapas</w:t>
      </w:r>
      <w:r>
        <w:rPr>
          <w:rFonts w:cs="Arial"/>
          <w:bCs/>
          <w:szCs w:val="22"/>
        </w:rPr>
        <w:t xml:space="preserve"> (</w:t>
      </w:r>
      <w:r w:rsidRPr="00E3294F">
        <w:rPr>
          <w:rFonts w:cs="Arial"/>
          <w:bCs/>
          <w:szCs w:val="22"/>
        </w:rPr>
        <w:t>2.74</w:t>
      </w:r>
      <w:r>
        <w:rPr>
          <w:rFonts w:cs="Arial"/>
          <w:bCs/>
          <w:szCs w:val="22"/>
        </w:rPr>
        <w:t xml:space="preserve"> hijos por mujer)</w:t>
      </w:r>
      <w:r w:rsidR="00197852">
        <w:rPr>
          <w:rFonts w:cs="Arial"/>
          <w:bCs/>
          <w:szCs w:val="22"/>
        </w:rPr>
        <w:t>, Guerrero (</w:t>
      </w:r>
      <w:r w:rsidR="00197852" w:rsidRPr="00E3294F">
        <w:rPr>
          <w:rFonts w:cs="Arial"/>
          <w:bCs/>
          <w:szCs w:val="22"/>
        </w:rPr>
        <w:t>2.</w:t>
      </w:r>
      <w:r w:rsidR="00133A1D">
        <w:rPr>
          <w:rFonts w:cs="Arial"/>
          <w:bCs/>
          <w:szCs w:val="22"/>
        </w:rPr>
        <w:t>32</w:t>
      </w:r>
      <w:r w:rsidR="00197852">
        <w:rPr>
          <w:rFonts w:cs="Arial"/>
          <w:bCs/>
          <w:szCs w:val="22"/>
        </w:rPr>
        <w:t xml:space="preserve"> hijos por mujer)</w:t>
      </w:r>
      <w:r w:rsidR="00133A1D">
        <w:rPr>
          <w:rFonts w:cs="Arial"/>
          <w:bCs/>
          <w:szCs w:val="22"/>
        </w:rPr>
        <w:t>,</w:t>
      </w:r>
      <w:r w:rsidR="00197852">
        <w:rPr>
          <w:rFonts w:cs="Arial"/>
          <w:bCs/>
          <w:szCs w:val="22"/>
        </w:rPr>
        <w:t xml:space="preserve"> Zacatecas (</w:t>
      </w:r>
      <w:r w:rsidR="00197852" w:rsidRPr="00E3294F">
        <w:rPr>
          <w:rFonts w:cs="Arial"/>
          <w:bCs/>
          <w:szCs w:val="22"/>
        </w:rPr>
        <w:t>2.</w:t>
      </w:r>
      <w:r w:rsidR="00133A1D">
        <w:rPr>
          <w:rFonts w:cs="Arial"/>
          <w:bCs/>
          <w:szCs w:val="22"/>
        </w:rPr>
        <w:t>2</w:t>
      </w:r>
      <w:r w:rsidR="00197852" w:rsidRPr="00E3294F">
        <w:rPr>
          <w:rFonts w:cs="Arial"/>
          <w:bCs/>
          <w:szCs w:val="22"/>
        </w:rPr>
        <w:t>4</w:t>
      </w:r>
      <w:r w:rsidR="00197852">
        <w:rPr>
          <w:rFonts w:cs="Arial"/>
          <w:bCs/>
          <w:szCs w:val="22"/>
        </w:rPr>
        <w:t xml:space="preserve"> hijos por mujer)</w:t>
      </w:r>
      <w:r w:rsidR="00E54E21">
        <w:rPr>
          <w:rFonts w:cs="Arial"/>
          <w:bCs/>
          <w:szCs w:val="22"/>
        </w:rPr>
        <w:t xml:space="preserve"> y Michoacán (</w:t>
      </w:r>
      <w:r w:rsidR="00E54E21" w:rsidRPr="00E3294F">
        <w:rPr>
          <w:rFonts w:cs="Arial"/>
          <w:bCs/>
          <w:szCs w:val="22"/>
        </w:rPr>
        <w:t>2.</w:t>
      </w:r>
      <w:r w:rsidR="00E54E21">
        <w:rPr>
          <w:rFonts w:cs="Arial"/>
          <w:bCs/>
          <w:szCs w:val="22"/>
        </w:rPr>
        <w:t>2</w:t>
      </w:r>
      <w:r w:rsidR="00E54E21" w:rsidRPr="00E3294F">
        <w:rPr>
          <w:rFonts w:cs="Arial"/>
          <w:bCs/>
          <w:szCs w:val="22"/>
        </w:rPr>
        <w:t>4</w:t>
      </w:r>
      <w:r w:rsidR="00E54E21">
        <w:rPr>
          <w:rFonts w:cs="Arial"/>
          <w:bCs/>
          <w:szCs w:val="22"/>
        </w:rPr>
        <w:t xml:space="preserve"> hijos por mujer), las entidades con mayor tasa. En contraste, </w:t>
      </w:r>
      <w:r w:rsidRPr="00E3294F">
        <w:rPr>
          <w:rFonts w:cs="Arial"/>
          <w:bCs/>
          <w:szCs w:val="22"/>
        </w:rPr>
        <w:t>la Ciudad de México</w:t>
      </w:r>
      <w:r>
        <w:rPr>
          <w:rFonts w:cs="Arial"/>
          <w:bCs/>
          <w:szCs w:val="22"/>
        </w:rPr>
        <w:t xml:space="preserve"> (</w:t>
      </w:r>
      <w:r w:rsidRPr="00E3294F">
        <w:rPr>
          <w:rFonts w:cs="Arial"/>
          <w:bCs/>
          <w:szCs w:val="22"/>
        </w:rPr>
        <w:t>1.19 hijos por mujer</w:t>
      </w:r>
      <w:r w:rsidR="00E54E21">
        <w:rPr>
          <w:rFonts w:cs="Arial"/>
          <w:bCs/>
          <w:szCs w:val="22"/>
        </w:rPr>
        <w:t>), Baja California</w:t>
      </w:r>
      <w:r w:rsidRPr="00E3294F">
        <w:rPr>
          <w:rFonts w:cs="Arial"/>
          <w:bCs/>
          <w:szCs w:val="22"/>
        </w:rPr>
        <w:t xml:space="preserve"> </w:t>
      </w:r>
      <w:r w:rsidR="00E54E21">
        <w:rPr>
          <w:rFonts w:cs="Arial"/>
          <w:bCs/>
          <w:szCs w:val="22"/>
        </w:rPr>
        <w:t>(</w:t>
      </w:r>
      <w:r w:rsidR="00E54E21" w:rsidRPr="00E3294F">
        <w:rPr>
          <w:rFonts w:cs="Arial"/>
          <w:bCs/>
          <w:szCs w:val="22"/>
        </w:rPr>
        <w:t>1.</w:t>
      </w:r>
      <w:r w:rsidR="00E54E21">
        <w:rPr>
          <w:rFonts w:cs="Arial"/>
          <w:bCs/>
          <w:szCs w:val="22"/>
        </w:rPr>
        <w:t>55</w:t>
      </w:r>
      <w:r w:rsidR="00E54E21" w:rsidRPr="00E3294F">
        <w:rPr>
          <w:rFonts w:cs="Arial"/>
          <w:bCs/>
          <w:szCs w:val="22"/>
        </w:rPr>
        <w:t xml:space="preserve"> hijos por mujer</w:t>
      </w:r>
      <w:r w:rsidR="00E54E21">
        <w:rPr>
          <w:rFonts w:cs="Arial"/>
          <w:bCs/>
          <w:szCs w:val="22"/>
        </w:rPr>
        <w:t>) y México (</w:t>
      </w:r>
      <w:r w:rsidR="00E54E21" w:rsidRPr="00E3294F">
        <w:rPr>
          <w:rFonts w:cs="Arial"/>
          <w:bCs/>
          <w:szCs w:val="22"/>
        </w:rPr>
        <w:t>1.</w:t>
      </w:r>
      <w:r w:rsidR="00E54E21">
        <w:rPr>
          <w:rFonts w:cs="Arial"/>
          <w:bCs/>
          <w:szCs w:val="22"/>
        </w:rPr>
        <w:t xml:space="preserve">64 </w:t>
      </w:r>
      <w:r w:rsidR="00E54E21" w:rsidRPr="00E3294F">
        <w:rPr>
          <w:rFonts w:cs="Arial"/>
          <w:bCs/>
          <w:szCs w:val="22"/>
        </w:rPr>
        <w:t>hijos por mujer</w:t>
      </w:r>
      <w:r w:rsidR="00E54E21">
        <w:rPr>
          <w:rFonts w:cs="Arial"/>
          <w:bCs/>
          <w:szCs w:val="22"/>
        </w:rPr>
        <w:t>) son las que muestran la menor tasa global de fecundidad.</w:t>
      </w:r>
    </w:p>
    <w:p w14:paraId="26C7507D" w14:textId="77777777" w:rsidR="00DB5649" w:rsidRDefault="00DB5649" w:rsidP="00DB5649">
      <w:pPr>
        <w:autoSpaceDE w:val="0"/>
        <w:autoSpaceDN w:val="0"/>
        <w:adjustRightInd w:val="0"/>
        <w:ind w:left="709"/>
        <w:rPr>
          <w:rFonts w:eastAsiaTheme="minorHAnsi"/>
          <w:b/>
          <w:sz w:val="20"/>
          <w:szCs w:val="20"/>
          <w:lang w:eastAsia="en-US"/>
        </w:rPr>
      </w:pPr>
    </w:p>
    <w:p w14:paraId="0EB23E65" w14:textId="0DAD046D" w:rsidR="00DB5649" w:rsidRPr="00E3294F" w:rsidRDefault="00DB5649" w:rsidP="00DB5649">
      <w:pPr>
        <w:ind w:left="-567"/>
        <w:rPr>
          <w:b/>
        </w:rPr>
      </w:pPr>
      <w:r w:rsidRPr="00E3294F">
        <w:rPr>
          <w:b/>
        </w:rPr>
        <w:t>ESPERANZA DE VIDA</w:t>
      </w:r>
    </w:p>
    <w:p w14:paraId="671069E1" w14:textId="418F797A" w:rsidR="00DB5649" w:rsidRPr="00E3294F" w:rsidRDefault="00DB5649" w:rsidP="00DB5649">
      <w:pPr>
        <w:ind w:left="-567"/>
        <w:rPr>
          <w:b/>
        </w:rPr>
      </w:pPr>
    </w:p>
    <w:p w14:paraId="2D65B0C1" w14:textId="77777777" w:rsidR="0096720F" w:rsidRDefault="00DB5649" w:rsidP="00DB5649">
      <w:pPr>
        <w:ind w:left="-567"/>
        <w:rPr>
          <w:rFonts w:cs="Arial"/>
          <w:bCs/>
          <w:szCs w:val="22"/>
        </w:rPr>
      </w:pPr>
      <w:r w:rsidRPr="00616831">
        <w:rPr>
          <w:rFonts w:cs="Arial"/>
          <w:bCs/>
          <w:szCs w:val="22"/>
        </w:rPr>
        <w:t>La esperanza de vida</w:t>
      </w:r>
      <w:r w:rsidR="003874AB">
        <w:rPr>
          <w:rFonts w:cs="Arial"/>
          <w:bCs/>
          <w:szCs w:val="22"/>
        </w:rPr>
        <w:t xml:space="preserve"> </w:t>
      </w:r>
      <w:r w:rsidRPr="00616831">
        <w:rPr>
          <w:rFonts w:cs="Arial"/>
          <w:bCs/>
          <w:szCs w:val="22"/>
        </w:rPr>
        <w:t>hace referencia al</w:t>
      </w:r>
      <w:r w:rsidR="00616831">
        <w:rPr>
          <w:rFonts w:cs="Arial"/>
          <w:bCs/>
          <w:szCs w:val="22"/>
        </w:rPr>
        <w:t xml:space="preserve"> número de años que en promedio se espera que viva una persona</w:t>
      </w:r>
      <w:r w:rsidRPr="00616831">
        <w:rPr>
          <w:rFonts w:cs="Arial"/>
          <w:bCs/>
          <w:szCs w:val="22"/>
        </w:rPr>
        <w:t> al nacer</w:t>
      </w:r>
      <w:r w:rsidR="003874AB">
        <w:rPr>
          <w:rFonts w:cs="Arial"/>
          <w:bCs/>
          <w:szCs w:val="22"/>
        </w:rPr>
        <w:t xml:space="preserve"> y refleja la calidad de vida de un país</w:t>
      </w:r>
      <w:r w:rsidRPr="00616831">
        <w:rPr>
          <w:rFonts w:cs="Arial"/>
          <w:bCs/>
          <w:szCs w:val="22"/>
        </w:rPr>
        <w:t xml:space="preserve">. A inicios del siglo pasado, la esperanza de vida </w:t>
      </w:r>
      <w:r w:rsidR="003874AB">
        <w:rPr>
          <w:rFonts w:cs="Arial"/>
          <w:bCs/>
          <w:szCs w:val="22"/>
        </w:rPr>
        <w:t xml:space="preserve">en México </w:t>
      </w:r>
      <w:r w:rsidRPr="00616831">
        <w:rPr>
          <w:rFonts w:cs="Arial"/>
          <w:bCs/>
          <w:szCs w:val="22"/>
        </w:rPr>
        <w:t xml:space="preserve">era de 34 años (1930) y aumentó a 71 años en 1990. </w:t>
      </w:r>
    </w:p>
    <w:p w14:paraId="34FB7C76" w14:textId="77777777" w:rsidR="0096720F" w:rsidRDefault="0096720F" w:rsidP="00DB5649">
      <w:pPr>
        <w:ind w:left="-567"/>
        <w:rPr>
          <w:rFonts w:cs="Arial"/>
          <w:bCs/>
          <w:szCs w:val="22"/>
        </w:rPr>
      </w:pPr>
    </w:p>
    <w:p w14:paraId="7BBAB79F" w14:textId="313AB9ED" w:rsidR="00DB5649" w:rsidRDefault="00DB5649" w:rsidP="00DB5649">
      <w:pPr>
        <w:ind w:left="-567"/>
        <w:rPr>
          <w:rFonts w:cs="Arial"/>
          <w:bCs/>
          <w:szCs w:val="22"/>
        </w:rPr>
      </w:pPr>
      <w:r w:rsidRPr="00616831">
        <w:rPr>
          <w:rFonts w:cs="Arial"/>
          <w:bCs/>
          <w:szCs w:val="22"/>
        </w:rPr>
        <w:t xml:space="preserve">Actualmente (2020) </w:t>
      </w:r>
      <w:r w:rsidR="00C55BAB" w:rsidRPr="00616831">
        <w:rPr>
          <w:rFonts w:cs="Arial"/>
          <w:bCs/>
          <w:szCs w:val="22"/>
        </w:rPr>
        <w:t>el</w:t>
      </w:r>
      <w:r w:rsidRPr="00616831">
        <w:rPr>
          <w:rFonts w:cs="Arial"/>
          <w:bCs/>
          <w:szCs w:val="22"/>
        </w:rPr>
        <w:t xml:space="preserve"> promedio de vida de una niña o niño al nacer es de 75 años; según </w:t>
      </w:r>
      <w:r w:rsidR="003874AB">
        <w:rPr>
          <w:rFonts w:cs="Arial"/>
          <w:bCs/>
          <w:szCs w:val="22"/>
        </w:rPr>
        <w:t xml:space="preserve">la </w:t>
      </w:r>
      <w:r w:rsidRPr="00616831">
        <w:rPr>
          <w:rFonts w:cs="Arial"/>
          <w:bCs/>
          <w:szCs w:val="22"/>
        </w:rPr>
        <w:t>estima</w:t>
      </w:r>
      <w:r w:rsidR="003874AB">
        <w:rPr>
          <w:rFonts w:cs="Arial"/>
          <w:bCs/>
          <w:szCs w:val="22"/>
        </w:rPr>
        <w:t>ción</w:t>
      </w:r>
      <w:r w:rsidRPr="00616831">
        <w:rPr>
          <w:rFonts w:cs="Arial"/>
          <w:bCs/>
          <w:szCs w:val="22"/>
        </w:rPr>
        <w:t xml:space="preserve"> </w:t>
      </w:r>
      <w:r w:rsidR="003874AB">
        <w:rPr>
          <w:rFonts w:cs="Arial"/>
          <w:bCs/>
          <w:szCs w:val="22"/>
        </w:rPr>
        <w:t>d</w:t>
      </w:r>
      <w:r w:rsidRPr="00616831">
        <w:rPr>
          <w:rFonts w:cs="Arial"/>
          <w:bCs/>
          <w:szCs w:val="22"/>
        </w:rPr>
        <w:t xml:space="preserve">el CONAPO. </w:t>
      </w:r>
      <w:r w:rsidR="00616831" w:rsidRPr="00616831">
        <w:rPr>
          <w:rFonts w:cs="Arial"/>
          <w:bCs/>
          <w:szCs w:val="22"/>
        </w:rPr>
        <w:t>Las mujeres viven en promedio más años que los hombres</w:t>
      </w:r>
      <w:r w:rsidR="0096720F">
        <w:rPr>
          <w:rFonts w:cs="Arial"/>
          <w:bCs/>
          <w:szCs w:val="22"/>
        </w:rPr>
        <w:t>. E</w:t>
      </w:r>
      <w:r w:rsidR="00616831" w:rsidRPr="00616831">
        <w:rPr>
          <w:rFonts w:cs="Arial"/>
          <w:bCs/>
          <w:szCs w:val="22"/>
        </w:rPr>
        <w:t>n 1990 el indicador para la población femenina fue de 74 años y para los hombres</w:t>
      </w:r>
      <w:r w:rsidR="0096720F">
        <w:rPr>
          <w:rFonts w:cs="Arial"/>
          <w:bCs/>
          <w:szCs w:val="22"/>
        </w:rPr>
        <w:t>,</w:t>
      </w:r>
      <w:r w:rsidR="00616831" w:rsidRPr="00616831">
        <w:rPr>
          <w:rFonts w:cs="Arial"/>
          <w:bCs/>
          <w:szCs w:val="22"/>
        </w:rPr>
        <w:t xml:space="preserve"> de 68 años; para 2020, la esperanza de vida aumentó a 78 y 72 años, respectivamente.</w:t>
      </w:r>
    </w:p>
    <w:p w14:paraId="64ACE0F6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35DD6CDB" w14:textId="77777777" w:rsidR="002105F0" w:rsidRPr="00E3294F" w:rsidRDefault="002105F0" w:rsidP="002105F0">
      <w:pPr>
        <w:ind w:left="709" w:hanging="2"/>
        <w:rPr>
          <w:rFonts w:eastAsiaTheme="minorHAnsi"/>
          <w:b/>
          <w:sz w:val="20"/>
          <w:szCs w:val="20"/>
          <w:lang w:eastAsia="en-US"/>
        </w:rPr>
      </w:pPr>
      <w:r w:rsidRPr="00E3294F">
        <w:rPr>
          <w:rFonts w:eastAsiaTheme="minorHAnsi"/>
          <w:b/>
          <w:sz w:val="20"/>
          <w:szCs w:val="20"/>
          <w:lang w:eastAsia="en-US"/>
        </w:rPr>
        <w:t>Esperanza de vida por sexo</w:t>
      </w:r>
    </w:p>
    <w:p w14:paraId="0AA5D605" w14:textId="77777777" w:rsidR="002105F0" w:rsidRPr="00E3294F" w:rsidRDefault="002105F0" w:rsidP="002105F0">
      <w:pPr>
        <w:autoSpaceDE w:val="0"/>
        <w:autoSpaceDN w:val="0"/>
        <w:adjustRightInd w:val="0"/>
        <w:ind w:left="709"/>
        <w:rPr>
          <w:rFonts w:eastAsiaTheme="minorHAnsi"/>
          <w:b/>
          <w:sz w:val="20"/>
          <w:szCs w:val="20"/>
          <w:lang w:eastAsia="en-US"/>
        </w:rPr>
      </w:pPr>
      <w:r w:rsidRPr="00E3294F">
        <w:rPr>
          <w:rFonts w:eastAsiaTheme="minorHAnsi"/>
          <w:b/>
          <w:sz w:val="20"/>
          <w:szCs w:val="20"/>
          <w:lang w:eastAsia="en-US"/>
        </w:rPr>
        <w:t>1990 y 2020</w:t>
      </w:r>
    </w:p>
    <w:p w14:paraId="613085DD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1D8C641A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1EEFBD73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42B9E1C3" w14:textId="391A4330" w:rsidR="002105F0" w:rsidRDefault="002105F0" w:rsidP="00DB5649">
      <w:pPr>
        <w:ind w:left="-567"/>
        <w:rPr>
          <w:rFonts w:cs="Arial"/>
          <w:bCs/>
          <w:szCs w:val="22"/>
        </w:rPr>
      </w:pPr>
      <w:r w:rsidRPr="00E3294F">
        <w:rPr>
          <w:noProof/>
          <w:lang w:val="es-MX" w:eastAsia="es-MX"/>
        </w:rPr>
        <w:drawing>
          <wp:anchor distT="0" distB="0" distL="114300" distR="114300" simplePos="0" relativeHeight="251656704" behindDoc="0" locked="0" layoutInCell="1" allowOverlap="1" wp14:anchorId="49FEB6AE" wp14:editId="6E62084E">
            <wp:simplePos x="0" y="0"/>
            <wp:positionH relativeFrom="column">
              <wp:posOffset>506586</wp:posOffset>
            </wp:positionH>
            <wp:positionV relativeFrom="paragraph">
              <wp:posOffset>14185</wp:posOffset>
            </wp:positionV>
            <wp:extent cx="4228465" cy="2305050"/>
            <wp:effectExtent l="0" t="0" r="63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28" b="7819"/>
                    <a:stretch/>
                  </pic:blipFill>
                  <pic:spPr bwMode="auto">
                    <a:xfrm>
                      <a:off x="0" y="0"/>
                      <a:ext cx="4228465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6CCE7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35BFBCAB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17B5C49D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3344825E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664A26FD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45C6A5C1" w14:textId="77777777" w:rsidR="002105F0" w:rsidRDefault="002105F0" w:rsidP="00DB5649">
      <w:pPr>
        <w:ind w:left="-567"/>
        <w:rPr>
          <w:rFonts w:cs="Arial"/>
          <w:bCs/>
          <w:szCs w:val="22"/>
        </w:rPr>
      </w:pPr>
    </w:p>
    <w:p w14:paraId="70D1C1E4" w14:textId="77777777" w:rsidR="002105F0" w:rsidRPr="00616831" w:rsidRDefault="002105F0" w:rsidP="00DB5649">
      <w:pPr>
        <w:ind w:left="-567"/>
        <w:rPr>
          <w:b/>
        </w:rPr>
      </w:pPr>
    </w:p>
    <w:p w14:paraId="45235BA0" w14:textId="4A444BBC" w:rsidR="00DB5649" w:rsidRDefault="00DB5649" w:rsidP="00DB5649">
      <w:pPr>
        <w:ind w:left="-567"/>
        <w:rPr>
          <w:rStyle w:val="Textoennegrita"/>
          <w:rFonts w:ascii="Verdana" w:hAnsi="Verdana"/>
          <w:b w:val="0"/>
          <w:sz w:val="20"/>
          <w:szCs w:val="20"/>
        </w:rPr>
      </w:pPr>
      <w:r w:rsidRPr="00E3294F">
        <w:rPr>
          <w:rStyle w:val="Textoennegrita"/>
          <w:rFonts w:ascii="Verdana" w:hAnsi="Verdana"/>
          <w:sz w:val="20"/>
          <w:szCs w:val="20"/>
        </w:rPr>
        <w:t xml:space="preserve">                            </w:t>
      </w:r>
    </w:p>
    <w:p w14:paraId="23EEDF1A" w14:textId="77777777" w:rsidR="002105F0" w:rsidRDefault="002105F0" w:rsidP="00DB5649">
      <w:pPr>
        <w:ind w:left="1418" w:hanging="2"/>
        <w:rPr>
          <w:rFonts w:eastAsiaTheme="minorHAnsi"/>
          <w:b/>
          <w:sz w:val="20"/>
          <w:szCs w:val="20"/>
          <w:lang w:eastAsia="en-US"/>
        </w:rPr>
      </w:pPr>
    </w:p>
    <w:p w14:paraId="1DF1C150" w14:textId="77777777" w:rsidR="002105F0" w:rsidRDefault="002105F0" w:rsidP="00DB5649">
      <w:pPr>
        <w:ind w:left="1418" w:hanging="2"/>
        <w:rPr>
          <w:rFonts w:eastAsiaTheme="minorHAnsi"/>
          <w:b/>
          <w:sz w:val="20"/>
          <w:szCs w:val="20"/>
          <w:lang w:eastAsia="en-US"/>
        </w:rPr>
      </w:pPr>
    </w:p>
    <w:p w14:paraId="5E91DDDF" w14:textId="77777777" w:rsidR="002105F0" w:rsidRDefault="002105F0" w:rsidP="00DB5649">
      <w:pPr>
        <w:ind w:left="1418" w:hanging="2"/>
        <w:rPr>
          <w:rFonts w:eastAsiaTheme="minorHAnsi"/>
          <w:b/>
          <w:sz w:val="20"/>
          <w:szCs w:val="20"/>
          <w:lang w:eastAsia="en-US"/>
        </w:rPr>
      </w:pPr>
    </w:p>
    <w:p w14:paraId="1CF99C9D" w14:textId="77777777" w:rsidR="002105F0" w:rsidRDefault="002105F0" w:rsidP="00DB5649">
      <w:pPr>
        <w:ind w:left="1418" w:hanging="2"/>
        <w:rPr>
          <w:rFonts w:eastAsiaTheme="minorHAnsi"/>
          <w:b/>
          <w:sz w:val="20"/>
          <w:szCs w:val="20"/>
          <w:lang w:eastAsia="en-US"/>
        </w:rPr>
      </w:pPr>
    </w:p>
    <w:p w14:paraId="2EF9FC64" w14:textId="77777777" w:rsidR="002105F0" w:rsidRDefault="002105F0" w:rsidP="00DB5649">
      <w:pPr>
        <w:ind w:left="1418" w:hanging="2"/>
        <w:rPr>
          <w:rFonts w:eastAsiaTheme="minorHAnsi"/>
          <w:b/>
          <w:sz w:val="20"/>
          <w:szCs w:val="20"/>
          <w:lang w:eastAsia="en-US"/>
        </w:rPr>
      </w:pPr>
    </w:p>
    <w:p w14:paraId="47545B80" w14:textId="77777777" w:rsidR="002105F0" w:rsidRDefault="002105F0" w:rsidP="00DB5649">
      <w:pPr>
        <w:ind w:left="1418" w:hanging="2"/>
        <w:rPr>
          <w:rFonts w:eastAsiaTheme="minorHAnsi"/>
          <w:b/>
          <w:sz w:val="20"/>
          <w:szCs w:val="20"/>
          <w:lang w:eastAsia="en-US"/>
        </w:rPr>
      </w:pPr>
    </w:p>
    <w:p w14:paraId="0A4708CE" w14:textId="77777777" w:rsidR="002105F0" w:rsidRDefault="002105F0" w:rsidP="00DB5649">
      <w:pPr>
        <w:ind w:left="1418" w:hanging="2"/>
        <w:rPr>
          <w:rFonts w:eastAsiaTheme="minorHAnsi"/>
          <w:b/>
          <w:sz w:val="20"/>
          <w:szCs w:val="20"/>
          <w:lang w:eastAsia="en-US"/>
        </w:rPr>
      </w:pPr>
    </w:p>
    <w:p w14:paraId="59292077" w14:textId="70183F8A" w:rsidR="00DB5649" w:rsidRPr="00E3294F" w:rsidRDefault="00DB5649" w:rsidP="002105F0">
      <w:pPr>
        <w:ind w:left="709" w:hanging="2"/>
        <w:rPr>
          <w:rFonts w:eastAsiaTheme="minorHAnsi"/>
          <w:bCs/>
          <w:sz w:val="16"/>
          <w:szCs w:val="16"/>
          <w:lang w:eastAsia="en-US"/>
        </w:rPr>
      </w:pPr>
      <w:r w:rsidRPr="00E3294F">
        <w:rPr>
          <w:rFonts w:eastAsiaTheme="minorHAnsi"/>
          <w:bCs/>
          <w:sz w:val="16"/>
          <w:szCs w:val="16"/>
          <w:lang w:eastAsia="en-US"/>
        </w:rPr>
        <w:t>Fuente: CONAPO. Proyecciones de la Población de México y de las Entidades Federativas, 2016-2050.</w:t>
      </w:r>
    </w:p>
    <w:p w14:paraId="6504C6A2" w14:textId="1A263359" w:rsidR="00797F75" w:rsidRDefault="00797F75">
      <w:pPr>
        <w:spacing w:after="200" w:line="276" w:lineRule="auto"/>
        <w:jc w:val="left"/>
        <w:rPr>
          <w:b/>
        </w:rPr>
      </w:pPr>
    </w:p>
    <w:p w14:paraId="5AEFF53D" w14:textId="77777777" w:rsidR="0096720F" w:rsidRDefault="0096720F" w:rsidP="00DB5649">
      <w:pPr>
        <w:ind w:left="-567"/>
        <w:rPr>
          <w:b/>
        </w:rPr>
      </w:pPr>
    </w:p>
    <w:p w14:paraId="7E84BC96" w14:textId="77777777" w:rsidR="004A0064" w:rsidRDefault="004A0064" w:rsidP="00DB5649">
      <w:pPr>
        <w:ind w:left="-567"/>
        <w:rPr>
          <w:b/>
        </w:rPr>
      </w:pPr>
    </w:p>
    <w:p w14:paraId="43581D59" w14:textId="17CBBFAB" w:rsidR="00DB5649" w:rsidRPr="00E3294F" w:rsidRDefault="00DB5649" w:rsidP="00DB5649">
      <w:pPr>
        <w:ind w:left="-567"/>
        <w:rPr>
          <w:b/>
        </w:rPr>
      </w:pPr>
      <w:r w:rsidRPr="00E3294F">
        <w:rPr>
          <w:b/>
        </w:rPr>
        <w:t>MIGRACIÓN ESTATAL</w:t>
      </w:r>
    </w:p>
    <w:p w14:paraId="266AA624" w14:textId="77777777" w:rsidR="00DB5649" w:rsidRPr="00E3294F" w:rsidRDefault="00DB5649" w:rsidP="00DB5649">
      <w:pPr>
        <w:ind w:left="567" w:hanging="1134"/>
        <w:rPr>
          <w:rFonts w:cs="Arial"/>
          <w:b/>
          <w:bCs/>
          <w:sz w:val="18"/>
          <w:szCs w:val="18"/>
          <w:lang w:val="es-MX"/>
        </w:rPr>
      </w:pPr>
    </w:p>
    <w:p w14:paraId="00111635" w14:textId="29F9FB02" w:rsidR="00E54E21" w:rsidRDefault="00DB5649" w:rsidP="00E54E21">
      <w:pPr>
        <w:ind w:left="-567"/>
        <w:rPr>
          <w:rFonts w:cs="Arial"/>
          <w:szCs w:val="22"/>
        </w:rPr>
      </w:pPr>
      <w:r w:rsidRPr="00E3294F">
        <w:rPr>
          <w:rFonts w:cs="Arial"/>
          <w:szCs w:val="22"/>
        </w:rPr>
        <w:t>En 2020, 3</w:t>
      </w:r>
      <w:r w:rsidR="00B86785">
        <w:rPr>
          <w:rFonts w:cs="Arial"/>
          <w:szCs w:val="22"/>
        </w:rPr>
        <w:t>.3</w:t>
      </w:r>
      <w:r w:rsidRPr="00E3294F">
        <w:rPr>
          <w:rFonts w:cs="Arial"/>
          <w:szCs w:val="22"/>
        </w:rPr>
        <w:t>% de la población que tiene cinco años y más de edad vive en una entidad federativa diferente a la que residía en marzo de 2015</w:t>
      </w:r>
      <w:r>
        <w:rPr>
          <w:rFonts w:cs="Arial"/>
          <w:szCs w:val="22"/>
        </w:rPr>
        <w:t>, es decir</w:t>
      </w:r>
      <w:r w:rsidR="00C55BAB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 w:rsidRPr="00E3294F">
        <w:rPr>
          <w:rFonts w:cs="Arial"/>
          <w:szCs w:val="22"/>
        </w:rPr>
        <w:t xml:space="preserve">es migrante estatal reciente. Según el Censo de Población </w:t>
      </w:r>
      <w:r>
        <w:rPr>
          <w:rFonts w:cs="Arial"/>
          <w:szCs w:val="22"/>
        </w:rPr>
        <w:t xml:space="preserve">y Vivienda </w:t>
      </w:r>
      <w:r w:rsidRPr="00E3294F">
        <w:rPr>
          <w:rFonts w:cs="Arial"/>
          <w:szCs w:val="22"/>
        </w:rPr>
        <w:t>2020, las principales causas por las cuales las personas cambiaron su entidad de residencia son: reunirse con la familia (37%), buscar trabajo (21%), cambió o recibió una oferta de trabajo (14%), por estudio (7%) o porque se casó o unió (7</w:t>
      </w:r>
      <w:r w:rsidR="0096720F">
        <w:rPr>
          <w:rFonts w:cs="Arial"/>
          <w:szCs w:val="22"/>
        </w:rPr>
        <w:t>%</w:t>
      </w:r>
      <w:r w:rsidRPr="00E3294F">
        <w:rPr>
          <w:rFonts w:cs="Arial"/>
          <w:szCs w:val="22"/>
        </w:rPr>
        <w:t xml:space="preserve">). </w:t>
      </w:r>
    </w:p>
    <w:p w14:paraId="135B97A2" w14:textId="77777777" w:rsidR="00E54E21" w:rsidRDefault="00E54E21" w:rsidP="00E54E21">
      <w:pPr>
        <w:ind w:left="-567"/>
        <w:rPr>
          <w:rFonts w:cs="Arial"/>
          <w:szCs w:val="22"/>
        </w:rPr>
      </w:pPr>
    </w:p>
    <w:p w14:paraId="30B40A5D" w14:textId="7DCE5F20" w:rsidR="00DB5649" w:rsidRPr="00E54E21" w:rsidRDefault="00DB5649" w:rsidP="00E54E21">
      <w:pPr>
        <w:ind w:left="-567"/>
        <w:rPr>
          <w:rFonts w:cs="Arial"/>
          <w:szCs w:val="22"/>
        </w:rPr>
      </w:pPr>
      <w:r w:rsidRPr="00E3294F">
        <w:rPr>
          <w:rFonts w:cs="Arial"/>
          <w:szCs w:val="22"/>
        </w:rPr>
        <w:t xml:space="preserve">El saldo neto migratorio resume para cada entidad el efecto de la migración reciente </w:t>
      </w:r>
      <w:r>
        <w:rPr>
          <w:rFonts w:cs="Arial"/>
          <w:szCs w:val="22"/>
        </w:rPr>
        <w:t xml:space="preserve">(migración interna en marzo de 2015) </w:t>
      </w:r>
      <w:r w:rsidRPr="00E3294F">
        <w:rPr>
          <w:rFonts w:cs="Arial"/>
          <w:szCs w:val="22"/>
        </w:rPr>
        <w:t xml:space="preserve">en términos de ganancia o pérdida de población. </w:t>
      </w:r>
      <w:r>
        <w:rPr>
          <w:rFonts w:cs="Arial"/>
          <w:szCs w:val="22"/>
        </w:rPr>
        <w:t>E</w:t>
      </w:r>
      <w:r w:rsidRPr="00E3294F">
        <w:rPr>
          <w:rFonts w:cs="Arial"/>
          <w:szCs w:val="22"/>
        </w:rPr>
        <w:t xml:space="preserve">ntidades </w:t>
      </w:r>
      <w:r>
        <w:rPr>
          <w:rFonts w:cs="Arial"/>
          <w:szCs w:val="22"/>
        </w:rPr>
        <w:t xml:space="preserve">como </w:t>
      </w:r>
      <w:r w:rsidRPr="00E3294F">
        <w:rPr>
          <w:rFonts w:cs="Arial"/>
          <w:szCs w:val="22"/>
        </w:rPr>
        <w:t>Quintana Roo (</w:t>
      </w:r>
      <w:r w:rsidR="002965FE">
        <w:rPr>
          <w:rFonts w:cs="Arial"/>
          <w:szCs w:val="22"/>
        </w:rPr>
        <w:t>6.8</w:t>
      </w:r>
      <w:r w:rsidRPr="00E3294F">
        <w:rPr>
          <w:rFonts w:cs="Arial"/>
          <w:szCs w:val="22"/>
        </w:rPr>
        <w:t>%), Baja California Sur</w:t>
      </w:r>
      <w:r w:rsidR="002965FE">
        <w:rPr>
          <w:rFonts w:cs="Arial"/>
          <w:szCs w:val="22"/>
        </w:rPr>
        <w:t xml:space="preserve"> y Querétaro</w:t>
      </w:r>
      <w:r w:rsidRPr="00E3294F">
        <w:rPr>
          <w:rFonts w:cs="Arial"/>
          <w:szCs w:val="22"/>
        </w:rPr>
        <w:t xml:space="preserve"> </w:t>
      </w:r>
      <w:r w:rsidR="00B40E27">
        <w:rPr>
          <w:rFonts w:cs="Arial"/>
          <w:szCs w:val="22"/>
        </w:rPr>
        <w:t>(</w:t>
      </w:r>
      <w:r w:rsidRPr="00E3294F">
        <w:rPr>
          <w:rFonts w:cs="Arial"/>
          <w:szCs w:val="22"/>
        </w:rPr>
        <w:t>con 6.</w:t>
      </w:r>
      <w:r w:rsidR="002965FE">
        <w:rPr>
          <w:rFonts w:cs="Arial"/>
          <w:szCs w:val="22"/>
        </w:rPr>
        <w:t>2</w:t>
      </w:r>
      <w:r w:rsidRPr="00E3294F">
        <w:rPr>
          <w:rFonts w:cs="Arial"/>
          <w:szCs w:val="22"/>
        </w:rPr>
        <w:t>% cada una</w:t>
      </w:r>
      <w:r w:rsidR="00B40E27">
        <w:rPr>
          <w:rFonts w:cs="Arial"/>
          <w:szCs w:val="22"/>
        </w:rPr>
        <w:t>)</w:t>
      </w:r>
      <w:r w:rsidRPr="00E3294F">
        <w:rPr>
          <w:rFonts w:cs="Arial"/>
          <w:szCs w:val="22"/>
        </w:rPr>
        <w:t xml:space="preserve">, son </w:t>
      </w:r>
      <w:r w:rsidR="0096720F">
        <w:rPr>
          <w:rFonts w:cs="Arial"/>
          <w:szCs w:val="22"/>
        </w:rPr>
        <w:t>las de</w:t>
      </w:r>
      <w:r w:rsidRPr="00E3294F">
        <w:rPr>
          <w:rFonts w:cs="Arial"/>
          <w:szCs w:val="22"/>
        </w:rPr>
        <w:t xml:space="preserve"> mayor ganancia de población respecto a la población de 5 años y más. Mientras que Guerrero (-4.</w:t>
      </w:r>
      <w:r w:rsidR="002965FE">
        <w:rPr>
          <w:rFonts w:cs="Arial"/>
          <w:szCs w:val="22"/>
        </w:rPr>
        <w:t>2</w:t>
      </w:r>
      <w:r w:rsidRPr="00E3294F">
        <w:rPr>
          <w:rFonts w:cs="Arial"/>
          <w:szCs w:val="22"/>
        </w:rPr>
        <w:t>%), Tabasco (-3.</w:t>
      </w:r>
      <w:r w:rsidR="002965FE">
        <w:rPr>
          <w:rFonts w:cs="Arial"/>
          <w:szCs w:val="22"/>
        </w:rPr>
        <w:t>4</w:t>
      </w:r>
      <w:r w:rsidRPr="00E3294F">
        <w:rPr>
          <w:rFonts w:cs="Arial"/>
          <w:szCs w:val="22"/>
        </w:rPr>
        <w:t>%), Veracruz</w:t>
      </w:r>
      <w:r w:rsidR="002965FE">
        <w:rPr>
          <w:rFonts w:cs="Arial"/>
          <w:szCs w:val="22"/>
        </w:rPr>
        <w:t xml:space="preserve"> </w:t>
      </w:r>
      <w:r w:rsidR="00BD2C1B">
        <w:rPr>
          <w:rFonts w:cs="Arial"/>
          <w:szCs w:val="22"/>
        </w:rPr>
        <w:t xml:space="preserve"> (-2.9%) </w:t>
      </w:r>
      <w:r w:rsidRPr="00E3294F">
        <w:rPr>
          <w:rFonts w:cs="Arial"/>
          <w:szCs w:val="22"/>
        </w:rPr>
        <w:t xml:space="preserve">y Ciudad de </w:t>
      </w:r>
      <w:r w:rsidRPr="00433E41">
        <w:rPr>
          <w:rFonts w:cs="Arial"/>
          <w:szCs w:val="22"/>
        </w:rPr>
        <w:t xml:space="preserve">México </w:t>
      </w:r>
      <w:r w:rsidR="002965FE">
        <w:rPr>
          <w:rFonts w:cs="Arial"/>
          <w:szCs w:val="22"/>
        </w:rPr>
        <w:t>(</w:t>
      </w:r>
      <w:r w:rsidRPr="00433E41">
        <w:rPr>
          <w:rFonts w:cs="Arial"/>
          <w:szCs w:val="22"/>
        </w:rPr>
        <w:t>-2.</w:t>
      </w:r>
      <w:r w:rsidR="00BD2C1B">
        <w:rPr>
          <w:rFonts w:cs="Arial"/>
          <w:szCs w:val="22"/>
        </w:rPr>
        <w:t>8</w:t>
      </w:r>
      <w:r w:rsidRPr="00433E41">
        <w:rPr>
          <w:rFonts w:cs="Arial"/>
          <w:szCs w:val="22"/>
        </w:rPr>
        <w:t>%</w:t>
      </w:r>
      <w:r w:rsidR="002965FE">
        <w:rPr>
          <w:rFonts w:cs="Arial"/>
          <w:szCs w:val="22"/>
        </w:rPr>
        <w:t>)</w:t>
      </w:r>
      <w:r w:rsidRPr="00433E41">
        <w:rPr>
          <w:rFonts w:cs="Arial"/>
          <w:szCs w:val="22"/>
        </w:rPr>
        <w:t>, son l</w:t>
      </w:r>
      <w:r>
        <w:rPr>
          <w:rFonts w:cs="Arial"/>
          <w:szCs w:val="22"/>
        </w:rPr>
        <w:t>o</w:t>
      </w:r>
      <w:r w:rsidRPr="00433E41">
        <w:rPr>
          <w:rFonts w:cs="Arial"/>
          <w:szCs w:val="22"/>
        </w:rPr>
        <w:t xml:space="preserve">s </w:t>
      </w:r>
      <w:r w:rsidR="0096720F">
        <w:rPr>
          <w:rFonts w:cs="Arial"/>
          <w:szCs w:val="22"/>
        </w:rPr>
        <w:t xml:space="preserve">estados </w:t>
      </w:r>
      <w:r w:rsidRPr="00433E41">
        <w:rPr>
          <w:rFonts w:cs="Arial"/>
          <w:szCs w:val="22"/>
        </w:rPr>
        <w:t xml:space="preserve">que muestran </w:t>
      </w:r>
      <w:r>
        <w:rPr>
          <w:rFonts w:cs="Arial"/>
          <w:szCs w:val="22"/>
        </w:rPr>
        <w:t xml:space="preserve">la mayor </w:t>
      </w:r>
      <w:r w:rsidRPr="00433E41">
        <w:rPr>
          <w:rFonts w:cs="Arial"/>
          <w:szCs w:val="22"/>
        </w:rPr>
        <w:t>pérdida de población por efecto de migración estatal</w:t>
      </w:r>
      <w:r>
        <w:rPr>
          <w:rFonts w:cs="Arial"/>
          <w:szCs w:val="22"/>
        </w:rPr>
        <w:t>.</w:t>
      </w:r>
      <w:bookmarkStart w:id="3" w:name="OLE_LINK1"/>
    </w:p>
    <w:p w14:paraId="3BC58FDA" w14:textId="77777777" w:rsidR="00191E46" w:rsidRDefault="00191E46" w:rsidP="00E7538D">
      <w:pPr>
        <w:spacing w:after="200"/>
        <w:jc w:val="left"/>
        <w:rPr>
          <w:rFonts w:eastAsiaTheme="minorHAnsi"/>
          <w:b/>
          <w:sz w:val="20"/>
          <w:szCs w:val="20"/>
          <w:lang w:eastAsia="en-US"/>
        </w:rPr>
      </w:pPr>
    </w:p>
    <w:p w14:paraId="25A7AD95" w14:textId="22FE20AE" w:rsidR="00DB5649" w:rsidRPr="00E3294F" w:rsidRDefault="00E6254A" w:rsidP="00E7538D">
      <w:pPr>
        <w:spacing w:after="200"/>
        <w:jc w:val="left"/>
        <w:rPr>
          <w:rFonts w:eastAsiaTheme="minorHAnsi"/>
          <w:b/>
          <w:sz w:val="20"/>
          <w:szCs w:val="20"/>
          <w:lang w:eastAsia="en-US"/>
        </w:rPr>
      </w:pPr>
      <w:r>
        <w:rPr>
          <w:rFonts w:eastAsiaTheme="minorHAnsi"/>
          <w:b/>
          <w:sz w:val="20"/>
          <w:szCs w:val="20"/>
          <w:lang w:eastAsia="en-US"/>
        </w:rPr>
        <w:t>S</w:t>
      </w:r>
      <w:r w:rsidR="00DB5649" w:rsidRPr="00E3294F">
        <w:rPr>
          <w:rFonts w:eastAsiaTheme="minorHAnsi"/>
          <w:b/>
          <w:sz w:val="20"/>
          <w:szCs w:val="20"/>
          <w:lang w:eastAsia="en-US"/>
        </w:rPr>
        <w:t>aldo neto migratorio interno por entidad federativa</w:t>
      </w:r>
      <w:r w:rsidR="005504F6">
        <w:rPr>
          <w:rFonts w:eastAsiaTheme="minorHAnsi"/>
          <w:b/>
          <w:sz w:val="20"/>
          <w:szCs w:val="20"/>
          <w:lang w:eastAsia="en-US"/>
        </w:rPr>
        <w:t>,</w:t>
      </w:r>
      <w:r w:rsidR="00DB5649" w:rsidRPr="00E3294F">
        <w:rPr>
          <w:rFonts w:eastAsiaTheme="minorHAnsi"/>
          <w:b/>
          <w:sz w:val="20"/>
          <w:szCs w:val="20"/>
          <w:lang w:eastAsia="en-US"/>
        </w:rPr>
        <w:t xml:space="preserve"> 2015</w:t>
      </w:r>
      <w:bookmarkEnd w:id="3"/>
      <w:r w:rsidR="005504F6">
        <w:rPr>
          <w:rFonts w:eastAsiaTheme="minorHAnsi"/>
          <w:b/>
          <w:sz w:val="20"/>
          <w:szCs w:val="20"/>
          <w:lang w:eastAsia="en-US"/>
        </w:rPr>
        <w:t>-2020</w:t>
      </w:r>
    </w:p>
    <w:p w14:paraId="79B1B67A" w14:textId="28DF55E5" w:rsidR="00197852" w:rsidRPr="00191E46" w:rsidRDefault="00191E46" w:rsidP="00191E46">
      <w:pPr>
        <w:spacing w:line="276" w:lineRule="auto"/>
        <w:jc w:val="center"/>
        <w:rPr>
          <w:rFonts w:eastAsiaTheme="minorHAnsi"/>
          <w:bCs/>
          <w:sz w:val="20"/>
          <w:szCs w:val="16"/>
          <w:vertAlign w:val="superscript"/>
          <w:lang w:eastAsia="en-US"/>
        </w:rPr>
      </w:pPr>
      <w:r>
        <w:rPr>
          <w:rFonts w:eastAsiaTheme="minorHAnsi"/>
          <w:bCs/>
          <w:noProof/>
          <w:sz w:val="20"/>
          <w:szCs w:val="16"/>
          <w:vertAlign w:val="superscript"/>
          <w:lang w:val="es-MX" w:eastAsia="es-MX"/>
        </w:rPr>
        <w:drawing>
          <wp:inline distT="0" distB="0" distL="0" distR="0" wp14:anchorId="5B619A00" wp14:editId="2EDBA7EA">
            <wp:extent cx="5880638" cy="4448175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940" cy="445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E2A95" w14:textId="6E1A3864" w:rsidR="00E54E21" w:rsidRDefault="005504F6" w:rsidP="00AD4CA7">
      <w:pPr>
        <w:spacing w:line="276" w:lineRule="auto"/>
        <w:ind w:left="426" w:hanging="426"/>
        <w:jc w:val="left"/>
        <w:rPr>
          <w:rFonts w:eastAsiaTheme="minorHAnsi"/>
          <w:bCs/>
          <w:sz w:val="20"/>
          <w:szCs w:val="16"/>
          <w:vertAlign w:val="superscript"/>
          <w:lang w:eastAsia="en-US"/>
        </w:rPr>
      </w:pPr>
      <w:r w:rsidRPr="00AD4CA7">
        <w:rPr>
          <w:rFonts w:eastAsiaTheme="minorHAnsi"/>
          <w:bCs/>
          <w:sz w:val="16"/>
          <w:szCs w:val="16"/>
          <w:lang w:eastAsia="en-US"/>
        </w:rPr>
        <w:t xml:space="preserve">Nota: Los porcentajes de inmigrantes, emigrantes y el saldo neto migratorio se estiman con la población </w:t>
      </w:r>
      <w:r w:rsidR="00985E3B">
        <w:rPr>
          <w:rFonts w:eastAsiaTheme="minorHAnsi"/>
          <w:bCs/>
          <w:sz w:val="16"/>
          <w:szCs w:val="16"/>
          <w:lang w:eastAsia="en-US"/>
        </w:rPr>
        <w:t>de 5 años y más al</w:t>
      </w:r>
      <w:r w:rsidRPr="00AD4CA7">
        <w:rPr>
          <w:rFonts w:eastAsiaTheme="minorHAnsi"/>
          <w:bCs/>
          <w:sz w:val="16"/>
          <w:szCs w:val="16"/>
          <w:lang w:eastAsia="en-US"/>
        </w:rPr>
        <w:t xml:space="preserve"> </w:t>
      </w:r>
      <w:r w:rsidR="00AD4CA7">
        <w:rPr>
          <w:rFonts w:eastAsiaTheme="minorHAnsi"/>
          <w:bCs/>
          <w:sz w:val="16"/>
          <w:szCs w:val="16"/>
          <w:lang w:eastAsia="en-US"/>
        </w:rPr>
        <w:t>momento de referencia del Censo 2020.</w:t>
      </w:r>
    </w:p>
    <w:p w14:paraId="1B01EC8F" w14:textId="7841C5D7" w:rsidR="00DB5649" w:rsidRPr="00E3294F" w:rsidRDefault="00DB5649" w:rsidP="00DB5649">
      <w:pPr>
        <w:spacing w:line="276" w:lineRule="auto"/>
        <w:jc w:val="left"/>
        <w:rPr>
          <w:rFonts w:eastAsiaTheme="minorHAnsi"/>
          <w:bCs/>
          <w:sz w:val="16"/>
          <w:szCs w:val="16"/>
          <w:lang w:eastAsia="en-US"/>
        </w:rPr>
      </w:pPr>
      <w:r w:rsidRPr="00E3294F">
        <w:rPr>
          <w:rFonts w:eastAsiaTheme="minorHAnsi"/>
          <w:bCs/>
          <w:sz w:val="20"/>
          <w:szCs w:val="16"/>
          <w:vertAlign w:val="superscript"/>
          <w:lang w:eastAsia="en-US"/>
        </w:rPr>
        <w:t>1</w:t>
      </w:r>
      <w:r w:rsidRPr="00E3294F">
        <w:rPr>
          <w:rFonts w:eastAsiaTheme="minorHAnsi"/>
          <w:bCs/>
          <w:sz w:val="16"/>
          <w:szCs w:val="16"/>
          <w:lang w:eastAsia="en-US"/>
        </w:rPr>
        <w:t> Excluye a la población que en marzo de 2015 residía en otro país y a la que no especificó su lugar de residencia en esa fecha.</w:t>
      </w:r>
    </w:p>
    <w:p w14:paraId="33DCD901" w14:textId="77777777" w:rsidR="00DB5649" w:rsidRPr="00E3294F" w:rsidRDefault="00DB5649" w:rsidP="00DB5649">
      <w:pPr>
        <w:spacing w:line="276" w:lineRule="auto"/>
        <w:ind w:left="567" w:hanging="567"/>
        <w:jc w:val="left"/>
        <w:rPr>
          <w:rFonts w:eastAsiaTheme="minorHAnsi"/>
          <w:bCs/>
          <w:sz w:val="16"/>
          <w:szCs w:val="16"/>
          <w:lang w:eastAsia="en-US"/>
        </w:rPr>
      </w:pPr>
      <w:r w:rsidRPr="00E3294F">
        <w:rPr>
          <w:rFonts w:eastAsiaTheme="minorHAnsi"/>
          <w:bCs/>
          <w:sz w:val="16"/>
          <w:szCs w:val="16"/>
          <w:lang w:eastAsia="en-US"/>
        </w:rPr>
        <w:t>Fuente: INEGI. Censo de Población y Vivienda 2020. Base de datos del cuestionario básico. SNIEG. Información de Interés Nacional.</w:t>
      </w:r>
    </w:p>
    <w:p w14:paraId="3A7DD7E6" w14:textId="77777777" w:rsidR="00DB5649" w:rsidRPr="00E3294F" w:rsidRDefault="00DB5649" w:rsidP="00DB5649">
      <w:pPr>
        <w:autoSpaceDE w:val="0"/>
        <w:autoSpaceDN w:val="0"/>
        <w:adjustRightInd w:val="0"/>
        <w:rPr>
          <w:rFonts w:cs="Arial"/>
          <w:b/>
          <w:bCs/>
          <w:szCs w:val="22"/>
          <w:lang w:val="es-MX"/>
        </w:rPr>
      </w:pPr>
    </w:p>
    <w:p w14:paraId="55FEF768" w14:textId="77777777" w:rsidR="004A0064" w:rsidRDefault="004A0064" w:rsidP="00DB5649">
      <w:pPr>
        <w:ind w:left="-567"/>
        <w:rPr>
          <w:b/>
        </w:rPr>
      </w:pPr>
    </w:p>
    <w:p w14:paraId="08D078E9" w14:textId="4543D2E8" w:rsidR="00DB5649" w:rsidRPr="00E3294F" w:rsidRDefault="00DB5649" w:rsidP="00DB5649">
      <w:pPr>
        <w:ind w:left="-567"/>
        <w:rPr>
          <w:b/>
        </w:rPr>
      </w:pPr>
      <w:r w:rsidRPr="00E3294F">
        <w:rPr>
          <w:b/>
        </w:rPr>
        <w:t>MIGRACIÓN INTERNACIONAL</w:t>
      </w:r>
    </w:p>
    <w:p w14:paraId="40BB3AC4" w14:textId="77777777" w:rsidR="00DB5649" w:rsidRPr="00E3294F" w:rsidRDefault="00DB5649" w:rsidP="00DB5649">
      <w:pPr>
        <w:autoSpaceDE w:val="0"/>
        <w:autoSpaceDN w:val="0"/>
        <w:adjustRightInd w:val="0"/>
        <w:ind w:left="709" w:hanging="709"/>
        <w:rPr>
          <w:rFonts w:eastAsiaTheme="minorHAnsi"/>
          <w:b/>
          <w:sz w:val="20"/>
          <w:szCs w:val="20"/>
          <w:lang w:eastAsia="en-US"/>
        </w:rPr>
      </w:pPr>
    </w:p>
    <w:p w14:paraId="6DFEED3D" w14:textId="77777777" w:rsidR="00BD2C1B" w:rsidRDefault="00853BBD" w:rsidP="00603811">
      <w:pPr>
        <w:ind w:left="-567"/>
        <w:rPr>
          <w:rFonts w:cs="Arial"/>
          <w:szCs w:val="22"/>
        </w:rPr>
      </w:pPr>
      <w:r w:rsidRPr="003C1366">
        <w:rPr>
          <w:rFonts w:cs="Arial"/>
          <w:szCs w:val="22"/>
        </w:rPr>
        <w:t xml:space="preserve">De acuerdo con las cifras de </w:t>
      </w:r>
      <w:r>
        <w:rPr>
          <w:rFonts w:cs="Arial"/>
          <w:szCs w:val="22"/>
        </w:rPr>
        <w:t>m</w:t>
      </w:r>
      <w:r w:rsidRPr="003C1366">
        <w:rPr>
          <w:rFonts w:cs="Arial"/>
          <w:szCs w:val="22"/>
        </w:rPr>
        <w:t>igración internacional de</w:t>
      </w:r>
      <w:r>
        <w:rPr>
          <w:rFonts w:cs="Arial"/>
          <w:szCs w:val="22"/>
        </w:rPr>
        <w:t>l</w:t>
      </w:r>
      <w:r w:rsidRPr="003C1366">
        <w:rPr>
          <w:rFonts w:cs="Arial"/>
          <w:szCs w:val="22"/>
        </w:rPr>
        <w:t xml:space="preserve"> Censo de </w:t>
      </w:r>
      <w:r>
        <w:rPr>
          <w:rFonts w:cs="Arial"/>
          <w:szCs w:val="22"/>
        </w:rPr>
        <w:t>P</w:t>
      </w:r>
      <w:r w:rsidRPr="003C1366">
        <w:rPr>
          <w:rFonts w:cs="Arial"/>
          <w:szCs w:val="22"/>
        </w:rPr>
        <w:t>oblación y Vivienda 2020, entre marzo de 2015 y marzo de 2020, se fueron a vivir a otro país</w:t>
      </w:r>
      <w:r>
        <w:rPr>
          <w:rFonts w:cs="Arial"/>
          <w:szCs w:val="22"/>
        </w:rPr>
        <w:t xml:space="preserve"> </w:t>
      </w:r>
      <w:r w:rsidRPr="003C1366">
        <w:rPr>
          <w:rFonts w:cs="Arial"/>
          <w:szCs w:val="22"/>
        </w:rPr>
        <w:t xml:space="preserve">802 807 personas. Las </w:t>
      </w:r>
      <w:r>
        <w:rPr>
          <w:rFonts w:cs="Arial"/>
          <w:szCs w:val="22"/>
        </w:rPr>
        <w:t xml:space="preserve">entidades de mayor </w:t>
      </w:r>
      <w:r w:rsidRPr="003C1366">
        <w:rPr>
          <w:rFonts w:cs="Arial"/>
          <w:szCs w:val="22"/>
        </w:rPr>
        <w:t>expul</w:t>
      </w:r>
      <w:r>
        <w:rPr>
          <w:rFonts w:cs="Arial"/>
          <w:szCs w:val="22"/>
        </w:rPr>
        <w:t>sión de población s</w:t>
      </w:r>
      <w:r w:rsidRPr="003C1366">
        <w:rPr>
          <w:rFonts w:cs="Arial"/>
          <w:szCs w:val="22"/>
        </w:rPr>
        <w:t>on Guanajuato (7.8%), Jalisco (7.5%) y Michoacán (</w:t>
      </w:r>
      <w:r w:rsidRPr="00A73CB7">
        <w:rPr>
          <w:rFonts w:cs="Arial"/>
          <w:szCs w:val="22"/>
        </w:rPr>
        <w:t>6.</w:t>
      </w:r>
      <w:r>
        <w:rPr>
          <w:rFonts w:cs="Arial"/>
          <w:szCs w:val="22"/>
        </w:rPr>
        <w:t>3</w:t>
      </w:r>
      <w:r w:rsidR="00BD2C1B">
        <w:rPr>
          <w:rFonts w:cs="Arial"/>
          <w:szCs w:val="22"/>
        </w:rPr>
        <w:t>%</w:t>
      </w:r>
      <w:r w:rsidRPr="00A73CB7">
        <w:rPr>
          <w:rFonts w:cs="Arial"/>
          <w:szCs w:val="22"/>
        </w:rPr>
        <w:t>).</w:t>
      </w:r>
      <w:r w:rsidRPr="003C1366">
        <w:rPr>
          <w:rFonts w:cs="Arial"/>
          <w:szCs w:val="22"/>
        </w:rPr>
        <w:t xml:space="preserve"> </w:t>
      </w:r>
    </w:p>
    <w:p w14:paraId="1BB9A2EC" w14:textId="77777777" w:rsidR="00BD2C1B" w:rsidRDefault="00BD2C1B" w:rsidP="00603811">
      <w:pPr>
        <w:ind w:left="-567"/>
        <w:rPr>
          <w:rFonts w:cs="Arial"/>
          <w:szCs w:val="22"/>
        </w:rPr>
      </w:pPr>
    </w:p>
    <w:p w14:paraId="2606AD38" w14:textId="6B136C2C" w:rsidR="00603811" w:rsidRPr="00E3294F" w:rsidRDefault="00853BBD" w:rsidP="00BD2C1B">
      <w:pPr>
        <w:ind w:left="-567"/>
        <w:rPr>
          <w:rFonts w:cs="Arial"/>
          <w:szCs w:val="22"/>
        </w:rPr>
      </w:pPr>
      <w:r w:rsidRPr="003C1366">
        <w:rPr>
          <w:rFonts w:cs="Arial"/>
          <w:szCs w:val="22"/>
        </w:rPr>
        <w:t xml:space="preserve">Los hombres (537 149) migran </w:t>
      </w:r>
      <w:r>
        <w:rPr>
          <w:rFonts w:cs="Arial"/>
          <w:szCs w:val="22"/>
        </w:rPr>
        <w:t xml:space="preserve">más </w:t>
      </w:r>
      <w:r w:rsidRPr="00E3294F">
        <w:rPr>
          <w:rFonts w:cs="Arial"/>
          <w:szCs w:val="22"/>
        </w:rPr>
        <w:t>que las mujeres (265 658)</w:t>
      </w:r>
      <w:r w:rsidR="00BD2C1B">
        <w:rPr>
          <w:rFonts w:cs="Arial"/>
          <w:szCs w:val="22"/>
        </w:rPr>
        <w:t>. P</w:t>
      </w:r>
      <w:r w:rsidR="00603811">
        <w:rPr>
          <w:rFonts w:cs="Arial"/>
          <w:szCs w:val="22"/>
        </w:rPr>
        <w:t xml:space="preserve">ara las </w:t>
      </w:r>
      <w:r w:rsidRPr="00E3294F">
        <w:rPr>
          <w:rFonts w:cs="Arial"/>
          <w:szCs w:val="22"/>
        </w:rPr>
        <w:t>tres primeras entidades expulsoras, los hombres</w:t>
      </w:r>
      <w:r w:rsidR="00603811">
        <w:rPr>
          <w:rFonts w:cs="Arial"/>
          <w:szCs w:val="22"/>
        </w:rPr>
        <w:t xml:space="preserve"> superan a las mujeres en Guanajuato y Michoacán, pero en Jalisco salen más mujeres </w:t>
      </w:r>
      <w:r w:rsidRPr="00E3294F">
        <w:rPr>
          <w:rFonts w:cs="Arial"/>
          <w:szCs w:val="22"/>
        </w:rPr>
        <w:t>(8.4%)</w:t>
      </w:r>
      <w:r w:rsidR="00603811">
        <w:rPr>
          <w:rFonts w:cs="Arial"/>
          <w:szCs w:val="22"/>
        </w:rPr>
        <w:t xml:space="preserve"> que </w:t>
      </w:r>
      <w:r w:rsidR="00BD2C1B">
        <w:rPr>
          <w:rFonts w:cs="Arial"/>
          <w:szCs w:val="22"/>
        </w:rPr>
        <w:t>hombre</w:t>
      </w:r>
      <w:r w:rsidR="00603811">
        <w:rPr>
          <w:rFonts w:cs="Arial"/>
          <w:szCs w:val="22"/>
        </w:rPr>
        <w:t>s y además</w:t>
      </w:r>
      <w:r w:rsidR="00CE7E8B">
        <w:rPr>
          <w:rFonts w:cs="Arial"/>
          <w:szCs w:val="22"/>
        </w:rPr>
        <w:t>,</w:t>
      </w:r>
      <w:r w:rsidR="00603811">
        <w:rPr>
          <w:rFonts w:cs="Arial"/>
          <w:szCs w:val="22"/>
        </w:rPr>
        <w:t xml:space="preserve"> es la que más mujeres</w:t>
      </w:r>
      <w:r w:rsidR="00CE7E8B">
        <w:rPr>
          <w:rFonts w:cs="Arial"/>
          <w:szCs w:val="22"/>
        </w:rPr>
        <w:t xml:space="preserve"> expulsa en el país</w:t>
      </w:r>
      <w:r w:rsidR="00BD2C1B">
        <w:rPr>
          <w:rFonts w:cs="Arial"/>
          <w:szCs w:val="22"/>
        </w:rPr>
        <w:t>;</w:t>
      </w:r>
      <w:r w:rsidR="00603811">
        <w:rPr>
          <w:rFonts w:cs="Arial"/>
          <w:szCs w:val="22"/>
        </w:rPr>
        <w:t xml:space="preserve"> le</w:t>
      </w:r>
      <w:r w:rsidR="00603811" w:rsidRPr="00E3294F">
        <w:rPr>
          <w:rFonts w:cs="Arial"/>
          <w:szCs w:val="22"/>
        </w:rPr>
        <w:t xml:space="preserve"> sigue</w:t>
      </w:r>
      <w:r w:rsidR="00BD2C1B">
        <w:rPr>
          <w:rFonts w:cs="Arial"/>
          <w:szCs w:val="22"/>
        </w:rPr>
        <w:t>n</w:t>
      </w:r>
      <w:r w:rsidR="00603811" w:rsidRPr="00E3294F">
        <w:rPr>
          <w:rFonts w:cs="Arial"/>
          <w:szCs w:val="22"/>
        </w:rPr>
        <w:t xml:space="preserve"> la Ciudad de México (7.5%) y Michoacán (6</w:t>
      </w:r>
      <w:r w:rsidR="00BD2C1B">
        <w:rPr>
          <w:rFonts w:cs="Arial"/>
          <w:szCs w:val="22"/>
        </w:rPr>
        <w:t>%</w:t>
      </w:r>
      <w:r w:rsidR="00603811" w:rsidRPr="00E3294F">
        <w:rPr>
          <w:rFonts w:cs="Arial"/>
          <w:szCs w:val="22"/>
        </w:rPr>
        <w:t xml:space="preserve">). </w:t>
      </w:r>
    </w:p>
    <w:p w14:paraId="10F59370" w14:textId="612365D6" w:rsidR="00DB5649" w:rsidRDefault="00DB5649" w:rsidP="00603811">
      <w:pPr>
        <w:ind w:left="-567"/>
        <w:rPr>
          <w:rFonts w:eastAsiaTheme="minorHAnsi"/>
          <w:b/>
          <w:sz w:val="20"/>
          <w:szCs w:val="20"/>
          <w:lang w:eastAsia="en-US"/>
        </w:rPr>
      </w:pPr>
    </w:p>
    <w:p w14:paraId="774207E6" w14:textId="5BA9F7CA" w:rsidR="00DB5649" w:rsidRPr="00E3294F" w:rsidRDefault="00DB5649" w:rsidP="00CE7E8B">
      <w:pPr>
        <w:spacing w:after="200"/>
        <w:ind w:left="-426"/>
        <w:jc w:val="left"/>
        <w:rPr>
          <w:rFonts w:eastAsiaTheme="minorHAnsi"/>
          <w:b/>
          <w:sz w:val="20"/>
          <w:szCs w:val="20"/>
          <w:lang w:eastAsia="en-US"/>
        </w:rPr>
      </w:pPr>
      <w:r w:rsidRPr="00E3294F">
        <w:rPr>
          <w:rFonts w:eastAsiaTheme="minorHAnsi"/>
          <w:b/>
          <w:sz w:val="20"/>
          <w:szCs w:val="20"/>
          <w:lang w:eastAsia="en-US"/>
        </w:rPr>
        <w:t xml:space="preserve">Distribución porcentual de población migrante internacional entre marzo de 2015 y marzo de 2020 por sexo, según entidad federativa expulsora </w:t>
      </w:r>
    </w:p>
    <w:p w14:paraId="3B360ADA" w14:textId="77777777" w:rsidR="00DB5649" w:rsidRPr="00E3294F" w:rsidRDefault="00DB5649" w:rsidP="00CE7E8B">
      <w:pPr>
        <w:ind w:left="-426"/>
        <w:rPr>
          <w:rFonts w:eastAsiaTheme="minorHAnsi"/>
          <w:b/>
          <w:sz w:val="20"/>
          <w:szCs w:val="20"/>
          <w:lang w:eastAsia="en-US"/>
        </w:rPr>
      </w:pPr>
      <w:r w:rsidRPr="00E3294F">
        <w:rPr>
          <w:rFonts w:cs="Arial"/>
          <w:b/>
          <w:bCs/>
          <w:noProof/>
          <w:szCs w:val="22"/>
          <w:lang w:val="es-MX" w:eastAsia="es-MX"/>
        </w:rPr>
        <w:drawing>
          <wp:anchor distT="0" distB="0" distL="114300" distR="114300" simplePos="0" relativeHeight="251659776" behindDoc="0" locked="0" layoutInCell="1" allowOverlap="1" wp14:anchorId="3FB4DF3A" wp14:editId="18E480A6">
            <wp:simplePos x="0" y="0"/>
            <wp:positionH relativeFrom="column">
              <wp:posOffset>-234950</wp:posOffset>
            </wp:positionH>
            <wp:positionV relativeFrom="paragraph">
              <wp:posOffset>212725</wp:posOffset>
            </wp:positionV>
            <wp:extent cx="6025515" cy="4226560"/>
            <wp:effectExtent l="0" t="0" r="0" b="2540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422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94F">
        <w:rPr>
          <w:rFonts w:eastAsiaTheme="minorHAnsi"/>
          <w:b/>
          <w:sz w:val="20"/>
          <w:szCs w:val="20"/>
          <w:lang w:eastAsia="en-US"/>
        </w:rPr>
        <w:t>2020</w:t>
      </w:r>
    </w:p>
    <w:p w14:paraId="234B1042" w14:textId="77777777" w:rsidR="00DB5649" w:rsidRPr="00E3294F" w:rsidRDefault="00DB5649" w:rsidP="00DB5649">
      <w:pPr>
        <w:ind w:left="567" w:hanging="1134"/>
        <w:rPr>
          <w:rFonts w:cs="Arial"/>
          <w:b/>
          <w:bCs/>
          <w:szCs w:val="22"/>
          <w:lang w:val="es-MX"/>
        </w:rPr>
      </w:pPr>
    </w:p>
    <w:p w14:paraId="11BB7D42" w14:textId="77777777" w:rsidR="00DB5649" w:rsidRPr="00E3294F" w:rsidRDefault="00DB5649" w:rsidP="00CE7E8B">
      <w:pPr>
        <w:tabs>
          <w:tab w:val="left" w:pos="284"/>
        </w:tabs>
        <w:spacing w:line="276" w:lineRule="auto"/>
        <w:ind w:left="-426"/>
        <w:jc w:val="left"/>
        <w:rPr>
          <w:rFonts w:eastAsiaTheme="minorHAnsi"/>
          <w:bCs/>
          <w:sz w:val="16"/>
          <w:szCs w:val="16"/>
          <w:lang w:eastAsia="en-US"/>
        </w:rPr>
      </w:pPr>
      <w:r w:rsidRPr="00E3294F">
        <w:rPr>
          <w:rFonts w:cs="Arial"/>
          <w:sz w:val="16"/>
          <w:szCs w:val="16"/>
          <w:lang w:val="es-MX"/>
        </w:rPr>
        <w:t xml:space="preserve">Fuente: INEGI. Censo de Población y Vivienda 2020. Base de datos del cuestionario ampliado. </w:t>
      </w:r>
      <w:r w:rsidRPr="00E3294F">
        <w:rPr>
          <w:rFonts w:eastAsiaTheme="minorHAnsi"/>
          <w:bCs/>
          <w:sz w:val="16"/>
          <w:szCs w:val="16"/>
          <w:lang w:eastAsia="en-US"/>
        </w:rPr>
        <w:t>SNIEG. Información de Interés Nacional.</w:t>
      </w:r>
    </w:p>
    <w:p w14:paraId="60C1192D" w14:textId="77777777" w:rsidR="00DB5649" w:rsidRPr="00E3294F" w:rsidRDefault="00DB5649" w:rsidP="00DB5649">
      <w:pPr>
        <w:ind w:left="567" w:hanging="1134"/>
        <w:rPr>
          <w:rFonts w:cs="Arial"/>
          <w:b/>
          <w:bCs/>
          <w:szCs w:val="22"/>
          <w:lang w:val="es-MX"/>
        </w:rPr>
      </w:pPr>
    </w:p>
    <w:p w14:paraId="6AEFC922" w14:textId="77777777" w:rsidR="00DB5649" w:rsidRPr="003C1366" w:rsidRDefault="00DB5649" w:rsidP="00DB5649">
      <w:pPr>
        <w:ind w:left="-567"/>
        <w:rPr>
          <w:rFonts w:cs="Arial"/>
          <w:szCs w:val="22"/>
        </w:rPr>
      </w:pPr>
      <w:r w:rsidRPr="003C1366">
        <w:rPr>
          <w:rFonts w:cs="Arial"/>
          <w:szCs w:val="22"/>
        </w:rPr>
        <w:t>Más de la mitad (57%) de la población que salió del país en</w:t>
      </w:r>
      <w:r>
        <w:rPr>
          <w:rFonts w:cs="Arial"/>
          <w:szCs w:val="22"/>
        </w:rPr>
        <w:t xml:space="preserve">tre marzo de 2015 y </w:t>
      </w:r>
      <w:r w:rsidRPr="003C1366">
        <w:rPr>
          <w:rFonts w:cs="Arial"/>
          <w:szCs w:val="22"/>
        </w:rPr>
        <w:t xml:space="preserve">2020 </w:t>
      </w:r>
      <w:r>
        <w:rPr>
          <w:rFonts w:cs="Arial"/>
          <w:szCs w:val="22"/>
        </w:rPr>
        <w:t xml:space="preserve">reporta </w:t>
      </w:r>
      <w:r w:rsidRPr="003C1366">
        <w:rPr>
          <w:rFonts w:cs="Arial"/>
          <w:szCs w:val="22"/>
        </w:rPr>
        <w:t xml:space="preserve">que cambió de residencia por motivos laborales, 18% </w:t>
      </w:r>
      <w:r>
        <w:rPr>
          <w:rFonts w:cs="Arial"/>
          <w:szCs w:val="22"/>
        </w:rPr>
        <w:t xml:space="preserve">lo hizo </w:t>
      </w:r>
      <w:r w:rsidRPr="003C1366">
        <w:rPr>
          <w:rFonts w:cs="Arial"/>
          <w:szCs w:val="22"/>
        </w:rPr>
        <w:t xml:space="preserve">para reunirse con la familia, o bien, porque se casó o unió, 12% por estudios y 6% por otras causas (inseguridad delictiva o violencia, por desastres naturales o porque lo regresaron a su país de origen, entre otras). </w:t>
      </w:r>
    </w:p>
    <w:p w14:paraId="1A254F34" w14:textId="77777777" w:rsidR="004A0064" w:rsidRPr="0038230F" w:rsidRDefault="004A0064" w:rsidP="004A0064">
      <w:pPr>
        <w:keepNext/>
        <w:ind w:left="-426" w:right="-518"/>
        <w:contextualSpacing/>
        <w:jc w:val="center"/>
        <w:rPr>
          <w:rFonts w:cs="Arial"/>
          <w:sz w:val="20"/>
          <w:szCs w:val="20"/>
        </w:rPr>
      </w:pPr>
    </w:p>
    <w:p w14:paraId="124840DB" w14:textId="575AE8BD" w:rsidR="00550FE4" w:rsidRPr="004A0064" w:rsidRDefault="004A0064" w:rsidP="004A0064">
      <w:pPr>
        <w:tabs>
          <w:tab w:val="center" w:pos="4820"/>
          <w:tab w:val="left" w:pos="8580"/>
          <w:tab w:val="right" w:pos="9640"/>
        </w:tabs>
        <w:rPr>
          <w:rFonts w:cs="Arial"/>
          <w:b/>
          <w:color w:val="231F20"/>
          <w:sz w:val="24"/>
        </w:rPr>
      </w:pPr>
      <w:r w:rsidRPr="0038230F">
        <w:rPr>
          <w:rFonts w:cs="Arial"/>
          <w:b/>
          <w:color w:val="231F20"/>
          <w:sz w:val="24"/>
        </w:rPr>
        <w:tab/>
      </w:r>
      <w:r w:rsidRPr="0038230F">
        <w:rPr>
          <w:noProof/>
          <w:lang w:eastAsia="es-MX"/>
        </w:rPr>
        <w:drawing>
          <wp:inline distT="0" distB="0" distL="0" distR="0" wp14:anchorId="0034F0F2" wp14:editId="0A0C1E67">
            <wp:extent cx="309533" cy="298646"/>
            <wp:effectExtent l="0" t="0" r="0" b="6350"/>
            <wp:docPr id="12" name="Imagen 12" descr="C:\Users\saladeprensa\Desktop\NVOS LOGOS\F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C:\Users\saladeprensa\Desktop\NVOS LOGOS\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33" cy="29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230F">
        <w:rPr>
          <w:noProof/>
          <w:lang w:eastAsia="es-MX"/>
        </w:rPr>
        <w:drawing>
          <wp:inline distT="0" distB="0" distL="0" distR="0" wp14:anchorId="0DF70886" wp14:editId="590EB9E3">
            <wp:extent cx="299085" cy="299085"/>
            <wp:effectExtent l="0" t="0" r="5715" b="5715"/>
            <wp:docPr id="3" name="Imagen 3" descr="C:\Users\saladeprensa\Desktop\NVOS LOGOS\I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 descr="C:\Users\saladeprensa\Desktop\NVOS LOGOS\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230F">
        <w:rPr>
          <w:noProof/>
          <w:lang w:eastAsia="es-MX"/>
        </w:rPr>
        <w:drawing>
          <wp:inline distT="0" distB="0" distL="0" distR="0" wp14:anchorId="24FE136B" wp14:editId="423BB8DA">
            <wp:extent cx="299085" cy="299085"/>
            <wp:effectExtent l="0" t="0" r="5715" b="5715"/>
            <wp:docPr id="16" name="Imagen 16" descr="C:\Users\saladeprensa\Desktop\NVOS LOGOS\T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C:\Users\saladeprensa\Desktop\NVOS LOGOS\T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230F">
        <w:rPr>
          <w:noProof/>
          <w:lang w:eastAsia="es-MX"/>
        </w:rPr>
        <w:drawing>
          <wp:inline distT="0" distB="0" distL="0" distR="0" wp14:anchorId="082F59E4" wp14:editId="1B983960">
            <wp:extent cx="299085" cy="299085"/>
            <wp:effectExtent l="0" t="0" r="5715" b="5715"/>
            <wp:docPr id="17" name="Imagen 17" descr="C:\Users\saladeprensa\Desktop\NVOS LOGOS\Y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 descr="C:\Users\saladeprensa\Desktop\NVOS LOGOS\Y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230F">
        <w:rPr>
          <w:noProof/>
          <w:sz w:val="14"/>
          <w:szCs w:val="18"/>
          <w:lang w:eastAsia="es-MX"/>
        </w:rPr>
        <w:drawing>
          <wp:inline distT="0" distB="0" distL="0" distR="0" wp14:anchorId="39DDDE88" wp14:editId="0FAEEC43">
            <wp:extent cx="2381254" cy="285750"/>
            <wp:effectExtent l="0" t="0" r="0" b="0"/>
            <wp:docPr id="18" name="Imagen 18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445" cy="28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0FE4" w:rsidRPr="004A0064" w:rsidSect="006910B6">
      <w:headerReference w:type="default" r:id="rId22"/>
      <w:footerReference w:type="default" r:id="rId23"/>
      <w:headerReference w:type="first" r:id="rId24"/>
      <w:footerReference w:type="first" r:id="rId25"/>
      <w:footnotePr>
        <w:numRestart w:val="eachSect"/>
      </w:footnotePr>
      <w:pgSz w:w="12242" w:h="15842" w:code="1"/>
      <w:pgMar w:top="1418" w:right="1185" w:bottom="851" w:left="1701" w:header="567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BE066" w14:textId="77777777" w:rsidR="002B717D" w:rsidRDefault="002B717D" w:rsidP="00DB5649">
      <w:r>
        <w:separator/>
      </w:r>
    </w:p>
  </w:endnote>
  <w:endnote w:type="continuationSeparator" w:id="0">
    <w:p w14:paraId="2BCCE3C7" w14:textId="77777777" w:rsidR="002B717D" w:rsidRDefault="002B717D" w:rsidP="00DB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F8E1B" w14:textId="6223DF30" w:rsidR="004A0064" w:rsidRPr="004A0064" w:rsidRDefault="004A0064" w:rsidP="004A0064">
    <w:pPr>
      <w:pStyle w:val="Piedepgina"/>
      <w:ind w:left="-567"/>
      <w:jc w:val="center"/>
      <w:rPr>
        <w:b/>
        <w:color w:val="002060"/>
      </w:rPr>
    </w:pPr>
    <w:r w:rsidRPr="004A0064">
      <w:rPr>
        <w:b/>
        <w:color w:val="002060"/>
      </w:rPr>
      <w:t>COMUNICACIÓN SOCIAL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541AD" w14:textId="0F8777F0" w:rsidR="004A0064" w:rsidRPr="004A0064" w:rsidRDefault="004A0064" w:rsidP="004A0064">
    <w:pPr>
      <w:pStyle w:val="Piedepgina"/>
      <w:ind w:hanging="567"/>
      <w:jc w:val="center"/>
      <w:rPr>
        <w:b/>
        <w:color w:val="002060"/>
        <w:sz w:val="20"/>
        <w:szCs w:val="20"/>
      </w:rPr>
    </w:pPr>
    <w:r w:rsidRPr="004A0064">
      <w:rPr>
        <w:b/>
        <w:color w:val="002060"/>
        <w:sz w:val="20"/>
        <w:szCs w:val="20"/>
      </w:rPr>
      <w:t>COMUNICACIÓN SOCIAL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31631" w14:textId="77777777" w:rsidR="002B717D" w:rsidRDefault="002B717D" w:rsidP="00DB5649">
      <w:r>
        <w:separator/>
      </w:r>
    </w:p>
  </w:footnote>
  <w:footnote w:type="continuationSeparator" w:id="0">
    <w:p w14:paraId="339AE711" w14:textId="77777777" w:rsidR="002B717D" w:rsidRDefault="002B717D" w:rsidP="00DB5649">
      <w:r>
        <w:continuationSeparator/>
      </w:r>
    </w:p>
  </w:footnote>
  <w:footnote w:id="1">
    <w:p w14:paraId="6443A3FE" w14:textId="77777777" w:rsidR="00DB5649" w:rsidRPr="000D74B1" w:rsidRDefault="00DB5649" w:rsidP="00DB5649">
      <w:pPr>
        <w:ind w:hanging="142"/>
        <w:rPr>
          <w:lang w:val="es-MX"/>
        </w:rPr>
      </w:pPr>
      <w:r w:rsidRPr="000D74B1">
        <w:rPr>
          <w:rStyle w:val="Refdenotaalpie"/>
          <w:rFonts w:cs="Arial"/>
          <w:sz w:val="20"/>
          <w:szCs w:val="20"/>
        </w:rPr>
        <w:footnoteRef/>
      </w:r>
      <w:r w:rsidRPr="000D74B1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 xml:space="preserve">Organización de </w:t>
      </w:r>
      <w:r w:rsidRPr="000D74B1">
        <w:rPr>
          <w:rStyle w:val="Hipervnculo"/>
          <w:rFonts w:cs="Arial"/>
          <w:color w:val="auto"/>
          <w:sz w:val="16"/>
          <w:szCs w:val="16"/>
          <w:u w:val="none"/>
        </w:rPr>
        <w:t xml:space="preserve">Naciones Unidas (s.f.). </w:t>
      </w:r>
      <w:r w:rsidRPr="000D74B1">
        <w:rPr>
          <w:rStyle w:val="Hipervnculo"/>
          <w:rFonts w:cs="Arial"/>
          <w:i/>
          <w:iCs/>
          <w:color w:val="auto"/>
          <w:sz w:val="16"/>
          <w:szCs w:val="16"/>
          <w:u w:val="none"/>
        </w:rPr>
        <w:t>Día Mundial de la Población 11 de julio</w:t>
      </w:r>
      <w:r w:rsidRPr="000D74B1">
        <w:rPr>
          <w:rStyle w:val="Hipervnculo"/>
          <w:rFonts w:cs="Arial"/>
          <w:color w:val="auto"/>
          <w:sz w:val="16"/>
          <w:szCs w:val="16"/>
          <w:u w:val="none"/>
        </w:rPr>
        <w:t xml:space="preserve">. </w:t>
      </w:r>
      <w:hyperlink r:id="rId1" w:history="1">
        <w:r w:rsidRPr="00D52FE9">
          <w:rPr>
            <w:rStyle w:val="Hipervnculo"/>
            <w:rFonts w:cs="Arial"/>
            <w:sz w:val="16"/>
            <w:szCs w:val="16"/>
          </w:rPr>
          <w:t>https://www.un.org/es/observances/world-population-day/background</w:t>
        </w:r>
      </w:hyperlink>
    </w:p>
  </w:footnote>
  <w:footnote w:id="2">
    <w:p w14:paraId="11F73918" w14:textId="17B0A7B6" w:rsidR="00DB5649" w:rsidRPr="000D74B1" w:rsidRDefault="00DB5649" w:rsidP="00DB5649">
      <w:pPr>
        <w:pStyle w:val="Textonotapie"/>
        <w:ind w:left="142" w:hanging="142"/>
        <w:jc w:val="left"/>
        <w:rPr>
          <w:rFonts w:cs="Arial"/>
          <w:sz w:val="16"/>
          <w:szCs w:val="16"/>
          <w:lang w:val="es-MX"/>
        </w:rPr>
      </w:pPr>
      <w:r w:rsidRPr="000D74B1">
        <w:rPr>
          <w:rStyle w:val="Refdenotaalpie"/>
          <w:rFonts w:cs="Arial"/>
        </w:rPr>
        <w:footnoteRef/>
      </w:r>
      <w:r w:rsidRPr="000D74B1">
        <w:rPr>
          <w:rFonts w:cs="Arial"/>
          <w:sz w:val="16"/>
          <w:szCs w:val="16"/>
        </w:rPr>
        <w:t xml:space="preserve"> </w:t>
      </w:r>
      <w:r w:rsidRPr="009A74B1">
        <w:rPr>
          <w:rFonts w:cs="Arial"/>
          <w:sz w:val="16"/>
          <w:szCs w:val="16"/>
        </w:rPr>
        <w:t xml:space="preserve">Fondo de Población de las Naciones Unidas México (2012). </w:t>
      </w:r>
      <w:r w:rsidRPr="009A74B1">
        <w:rPr>
          <w:rFonts w:cs="Arial"/>
          <w:i/>
          <w:sz w:val="16"/>
          <w:szCs w:val="16"/>
        </w:rPr>
        <w:t>Análisis de la situación en población</w:t>
      </w:r>
      <w:r w:rsidRPr="009A74B1">
        <w:rPr>
          <w:rFonts w:cs="Arial"/>
          <w:sz w:val="16"/>
          <w:szCs w:val="16"/>
        </w:rPr>
        <w:t>. https://www.unfpa.org/sites/default/files/admin-resource/Mexico-Analisis-de-Situacion-de-Pais.pdf</w:t>
      </w:r>
    </w:p>
  </w:footnote>
  <w:footnote w:id="3">
    <w:p w14:paraId="5455FDD2" w14:textId="77777777" w:rsidR="00DB5649" w:rsidRDefault="00DB5649" w:rsidP="00DB5649">
      <w:pPr>
        <w:pStyle w:val="Textocomentario"/>
        <w:ind w:left="-426" w:hanging="142"/>
        <w:rPr>
          <w:rStyle w:val="Hipervnculo"/>
          <w:rFonts w:cs="Arial"/>
          <w:color w:val="auto"/>
          <w:sz w:val="16"/>
          <w:szCs w:val="16"/>
        </w:rPr>
      </w:pPr>
      <w:r w:rsidRPr="00640F4D">
        <w:rPr>
          <w:rStyle w:val="Refdenotaalpie"/>
        </w:rPr>
        <w:footnoteRef/>
      </w:r>
      <w:r w:rsidRPr="00640F4D">
        <w:rPr>
          <w:sz w:val="16"/>
          <w:szCs w:val="16"/>
        </w:rPr>
        <w:t xml:space="preserve"> </w:t>
      </w:r>
      <w:proofErr w:type="spellStart"/>
      <w:r w:rsidRPr="0085113B">
        <w:rPr>
          <w:rFonts w:cs="Arial"/>
          <w:bCs/>
          <w:sz w:val="16"/>
          <w:szCs w:val="16"/>
          <w:shd w:val="clear" w:color="auto" w:fill="FFFFFF"/>
        </w:rPr>
        <w:t>Welti</w:t>
      </w:r>
      <w:proofErr w:type="spellEnd"/>
      <w:r w:rsidRPr="0085113B">
        <w:rPr>
          <w:rFonts w:cs="Arial"/>
          <w:bCs/>
          <w:sz w:val="16"/>
          <w:szCs w:val="16"/>
          <w:shd w:val="clear" w:color="auto" w:fill="FFFFFF"/>
        </w:rPr>
        <w:t>-Chanes, C. (2012). “Análisis de la fecundidad en México con los datos del Cen</w:t>
      </w:r>
      <w:r>
        <w:rPr>
          <w:rFonts w:cs="Arial"/>
          <w:bCs/>
          <w:sz w:val="16"/>
          <w:szCs w:val="16"/>
          <w:shd w:val="clear" w:color="auto" w:fill="FFFFFF"/>
        </w:rPr>
        <w:t>so de Población y Vivienda 2010</w:t>
      </w:r>
      <w:r w:rsidRPr="0085113B">
        <w:rPr>
          <w:rFonts w:cs="Arial"/>
          <w:bCs/>
          <w:sz w:val="16"/>
          <w:szCs w:val="16"/>
          <w:shd w:val="clear" w:color="auto" w:fill="FFFFFF"/>
        </w:rPr>
        <w:t>”</w:t>
      </w:r>
      <w:r>
        <w:rPr>
          <w:rFonts w:cs="Arial"/>
          <w:bCs/>
          <w:sz w:val="16"/>
          <w:szCs w:val="16"/>
          <w:shd w:val="clear" w:color="auto" w:fill="FFFFFF"/>
        </w:rPr>
        <w:t xml:space="preserve">, en: </w:t>
      </w:r>
      <w:r w:rsidRPr="0085113B">
        <w:rPr>
          <w:rFonts w:cs="Arial"/>
          <w:bCs/>
          <w:i/>
          <w:sz w:val="16"/>
          <w:szCs w:val="16"/>
          <w:shd w:val="clear" w:color="auto" w:fill="FFFFFF"/>
        </w:rPr>
        <w:t>Papeles de población</w:t>
      </w:r>
      <w:r w:rsidRPr="0085113B">
        <w:rPr>
          <w:rFonts w:cs="Arial"/>
          <w:bCs/>
          <w:sz w:val="16"/>
          <w:szCs w:val="16"/>
          <w:shd w:val="clear" w:color="auto" w:fill="FFFFFF"/>
        </w:rPr>
        <w:t xml:space="preserve">. </w:t>
      </w:r>
      <w:hyperlink r:id="rId2" w:history="1">
        <w:r w:rsidRPr="0085113B">
          <w:rPr>
            <w:rStyle w:val="Hipervnculo"/>
            <w:rFonts w:cs="Arial"/>
            <w:color w:val="auto"/>
            <w:sz w:val="16"/>
            <w:szCs w:val="16"/>
          </w:rPr>
          <w:t>http://www.scielo.org.mx/scielo.php?script=sci_arttext&amp;pid=S1405-74252012000300004</w:t>
        </w:r>
      </w:hyperlink>
      <w:r w:rsidRPr="0085113B">
        <w:rPr>
          <w:rStyle w:val="Hipervnculo"/>
          <w:rFonts w:cs="Arial"/>
          <w:color w:val="auto"/>
          <w:sz w:val="16"/>
          <w:szCs w:val="16"/>
        </w:rPr>
        <w:t>.</w:t>
      </w:r>
    </w:p>
    <w:p w14:paraId="01F752A9" w14:textId="77777777" w:rsidR="00DB5649" w:rsidRPr="00640F4D" w:rsidRDefault="00DB5649" w:rsidP="00DB5649">
      <w:pPr>
        <w:pStyle w:val="Textocomentario"/>
        <w:ind w:left="142" w:hanging="142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96035" w14:textId="5B0CE73F" w:rsidR="004A0064" w:rsidRDefault="00EA7831" w:rsidP="004A0064">
    <w:pPr>
      <w:pStyle w:val="Textoindependiente"/>
      <w:kinsoku w:val="0"/>
      <w:overflowPunct w:val="0"/>
      <w:ind w:left="1352" w:right="18" w:hanging="1333"/>
      <w:jc w:val="right"/>
      <w:rPr>
        <w:b/>
        <w:bCs/>
        <w:color w:val="17365D"/>
        <w:spacing w:val="2"/>
      </w:rPr>
    </w:pPr>
    <w:r w:rsidRPr="002065DD">
      <w:rPr>
        <w:noProof/>
        <w:lang w:val="es-MX" w:eastAsia="es-MX"/>
      </w:rPr>
      <w:drawing>
        <wp:anchor distT="0" distB="0" distL="114300" distR="114300" simplePos="0" relativeHeight="251657728" behindDoc="0" locked="0" layoutInCell="1" allowOverlap="1" wp14:anchorId="24BE3165" wp14:editId="73309AD6">
          <wp:simplePos x="0" y="0"/>
          <wp:positionH relativeFrom="column">
            <wp:posOffset>-358775</wp:posOffset>
          </wp:positionH>
          <wp:positionV relativeFrom="paragraph">
            <wp:posOffset>8890</wp:posOffset>
          </wp:positionV>
          <wp:extent cx="774700" cy="805180"/>
          <wp:effectExtent l="0" t="0" r="6350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0064">
      <w:rPr>
        <w:b/>
        <w:bCs/>
        <w:color w:val="17365D"/>
        <w:spacing w:val="-1"/>
      </w:rPr>
      <w:t>COMUNICADO</w:t>
    </w:r>
    <w:r w:rsidR="004A0064">
      <w:rPr>
        <w:b/>
        <w:bCs/>
        <w:color w:val="17365D"/>
      </w:rPr>
      <w:t xml:space="preserve"> DE PRENSA </w:t>
    </w:r>
    <w:r w:rsidR="004A0064">
      <w:rPr>
        <w:b/>
        <w:bCs/>
        <w:color w:val="17365D"/>
        <w:spacing w:val="-1"/>
      </w:rPr>
      <w:t>NÚM.</w:t>
    </w:r>
    <w:r w:rsidR="004A0064">
      <w:rPr>
        <w:b/>
        <w:bCs/>
        <w:color w:val="17365D"/>
        <w:spacing w:val="2"/>
      </w:rPr>
      <w:t xml:space="preserve"> </w:t>
    </w:r>
    <w:r w:rsidR="00217858">
      <w:rPr>
        <w:b/>
        <w:bCs/>
        <w:color w:val="17365D"/>
        <w:spacing w:val="2"/>
      </w:rPr>
      <w:t>378</w:t>
    </w:r>
    <w:r w:rsidR="004A0064">
      <w:rPr>
        <w:b/>
        <w:bCs/>
        <w:color w:val="17365D"/>
        <w:spacing w:val="2"/>
      </w:rPr>
      <w:t xml:space="preserve">/21 </w:t>
    </w:r>
  </w:p>
  <w:p w14:paraId="1FEFF25D" w14:textId="1AB3ED07" w:rsidR="004A0064" w:rsidRDefault="004A0064" w:rsidP="004A0064">
    <w:pPr>
      <w:pStyle w:val="Textoindependiente"/>
      <w:kinsoku w:val="0"/>
      <w:overflowPunct w:val="0"/>
      <w:ind w:left="1352" w:right="18" w:hanging="1333"/>
      <w:jc w:val="right"/>
      <w:rPr>
        <w:color w:val="000000"/>
      </w:rPr>
    </w:pPr>
    <w:r>
      <w:rPr>
        <w:b/>
        <w:bCs/>
        <w:color w:val="17365D"/>
        <w:spacing w:val="27"/>
      </w:rPr>
      <w:t>8</w:t>
    </w:r>
    <w:r>
      <w:rPr>
        <w:b/>
        <w:bCs/>
        <w:color w:val="17365D"/>
        <w:spacing w:val="1"/>
      </w:rPr>
      <w:t xml:space="preserve"> </w:t>
    </w:r>
    <w:r>
      <w:rPr>
        <w:b/>
        <w:bCs/>
        <w:color w:val="17365D"/>
      </w:rPr>
      <w:t>DE</w:t>
    </w:r>
    <w:r>
      <w:rPr>
        <w:b/>
        <w:bCs/>
        <w:color w:val="17365D"/>
        <w:spacing w:val="-2"/>
      </w:rPr>
      <w:t xml:space="preserve"> JULIO</w:t>
    </w:r>
    <w:r>
      <w:rPr>
        <w:b/>
        <w:bCs/>
        <w:color w:val="17365D"/>
        <w:spacing w:val="2"/>
      </w:rPr>
      <w:t xml:space="preserve"> </w:t>
    </w:r>
    <w:r>
      <w:rPr>
        <w:b/>
        <w:bCs/>
        <w:color w:val="17365D"/>
      </w:rPr>
      <w:t xml:space="preserve">DE </w:t>
    </w:r>
    <w:r>
      <w:rPr>
        <w:b/>
        <w:bCs/>
        <w:color w:val="17365D"/>
        <w:spacing w:val="-1"/>
      </w:rPr>
      <w:t>2021</w:t>
    </w:r>
  </w:p>
  <w:p w14:paraId="53319B0C" w14:textId="1BC44FBB" w:rsidR="004A0064" w:rsidRDefault="004A0064" w:rsidP="004A0064">
    <w:pPr>
      <w:pStyle w:val="Textoindependiente"/>
      <w:kinsoku w:val="0"/>
      <w:overflowPunct w:val="0"/>
      <w:ind w:right="18"/>
      <w:jc w:val="right"/>
      <w:rPr>
        <w:color w:val="000000"/>
      </w:rPr>
    </w:pPr>
    <w:r>
      <w:rPr>
        <w:b/>
        <w:bCs/>
        <w:color w:val="17365D"/>
      </w:rPr>
      <w:t xml:space="preserve">PÁGINA </w:t>
    </w:r>
    <w:r>
      <w:rPr>
        <w:b/>
        <w:bCs/>
        <w:color w:val="17365D"/>
      </w:rPr>
      <w:fldChar w:fldCharType="begin"/>
    </w:r>
    <w:r>
      <w:rPr>
        <w:b/>
        <w:bCs/>
        <w:color w:val="17365D"/>
      </w:rPr>
      <w:instrText xml:space="preserve"> PAGE </w:instrText>
    </w:r>
    <w:r>
      <w:rPr>
        <w:b/>
        <w:bCs/>
        <w:color w:val="17365D"/>
      </w:rPr>
      <w:fldChar w:fldCharType="separate"/>
    </w:r>
    <w:r>
      <w:rPr>
        <w:b/>
        <w:bCs/>
        <w:color w:val="17365D"/>
      </w:rPr>
      <w:t>1</w:t>
    </w:r>
    <w:r>
      <w:rPr>
        <w:b/>
        <w:bCs/>
        <w:color w:val="17365D"/>
      </w:rPr>
      <w:fldChar w:fldCharType="end"/>
    </w:r>
    <w:r>
      <w:rPr>
        <w:b/>
        <w:bCs/>
        <w:color w:val="17365D"/>
      </w:rPr>
      <w:t>/5</w:t>
    </w:r>
  </w:p>
  <w:p w14:paraId="47522EA8" w14:textId="246709CE" w:rsidR="006910B6" w:rsidRDefault="002B717D" w:rsidP="004A0064">
    <w:pPr>
      <w:pStyle w:val="Textoindependiente"/>
      <w:jc w:val="right"/>
    </w:pPr>
  </w:p>
  <w:p w14:paraId="36D4CE55" w14:textId="77777777" w:rsidR="006910B6" w:rsidRDefault="002B717D" w:rsidP="006910B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A6C79" w14:textId="3FE97D04" w:rsidR="006910B6" w:rsidRDefault="00CA499C" w:rsidP="006910B6">
    <w:pPr>
      <w:pStyle w:val="Encabezado"/>
      <w:ind w:hanging="426"/>
      <w:jc w:val="center"/>
      <w:rPr>
        <w:noProof/>
      </w:rPr>
    </w:pPr>
    <w:r>
      <w:rPr>
        <w:noProof/>
        <w:lang w:val="es-MX" w:eastAsia="es-MX"/>
      </w:rPr>
      <w:drawing>
        <wp:anchor distT="0" distB="0" distL="114300" distR="114300" simplePos="0" relativeHeight="251655680" behindDoc="0" locked="0" layoutInCell="1" allowOverlap="1" wp14:anchorId="6C07912A" wp14:editId="0E0AF69A">
          <wp:simplePos x="0" y="0"/>
          <wp:positionH relativeFrom="column">
            <wp:posOffset>-341630</wp:posOffset>
          </wp:positionH>
          <wp:positionV relativeFrom="paragraph">
            <wp:posOffset>-10795</wp:posOffset>
          </wp:positionV>
          <wp:extent cx="775278" cy="805260"/>
          <wp:effectExtent l="0" t="0" r="635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278" cy="805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02DC1" w14:textId="77777777" w:rsidR="006910B6" w:rsidRDefault="002B717D" w:rsidP="006910B6">
    <w:pPr>
      <w:pStyle w:val="Encabezado"/>
      <w:ind w:hanging="426"/>
      <w:jc w:val="center"/>
      <w:rPr>
        <w:noProof/>
      </w:rPr>
    </w:pPr>
  </w:p>
  <w:p w14:paraId="34C8301D" w14:textId="3AB4A9F9" w:rsidR="006910B6" w:rsidRDefault="002B717D" w:rsidP="006910B6">
    <w:pPr>
      <w:pStyle w:val="Encabezado"/>
      <w:ind w:hanging="426"/>
      <w:jc w:val="center"/>
      <w:rPr>
        <w:noProof/>
      </w:rPr>
    </w:pPr>
  </w:p>
  <w:p w14:paraId="7EEA8AB1" w14:textId="77777777" w:rsidR="006910B6" w:rsidRDefault="002B717D" w:rsidP="006910B6">
    <w:pPr>
      <w:pStyle w:val="Encabezado"/>
      <w:ind w:hanging="426"/>
      <w:jc w:val="center"/>
      <w:rPr>
        <w:noProof/>
      </w:rPr>
    </w:pPr>
  </w:p>
  <w:p w14:paraId="34AE7F78" w14:textId="1918D3F5" w:rsidR="004A0064" w:rsidRPr="004A0064" w:rsidRDefault="004A0064" w:rsidP="004A0064">
    <w:pPr>
      <w:pStyle w:val="Textoindependiente"/>
      <w:framePr w:w="6178" w:hSpace="141" w:vSpace="141" w:wrap="auto" w:vAnchor="page" w:hAnchor="page" w:x="5335" w:y="541"/>
      <w:kinsoku w:val="0"/>
      <w:overflowPunct w:val="0"/>
      <w:ind w:left="1352" w:right="18" w:hanging="1333"/>
      <w:jc w:val="right"/>
      <w:rPr>
        <w:b/>
        <w:bCs/>
        <w:color w:val="17365D"/>
        <w:spacing w:val="2"/>
        <w:sz w:val="24"/>
      </w:rPr>
    </w:pPr>
    <w:r w:rsidRPr="004A0064">
      <w:rPr>
        <w:b/>
        <w:bCs/>
        <w:color w:val="17365D"/>
        <w:spacing w:val="-1"/>
        <w:sz w:val="24"/>
      </w:rPr>
      <w:t>COMUNICADO</w:t>
    </w:r>
    <w:r w:rsidRPr="004A0064">
      <w:rPr>
        <w:b/>
        <w:bCs/>
        <w:color w:val="17365D"/>
        <w:sz w:val="24"/>
      </w:rPr>
      <w:t xml:space="preserve"> DE PRENSA </w:t>
    </w:r>
    <w:r w:rsidRPr="004A0064">
      <w:rPr>
        <w:b/>
        <w:bCs/>
        <w:color w:val="17365D"/>
        <w:spacing w:val="-1"/>
        <w:sz w:val="24"/>
      </w:rPr>
      <w:t>NÚM.</w:t>
    </w:r>
    <w:r w:rsidRPr="004A0064">
      <w:rPr>
        <w:b/>
        <w:bCs/>
        <w:color w:val="17365D"/>
        <w:spacing w:val="2"/>
        <w:sz w:val="24"/>
      </w:rPr>
      <w:t xml:space="preserve"> </w:t>
    </w:r>
    <w:r w:rsidR="00C87BD8">
      <w:rPr>
        <w:b/>
        <w:bCs/>
        <w:color w:val="17365D"/>
        <w:spacing w:val="2"/>
        <w:sz w:val="24"/>
      </w:rPr>
      <w:t>378</w:t>
    </w:r>
    <w:r w:rsidRPr="004A0064">
      <w:rPr>
        <w:b/>
        <w:bCs/>
        <w:color w:val="17365D"/>
        <w:spacing w:val="2"/>
        <w:sz w:val="24"/>
      </w:rPr>
      <w:t xml:space="preserve">/21 </w:t>
    </w:r>
  </w:p>
  <w:p w14:paraId="494D3049" w14:textId="22C9D626" w:rsidR="004A0064" w:rsidRPr="004A0064" w:rsidRDefault="004A0064" w:rsidP="004A0064">
    <w:pPr>
      <w:pStyle w:val="Textoindependiente"/>
      <w:framePr w:w="6178" w:hSpace="141" w:vSpace="141" w:wrap="auto" w:vAnchor="page" w:hAnchor="page" w:x="5335" w:y="541"/>
      <w:kinsoku w:val="0"/>
      <w:overflowPunct w:val="0"/>
      <w:ind w:left="1352" w:right="18" w:hanging="1333"/>
      <w:jc w:val="right"/>
      <w:rPr>
        <w:color w:val="000000"/>
        <w:sz w:val="24"/>
      </w:rPr>
    </w:pPr>
    <w:r>
      <w:rPr>
        <w:b/>
        <w:bCs/>
        <w:color w:val="17365D"/>
        <w:spacing w:val="27"/>
        <w:sz w:val="24"/>
      </w:rPr>
      <w:t>8</w:t>
    </w:r>
    <w:r w:rsidRPr="004A0064">
      <w:rPr>
        <w:b/>
        <w:bCs/>
        <w:color w:val="17365D"/>
        <w:spacing w:val="1"/>
        <w:sz w:val="24"/>
      </w:rPr>
      <w:t xml:space="preserve"> </w:t>
    </w:r>
    <w:r w:rsidRPr="004A0064">
      <w:rPr>
        <w:b/>
        <w:bCs/>
        <w:color w:val="17365D"/>
        <w:sz w:val="24"/>
      </w:rPr>
      <w:t>DE</w:t>
    </w:r>
    <w:r w:rsidRPr="004A0064">
      <w:rPr>
        <w:b/>
        <w:bCs/>
        <w:color w:val="17365D"/>
        <w:spacing w:val="-2"/>
        <w:sz w:val="24"/>
      </w:rPr>
      <w:t xml:space="preserve"> JU</w:t>
    </w:r>
    <w:r>
      <w:rPr>
        <w:b/>
        <w:bCs/>
        <w:color w:val="17365D"/>
        <w:spacing w:val="-2"/>
        <w:sz w:val="24"/>
      </w:rPr>
      <w:t>LI</w:t>
    </w:r>
    <w:r w:rsidRPr="004A0064">
      <w:rPr>
        <w:b/>
        <w:bCs/>
        <w:color w:val="17365D"/>
        <w:spacing w:val="-2"/>
        <w:sz w:val="24"/>
      </w:rPr>
      <w:t>O</w:t>
    </w:r>
    <w:r w:rsidRPr="004A0064">
      <w:rPr>
        <w:b/>
        <w:bCs/>
        <w:color w:val="17365D"/>
        <w:spacing w:val="2"/>
        <w:sz w:val="24"/>
      </w:rPr>
      <w:t xml:space="preserve"> </w:t>
    </w:r>
    <w:r w:rsidRPr="004A0064">
      <w:rPr>
        <w:b/>
        <w:bCs/>
        <w:color w:val="17365D"/>
        <w:sz w:val="24"/>
      </w:rPr>
      <w:t xml:space="preserve">DE </w:t>
    </w:r>
    <w:r w:rsidRPr="004A0064">
      <w:rPr>
        <w:b/>
        <w:bCs/>
        <w:color w:val="17365D"/>
        <w:spacing w:val="-1"/>
        <w:sz w:val="24"/>
      </w:rPr>
      <w:t>2021</w:t>
    </w:r>
  </w:p>
  <w:p w14:paraId="31423B7C" w14:textId="1DB22914" w:rsidR="004A0064" w:rsidRPr="004A0064" w:rsidRDefault="004A0064" w:rsidP="004A0064">
    <w:pPr>
      <w:pStyle w:val="Textoindependiente"/>
      <w:framePr w:w="6178" w:hSpace="141" w:vSpace="141" w:wrap="auto" w:vAnchor="page" w:hAnchor="page" w:x="5335" w:y="541"/>
      <w:kinsoku w:val="0"/>
      <w:overflowPunct w:val="0"/>
      <w:ind w:right="18"/>
      <w:jc w:val="right"/>
      <w:rPr>
        <w:color w:val="000000"/>
        <w:sz w:val="24"/>
      </w:rPr>
    </w:pPr>
    <w:r w:rsidRPr="004A0064">
      <w:rPr>
        <w:b/>
        <w:bCs/>
        <w:color w:val="17365D"/>
        <w:sz w:val="24"/>
      </w:rPr>
      <w:t xml:space="preserve">PÁGINA </w:t>
    </w:r>
    <w:r w:rsidRPr="004A0064">
      <w:rPr>
        <w:b/>
        <w:bCs/>
        <w:color w:val="17365D"/>
        <w:sz w:val="24"/>
      </w:rPr>
      <w:fldChar w:fldCharType="begin"/>
    </w:r>
    <w:r w:rsidRPr="004A0064">
      <w:rPr>
        <w:b/>
        <w:bCs/>
        <w:color w:val="17365D"/>
        <w:sz w:val="24"/>
      </w:rPr>
      <w:instrText xml:space="preserve"> PAGE </w:instrText>
    </w:r>
    <w:r w:rsidRPr="004A0064">
      <w:rPr>
        <w:b/>
        <w:bCs/>
        <w:color w:val="17365D"/>
        <w:sz w:val="24"/>
      </w:rPr>
      <w:fldChar w:fldCharType="separate"/>
    </w:r>
    <w:r w:rsidRPr="004A0064">
      <w:rPr>
        <w:b/>
        <w:bCs/>
        <w:color w:val="17365D"/>
        <w:sz w:val="24"/>
      </w:rPr>
      <w:t>1</w:t>
    </w:r>
    <w:r w:rsidRPr="004A0064">
      <w:rPr>
        <w:b/>
        <w:bCs/>
        <w:color w:val="17365D"/>
        <w:sz w:val="24"/>
      </w:rPr>
      <w:fldChar w:fldCharType="end"/>
    </w:r>
    <w:r w:rsidRPr="004A0064">
      <w:rPr>
        <w:b/>
        <w:bCs/>
        <w:color w:val="17365D"/>
        <w:sz w:val="24"/>
      </w:rPr>
      <w:t>/</w:t>
    </w:r>
    <w:r>
      <w:rPr>
        <w:b/>
        <w:bCs/>
        <w:color w:val="17365D"/>
        <w:sz w:val="24"/>
      </w:rPr>
      <w:t>5</w:t>
    </w:r>
  </w:p>
  <w:p w14:paraId="4F3A7A40" w14:textId="77777777" w:rsidR="006910B6" w:rsidRDefault="002B717D" w:rsidP="006910B6">
    <w:pPr>
      <w:pStyle w:val="Encabezado"/>
      <w:ind w:hanging="426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26798A"/>
    <w:multiLevelType w:val="hybridMultilevel"/>
    <w:tmpl w:val="55DC402E"/>
    <w:lvl w:ilvl="0" w:tplc="080A000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9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9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30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49"/>
    <w:rsid w:val="000437DA"/>
    <w:rsid w:val="0007328D"/>
    <w:rsid w:val="00075764"/>
    <w:rsid w:val="00082096"/>
    <w:rsid w:val="000A71C9"/>
    <w:rsid w:val="00113946"/>
    <w:rsid w:val="00133A1D"/>
    <w:rsid w:val="00181F14"/>
    <w:rsid w:val="00191E46"/>
    <w:rsid w:val="00197852"/>
    <w:rsid w:val="001B0F55"/>
    <w:rsid w:val="001E1D23"/>
    <w:rsid w:val="002105F0"/>
    <w:rsid w:val="00217858"/>
    <w:rsid w:val="0027222A"/>
    <w:rsid w:val="002965FE"/>
    <w:rsid w:val="002B717D"/>
    <w:rsid w:val="002C5A5E"/>
    <w:rsid w:val="00301F7D"/>
    <w:rsid w:val="00346C30"/>
    <w:rsid w:val="003874AB"/>
    <w:rsid w:val="00440641"/>
    <w:rsid w:val="00467B51"/>
    <w:rsid w:val="00493CEE"/>
    <w:rsid w:val="004A0064"/>
    <w:rsid w:val="004D409A"/>
    <w:rsid w:val="00500F99"/>
    <w:rsid w:val="00541F5E"/>
    <w:rsid w:val="005504F6"/>
    <w:rsid w:val="00550FE4"/>
    <w:rsid w:val="00567E28"/>
    <w:rsid w:val="005F19B4"/>
    <w:rsid w:val="00603811"/>
    <w:rsid w:val="00616831"/>
    <w:rsid w:val="006A7ED4"/>
    <w:rsid w:val="006E737D"/>
    <w:rsid w:val="0071567D"/>
    <w:rsid w:val="00741405"/>
    <w:rsid w:val="007677E8"/>
    <w:rsid w:val="0078342E"/>
    <w:rsid w:val="00790B24"/>
    <w:rsid w:val="00797F75"/>
    <w:rsid w:val="008021CD"/>
    <w:rsid w:val="00843520"/>
    <w:rsid w:val="00853BBD"/>
    <w:rsid w:val="00884460"/>
    <w:rsid w:val="008F36CD"/>
    <w:rsid w:val="008F71E8"/>
    <w:rsid w:val="00956F2D"/>
    <w:rsid w:val="0096720F"/>
    <w:rsid w:val="009679CC"/>
    <w:rsid w:val="00985E3B"/>
    <w:rsid w:val="009B2E26"/>
    <w:rsid w:val="009C7717"/>
    <w:rsid w:val="00A14D08"/>
    <w:rsid w:val="00A8119F"/>
    <w:rsid w:val="00AD4CA7"/>
    <w:rsid w:val="00B16984"/>
    <w:rsid w:val="00B36804"/>
    <w:rsid w:val="00B40E27"/>
    <w:rsid w:val="00B86785"/>
    <w:rsid w:val="00BD2C1B"/>
    <w:rsid w:val="00BF11B7"/>
    <w:rsid w:val="00C12596"/>
    <w:rsid w:val="00C467E1"/>
    <w:rsid w:val="00C55BAB"/>
    <w:rsid w:val="00C87BD8"/>
    <w:rsid w:val="00C92851"/>
    <w:rsid w:val="00CA499C"/>
    <w:rsid w:val="00CD2C26"/>
    <w:rsid w:val="00CE7E8B"/>
    <w:rsid w:val="00D92802"/>
    <w:rsid w:val="00DB5649"/>
    <w:rsid w:val="00DB5B1F"/>
    <w:rsid w:val="00DD61B2"/>
    <w:rsid w:val="00DE2ED3"/>
    <w:rsid w:val="00E11FF8"/>
    <w:rsid w:val="00E24CAC"/>
    <w:rsid w:val="00E25BF4"/>
    <w:rsid w:val="00E54E21"/>
    <w:rsid w:val="00E6254A"/>
    <w:rsid w:val="00E74365"/>
    <w:rsid w:val="00E7538D"/>
    <w:rsid w:val="00E93305"/>
    <w:rsid w:val="00EA7831"/>
    <w:rsid w:val="00ED113C"/>
    <w:rsid w:val="00ED1C4F"/>
    <w:rsid w:val="00EF5B09"/>
    <w:rsid w:val="00F325CE"/>
    <w:rsid w:val="00F43B18"/>
    <w:rsid w:val="00F4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C87B24"/>
  <w15:chartTrackingRefBased/>
  <w15:docId w15:val="{E44DE509-FDC5-41D1-9329-B2F173B8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49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DB5649"/>
    <w:rPr>
      <w:color w:val="0000FF"/>
      <w:u w:val="single"/>
    </w:rPr>
  </w:style>
  <w:style w:type="paragraph" w:styleId="Encabezado">
    <w:name w:val="header"/>
    <w:basedOn w:val="Normal"/>
    <w:link w:val="EncabezadoCar"/>
    <w:unhideWhenUsed/>
    <w:rsid w:val="00DB564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B5649"/>
    <w:rPr>
      <w:rFonts w:ascii="Arial" w:eastAsia="Times New Roman" w:hAnsi="Arial" w:cs="Times New Roman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DB5649"/>
    <w:rPr>
      <w:rFonts w:cs="Arial"/>
    </w:rPr>
  </w:style>
  <w:style w:type="character" w:customStyle="1" w:styleId="TextoindependienteCar">
    <w:name w:val="Texto independiente Car"/>
    <w:basedOn w:val="Fuentedeprrafopredeter"/>
    <w:link w:val="Textoindependiente"/>
    <w:rsid w:val="00DB5649"/>
    <w:rPr>
      <w:rFonts w:ascii="Arial" w:eastAsia="Times New Roman" w:hAnsi="Arial" w:cs="Arial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DB564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B5649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B564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B5649"/>
    <w:rPr>
      <w:rFonts w:ascii="Arial" w:eastAsia="Times New Roman" w:hAnsi="Arial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B5649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DB564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71C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1C9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E24CAC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4CA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4CAC"/>
    <w:rPr>
      <w:rFonts w:ascii="Arial" w:eastAsia="Times New Roman" w:hAnsi="Arial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853BBD"/>
    <w:pPr>
      <w:spacing w:after="0" w:line="240" w:lineRule="auto"/>
    </w:pPr>
    <w:rPr>
      <w:rFonts w:ascii="Arial" w:eastAsia="Times New Roman" w:hAnsi="Arial" w:cs="Times New Roman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1394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946"/>
    <w:rPr>
      <w:rFonts w:ascii="Arial" w:eastAsia="Times New Roman" w:hAnsi="Arial" w:cs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hyperlink" Target="https://www.youtube.com/user/INEGIInform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emf"/><Relationship Id="rId12" Type="http://schemas.openxmlformats.org/officeDocument/2006/relationships/hyperlink" Target="https://www.facebook.com/INEGIInforma/" TargetMode="External"/><Relationship Id="rId17" Type="http://schemas.openxmlformats.org/officeDocument/2006/relationships/image" Target="media/image8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twitter.com/INEGI_INFORMA" TargetMode="External"/><Relationship Id="rId20" Type="http://schemas.openxmlformats.org/officeDocument/2006/relationships/hyperlink" Target="http://www.inegi.org.mx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instagram.com/inegi_informa/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ielo.org.mx/scielo.php?script=sci_arttext&amp;pid=S1405-74252012000300004" TargetMode="External"/><Relationship Id="rId1" Type="http://schemas.openxmlformats.org/officeDocument/2006/relationships/hyperlink" Target="https://www.un.org/es/observances/world-population-day/backgroun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1248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INEGI</Company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Díaz</dc:creator>
  <cp:keywords/>
  <dc:description/>
  <cp:lastModifiedBy>MORONES RUIZ FABIOLA CRISTINA</cp:lastModifiedBy>
  <cp:revision>2</cp:revision>
  <dcterms:created xsi:type="dcterms:W3CDTF">2021-07-08T13:29:00Z</dcterms:created>
  <dcterms:modified xsi:type="dcterms:W3CDTF">2021-07-08T13:29:00Z</dcterms:modified>
</cp:coreProperties>
</file>