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62DB" w14:textId="77777777" w:rsidR="00732ACA" w:rsidRDefault="00732ACA" w:rsidP="00CC232D">
      <w:pPr>
        <w:autoSpaceDE w:val="0"/>
        <w:autoSpaceDN w:val="0"/>
        <w:ind w:right="51"/>
        <w:jc w:val="center"/>
        <w:rPr>
          <w:b/>
          <w:bCs/>
          <w:sz w:val="24"/>
          <w:szCs w:val="24"/>
        </w:rPr>
      </w:pPr>
    </w:p>
    <w:p w14:paraId="645079E9" w14:textId="4072C460" w:rsidR="00DB13AA" w:rsidRDefault="00DB13AA" w:rsidP="00CC232D">
      <w:pPr>
        <w:autoSpaceDE w:val="0"/>
        <w:autoSpaceDN w:val="0"/>
        <w:ind w:right="51"/>
        <w:jc w:val="center"/>
        <w:rPr>
          <w:b/>
          <w:sz w:val="24"/>
          <w:szCs w:val="24"/>
        </w:rPr>
      </w:pPr>
      <w:r>
        <w:rPr>
          <w:b/>
          <w:bCs/>
          <w:sz w:val="24"/>
          <w:szCs w:val="24"/>
        </w:rPr>
        <w:t xml:space="preserve">ESTADÍSTICAS A PROPÓSITO DEL </w:t>
      </w:r>
      <w:r w:rsidR="007562E1" w:rsidRPr="000923AB">
        <w:rPr>
          <w:b/>
          <w:sz w:val="24"/>
          <w:szCs w:val="24"/>
        </w:rPr>
        <w:t>DÍA MUNDIAL</w:t>
      </w:r>
      <w:r>
        <w:rPr>
          <w:b/>
          <w:sz w:val="24"/>
          <w:szCs w:val="24"/>
        </w:rPr>
        <w:t xml:space="preserve"> DEL TURISMO</w:t>
      </w:r>
    </w:p>
    <w:p w14:paraId="7E61CA44" w14:textId="3B2C480C" w:rsidR="007562E1" w:rsidRDefault="00DB13AA" w:rsidP="00CC232D">
      <w:pPr>
        <w:autoSpaceDE w:val="0"/>
        <w:autoSpaceDN w:val="0"/>
        <w:ind w:right="51"/>
        <w:jc w:val="center"/>
        <w:rPr>
          <w:b/>
          <w:sz w:val="24"/>
          <w:szCs w:val="24"/>
        </w:rPr>
      </w:pPr>
      <w:r>
        <w:rPr>
          <w:b/>
          <w:sz w:val="24"/>
          <w:szCs w:val="24"/>
        </w:rPr>
        <w:t>(27 DE SEPTIEMBRE)</w:t>
      </w:r>
    </w:p>
    <w:p w14:paraId="2CD4C07D" w14:textId="77777777" w:rsidR="00ED6C9F" w:rsidRPr="000923AB" w:rsidRDefault="00ED6C9F" w:rsidP="00CC232D">
      <w:pPr>
        <w:autoSpaceDE w:val="0"/>
        <w:autoSpaceDN w:val="0"/>
        <w:ind w:right="51"/>
        <w:jc w:val="center"/>
        <w:rPr>
          <w:b/>
          <w:sz w:val="24"/>
          <w:szCs w:val="24"/>
        </w:rPr>
      </w:pPr>
    </w:p>
    <w:p w14:paraId="03A062E5" w14:textId="77777777" w:rsidR="002D4DCB" w:rsidRPr="00630229" w:rsidRDefault="002D4DCB" w:rsidP="00CC232D">
      <w:pPr>
        <w:jc w:val="left"/>
        <w:rPr>
          <w:sz w:val="22"/>
        </w:rPr>
      </w:pPr>
    </w:p>
    <w:p w14:paraId="64AAC754" w14:textId="77777777" w:rsidR="00542479" w:rsidRPr="00AB4098" w:rsidRDefault="00E1066F" w:rsidP="00732ACA">
      <w:pPr>
        <w:pStyle w:val="Default"/>
        <w:numPr>
          <w:ilvl w:val="0"/>
          <w:numId w:val="5"/>
        </w:numPr>
        <w:ind w:left="0" w:right="533" w:hanging="284"/>
        <w:jc w:val="both"/>
        <w:rPr>
          <w:rFonts w:ascii="Arial" w:eastAsia="Calibri" w:hAnsi="Arial" w:cs="Arial"/>
          <w:bCs/>
          <w:color w:val="000000" w:themeColor="text1"/>
          <w:sz w:val="22"/>
          <w:szCs w:val="22"/>
          <w:lang w:val="es-ES" w:eastAsia="es-ES"/>
        </w:rPr>
      </w:pPr>
      <w:r>
        <w:rPr>
          <w:rFonts w:ascii="Arial" w:eastAsia="Calibri" w:hAnsi="Arial" w:cs="Arial"/>
          <w:bCs/>
          <w:color w:val="auto"/>
          <w:sz w:val="22"/>
          <w:szCs w:val="22"/>
          <w:lang w:val="es-ES" w:eastAsia="es-ES"/>
        </w:rPr>
        <w:t>De acuerdo con los Censos Económicos</w:t>
      </w:r>
      <w:r w:rsidR="005A56A0">
        <w:rPr>
          <w:rFonts w:ascii="Arial" w:eastAsia="Calibri" w:hAnsi="Arial" w:cs="Arial"/>
          <w:bCs/>
          <w:color w:val="auto"/>
          <w:sz w:val="22"/>
          <w:szCs w:val="22"/>
          <w:lang w:val="es-ES" w:eastAsia="es-ES"/>
        </w:rPr>
        <w:t xml:space="preserve"> 2019</w:t>
      </w:r>
      <w:r>
        <w:rPr>
          <w:rFonts w:ascii="Arial" w:eastAsia="Calibri" w:hAnsi="Arial" w:cs="Arial"/>
          <w:bCs/>
          <w:color w:val="auto"/>
          <w:sz w:val="22"/>
          <w:szCs w:val="22"/>
          <w:lang w:val="es-ES" w:eastAsia="es-ES"/>
        </w:rPr>
        <w:t>,</w:t>
      </w:r>
      <w:r w:rsidR="0090609F">
        <w:rPr>
          <w:rFonts w:ascii="Arial" w:eastAsia="Calibri" w:hAnsi="Arial" w:cs="Arial"/>
          <w:bCs/>
          <w:color w:val="auto"/>
          <w:sz w:val="22"/>
          <w:szCs w:val="22"/>
          <w:lang w:val="es-ES" w:eastAsia="es-ES"/>
        </w:rPr>
        <w:t xml:space="preserve"> </w:t>
      </w:r>
      <w:r>
        <w:rPr>
          <w:rFonts w:ascii="Arial" w:eastAsia="Calibri" w:hAnsi="Arial" w:cs="Arial"/>
          <w:bCs/>
          <w:color w:val="auto"/>
          <w:sz w:val="22"/>
          <w:szCs w:val="22"/>
          <w:lang w:val="es-ES" w:eastAsia="es-ES"/>
        </w:rPr>
        <w:t>las actividades turísticas registraron 786</w:t>
      </w:r>
      <w:r w:rsidR="0090609F" w:rsidRPr="0090609F">
        <w:rPr>
          <w:rFonts w:ascii="Arial" w:eastAsia="Calibri" w:hAnsi="Arial" w:cs="Arial"/>
          <w:bCs/>
          <w:color w:val="FFFFFF" w:themeColor="background1"/>
          <w:sz w:val="22"/>
          <w:szCs w:val="22"/>
          <w:lang w:val="es-ES" w:eastAsia="es-ES"/>
        </w:rPr>
        <w:t>.</w:t>
      </w:r>
      <w:r>
        <w:rPr>
          <w:rFonts w:ascii="Arial" w:eastAsia="Calibri" w:hAnsi="Arial" w:cs="Arial"/>
          <w:bCs/>
          <w:color w:val="auto"/>
          <w:sz w:val="22"/>
          <w:szCs w:val="22"/>
          <w:lang w:val="es-ES" w:eastAsia="es-ES"/>
        </w:rPr>
        <w:t xml:space="preserve">540 unidades económicas </w:t>
      </w:r>
      <w:r w:rsidR="00583587">
        <w:rPr>
          <w:rFonts w:ascii="Arial" w:eastAsia="Calibri" w:hAnsi="Arial" w:cs="Arial"/>
          <w:bCs/>
          <w:color w:val="auto"/>
          <w:sz w:val="22"/>
          <w:szCs w:val="22"/>
          <w:lang w:val="es-ES" w:eastAsia="es-ES"/>
        </w:rPr>
        <w:t>(</w:t>
      </w:r>
      <w:r>
        <w:rPr>
          <w:rFonts w:ascii="Arial" w:eastAsia="Calibri" w:hAnsi="Arial" w:cs="Arial"/>
          <w:bCs/>
          <w:color w:val="auto"/>
          <w:sz w:val="22"/>
          <w:szCs w:val="22"/>
          <w:lang w:val="es-ES" w:eastAsia="es-ES"/>
        </w:rPr>
        <w:t>16.4% del total de unidades a nivel nacional</w:t>
      </w:r>
      <w:r w:rsidR="00583587">
        <w:rPr>
          <w:rFonts w:ascii="Arial" w:eastAsia="Calibri" w:hAnsi="Arial" w:cs="Arial"/>
          <w:bCs/>
          <w:color w:val="auto"/>
          <w:sz w:val="22"/>
          <w:szCs w:val="22"/>
          <w:lang w:val="es-ES" w:eastAsia="es-ES"/>
        </w:rPr>
        <w:t>)</w:t>
      </w:r>
      <w:r w:rsidR="0090609F">
        <w:rPr>
          <w:rFonts w:ascii="Arial" w:eastAsia="Calibri" w:hAnsi="Arial" w:cs="Arial"/>
          <w:bCs/>
          <w:color w:val="auto"/>
          <w:sz w:val="22"/>
          <w:szCs w:val="22"/>
          <w:lang w:val="es-ES" w:eastAsia="es-ES"/>
        </w:rPr>
        <w:t>.</w:t>
      </w:r>
    </w:p>
    <w:p w14:paraId="7EF3065B" w14:textId="3461F9AC" w:rsidR="00542479" w:rsidRPr="00AB4098" w:rsidRDefault="00542479" w:rsidP="00732ACA">
      <w:pPr>
        <w:pStyle w:val="Default"/>
        <w:numPr>
          <w:ilvl w:val="0"/>
          <w:numId w:val="5"/>
        </w:numPr>
        <w:ind w:left="0" w:right="533" w:hanging="284"/>
        <w:jc w:val="both"/>
        <w:rPr>
          <w:rFonts w:ascii="Arial" w:eastAsia="Calibri" w:hAnsi="Arial" w:cs="Arial"/>
          <w:bCs/>
          <w:color w:val="000000" w:themeColor="text1"/>
          <w:sz w:val="22"/>
          <w:szCs w:val="22"/>
          <w:lang w:val="es-ES" w:eastAsia="es-ES"/>
        </w:rPr>
      </w:pPr>
      <w:r w:rsidRPr="00AB4098">
        <w:rPr>
          <w:rFonts w:ascii="Arial" w:eastAsia="Calibri" w:hAnsi="Arial" w:cs="Arial"/>
          <w:bCs/>
          <w:color w:val="000000" w:themeColor="text1"/>
          <w:sz w:val="22"/>
          <w:szCs w:val="22"/>
          <w:lang w:val="es-ES" w:eastAsia="es-ES"/>
        </w:rPr>
        <w:t>En 2019, el turismo aportó 8.7 de cada 100 pesos producidos por la economía nacional</w:t>
      </w:r>
    </w:p>
    <w:p w14:paraId="0A570F67" w14:textId="0DB12615" w:rsidR="00542479" w:rsidRDefault="00542479" w:rsidP="00732ACA">
      <w:pPr>
        <w:pStyle w:val="Default"/>
        <w:numPr>
          <w:ilvl w:val="0"/>
          <w:numId w:val="5"/>
        </w:numPr>
        <w:ind w:left="0" w:right="533" w:hanging="284"/>
        <w:jc w:val="both"/>
        <w:rPr>
          <w:rFonts w:ascii="Arial" w:eastAsia="Calibri" w:hAnsi="Arial" w:cs="Arial"/>
          <w:bCs/>
          <w:color w:val="000000" w:themeColor="text1"/>
          <w:sz w:val="22"/>
          <w:szCs w:val="22"/>
          <w:lang w:val="es-ES" w:eastAsia="es-ES"/>
        </w:rPr>
      </w:pPr>
      <w:r w:rsidRPr="00AB4098">
        <w:rPr>
          <w:rFonts w:ascii="Arial" w:eastAsia="Calibri" w:hAnsi="Arial" w:cs="Arial"/>
          <w:bCs/>
          <w:color w:val="000000" w:themeColor="text1"/>
          <w:sz w:val="22"/>
          <w:szCs w:val="22"/>
          <w:lang w:val="es-ES" w:eastAsia="es-ES"/>
        </w:rPr>
        <w:t>De cada 100 pesos que consumen los turistas al interior del país, 82.1 pesos corresponden a los visitantes nacionales y los restantes 17.9 pesos a los visitantes del exterior.</w:t>
      </w:r>
    </w:p>
    <w:p w14:paraId="600EA1C8" w14:textId="77777777" w:rsidR="00732ACA" w:rsidRDefault="00732ACA" w:rsidP="002B6082">
      <w:pPr>
        <w:pStyle w:val="Default"/>
        <w:ind w:right="533"/>
        <w:jc w:val="both"/>
        <w:rPr>
          <w:rFonts w:ascii="Arial" w:eastAsia="Calibri" w:hAnsi="Arial" w:cs="Arial"/>
          <w:bCs/>
          <w:color w:val="000000" w:themeColor="text1"/>
          <w:sz w:val="22"/>
          <w:szCs w:val="22"/>
          <w:lang w:val="es-ES" w:eastAsia="es-ES"/>
        </w:rPr>
      </w:pPr>
    </w:p>
    <w:p w14:paraId="38B57D2B" w14:textId="77777777" w:rsidR="00630229" w:rsidRPr="00ED6C9F" w:rsidRDefault="00630229" w:rsidP="00732ACA">
      <w:pPr>
        <w:pStyle w:val="Default"/>
        <w:ind w:right="533"/>
        <w:jc w:val="both"/>
        <w:rPr>
          <w:rFonts w:ascii="Arial" w:eastAsia="Calibri" w:hAnsi="Arial" w:cs="Arial"/>
          <w:bCs/>
          <w:color w:val="000000" w:themeColor="text1"/>
          <w:sz w:val="22"/>
          <w:szCs w:val="22"/>
          <w:lang w:val="es-ES" w:eastAsia="es-ES"/>
        </w:rPr>
      </w:pPr>
    </w:p>
    <w:p w14:paraId="703CC205" w14:textId="22BEA9C2" w:rsidR="00EA3E67" w:rsidRPr="00AB4098" w:rsidRDefault="00555A6D" w:rsidP="00732ACA">
      <w:pPr>
        <w:ind w:left="-567"/>
        <w:rPr>
          <w:color w:val="000000" w:themeColor="text1"/>
          <w:spacing w:val="-4"/>
          <w:sz w:val="22"/>
          <w:szCs w:val="22"/>
        </w:rPr>
      </w:pPr>
      <w:r w:rsidRPr="00AB4098">
        <w:rPr>
          <w:color w:val="000000" w:themeColor="text1"/>
          <w:spacing w:val="-4"/>
          <w:sz w:val="22"/>
          <w:szCs w:val="22"/>
        </w:rPr>
        <w:t>El 27 de septiembre de cada año</w:t>
      </w:r>
      <w:r w:rsidR="005E7867" w:rsidRPr="00AB4098">
        <w:rPr>
          <w:color w:val="000000" w:themeColor="text1"/>
          <w:spacing w:val="-4"/>
          <w:sz w:val="22"/>
          <w:szCs w:val="22"/>
        </w:rPr>
        <w:t>,</w:t>
      </w:r>
      <w:r w:rsidRPr="00AB4098">
        <w:rPr>
          <w:color w:val="000000" w:themeColor="text1"/>
          <w:spacing w:val="-4"/>
          <w:sz w:val="22"/>
          <w:szCs w:val="22"/>
        </w:rPr>
        <w:t xml:space="preserve"> se celebra el Día Mundial del Turismo (DMT)</w:t>
      </w:r>
      <w:r w:rsidR="009C7BF3" w:rsidRPr="00AB4098">
        <w:rPr>
          <w:color w:val="000000" w:themeColor="text1"/>
          <w:spacing w:val="-4"/>
          <w:sz w:val="22"/>
          <w:szCs w:val="22"/>
        </w:rPr>
        <w:t>,</w:t>
      </w:r>
      <w:r w:rsidRPr="00AB4098">
        <w:rPr>
          <w:color w:val="000000" w:themeColor="text1"/>
          <w:spacing w:val="-4"/>
          <w:sz w:val="22"/>
          <w:szCs w:val="22"/>
        </w:rPr>
        <w:t xml:space="preserve"> con el objetivo principal de </w:t>
      </w:r>
      <w:r w:rsidR="009C7BF3" w:rsidRPr="00AB4098">
        <w:rPr>
          <w:color w:val="000000" w:themeColor="text1"/>
          <w:spacing w:val="-4"/>
          <w:sz w:val="22"/>
          <w:szCs w:val="22"/>
        </w:rPr>
        <w:t>fomentar la sensibilización respecto al valor social, cultural, político y económico de</w:t>
      </w:r>
      <w:r w:rsidR="005E7867" w:rsidRPr="00AB4098">
        <w:rPr>
          <w:color w:val="000000" w:themeColor="text1"/>
          <w:spacing w:val="-4"/>
          <w:sz w:val="22"/>
          <w:szCs w:val="22"/>
        </w:rPr>
        <w:t xml:space="preserve"> esta actividad</w:t>
      </w:r>
      <w:r w:rsidRPr="00AB4098">
        <w:rPr>
          <w:color w:val="000000" w:themeColor="text1"/>
          <w:spacing w:val="-4"/>
          <w:sz w:val="22"/>
          <w:szCs w:val="22"/>
        </w:rPr>
        <w:t xml:space="preserve">. </w:t>
      </w:r>
      <w:r w:rsidR="003002E7" w:rsidRPr="00AB4098">
        <w:rPr>
          <w:color w:val="000000" w:themeColor="text1"/>
          <w:spacing w:val="-4"/>
          <w:sz w:val="22"/>
          <w:szCs w:val="22"/>
        </w:rPr>
        <w:t>Lo anterior, de acuerdo con los estatutos de la Organización Mundial del Turismo (OMT) adoptados el 27 de septiembre de 1970</w:t>
      </w:r>
      <w:r w:rsidR="00EA3E67" w:rsidRPr="00AB4098">
        <w:rPr>
          <w:color w:val="000000" w:themeColor="text1"/>
          <w:spacing w:val="-4"/>
          <w:sz w:val="22"/>
          <w:szCs w:val="22"/>
        </w:rPr>
        <w:t>.</w:t>
      </w:r>
    </w:p>
    <w:p w14:paraId="65EC2EDA" w14:textId="77777777" w:rsidR="00B974A5" w:rsidRPr="00AB4098" w:rsidRDefault="00B974A5" w:rsidP="00732ACA">
      <w:pPr>
        <w:ind w:left="-567"/>
        <w:rPr>
          <w:color w:val="000000" w:themeColor="text1"/>
          <w:sz w:val="14"/>
          <w:szCs w:val="14"/>
        </w:rPr>
      </w:pPr>
    </w:p>
    <w:p w14:paraId="45CA1842" w14:textId="73E8C5A3" w:rsidR="00AA35F1" w:rsidRDefault="00D27B79" w:rsidP="00732ACA">
      <w:pPr>
        <w:ind w:left="-567"/>
        <w:rPr>
          <w:color w:val="000000" w:themeColor="text1"/>
          <w:sz w:val="22"/>
          <w:szCs w:val="22"/>
        </w:rPr>
      </w:pPr>
      <w:r w:rsidRPr="00AB4098">
        <w:rPr>
          <w:color w:val="000000" w:themeColor="text1"/>
          <w:sz w:val="22"/>
          <w:szCs w:val="22"/>
        </w:rPr>
        <w:t>Este año</w:t>
      </w:r>
      <w:r w:rsidR="00214D88" w:rsidRPr="00AB4098">
        <w:rPr>
          <w:color w:val="000000" w:themeColor="text1"/>
          <w:sz w:val="22"/>
          <w:szCs w:val="22"/>
        </w:rPr>
        <w:t>,</w:t>
      </w:r>
      <w:r w:rsidRPr="00AB4098">
        <w:rPr>
          <w:color w:val="000000" w:themeColor="text1"/>
          <w:sz w:val="22"/>
          <w:szCs w:val="22"/>
        </w:rPr>
        <w:t xml:space="preserve"> </w:t>
      </w:r>
      <w:r w:rsidR="003002E7" w:rsidRPr="00AB4098">
        <w:rPr>
          <w:color w:val="000000" w:themeColor="text1"/>
          <w:sz w:val="22"/>
          <w:szCs w:val="22"/>
        </w:rPr>
        <w:t xml:space="preserve">el DMT </w:t>
      </w:r>
      <w:r w:rsidR="00A444A2" w:rsidRPr="00AB4098">
        <w:rPr>
          <w:color w:val="000000" w:themeColor="text1"/>
          <w:sz w:val="22"/>
          <w:szCs w:val="22"/>
        </w:rPr>
        <w:t xml:space="preserve">tiene como </w:t>
      </w:r>
      <w:r w:rsidR="001C10F5" w:rsidRPr="00AB4098">
        <w:rPr>
          <w:color w:val="000000" w:themeColor="text1"/>
          <w:sz w:val="22"/>
          <w:szCs w:val="22"/>
        </w:rPr>
        <w:t>tema principal</w:t>
      </w:r>
      <w:r w:rsidR="00D8332A" w:rsidRPr="00AB4098">
        <w:rPr>
          <w:color w:val="000000" w:themeColor="text1"/>
          <w:sz w:val="22"/>
          <w:szCs w:val="22"/>
        </w:rPr>
        <w:t xml:space="preserve"> el</w:t>
      </w:r>
      <w:r w:rsidR="001C10F5" w:rsidRPr="00AB4098">
        <w:rPr>
          <w:color w:val="000000" w:themeColor="text1"/>
          <w:sz w:val="22"/>
          <w:szCs w:val="22"/>
        </w:rPr>
        <w:t xml:space="preserve"> </w:t>
      </w:r>
      <w:r w:rsidR="007562E1" w:rsidRPr="004D65E6">
        <w:rPr>
          <w:color w:val="000000" w:themeColor="text1"/>
          <w:sz w:val="22"/>
          <w:szCs w:val="22"/>
        </w:rPr>
        <w:t>“</w:t>
      </w:r>
      <w:r w:rsidR="00D153E3" w:rsidRPr="004D65E6">
        <w:rPr>
          <w:color w:val="000000" w:themeColor="text1"/>
          <w:sz w:val="22"/>
          <w:szCs w:val="22"/>
        </w:rPr>
        <w:t xml:space="preserve">Turismo </w:t>
      </w:r>
      <w:r w:rsidR="009C7BF3" w:rsidRPr="004D65E6">
        <w:rPr>
          <w:color w:val="000000" w:themeColor="text1"/>
          <w:sz w:val="22"/>
          <w:szCs w:val="22"/>
        </w:rPr>
        <w:t>para un crecimiento inclusivo</w:t>
      </w:r>
      <w:r w:rsidR="00BD53CA" w:rsidRPr="004D65E6">
        <w:rPr>
          <w:color w:val="000000" w:themeColor="text1"/>
          <w:sz w:val="22"/>
          <w:szCs w:val="22"/>
        </w:rPr>
        <w:t>”</w:t>
      </w:r>
      <w:r w:rsidR="00D8332A" w:rsidRPr="004D65E6">
        <w:rPr>
          <w:iCs/>
          <w:color w:val="000000" w:themeColor="text1"/>
          <w:sz w:val="22"/>
          <w:szCs w:val="22"/>
        </w:rPr>
        <w:t>,</w:t>
      </w:r>
      <w:r w:rsidR="004B27C4" w:rsidRPr="00AB4098">
        <w:rPr>
          <w:color w:val="000000" w:themeColor="text1"/>
          <w:sz w:val="22"/>
          <w:szCs w:val="22"/>
        </w:rPr>
        <w:t xml:space="preserve"> y c</w:t>
      </w:r>
      <w:r w:rsidR="00BD53CA" w:rsidRPr="00AB4098">
        <w:rPr>
          <w:color w:val="000000" w:themeColor="text1"/>
          <w:sz w:val="22"/>
          <w:szCs w:val="22"/>
        </w:rPr>
        <w:t>orresponde a</w:t>
      </w:r>
      <w:r w:rsidR="00DF08BC" w:rsidRPr="00AB4098">
        <w:rPr>
          <w:color w:val="000000" w:themeColor="text1"/>
          <w:sz w:val="22"/>
          <w:szCs w:val="22"/>
        </w:rPr>
        <w:t xml:space="preserve"> </w:t>
      </w:r>
      <w:r w:rsidR="00D3234E" w:rsidRPr="00AB4098">
        <w:rPr>
          <w:color w:val="000000" w:themeColor="text1"/>
          <w:sz w:val="22"/>
          <w:szCs w:val="22"/>
        </w:rPr>
        <w:t xml:space="preserve">Costa de Marfil </w:t>
      </w:r>
      <w:r w:rsidR="00BD53CA" w:rsidRPr="00AB4098">
        <w:rPr>
          <w:color w:val="000000" w:themeColor="text1"/>
          <w:sz w:val="22"/>
          <w:szCs w:val="22"/>
        </w:rPr>
        <w:t xml:space="preserve">ser </w:t>
      </w:r>
      <w:r w:rsidR="00D3234E" w:rsidRPr="00AB4098">
        <w:rPr>
          <w:color w:val="000000" w:themeColor="text1"/>
          <w:sz w:val="22"/>
          <w:szCs w:val="22"/>
        </w:rPr>
        <w:t xml:space="preserve">el país </w:t>
      </w:r>
      <w:r w:rsidR="00005227" w:rsidRPr="00AB4098">
        <w:rPr>
          <w:color w:val="000000" w:themeColor="text1"/>
          <w:sz w:val="22"/>
          <w:szCs w:val="22"/>
        </w:rPr>
        <w:t>anfitri</w:t>
      </w:r>
      <w:r w:rsidR="00D3234E" w:rsidRPr="00AB4098">
        <w:rPr>
          <w:color w:val="000000" w:themeColor="text1"/>
          <w:sz w:val="22"/>
          <w:szCs w:val="22"/>
        </w:rPr>
        <w:t>ón</w:t>
      </w:r>
      <w:r w:rsidR="00005227" w:rsidRPr="00AB4098">
        <w:rPr>
          <w:color w:val="000000" w:themeColor="text1"/>
          <w:sz w:val="22"/>
          <w:szCs w:val="22"/>
        </w:rPr>
        <w:t xml:space="preserve"> de las celebraciones oficiales</w:t>
      </w:r>
      <w:r w:rsidR="00D3234E" w:rsidRPr="00AB4098">
        <w:rPr>
          <w:color w:val="000000" w:themeColor="text1"/>
          <w:sz w:val="22"/>
          <w:szCs w:val="22"/>
        </w:rPr>
        <w:t>.</w:t>
      </w:r>
    </w:p>
    <w:p w14:paraId="43F2F68D" w14:textId="77777777" w:rsidR="00ED6C9F" w:rsidRPr="00AB4098" w:rsidRDefault="00ED6C9F" w:rsidP="00732ACA">
      <w:pPr>
        <w:ind w:left="-567"/>
        <w:rPr>
          <w:color w:val="000000" w:themeColor="text1"/>
          <w:sz w:val="22"/>
          <w:szCs w:val="22"/>
        </w:rPr>
      </w:pPr>
    </w:p>
    <w:p w14:paraId="25923CBF" w14:textId="76313C15" w:rsidR="006B1120" w:rsidRPr="006B1120" w:rsidRDefault="006B1120" w:rsidP="00732ACA">
      <w:pPr>
        <w:rPr>
          <w:b/>
          <w:bCs/>
          <w:sz w:val="22"/>
          <w:szCs w:val="22"/>
        </w:rPr>
      </w:pPr>
    </w:p>
    <w:p w14:paraId="59DAE385" w14:textId="484DABE8" w:rsidR="006B1120" w:rsidRPr="006B1120" w:rsidRDefault="006B1120" w:rsidP="00732ACA">
      <w:pPr>
        <w:ind w:left="-567"/>
        <w:rPr>
          <w:b/>
          <w:bCs/>
          <w:sz w:val="22"/>
          <w:szCs w:val="22"/>
        </w:rPr>
      </w:pPr>
      <w:r w:rsidRPr="006B1120">
        <w:rPr>
          <w:b/>
          <w:bCs/>
          <w:sz w:val="22"/>
          <w:szCs w:val="22"/>
        </w:rPr>
        <w:t>CENSOS ECONÓMICOS 2019</w:t>
      </w:r>
    </w:p>
    <w:p w14:paraId="66C8C2F6" w14:textId="3EEC55D9" w:rsidR="006B1120" w:rsidRDefault="006B1120" w:rsidP="00732ACA">
      <w:pPr>
        <w:ind w:left="-567"/>
        <w:rPr>
          <w:sz w:val="22"/>
          <w:szCs w:val="22"/>
        </w:rPr>
      </w:pPr>
    </w:p>
    <w:p w14:paraId="6714F0CA" w14:textId="28BCDEBD" w:rsidR="006B1120" w:rsidRPr="006B1120" w:rsidRDefault="00ED6C9F" w:rsidP="00732ACA">
      <w:pPr>
        <w:ind w:left="-567"/>
        <w:rPr>
          <w:sz w:val="22"/>
          <w:szCs w:val="22"/>
        </w:rPr>
      </w:pPr>
      <w:r>
        <w:rPr>
          <w:sz w:val="22"/>
          <w:szCs w:val="22"/>
        </w:rPr>
        <w:t>Los</w:t>
      </w:r>
      <w:r w:rsidR="006B1120" w:rsidRPr="006B1120">
        <w:rPr>
          <w:sz w:val="22"/>
          <w:szCs w:val="22"/>
        </w:rPr>
        <w:t xml:space="preserve"> Censos Económicos 2019 </w:t>
      </w:r>
      <w:r w:rsidR="00520FD8">
        <w:rPr>
          <w:sz w:val="22"/>
          <w:szCs w:val="22"/>
        </w:rPr>
        <w:t>proporcionan</w:t>
      </w:r>
      <w:r w:rsidR="006B1120" w:rsidRPr="006B1120">
        <w:rPr>
          <w:sz w:val="22"/>
          <w:szCs w:val="22"/>
        </w:rPr>
        <w:t xml:space="preserve"> información </w:t>
      </w:r>
      <w:r w:rsidR="00520FD8">
        <w:rPr>
          <w:sz w:val="22"/>
          <w:szCs w:val="22"/>
        </w:rPr>
        <w:t>de las actividades turística</w:t>
      </w:r>
      <w:r w:rsidR="0051202B">
        <w:rPr>
          <w:sz w:val="22"/>
          <w:szCs w:val="22"/>
        </w:rPr>
        <w:t>s</w:t>
      </w:r>
      <w:r w:rsidR="00520FD8">
        <w:rPr>
          <w:sz w:val="22"/>
          <w:szCs w:val="22"/>
        </w:rPr>
        <w:t>, es decir</w:t>
      </w:r>
      <w:r w:rsidR="0051202B">
        <w:rPr>
          <w:sz w:val="22"/>
          <w:szCs w:val="22"/>
        </w:rPr>
        <w:t>,</w:t>
      </w:r>
      <w:r w:rsidR="00520FD8">
        <w:rPr>
          <w:sz w:val="22"/>
          <w:szCs w:val="22"/>
        </w:rPr>
        <w:t xml:space="preserve"> aquellas unidades económicas orientadas a los viajeros</w:t>
      </w:r>
      <w:r w:rsidR="00964745">
        <w:rPr>
          <w:sz w:val="22"/>
          <w:szCs w:val="22"/>
        </w:rPr>
        <w:t xml:space="preserve"> y</w:t>
      </w:r>
      <w:r w:rsidR="00520FD8">
        <w:rPr>
          <w:sz w:val="22"/>
          <w:szCs w:val="22"/>
        </w:rPr>
        <w:t xml:space="preserve"> que se constituyeron como centros de concentración de servicios atractivos para los no residentes de las localidades;</w:t>
      </w:r>
      <w:r w:rsidR="00964745">
        <w:rPr>
          <w:sz w:val="22"/>
          <w:szCs w:val="22"/>
        </w:rPr>
        <w:t xml:space="preserve">  ofrece</w:t>
      </w:r>
      <w:r w:rsidR="00852FEC">
        <w:rPr>
          <w:sz w:val="22"/>
          <w:szCs w:val="22"/>
        </w:rPr>
        <w:t>n</w:t>
      </w:r>
      <w:r w:rsidR="00964745">
        <w:rPr>
          <w:sz w:val="22"/>
          <w:szCs w:val="22"/>
        </w:rPr>
        <w:t xml:space="preserve"> también datos de los h</w:t>
      </w:r>
      <w:r w:rsidR="00520FD8">
        <w:rPr>
          <w:sz w:val="22"/>
          <w:szCs w:val="22"/>
        </w:rPr>
        <w:t>oteles co</w:t>
      </w:r>
      <w:r w:rsidR="00F130CB">
        <w:rPr>
          <w:sz w:val="22"/>
          <w:szCs w:val="22"/>
        </w:rPr>
        <w:t>n servicios integrados, esto es</w:t>
      </w:r>
      <w:r w:rsidR="00520FD8">
        <w:rPr>
          <w:sz w:val="22"/>
          <w:szCs w:val="22"/>
        </w:rPr>
        <w:t xml:space="preserve">, aquellos que </w:t>
      </w:r>
      <w:r w:rsidR="00520FD8" w:rsidRPr="00520FD8">
        <w:rPr>
          <w:sz w:val="22"/>
          <w:szCs w:val="22"/>
        </w:rPr>
        <w:t>proporciona</w:t>
      </w:r>
      <w:r w:rsidR="00520FD8">
        <w:rPr>
          <w:sz w:val="22"/>
          <w:szCs w:val="22"/>
        </w:rPr>
        <w:t>n</w:t>
      </w:r>
      <w:r w:rsidR="00520FD8" w:rsidRPr="00520FD8">
        <w:rPr>
          <w:sz w:val="22"/>
          <w:szCs w:val="22"/>
        </w:rPr>
        <w:t xml:space="preserve"> servicios de alojamiento temporal </w:t>
      </w:r>
      <w:r w:rsidR="00520FD8">
        <w:rPr>
          <w:sz w:val="22"/>
          <w:szCs w:val="22"/>
        </w:rPr>
        <w:t xml:space="preserve">y </w:t>
      </w:r>
      <w:r w:rsidR="00520FD8" w:rsidRPr="00520FD8">
        <w:rPr>
          <w:sz w:val="22"/>
          <w:szCs w:val="22"/>
        </w:rPr>
        <w:t>que ba</w:t>
      </w:r>
      <w:r w:rsidR="00F130CB">
        <w:rPr>
          <w:sz w:val="22"/>
          <w:szCs w:val="22"/>
        </w:rPr>
        <w:t>jo la misma razón social muestran una gama de servicios (</w:t>
      </w:r>
      <w:r w:rsidR="00520FD8" w:rsidRPr="00520FD8">
        <w:rPr>
          <w:sz w:val="22"/>
          <w:szCs w:val="22"/>
        </w:rPr>
        <w:t>restaurante, bar, centro nocturno, discoteca, spa de belleza,</w:t>
      </w:r>
      <w:r w:rsidR="005B4994">
        <w:rPr>
          <w:sz w:val="22"/>
          <w:szCs w:val="22"/>
        </w:rPr>
        <w:t xml:space="preserve"> </w:t>
      </w:r>
      <w:r w:rsidR="00520FD8" w:rsidRPr="00520FD8">
        <w:rPr>
          <w:sz w:val="22"/>
          <w:szCs w:val="22"/>
        </w:rPr>
        <w:t>campo de golf, agencia de viajes).</w:t>
      </w:r>
    </w:p>
    <w:p w14:paraId="58D325A2" w14:textId="77777777" w:rsidR="00D04B6E" w:rsidRPr="0076064C" w:rsidRDefault="00D04B6E" w:rsidP="00732ACA">
      <w:pPr>
        <w:rPr>
          <w:sz w:val="22"/>
          <w:szCs w:val="22"/>
        </w:rPr>
      </w:pPr>
    </w:p>
    <w:p w14:paraId="2E7DC78E" w14:textId="504B75BE" w:rsidR="00543683" w:rsidRPr="001F207E" w:rsidRDefault="001F207E" w:rsidP="001F207E">
      <w:pPr>
        <w:ind w:left="-567"/>
        <w:rPr>
          <w:color w:val="000000" w:themeColor="text1"/>
          <w:lang w:val="es-MX"/>
        </w:rPr>
      </w:pPr>
      <w:r>
        <w:rPr>
          <w:rFonts w:eastAsia="Calibri"/>
          <w:bCs/>
          <w:sz w:val="22"/>
          <w:szCs w:val="22"/>
          <w:lang w:val="es-ES"/>
        </w:rPr>
        <w:t>De acuerdo con los Censos Económicos 2019, las actividades turísticas registraron 786</w:t>
      </w:r>
      <w:r w:rsidRPr="0090609F">
        <w:rPr>
          <w:rFonts w:eastAsia="Calibri"/>
          <w:bCs/>
          <w:color w:val="FFFFFF" w:themeColor="background1"/>
          <w:sz w:val="22"/>
          <w:szCs w:val="22"/>
          <w:lang w:val="es-ES"/>
        </w:rPr>
        <w:t>.</w:t>
      </w:r>
      <w:r>
        <w:rPr>
          <w:rFonts w:eastAsia="Calibri"/>
          <w:bCs/>
          <w:sz w:val="22"/>
          <w:szCs w:val="22"/>
          <w:lang w:val="es-ES"/>
        </w:rPr>
        <w:t>540 unidades económicas (16.4% del total de unidades a nivel nacional).</w:t>
      </w:r>
      <w:r>
        <w:rPr>
          <w:color w:val="000000" w:themeColor="text1"/>
          <w:lang w:val="es-MX"/>
        </w:rPr>
        <w:t xml:space="preserve"> </w:t>
      </w:r>
      <w:r w:rsidR="00254DF6" w:rsidRPr="0076064C">
        <w:rPr>
          <w:sz w:val="22"/>
          <w:szCs w:val="22"/>
        </w:rPr>
        <w:t>En cuanto a personal ocupado, l</w:t>
      </w:r>
      <w:r w:rsidR="00543683" w:rsidRPr="0076064C">
        <w:rPr>
          <w:sz w:val="22"/>
          <w:szCs w:val="22"/>
        </w:rPr>
        <w:t>as actividades turísticas presentan una brecha de género de 0.5 puntos porcentuales</w:t>
      </w:r>
      <w:r w:rsidR="005C36A1" w:rsidRPr="0076064C">
        <w:rPr>
          <w:sz w:val="22"/>
          <w:szCs w:val="22"/>
        </w:rPr>
        <w:t>. L</w:t>
      </w:r>
      <w:r w:rsidR="00543683" w:rsidRPr="0076064C">
        <w:rPr>
          <w:sz w:val="22"/>
          <w:szCs w:val="22"/>
        </w:rPr>
        <w:t>a</w:t>
      </w:r>
      <w:r w:rsidR="005C36A1" w:rsidRPr="0076064C">
        <w:rPr>
          <w:sz w:val="22"/>
          <w:szCs w:val="22"/>
        </w:rPr>
        <w:t>s</w:t>
      </w:r>
      <w:r w:rsidR="00543683" w:rsidRPr="0076064C">
        <w:rPr>
          <w:sz w:val="22"/>
          <w:szCs w:val="22"/>
        </w:rPr>
        <w:t xml:space="preserve"> mujeres </w:t>
      </w:r>
      <w:r w:rsidR="0028266A" w:rsidRPr="0076064C">
        <w:rPr>
          <w:sz w:val="22"/>
          <w:szCs w:val="22"/>
        </w:rPr>
        <w:t>registra</w:t>
      </w:r>
      <w:r w:rsidR="006B1120" w:rsidRPr="0076064C">
        <w:rPr>
          <w:sz w:val="22"/>
          <w:szCs w:val="22"/>
        </w:rPr>
        <w:t>ron</w:t>
      </w:r>
      <w:r w:rsidR="00543683" w:rsidRPr="0076064C">
        <w:rPr>
          <w:sz w:val="22"/>
          <w:szCs w:val="22"/>
        </w:rPr>
        <w:t xml:space="preserve"> 50.5% del personal ocupado total</w:t>
      </w:r>
      <w:r w:rsidR="00ED6C9F">
        <w:rPr>
          <w:sz w:val="22"/>
          <w:szCs w:val="22"/>
        </w:rPr>
        <w:t xml:space="preserve"> y los hombres, 49.5 por ciento.</w:t>
      </w:r>
    </w:p>
    <w:p w14:paraId="4FDA6D10" w14:textId="3CA3D802" w:rsidR="006F1876" w:rsidRDefault="006F1876" w:rsidP="00732ACA">
      <w:pPr>
        <w:rPr>
          <w:rStyle w:val="Hipervnculo"/>
          <w:color w:val="auto"/>
          <w:u w:val="none"/>
          <w:lang w:val="es-MX"/>
        </w:rPr>
      </w:pPr>
    </w:p>
    <w:p w14:paraId="659DC0B9" w14:textId="68F378C2" w:rsidR="00543683" w:rsidRPr="0076064C" w:rsidRDefault="00543683" w:rsidP="00732ACA">
      <w:pPr>
        <w:ind w:left="-567"/>
        <w:rPr>
          <w:sz w:val="22"/>
          <w:szCs w:val="22"/>
        </w:rPr>
      </w:pPr>
      <w:r w:rsidRPr="0076064C">
        <w:rPr>
          <w:sz w:val="22"/>
          <w:szCs w:val="22"/>
        </w:rPr>
        <w:t xml:space="preserve">En el total nacional, la remuneración promedio anual es de 128 258 pesos por persona. </w:t>
      </w:r>
      <w:r w:rsidR="00E44E97" w:rsidRPr="0076064C">
        <w:rPr>
          <w:sz w:val="22"/>
          <w:szCs w:val="22"/>
        </w:rPr>
        <w:t>En l</w:t>
      </w:r>
      <w:r w:rsidRPr="0076064C">
        <w:rPr>
          <w:sz w:val="22"/>
          <w:szCs w:val="22"/>
        </w:rPr>
        <w:t>as actividades turísticas es</w:t>
      </w:r>
      <w:r w:rsidR="0028266A" w:rsidRPr="0076064C">
        <w:rPr>
          <w:sz w:val="22"/>
          <w:szCs w:val="22"/>
        </w:rPr>
        <w:t xml:space="preserve">te importe registra </w:t>
      </w:r>
      <w:r w:rsidRPr="0076064C">
        <w:rPr>
          <w:sz w:val="22"/>
          <w:szCs w:val="22"/>
        </w:rPr>
        <w:t xml:space="preserve">89 279 pesos. Las entidades con una remuneración media anual más alta son: </w:t>
      </w:r>
      <w:r w:rsidR="00E44E97" w:rsidRPr="0076064C">
        <w:rPr>
          <w:sz w:val="22"/>
          <w:szCs w:val="22"/>
        </w:rPr>
        <w:t>Ciudad de México y Nuevo León, ambas por arriba de los 120 mil pesos anuales. Las más bajas son Tlaxcala y Chiapas por debajo de los 63 mil pesos anuales por persona.</w:t>
      </w:r>
    </w:p>
    <w:p w14:paraId="7F565839" w14:textId="77777777" w:rsidR="00543683" w:rsidRPr="0076064C" w:rsidRDefault="00543683" w:rsidP="00E46328">
      <w:pPr>
        <w:spacing w:line="276" w:lineRule="auto"/>
        <w:rPr>
          <w:sz w:val="22"/>
          <w:szCs w:val="22"/>
        </w:rPr>
      </w:pPr>
    </w:p>
    <w:p w14:paraId="4B7A2446" w14:textId="78805504" w:rsidR="00B665B0" w:rsidRDefault="00D04B6E" w:rsidP="006B1120">
      <w:pPr>
        <w:spacing w:line="276" w:lineRule="auto"/>
        <w:jc w:val="center"/>
        <w:rPr>
          <w:rStyle w:val="Hipervnculo"/>
          <w:color w:val="auto"/>
          <w:u w:val="none"/>
          <w:lang w:val="es-MX"/>
        </w:rPr>
      </w:pPr>
      <w:r>
        <w:rPr>
          <w:noProof/>
          <w:lang w:val="es-MX" w:eastAsia="es-MX"/>
        </w:rPr>
        <w:lastRenderedPageBreak/>
        <w:drawing>
          <wp:inline distT="0" distB="0" distL="0" distR="0" wp14:anchorId="6E4A7256" wp14:editId="25206A00">
            <wp:extent cx="4456096" cy="3114675"/>
            <wp:effectExtent l="0" t="0" r="1905" b="0"/>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8"/>
                    <a:stretch>
                      <a:fillRect/>
                    </a:stretch>
                  </pic:blipFill>
                  <pic:spPr>
                    <a:xfrm>
                      <a:off x="0" y="0"/>
                      <a:ext cx="4508612" cy="3151382"/>
                    </a:xfrm>
                    <a:prstGeom prst="rect">
                      <a:avLst/>
                    </a:prstGeom>
                  </pic:spPr>
                </pic:pic>
              </a:graphicData>
            </a:graphic>
          </wp:inline>
        </w:drawing>
      </w:r>
    </w:p>
    <w:p w14:paraId="7EE3A37E" w14:textId="756B10CB" w:rsidR="00D04B6E" w:rsidRPr="0076064C" w:rsidRDefault="002B6082" w:rsidP="002B6082">
      <w:pPr>
        <w:ind w:left="-567"/>
        <w:rPr>
          <w:b/>
          <w:bCs/>
          <w:sz w:val="22"/>
          <w:szCs w:val="22"/>
        </w:rPr>
      </w:pPr>
      <w:r w:rsidRPr="0076064C">
        <w:rPr>
          <w:b/>
          <w:bCs/>
          <w:sz w:val="22"/>
          <w:szCs w:val="22"/>
        </w:rPr>
        <w:t>HOTELES CON SERVICIOS INTEGRADOS</w:t>
      </w:r>
    </w:p>
    <w:p w14:paraId="2695AC89" w14:textId="77777777" w:rsidR="00D04B6E" w:rsidRPr="0076064C" w:rsidRDefault="00D04B6E" w:rsidP="002B6082">
      <w:pPr>
        <w:ind w:left="-567"/>
        <w:rPr>
          <w:sz w:val="22"/>
          <w:szCs w:val="22"/>
        </w:rPr>
      </w:pPr>
    </w:p>
    <w:p w14:paraId="42E635CA" w14:textId="18CD7F2B" w:rsidR="00FA7642" w:rsidRPr="0076064C" w:rsidRDefault="00FA7642" w:rsidP="002B6082">
      <w:pPr>
        <w:ind w:left="-567"/>
        <w:rPr>
          <w:sz w:val="22"/>
          <w:szCs w:val="22"/>
        </w:rPr>
      </w:pPr>
      <w:r w:rsidRPr="0076064C">
        <w:rPr>
          <w:sz w:val="22"/>
          <w:szCs w:val="22"/>
        </w:rPr>
        <w:t xml:space="preserve">Los </w:t>
      </w:r>
      <w:r w:rsidR="00DA46CF" w:rsidRPr="0076064C">
        <w:rPr>
          <w:sz w:val="22"/>
          <w:szCs w:val="22"/>
        </w:rPr>
        <w:t>h</w:t>
      </w:r>
      <w:r w:rsidRPr="0076064C">
        <w:rPr>
          <w:sz w:val="22"/>
          <w:szCs w:val="22"/>
        </w:rPr>
        <w:t>oteles con servicios integrados se refieren a</w:t>
      </w:r>
      <w:r w:rsidR="00E44E97" w:rsidRPr="0076064C">
        <w:rPr>
          <w:sz w:val="22"/>
          <w:szCs w:val="22"/>
        </w:rPr>
        <w:t xml:space="preserve"> las</w:t>
      </w:r>
      <w:r w:rsidRPr="0076064C">
        <w:rPr>
          <w:sz w:val="22"/>
          <w:szCs w:val="22"/>
        </w:rPr>
        <w:t xml:space="preserve"> </w:t>
      </w:r>
      <w:r w:rsidR="00E44E97" w:rsidRPr="0076064C">
        <w:rPr>
          <w:sz w:val="22"/>
          <w:szCs w:val="22"/>
        </w:rPr>
        <w:t>u</w:t>
      </w:r>
      <w:r w:rsidR="001F4259" w:rsidRPr="0076064C">
        <w:rPr>
          <w:sz w:val="22"/>
          <w:szCs w:val="22"/>
        </w:rPr>
        <w:t>nidades económicas dedicadas principalmente a proporcionar servicios de alojamiento temporal en hoteles con uno o más servicios integrados, es decir, que bajo la misma razón social ofrecen una gama de servicios (de restaurante, bar, centro nocturno, discoteca, spa de belleza, campo de golf, agencia de viajes).</w:t>
      </w:r>
    </w:p>
    <w:p w14:paraId="672A561F" w14:textId="77777777" w:rsidR="00FA7642" w:rsidRPr="0076064C" w:rsidRDefault="00FA7642" w:rsidP="002B6082">
      <w:pPr>
        <w:ind w:left="-567"/>
        <w:rPr>
          <w:sz w:val="22"/>
          <w:szCs w:val="22"/>
        </w:rPr>
      </w:pPr>
    </w:p>
    <w:p w14:paraId="6FB42F0D" w14:textId="2FAB908B" w:rsidR="002E325F" w:rsidRPr="0076064C" w:rsidRDefault="002E325F" w:rsidP="002B6082">
      <w:pPr>
        <w:ind w:left="-567"/>
        <w:rPr>
          <w:sz w:val="22"/>
          <w:szCs w:val="22"/>
        </w:rPr>
      </w:pPr>
      <w:r w:rsidRPr="0076064C">
        <w:rPr>
          <w:sz w:val="22"/>
          <w:szCs w:val="22"/>
        </w:rPr>
        <w:t>En el nivel nacional, 3</w:t>
      </w:r>
      <w:r w:rsidR="008E2085" w:rsidRPr="0076064C">
        <w:rPr>
          <w:sz w:val="22"/>
          <w:szCs w:val="22"/>
        </w:rPr>
        <w:t>3.2</w:t>
      </w:r>
      <w:r w:rsidRPr="0076064C">
        <w:rPr>
          <w:sz w:val="22"/>
          <w:szCs w:val="22"/>
        </w:rPr>
        <w:t xml:space="preserve">% de los hoteles con otros servicios integrados son categoría </w:t>
      </w:r>
      <w:r w:rsidR="008E2085" w:rsidRPr="0076064C">
        <w:rPr>
          <w:sz w:val="22"/>
          <w:szCs w:val="22"/>
        </w:rPr>
        <w:t>tres</w:t>
      </w:r>
      <w:r w:rsidRPr="0076064C">
        <w:rPr>
          <w:sz w:val="22"/>
          <w:szCs w:val="22"/>
        </w:rPr>
        <w:t xml:space="preserve"> estrellas, seguidos de </w:t>
      </w:r>
      <w:r w:rsidR="008E2085" w:rsidRPr="0076064C">
        <w:rPr>
          <w:sz w:val="22"/>
          <w:szCs w:val="22"/>
        </w:rPr>
        <w:t>26.4</w:t>
      </w:r>
      <w:r w:rsidRPr="0076064C">
        <w:rPr>
          <w:sz w:val="22"/>
          <w:szCs w:val="22"/>
        </w:rPr>
        <w:t xml:space="preserve">% de </w:t>
      </w:r>
      <w:r w:rsidR="008E2085" w:rsidRPr="0076064C">
        <w:rPr>
          <w:sz w:val="22"/>
          <w:szCs w:val="22"/>
        </w:rPr>
        <w:t>cuatro</w:t>
      </w:r>
      <w:r w:rsidRPr="0076064C">
        <w:rPr>
          <w:sz w:val="22"/>
          <w:szCs w:val="22"/>
        </w:rPr>
        <w:t xml:space="preserve"> estrella</w:t>
      </w:r>
      <w:r w:rsidR="002734D8" w:rsidRPr="0076064C">
        <w:rPr>
          <w:sz w:val="22"/>
          <w:szCs w:val="22"/>
        </w:rPr>
        <w:t>s. Sólo 0.3% de estos son Gran turismo y únicamente 2.0% son Clase e</w:t>
      </w:r>
      <w:r w:rsidRPr="0076064C">
        <w:rPr>
          <w:sz w:val="22"/>
          <w:szCs w:val="22"/>
        </w:rPr>
        <w:t>special.</w:t>
      </w:r>
    </w:p>
    <w:p w14:paraId="2301E079" w14:textId="3954715B" w:rsidR="007B0D96" w:rsidRPr="0076064C" w:rsidRDefault="007B0D96" w:rsidP="002B6082">
      <w:pPr>
        <w:ind w:left="-567"/>
        <w:rPr>
          <w:sz w:val="22"/>
          <w:szCs w:val="22"/>
        </w:rPr>
      </w:pPr>
    </w:p>
    <w:p w14:paraId="51B960DF" w14:textId="107ACC85" w:rsidR="002E325F" w:rsidRPr="0076064C" w:rsidRDefault="00277372" w:rsidP="002B6082">
      <w:pPr>
        <w:ind w:left="-567"/>
        <w:rPr>
          <w:sz w:val="22"/>
          <w:szCs w:val="22"/>
        </w:rPr>
      </w:pPr>
      <w:r w:rsidRPr="0076064C">
        <w:rPr>
          <w:sz w:val="22"/>
          <w:szCs w:val="22"/>
        </w:rPr>
        <w:t>El 11.3% de los hoteles de cinco estrellas con otros servicios integrados son los que más personal ocupado concentran (41.0%) y los que más valor agregado censal bruto generan (43.8%), seguidos de los hoteles de cuatro estrellas que ocupan al 34.6% del personal y producen 33.6% del valor agregado censal bruto del total nacional.</w:t>
      </w:r>
    </w:p>
    <w:p w14:paraId="64BABF36" w14:textId="2A0D8645" w:rsidR="007B0D96" w:rsidRDefault="007B0D96" w:rsidP="002B6082">
      <w:pPr>
        <w:ind w:left="-567"/>
        <w:rPr>
          <w:rStyle w:val="Hipervnculo"/>
          <w:color w:val="auto"/>
          <w:u w:val="none"/>
          <w:lang w:val="es-MX"/>
        </w:rPr>
      </w:pPr>
    </w:p>
    <w:p w14:paraId="63E4DDEE" w14:textId="28722BE0" w:rsidR="009C33CF" w:rsidRDefault="009C33CF" w:rsidP="00ED6C9F">
      <w:pPr>
        <w:spacing w:line="276" w:lineRule="auto"/>
        <w:jc w:val="center"/>
        <w:rPr>
          <w:rStyle w:val="Hipervnculo"/>
          <w:color w:val="auto"/>
          <w:u w:val="none"/>
          <w:lang w:val="es-MX"/>
        </w:rPr>
      </w:pPr>
      <w:r>
        <w:rPr>
          <w:noProof/>
          <w:lang w:val="es-MX" w:eastAsia="es-MX"/>
        </w:rPr>
        <w:drawing>
          <wp:inline distT="0" distB="0" distL="0" distR="0" wp14:anchorId="3F09F4EF" wp14:editId="1370C961">
            <wp:extent cx="4971076" cy="2466975"/>
            <wp:effectExtent l="0" t="0" r="0" b="0"/>
            <wp:docPr id="29" name="Imagen 2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magen que contiene Gráfic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9362" cy="2510788"/>
                    </a:xfrm>
                    <a:prstGeom prst="rect">
                      <a:avLst/>
                    </a:prstGeom>
                  </pic:spPr>
                </pic:pic>
              </a:graphicData>
            </a:graphic>
          </wp:inline>
        </w:drawing>
      </w:r>
    </w:p>
    <w:p w14:paraId="25BBA012" w14:textId="39E56376" w:rsidR="000B715E" w:rsidRPr="0076064C" w:rsidRDefault="001D642A" w:rsidP="002B6082">
      <w:pPr>
        <w:ind w:left="-567"/>
        <w:rPr>
          <w:sz w:val="22"/>
          <w:szCs w:val="22"/>
        </w:rPr>
      </w:pPr>
      <w:r w:rsidRPr="0076064C">
        <w:rPr>
          <w:sz w:val="22"/>
          <w:szCs w:val="22"/>
        </w:rPr>
        <w:lastRenderedPageBreak/>
        <w:t>L</w:t>
      </w:r>
      <w:r w:rsidR="002734D8" w:rsidRPr="0076064C">
        <w:rPr>
          <w:sz w:val="22"/>
          <w:szCs w:val="22"/>
        </w:rPr>
        <w:t>os h</w:t>
      </w:r>
      <w:r w:rsidR="00AE57C7" w:rsidRPr="0076064C">
        <w:rPr>
          <w:sz w:val="22"/>
          <w:szCs w:val="22"/>
        </w:rPr>
        <w:t>oteles con otros servicios integrados</w:t>
      </w:r>
      <w:r w:rsidR="006C7756" w:rsidRPr="0076064C">
        <w:rPr>
          <w:sz w:val="22"/>
          <w:szCs w:val="22"/>
        </w:rPr>
        <w:t xml:space="preserve"> se concentran principalmente en Quintana Roo (7.5%), Jalisco (7.3%), Ciudad de México y Oaxaca (5.6%). Sin embargo, el personal ocupado se dese</w:t>
      </w:r>
      <w:r w:rsidR="0028266A" w:rsidRPr="0076064C">
        <w:rPr>
          <w:sz w:val="22"/>
          <w:szCs w:val="22"/>
        </w:rPr>
        <w:t>mpeñ</w:t>
      </w:r>
      <w:r w:rsidR="006C7756" w:rsidRPr="0076064C">
        <w:rPr>
          <w:sz w:val="22"/>
          <w:szCs w:val="22"/>
        </w:rPr>
        <w:t>a principalmente en Quintana Roo (30.6%), Ciudad de México (8.9%) y Baja California Sur (8.5%).</w:t>
      </w:r>
    </w:p>
    <w:p w14:paraId="7D899892" w14:textId="037402DB" w:rsidR="000B715E" w:rsidRDefault="006C7756" w:rsidP="002B6082">
      <w:pPr>
        <w:tabs>
          <w:tab w:val="left" w:pos="2078"/>
        </w:tabs>
        <w:ind w:left="-567"/>
        <w:rPr>
          <w:noProof/>
        </w:rPr>
      </w:pPr>
      <w:r>
        <w:rPr>
          <w:rStyle w:val="Hipervnculo"/>
          <w:color w:val="auto"/>
          <w:u w:val="none"/>
          <w:lang w:val="es-MX"/>
        </w:rPr>
        <w:tab/>
      </w:r>
    </w:p>
    <w:p w14:paraId="221E7E5D" w14:textId="486C39B4" w:rsidR="00A5696E" w:rsidRPr="0076064C" w:rsidRDefault="002734D8" w:rsidP="002B6082">
      <w:pPr>
        <w:ind w:left="-567"/>
        <w:rPr>
          <w:sz w:val="22"/>
          <w:szCs w:val="22"/>
        </w:rPr>
      </w:pPr>
      <w:r w:rsidRPr="0076064C">
        <w:rPr>
          <w:sz w:val="22"/>
          <w:szCs w:val="22"/>
        </w:rPr>
        <w:t>En el total de h</w:t>
      </w:r>
      <w:r w:rsidR="00A5696E" w:rsidRPr="0076064C">
        <w:rPr>
          <w:sz w:val="22"/>
          <w:szCs w:val="22"/>
        </w:rPr>
        <w:t>oteles con otros servicios integrados,</w:t>
      </w:r>
      <w:r w:rsidR="0028266A" w:rsidRPr="0076064C">
        <w:rPr>
          <w:sz w:val="22"/>
          <w:szCs w:val="22"/>
        </w:rPr>
        <w:t xml:space="preserve"> según las categorías de personal ocupado, se observa que</w:t>
      </w:r>
      <w:r w:rsidR="00A5696E" w:rsidRPr="0076064C">
        <w:rPr>
          <w:sz w:val="22"/>
          <w:szCs w:val="22"/>
        </w:rPr>
        <w:t xml:space="preserve"> 55.5% es personal no dependiente de la razón social </w:t>
      </w:r>
      <w:r w:rsidR="00A5696E" w:rsidRPr="00313CE9">
        <w:rPr>
          <w:i/>
          <w:iCs/>
          <w:sz w:val="22"/>
          <w:szCs w:val="22"/>
        </w:rPr>
        <w:t>(outsourcing),</w:t>
      </w:r>
      <w:r w:rsidR="00A5696E" w:rsidRPr="0076064C">
        <w:rPr>
          <w:sz w:val="22"/>
          <w:szCs w:val="22"/>
        </w:rPr>
        <w:t xml:space="preserve"> 43.2% corresponde a</w:t>
      </w:r>
      <w:r w:rsidRPr="0076064C">
        <w:rPr>
          <w:sz w:val="22"/>
          <w:szCs w:val="22"/>
        </w:rPr>
        <w:t>l</w:t>
      </w:r>
      <w:r w:rsidR="00A5696E" w:rsidRPr="0076064C">
        <w:rPr>
          <w:sz w:val="22"/>
          <w:szCs w:val="22"/>
        </w:rPr>
        <w:t xml:space="preserve"> personal ocupado remunerado y 1.3% a propietarios, familiares y otros trabajadore</w:t>
      </w:r>
      <w:r w:rsidRPr="0076064C">
        <w:rPr>
          <w:sz w:val="22"/>
          <w:szCs w:val="22"/>
        </w:rPr>
        <w:t>s no remunerados. Destacan los hoteles Gran t</w:t>
      </w:r>
      <w:r w:rsidR="00A5696E" w:rsidRPr="0076064C">
        <w:rPr>
          <w:sz w:val="22"/>
          <w:szCs w:val="22"/>
        </w:rPr>
        <w:t>urismo con 89.9% del personal no dependiente de la razón social</w:t>
      </w:r>
      <w:r w:rsidR="00A72686" w:rsidRPr="0076064C">
        <w:rPr>
          <w:sz w:val="22"/>
          <w:szCs w:val="22"/>
        </w:rPr>
        <w:t xml:space="preserve"> </w:t>
      </w:r>
      <w:r w:rsidR="00A72686" w:rsidRPr="00313CE9">
        <w:rPr>
          <w:i/>
          <w:iCs/>
          <w:sz w:val="22"/>
          <w:szCs w:val="22"/>
        </w:rPr>
        <w:t>(outsourcing).</w:t>
      </w:r>
    </w:p>
    <w:p w14:paraId="17FD63EA" w14:textId="20DE3708" w:rsidR="007B0D96" w:rsidRDefault="007B0D96" w:rsidP="00E46328">
      <w:pPr>
        <w:spacing w:line="276" w:lineRule="auto"/>
        <w:rPr>
          <w:rStyle w:val="Hipervnculo"/>
          <w:color w:val="auto"/>
          <w:u w:val="none"/>
          <w:lang w:val="es-MX"/>
        </w:rPr>
      </w:pPr>
    </w:p>
    <w:p w14:paraId="54FC1ED4" w14:textId="7A1C851D" w:rsidR="00A72686" w:rsidRDefault="009C33CF" w:rsidP="00E46328">
      <w:pPr>
        <w:spacing w:line="276" w:lineRule="auto"/>
        <w:rPr>
          <w:rStyle w:val="Hipervnculo"/>
          <w:color w:val="auto"/>
          <w:u w:val="none"/>
          <w:lang w:val="es-MX"/>
        </w:rPr>
      </w:pPr>
      <w:r>
        <w:rPr>
          <w:noProof/>
          <w:lang w:val="es-MX" w:eastAsia="es-MX"/>
        </w:rPr>
        <w:drawing>
          <wp:inline distT="0" distB="0" distL="0" distR="0" wp14:anchorId="332BB487" wp14:editId="330E842F">
            <wp:extent cx="5925185" cy="3336966"/>
            <wp:effectExtent l="0" t="0" r="0" b="0"/>
            <wp:docPr id="5" name="Imagen 5"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aptura de pantalla de computadora&#10;&#10;Descripción generada automáticamente"/>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934010" cy="3341936"/>
                    </a:xfrm>
                    <a:prstGeom prst="rect">
                      <a:avLst/>
                    </a:prstGeom>
                  </pic:spPr>
                </pic:pic>
              </a:graphicData>
            </a:graphic>
          </wp:inline>
        </w:drawing>
      </w:r>
    </w:p>
    <w:p w14:paraId="517598C1" w14:textId="77777777" w:rsidR="004E374D" w:rsidRDefault="004E374D" w:rsidP="00E46328">
      <w:pPr>
        <w:spacing w:line="276" w:lineRule="auto"/>
        <w:rPr>
          <w:rStyle w:val="Hipervnculo"/>
          <w:color w:val="auto"/>
          <w:u w:val="none"/>
          <w:lang w:val="es-MX"/>
        </w:rPr>
      </w:pPr>
    </w:p>
    <w:p w14:paraId="58BF8DEB" w14:textId="59A79E07" w:rsidR="00A72686" w:rsidRPr="0076064C" w:rsidRDefault="00A72686" w:rsidP="002B6082">
      <w:pPr>
        <w:ind w:left="-567"/>
        <w:rPr>
          <w:sz w:val="22"/>
          <w:szCs w:val="22"/>
        </w:rPr>
      </w:pPr>
      <w:r w:rsidRPr="0076064C">
        <w:rPr>
          <w:sz w:val="22"/>
          <w:szCs w:val="22"/>
        </w:rPr>
        <w:t xml:space="preserve">El 57.0% del personal </w:t>
      </w:r>
      <w:r w:rsidR="002734D8" w:rsidRPr="0076064C">
        <w:rPr>
          <w:sz w:val="22"/>
          <w:szCs w:val="22"/>
        </w:rPr>
        <w:t>ocupado que labora en los h</w:t>
      </w:r>
      <w:r w:rsidRPr="0076064C">
        <w:rPr>
          <w:sz w:val="22"/>
          <w:szCs w:val="22"/>
        </w:rPr>
        <w:t>otel</w:t>
      </w:r>
      <w:r w:rsidR="002734D8" w:rsidRPr="0076064C">
        <w:rPr>
          <w:sz w:val="22"/>
          <w:szCs w:val="22"/>
        </w:rPr>
        <w:t>es se emplea en actividades de hospedaje, 27.8% en restaurante, 7.2% como apoyo a los negocios, 4.2% en bar, 3.2% en spa, 0.4% en c</w:t>
      </w:r>
      <w:r w:rsidR="00460C20" w:rsidRPr="0076064C">
        <w:rPr>
          <w:sz w:val="22"/>
          <w:szCs w:val="22"/>
        </w:rPr>
        <w:t xml:space="preserve">entro nocturno y 0.2% en </w:t>
      </w:r>
      <w:r w:rsidR="00852FEC" w:rsidRPr="0076064C">
        <w:rPr>
          <w:sz w:val="22"/>
          <w:szCs w:val="22"/>
        </w:rPr>
        <w:t>a</w:t>
      </w:r>
      <w:r w:rsidRPr="0076064C">
        <w:rPr>
          <w:sz w:val="22"/>
          <w:szCs w:val="22"/>
        </w:rPr>
        <w:t>gencia de viajes.</w:t>
      </w:r>
    </w:p>
    <w:p w14:paraId="080F9CB7" w14:textId="77777777" w:rsidR="006B1120" w:rsidRDefault="006B1120" w:rsidP="002B6082">
      <w:pPr>
        <w:rPr>
          <w:rStyle w:val="Hipervnculo"/>
          <w:color w:val="auto"/>
          <w:u w:val="none"/>
          <w:lang w:val="es-MX"/>
        </w:rPr>
      </w:pPr>
    </w:p>
    <w:p w14:paraId="1D2CC120" w14:textId="4BA6BB0E" w:rsidR="00A72686" w:rsidRDefault="00A72686" w:rsidP="002B6082">
      <w:pPr>
        <w:ind w:left="-567"/>
        <w:rPr>
          <w:rStyle w:val="Hipervnculo"/>
          <w:color w:val="auto"/>
          <w:u w:val="none"/>
          <w:lang w:val="es-MX"/>
        </w:rPr>
      </w:pPr>
      <w:r w:rsidRPr="0076064C">
        <w:rPr>
          <w:sz w:val="22"/>
          <w:szCs w:val="22"/>
        </w:rPr>
        <w:t>Los hoteles Gran turismo destacan por el número de camas y de habitaciones por hotel. En promedio</w:t>
      </w:r>
      <w:r w:rsidR="00CE7707" w:rsidRPr="0076064C">
        <w:rPr>
          <w:sz w:val="22"/>
          <w:szCs w:val="22"/>
        </w:rPr>
        <w:t>, cada hotel Gran turismo cuenta con 1 211 camas y 526 habitaciones. En número de camas le siguen los de Clase especial con 4</w:t>
      </w:r>
      <w:r w:rsidR="0094222D" w:rsidRPr="0076064C">
        <w:rPr>
          <w:sz w:val="22"/>
          <w:szCs w:val="22"/>
        </w:rPr>
        <w:t>9</w:t>
      </w:r>
      <w:r w:rsidR="00CE7707" w:rsidRPr="0076064C">
        <w:rPr>
          <w:sz w:val="22"/>
          <w:szCs w:val="22"/>
        </w:rPr>
        <w:t>8 y 203 habitaciones</w:t>
      </w:r>
      <w:r w:rsidR="00CE7707">
        <w:rPr>
          <w:rStyle w:val="Hipervnculo"/>
          <w:color w:val="auto"/>
          <w:u w:val="none"/>
          <w:lang w:val="es-MX"/>
        </w:rPr>
        <w:t>.</w:t>
      </w:r>
      <w:r>
        <w:rPr>
          <w:rStyle w:val="Hipervnculo"/>
          <w:color w:val="auto"/>
          <w:u w:val="none"/>
          <w:lang w:val="es-MX"/>
        </w:rPr>
        <w:t xml:space="preserve"> </w:t>
      </w:r>
    </w:p>
    <w:p w14:paraId="54561F9E" w14:textId="7B632386" w:rsidR="008046FD" w:rsidRDefault="008046FD" w:rsidP="00E46328">
      <w:pPr>
        <w:spacing w:line="276" w:lineRule="auto"/>
        <w:rPr>
          <w:rStyle w:val="Hipervnculo"/>
          <w:color w:val="auto"/>
          <w:u w:val="none"/>
          <w:lang w:val="es-MX"/>
        </w:rPr>
      </w:pPr>
    </w:p>
    <w:p w14:paraId="6FDD54CC" w14:textId="2BE64D2A" w:rsidR="006C7756" w:rsidRDefault="009C33CF" w:rsidP="002B6082">
      <w:pPr>
        <w:spacing w:line="276" w:lineRule="auto"/>
        <w:ind w:left="-567" w:right="-142"/>
        <w:jc w:val="center"/>
        <w:rPr>
          <w:rStyle w:val="Hipervnculo"/>
          <w:color w:val="auto"/>
          <w:u w:val="none"/>
          <w:lang w:val="es-MX"/>
        </w:rPr>
      </w:pPr>
      <w:r>
        <w:rPr>
          <w:noProof/>
          <w:lang w:val="es-MX" w:eastAsia="es-MX"/>
        </w:rPr>
        <w:lastRenderedPageBreak/>
        <w:drawing>
          <wp:inline distT="0" distB="0" distL="0" distR="0" wp14:anchorId="3D2B1D20" wp14:editId="2CC89703">
            <wp:extent cx="5629275" cy="2937833"/>
            <wp:effectExtent l="0" t="0" r="0" b="0"/>
            <wp:docPr id="8" name="Imagen 8"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4207" cy="2950844"/>
                    </a:xfrm>
                    <a:prstGeom prst="rect">
                      <a:avLst/>
                    </a:prstGeom>
                  </pic:spPr>
                </pic:pic>
              </a:graphicData>
            </a:graphic>
          </wp:inline>
        </w:drawing>
      </w:r>
    </w:p>
    <w:p w14:paraId="4D6CDF00" w14:textId="77777777" w:rsidR="002B6082" w:rsidRDefault="002B6082" w:rsidP="002B6082">
      <w:pPr>
        <w:ind w:left="-567"/>
        <w:rPr>
          <w:sz w:val="22"/>
          <w:szCs w:val="22"/>
        </w:rPr>
      </w:pPr>
    </w:p>
    <w:p w14:paraId="63652536" w14:textId="26560790" w:rsidR="00CE7707" w:rsidRPr="008B6F65" w:rsidRDefault="009C33CF" w:rsidP="002B6082">
      <w:pPr>
        <w:ind w:left="-567"/>
        <w:rPr>
          <w:sz w:val="22"/>
          <w:szCs w:val="22"/>
        </w:rPr>
      </w:pPr>
      <w:r w:rsidRPr="008B6F65">
        <w:rPr>
          <w:sz w:val="22"/>
          <w:szCs w:val="22"/>
        </w:rPr>
        <w:t xml:space="preserve">Los hoteles Gran turismo, en promedio, vendieron 90 485 noches por hotel y 172 noches </w:t>
      </w:r>
      <w:r w:rsidR="00460C20" w:rsidRPr="008B6F65">
        <w:rPr>
          <w:sz w:val="22"/>
          <w:szCs w:val="22"/>
        </w:rPr>
        <w:t>por habitación. Los hoteles de c</w:t>
      </w:r>
      <w:r w:rsidRPr="008B6F65">
        <w:rPr>
          <w:sz w:val="22"/>
          <w:szCs w:val="22"/>
        </w:rPr>
        <w:t>inco estrellas alcanzaron el promedio más alto en noches vendidas por habitación al registrar 198.</w:t>
      </w:r>
    </w:p>
    <w:p w14:paraId="5F211557" w14:textId="77777777" w:rsidR="00CE7707" w:rsidRDefault="00CE7707" w:rsidP="002B6082">
      <w:pPr>
        <w:rPr>
          <w:rStyle w:val="Hipervnculo"/>
          <w:color w:val="auto"/>
          <w:u w:val="none"/>
          <w:lang w:val="es-MX"/>
        </w:rPr>
      </w:pPr>
    </w:p>
    <w:p w14:paraId="3EC18595" w14:textId="186AE302" w:rsidR="00D12AAE" w:rsidRPr="00AB4098" w:rsidRDefault="002B6082" w:rsidP="002B6082">
      <w:pPr>
        <w:ind w:left="-567"/>
        <w:rPr>
          <w:b/>
          <w:bCs/>
          <w:color w:val="000000" w:themeColor="text1"/>
          <w:sz w:val="22"/>
          <w:szCs w:val="22"/>
        </w:rPr>
      </w:pPr>
      <w:r w:rsidRPr="00AB4098">
        <w:rPr>
          <w:b/>
          <w:bCs/>
          <w:color w:val="000000" w:themeColor="text1"/>
          <w:sz w:val="22"/>
          <w:szCs w:val="22"/>
        </w:rPr>
        <w:t>PRODUCTO INTERNO BRUTO TURÍSTICO</w:t>
      </w:r>
    </w:p>
    <w:p w14:paraId="212E845D" w14:textId="77777777" w:rsidR="00D12AAE" w:rsidRPr="00AB4098" w:rsidRDefault="00D12AAE" w:rsidP="002B6082">
      <w:pPr>
        <w:ind w:left="-567"/>
        <w:rPr>
          <w:color w:val="000000" w:themeColor="text1"/>
          <w:sz w:val="22"/>
          <w:szCs w:val="22"/>
        </w:rPr>
      </w:pPr>
    </w:p>
    <w:p w14:paraId="1098B875" w14:textId="1A88D17D" w:rsidR="00D12AAE" w:rsidRPr="00AB4098" w:rsidRDefault="00D12AAE" w:rsidP="002B6082">
      <w:pPr>
        <w:ind w:left="-567"/>
        <w:rPr>
          <w:color w:val="000000" w:themeColor="text1"/>
          <w:sz w:val="22"/>
          <w:szCs w:val="22"/>
        </w:rPr>
      </w:pPr>
      <w:r w:rsidRPr="00AB4098">
        <w:rPr>
          <w:color w:val="000000" w:themeColor="text1"/>
          <w:sz w:val="22"/>
          <w:szCs w:val="22"/>
        </w:rPr>
        <w:t>En 2019, la actividad turística en México contribuyó con 8.7% al PIB del total de la economía</w:t>
      </w:r>
      <w:r w:rsidRPr="00AB4098">
        <w:rPr>
          <w:color w:val="000000" w:themeColor="text1"/>
          <w:sz w:val="22"/>
          <w:szCs w:val="22"/>
          <w:vertAlign w:val="superscript"/>
        </w:rPr>
        <w:footnoteReference w:id="1"/>
      </w:r>
      <w:r w:rsidRPr="00AB4098">
        <w:rPr>
          <w:color w:val="000000" w:themeColor="text1"/>
          <w:sz w:val="22"/>
          <w:szCs w:val="22"/>
        </w:rPr>
        <w:t>, medido en valores corrientes, observando que el sector turismo se caracteriza por producir en mayor medida los servicios que consumen los visitantes.</w:t>
      </w:r>
    </w:p>
    <w:p w14:paraId="4DE91DB8" w14:textId="77777777" w:rsidR="00D12AAE" w:rsidRPr="00AB4098" w:rsidRDefault="00D12AAE" w:rsidP="002B6082">
      <w:pPr>
        <w:ind w:left="-567"/>
        <w:rPr>
          <w:color w:val="000000" w:themeColor="text1"/>
          <w:sz w:val="22"/>
          <w:szCs w:val="22"/>
        </w:rPr>
      </w:pPr>
    </w:p>
    <w:p w14:paraId="0326050C" w14:textId="11E813E9" w:rsidR="00D12AAE" w:rsidRPr="00AB4098" w:rsidRDefault="00D12AAE" w:rsidP="002B6082">
      <w:pPr>
        <w:ind w:left="-567"/>
        <w:rPr>
          <w:color w:val="000000" w:themeColor="text1"/>
          <w:sz w:val="22"/>
          <w:szCs w:val="22"/>
        </w:rPr>
      </w:pPr>
      <w:r w:rsidRPr="00AB4098">
        <w:rPr>
          <w:color w:val="000000" w:themeColor="text1"/>
          <w:sz w:val="22"/>
          <w:szCs w:val="22"/>
        </w:rPr>
        <w:t>Considerando el total de la producción turística, los servicios representan 88.6% y la producción de bienes 11.4% restante. Entre los principales servicios que genera la actividad turística, se pueden destacar el alojamiento; el servicio de transporte de pasajeros; y el servicio en restaurantes, bares y centros nocturnos; entre otros.</w:t>
      </w:r>
    </w:p>
    <w:p w14:paraId="14B8AB7C" w14:textId="0B977A43" w:rsidR="00BE2AC5" w:rsidRPr="00AB4098" w:rsidRDefault="00BE2AC5" w:rsidP="002B6082">
      <w:pPr>
        <w:ind w:left="-567"/>
        <w:rPr>
          <w:color w:val="000000" w:themeColor="text1"/>
          <w:sz w:val="22"/>
          <w:szCs w:val="22"/>
        </w:rPr>
      </w:pPr>
    </w:p>
    <w:p w14:paraId="4D3A0806" w14:textId="4652A40C" w:rsidR="00BE2AC5" w:rsidRPr="00AB4098" w:rsidRDefault="00BE2AC5" w:rsidP="00BE2AC5">
      <w:pPr>
        <w:ind w:left="-567"/>
        <w:jc w:val="center"/>
        <w:rPr>
          <w:color w:val="000000" w:themeColor="text1"/>
          <w:sz w:val="22"/>
          <w:szCs w:val="22"/>
        </w:rPr>
      </w:pPr>
      <w:r w:rsidRPr="00AB4098">
        <w:rPr>
          <w:noProof/>
          <w:color w:val="000000" w:themeColor="text1"/>
          <w:lang w:val="es-MX" w:eastAsia="es-MX"/>
        </w:rPr>
        <w:drawing>
          <wp:inline distT="0" distB="0" distL="0" distR="0" wp14:anchorId="6B6C4057" wp14:editId="32ED3D98">
            <wp:extent cx="5821045" cy="2223818"/>
            <wp:effectExtent l="19050" t="19050" r="27305" b="241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E46CA7" w14:textId="4605B6BA" w:rsidR="00DC35FA" w:rsidRPr="00AB4098" w:rsidRDefault="002B6082" w:rsidP="002B6082">
      <w:pPr>
        <w:ind w:left="-567"/>
        <w:rPr>
          <w:b/>
          <w:bCs/>
          <w:color w:val="000000" w:themeColor="text1"/>
          <w:sz w:val="22"/>
          <w:szCs w:val="22"/>
        </w:rPr>
      </w:pPr>
      <w:r w:rsidRPr="00AB4098">
        <w:rPr>
          <w:b/>
          <w:bCs/>
          <w:color w:val="000000" w:themeColor="text1"/>
          <w:sz w:val="22"/>
          <w:szCs w:val="22"/>
        </w:rPr>
        <w:lastRenderedPageBreak/>
        <w:t>CONSUMO DE LOS TURISTAS</w:t>
      </w:r>
    </w:p>
    <w:p w14:paraId="5C291C5B" w14:textId="77777777" w:rsidR="00DC35FA" w:rsidRPr="00AB4098" w:rsidRDefault="00DC35FA" w:rsidP="002B6082">
      <w:pPr>
        <w:ind w:left="-567"/>
        <w:rPr>
          <w:color w:val="000000" w:themeColor="text1"/>
          <w:sz w:val="14"/>
          <w:szCs w:val="14"/>
        </w:rPr>
      </w:pPr>
    </w:p>
    <w:p w14:paraId="3031B929" w14:textId="683A070C" w:rsidR="00DC35FA" w:rsidRPr="00AB4098" w:rsidRDefault="00DC35FA" w:rsidP="002B6082">
      <w:pPr>
        <w:ind w:left="-567"/>
        <w:rPr>
          <w:color w:val="000000" w:themeColor="text1"/>
          <w:sz w:val="22"/>
          <w:szCs w:val="22"/>
        </w:rPr>
      </w:pPr>
      <w:r w:rsidRPr="00AB4098">
        <w:rPr>
          <w:color w:val="000000" w:themeColor="text1"/>
          <w:sz w:val="22"/>
          <w:szCs w:val="22"/>
        </w:rPr>
        <w:t>La C</w:t>
      </w:r>
      <w:r w:rsidR="002B6082">
        <w:rPr>
          <w:color w:val="000000" w:themeColor="text1"/>
          <w:sz w:val="22"/>
          <w:szCs w:val="22"/>
        </w:rPr>
        <w:t xml:space="preserve">uenta </w:t>
      </w:r>
      <w:r w:rsidRPr="00AB4098">
        <w:rPr>
          <w:color w:val="000000" w:themeColor="text1"/>
          <w:sz w:val="22"/>
          <w:szCs w:val="22"/>
        </w:rPr>
        <w:t>S</w:t>
      </w:r>
      <w:r w:rsidR="002B6082">
        <w:rPr>
          <w:color w:val="000000" w:themeColor="text1"/>
          <w:sz w:val="22"/>
          <w:szCs w:val="22"/>
        </w:rPr>
        <w:t xml:space="preserve">atélite de </w:t>
      </w:r>
      <w:r w:rsidRPr="00AB4098">
        <w:rPr>
          <w:color w:val="000000" w:themeColor="text1"/>
          <w:sz w:val="22"/>
          <w:szCs w:val="22"/>
        </w:rPr>
        <w:t>T</w:t>
      </w:r>
      <w:r w:rsidR="002B6082">
        <w:rPr>
          <w:color w:val="000000" w:themeColor="text1"/>
          <w:sz w:val="22"/>
          <w:szCs w:val="22"/>
        </w:rPr>
        <w:t xml:space="preserve">urismo de </w:t>
      </w:r>
      <w:r w:rsidRPr="00AB4098">
        <w:rPr>
          <w:color w:val="000000" w:themeColor="text1"/>
          <w:sz w:val="22"/>
          <w:szCs w:val="22"/>
        </w:rPr>
        <w:t>M</w:t>
      </w:r>
      <w:r w:rsidR="002B6082">
        <w:rPr>
          <w:color w:val="000000" w:themeColor="text1"/>
          <w:sz w:val="22"/>
          <w:szCs w:val="22"/>
        </w:rPr>
        <w:t xml:space="preserve">éxico </w:t>
      </w:r>
      <w:r w:rsidR="004D65E6">
        <w:rPr>
          <w:color w:val="000000" w:themeColor="text1"/>
          <w:sz w:val="22"/>
          <w:szCs w:val="22"/>
        </w:rPr>
        <w:t xml:space="preserve">(CSTM) </w:t>
      </w:r>
      <w:r w:rsidRPr="00AB4098">
        <w:rPr>
          <w:color w:val="000000" w:themeColor="text1"/>
          <w:sz w:val="22"/>
          <w:szCs w:val="22"/>
        </w:rPr>
        <w:t>permite identificar el consumo de bienes y servicios que realizan los visitantes dentro del país (previos y durante su viaje), tanto de residentes (consumo interno), como de extranjeros (consumo receptivo). Además, registra el consumo turístico emisor, que se define como el gasto realizado por los residentes de México que visitan otros países. En este sentido, es posible saber que, dentro del consumo turístico interior, el consumo receptivo aportó un 17.9%, mientras que el consumo interno, contribuyó en un 82.1 por ciento.</w:t>
      </w:r>
    </w:p>
    <w:p w14:paraId="5C5B343E" w14:textId="31F00B49" w:rsidR="00DC35FA" w:rsidRPr="00AB4098" w:rsidRDefault="00DC35FA" w:rsidP="002B6082">
      <w:pPr>
        <w:ind w:left="-567"/>
        <w:rPr>
          <w:color w:val="000000" w:themeColor="text1"/>
          <w:sz w:val="22"/>
          <w:szCs w:val="22"/>
        </w:rPr>
      </w:pPr>
    </w:p>
    <w:p w14:paraId="64FF320F" w14:textId="4DD8F48A" w:rsidR="00DC35FA" w:rsidRPr="00AB4098" w:rsidRDefault="002B6082" w:rsidP="002B6082">
      <w:pPr>
        <w:ind w:left="-567"/>
        <w:jc w:val="left"/>
        <w:rPr>
          <w:b/>
          <w:bCs/>
          <w:color w:val="000000" w:themeColor="text1"/>
          <w:sz w:val="22"/>
          <w:szCs w:val="22"/>
        </w:rPr>
      </w:pPr>
      <w:r w:rsidRPr="00AB4098">
        <w:rPr>
          <w:b/>
          <w:bCs/>
          <w:color w:val="000000" w:themeColor="text1"/>
          <w:sz w:val="22"/>
          <w:szCs w:val="22"/>
        </w:rPr>
        <w:t>PUESTOS DE TRABAJO EN EL TURISMO</w:t>
      </w:r>
    </w:p>
    <w:p w14:paraId="2D305473" w14:textId="77777777" w:rsidR="00DC35FA" w:rsidRPr="00AB4098" w:rsidRDefault="00DC35FA" w:rsidP="002B6082">
      <w:pPr>
        <w:ind w:left="-567"/>
        <w:rPr>
          <w:b/>
          <w:color w:val="000000" w:themeColor="text1"/>
          <w:sz w:val="14"/>
          <w:szCs w:val="14"/>
          <w:lang w:val="es-MX"/>
        </w:rPr>
      </w:pPr>
    </w:p>
    <w:p w14:paraId="322481F1" w14:textId="03380BDD" w:rsidR="00DC35FA" w:rsidRPr="00AB4098" w:rsidRDefault="00DC35FA" w:rsidP="002B6082">
      <w:pPr>
        <w:ind w:left="-567"/>
        <w:rPr>
          <w:color w:val="000000" w:themeColor="text1"/>
          <w:sz w:val="22"/>
          <w:szCs w:val="22"/>
        </w:rPr>
      </w:pPr>
      <w:r w:rsidRPr="00AB4098">
        <w:rPr>
          <w:color w:val="000000" w:themeColor="text1"/>
          <w:sz w:val="22"/>
          <w:szCs w:val="22"/>
        </w:rPr>
        <w:t>Los Puestos de Trabajo Ocupados Remunerados (PTOR)</w:t>
      </w:r>
      <w:r w:rsidRPr="00AB4098">
        <w:rPr>
          <w:color w:val="000000" w:themeColor="text1"/>
          <w:sz w:val="22"/>
          <w:szCs w:val="22"/>
          <w:vertAlign w:val="superscript"/>
        </w:rPr>
        <w:footnoteReference w:id="2"/>
      </w:r>
      <w:r w:rsidRPr="00AB4098">
        <w:rPr>
          <w:color w:val="000000" w:themeColor="text1"/>
          <w:sz w:val="22"/>
          <w:szCs w:val="22"/>
        </w:rPr>
        <w:t xml:space="preserve"> representan el insumo laboral requerido para llevar a cabo la producción de bienes y servicios turísticos y fue</w:t>
      </w:r>
      <w:r w:rsidR="004D65E6">
        <w:rPr>
          <w:color w:val="000000" w:themeColor="text1"/>
          <w:sz w:val="22"/>
          <w:szCs w:val="22"/>
        </w:rPr>
        <w:t>ron</w:t>
      </w:r>
      <w:r w:rsidRPr="00AB4098">
        <w:rPr>
          <w:color w:val="000000" w:themeColor="text1"/>
          <w:sz w:val="22"/>
          <w:szCs w:val="22"/>
        </w:rPr>
        <w:t xml:space="preserve"> de alrededor de 2.3 millones en 2019</w:t>
      </w:r>
      <w:r w:rsidR="00662A64">
        <w:rPr>
          <w:color w:val="000000" w:themeColor="text1"/>
          <w:sz w:val="22"/>
          <w:szCs w:val="22"/>
        </w:rPr>
        <w:t>, equivalentes al</w:t>
      </w:r>
      <w:r w:rsidRPr="00AB4098">
        <w:rPr>
          <w:color w:val="000000" w:themeColor="text1"/>
          <w:sz w:val="22"/>
          <w:szCs w:val="22"/>
        </w:rPr>
        <w:t xml:space="preserve"> 5.8% del total de la economía del país. </w:t>
      </w:r>
    </w:p>
    <w:p w14:paraId="60EDC469" w14:textId="77777777" w:rsidR="00DC35FA" w:rsidRPr="00AB4098" w:rsidRDefault="00DC35FA" w:rsidP="002B6082">
      <w:pPr>
        <w:ind w:left="-567"/>
        <w:rPr>
          <w:color w:val="000000" w:themeColor="text1"/>
          <w:sz w:val="22"/>
          <w:szCs w:val="22"/>
        </w:rPr>
      </w:pPr>
    </w:p>
    <w:p w14:paraId="31A7A636" w14:textId="7E085B15" w:rsidR="00DC35FA" w:rsidRPr="00AB4098" w:rsidRDefault="00DC35FA" w:rsidP="002B6082">
      <w:pPr>
        <w:ind w:left="-567"/>
        <w:rPr>
          <w:b/>
          <w:bCs/>
          <w:color w:val="000000" w:themeColor="text1"/>
          <w:sz w:val="22"/>
          <w:szCs w:val="22"/>
        </w:rPr>
      </w:pPr>
      <w:r w:rsidRPr="00AB4098">
        <w:rPr>
          <w:b/>
          <w:bCs/>
          <w:color w:val="000000" w:themeColor="text1"/>
          <w:sz w:val="22"/>
          <w:szCs w:val="22"/>
        </w:rPr>
        <w:t xml:space="preserve">INDICADORES TRIMESTRALES </w:t>
      </w:r>
    </w:p>
    <w:p w14:paraId="07A03725" w14:textId="77777777" w:rsidR="00DC35FA" w:rsidRPr="00AB4098" w:rsidRDefault="00DC35FA" w:rsidP="002B6082">
      <w:pPr>
        <w:ind w:left="-567"/>
        <w:rPr>
          <w:color w:val="000000" w:themeColor="text1"/>
          <w:sz w:val="14"/>
          <w:szCs w:val="14"/>
        </w:rPr>
      </w:pPr>
    </w:p>
    <w:p w14:paraId="28702B88" w14:textId="03240A6E" w:rsidR="00DC35FA" w:rsidRPr="00AB4098" w:rsidRDefault="00DC35FA" w:rsidP="002B6082">
      <w:pPr>
        <w:ind w:left="-567"/>
        <w:rPr>
          <w:color w:val="000000" w:themeColor="text1"/>
          <w:sz w:val="22"/>
          <w:szCs w:val="22"/>
        </w:rPr>
      </w:pPr>
      <w:r w:rsidRPr="00AB4098">
        <w:rPr>
          <w:color w:val="000000" w:themeColor="text1"/>
          <w:sz w:val="22"/>
          <w:szCs w:val="22"/>
        </w:rPr>
        <w:t>Para un seguimiento más oportuno d</w:t>
      </w:r>
      <w:r w:rsidR="004D65E6">
        <w:rPr>
          <w:color w:val="000000" w:themeColor="text1"/>
          <w:sz w:val="22"/>
          <w:szCs w:val="22"/>
        </w:rPr>
        <w:t>e la actividad turística</w:t>
      </w:r>
      <w:r w:rsidRPr="00AB4098">
        <w:rPr>
          <w:color w:val="000000" w:themeColor="text1"/>
          <w:sz w:val="22"/>
          <w:szCs w:val="22"/>
        </w:rPr>
        <w:t xml:space="preserve">, el INEGI difunde los Indicadores Trimestrales de la Actividad Turística (ITAT), indicadores de corto plazo que cuentan con los mismos principios y normas contables del cálculo anual de la CSTM y que permiten seguir la evolución y desarrollo de la situación actual del sector turismo. </w:t>
      </w:r>
    </w:p>
    <w:p w14:paraId="7242D6DF" w14:textId="77777777" w:rsidR="00DC35FA" w:rsidRPr="00AB4098" w:rsidRDefault="00DC35FA" w:rsidP="002B6082">
      <w:pPr>
        <w:ind w:left="-567"/>
        <w:rPr>
          <w:color w:val="000000" w:themeColor="text1"/>
          <w:sz w:val="22"/>
          <w:szCs w:val="22"/>
        </w:rPr>
      </w:pPr>
    </w:p>
    <w:p w14:paraId="093A1A62" w14:textId="76966B65" w:rsidR="00DC35FA" w:rsidRPr="00AB4098" w:rsidRDefault="00DC35FA" w:rsidP="002B6082">
      <w:pPr>
        <w:ind w:left="-567"/>
        <w:rPr>
          <w:color w:val="000000" w:themeColor="text1"/>
          <w:sz w:val="22"/>
          <w:szCs w:val="22"/>
        </w:rPr>
      </w:pPr>
      <w:r w:rsidRPr="00AB4098">
        <w:rPr>
          <w:color w:val="000000" w:themeColor="text1"/>
          <w:sz w:val="22"/>
          <w:szCs w:val="22"/>
        </w:rPr>
        <w:t>En el primer trimestre de 2021, en cifras originales, se observó un de</w:t>
      </w:r>
      <w:r w:rsidR="004D65E6">
        <w:rPr>
          <w:color w:val="000000" w:themeColor="text1"/>
          <w:sz w:val="22"/>
          <w:szCs w:val="22"/>
        </w:rPr>
        <w:t>scenso</w:t>
      </w:r>
      <w:r w:rsidRPr="00AB4098">
        <w:rPr>
          <w:color w:val="000000" w:themeColor="text1"/>
          <w:sz w:val="22"/>
          <w:szCs w:val="22"/>
        </w:rPr>
        <w:t xml:space="preserve"> del PIB turístico en el orden </w:t>
      </w:r>
      <w:r w:rsidRPr="001F207E">
        <w:rPr>
          <w:color w:val="000000" w:themeColor="text1"/>
          <w:sz w:val="22"/>
          <w:szCs w:val="22"/>
        </w:rPr>
        <w:t xml:space="preserve">de </w:t>
      </w:r>
      <w:r w:rsidRPr="001F207E">
        <w:rPr>
          <w:bCs/>
          <w:color w:val="000000" w:themeColor="text1"/>
          <w:sz w:val="22"/>
          <w:szCs w:val="22"/>
        </w:rPr>
        <w:t>23.3%</w:t>
      </w:r>
      <w:r w:rsidRPr="001F207E">
        <w:rPr>
          <w:color w:val="000000" w:themeColor="text1"/>
          <w:sz w:val="22"/>
          <w:szCs w:val="22"/>
        </w:rPr>
        <w:t xml:space="preserve"> </w:t>
      </w:r>
      <w:r w:rsidRPr="00AB4098">
        <w:rPr>
          <w:color w:val="000000" w:themeColor="text1"/>
          <w:sz w:val="22"/>
          <w:szCs w:val="22"/>
        </w:rPr>
        <w:t xml:space="preserve">respecto al mismo trimestre del año anterior. Mientras que el consumo turístico interior registró un decrecimiento </w:t>
      </w:r>
      <w:r w:rsidRPr="001F207E">
        <w:rPr>
          <w:color w:val="000000" w:themeColor="text1"/>
          <w:sz w:val="22"/>
          <w:szCs w:val="22"/>
        </w:rPr>
        <w:t xml:space="preserve">de </w:t>
      </w:r>
      <w:r w:rsidRPr="001F207E">
        <w:rPr>
          <w:bCs/>
          <w:color w:val="000000" w:themeColor="text1"/>
          <w:sz w:val="22"/>
          <w:szCs w:val="22"/>
        </w:rPr>
        <w:t>23.1%</w:t>
      </w:r>
      <w:r w:rsidR="001F207E">
        <w:rPr>
          <w:bCs/>
          <w:color w:val="000000" w:themeColor="text1"/>
          <w:sz w:val="22"/>
          <w:szCs w:val="22"/>
        </w:rPr>
        <w:t xml:space="preserve"> </w:t>
      </w:r>
      <w:r w:rsidRPr="00AB4098">
        <w:rPr>
          <w:color w:val="000000" w:themeColor="text1"/>
          <w:sz w:val="22"/>
          <w:szCs w:val="22"/>
        </w:rPr>
        <w:t>respecto al mismo trimestre del año 2020.</w:t>
      </w:r>
    </w:p>
    <w:p w14:paraId="1512CE56" w14:textId="77777777" w:rsidR="00DC35FA" w:rsidRPr="00640F4E" w:rsidRDefault="00DC35FA" w:rsidP="002B6082">
      <w:pPr>
        <w:ind w:left="-567"/>
        <w:rPr>
          <w:color w:val="548DD4" w:themeColor="text2" w:themeTint="99"/>
        </w:rPr>
      </w:pPr>
    </w:p>
    <w:p w14:paraId="0D827D95" w14:textId="77777777" w:rsidR="00DC35FA" w:rsidRPr="00640F4E" w:rsidRDefault="00DC35FA" w:rsidP="00DC35FA">
      <w:pPr>
        <w:ind w:left="-567"/>
        <w:jc w:val="center"/>
        <w:rPr>
          <w:color w:val="548DD4" w:themeColor="text2" w:themeTint="99"/>
          <w:sz w:val="22"/>
          <w:szCs w:val="22"/>
        </w:rPr>
      </w:pPr>
      <w:r w:rsidRPr="00640F4E">
        <w:rPr>
          <w:noProof/>
          <w:color w:val="548DD4" w:themeColor="text2" w:themeTint="99"/>
          <w:lang w:val="es-MX" w:eastAsia="es-MX"/>
        </w:rPr>
        <mc:AlternateContent>
          <mc:Choice Requires="wps">
            <w:drawing>
              <wp:anchor distT="0" distB="0" distL="114300" distR="114300" simplePos="0" relativeHeight="251659264" behindDoc="0" locked="0" layoutInCell="1" allowOverlap="1" wp14:anchorId="5CAAD2BE" wp14:editId="206398D2">
                <wp:simplePos x="0" y="0"/>
                <wp:positionH relativeFrom="column">
                  <wp:posOffset>334949</wp:posOffset>
                </wp:positionH>
                <wp:positionV relativeFrom="paragraph">
                  <wp:posOffset>1041400</wp:posOffset>
                </wp:positionV>
                <wp:extent cx="5184000" cy="0"/>
                <wp:effectExtent l="0" t="0" r="0" b="0"/>
                <wp:wrapNone/>
                <wp:docPr id="12" name="Conector recto 12"/>
                <wp:cNvGraphicFramePr/>
                <a:graphic xmlns:a="http://schemas.openxmlformats.org/drawingml/2006/main">
                  <a:graphicData uri="http://schemas.microsoft.com/office/word/2010/wordprocessingShape">
                    <wps:wsp>
                      <wps:cNvCnPr/>
                      <wps:spPr>
                        <a:xfrm flipH="1">
                          <a:off x="0" y="0"/>
                          <a:ext cx="5184000"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3B2C836" id="Conector recto 1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5pt,82pt" to="434.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" strokecolor="red"/>
            </w:pict>
          </mc:Fallback>
        </mc:AlternateContent>
      </w:r>
      <w:r w:rsidRPr="00640F4E">
        <w:rPr>
          <w:noProof/>
          <w:color w:val="548DD4" w:themeColor="text2" w:themeTint="99"/>
          <w:lang w:val="es-MX" w:eastAsia="es-MX"/>
        </w:rPr>
        <w:drawing>
          <wp:inline distT="0" distB="0" distL="0" distR="0" wp14:anchorId="27EA62F1" wp14:editId="65E2894C">
            <wp:extent cx="5821045" cy="3167823"/>
            <wp:effectExtent l="19050" t="19050" r="27305" b="3302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09B482" w14:textId="77777777" w:rsidR="002B6082" w:rsidRDefault="002B6082" w:rsidP="002B6082">
      <w:pPr>
        <w:spacing w:line="276" w:lineRule="auto"/>
        <w:ind w:firstLine="2127"/>
        <w:rPr>
          <w:noProof/>
        </w:rPr>
      </w:pPr>
    </w:p>
    <w:p w14:paraId="2F0CB8AC" w14:textId="7259D33D" w:rsidR="006B1120" w:rsidRPr="001535F4" w:rsidRDefault="006B1120" w:rsidP="002B6082">
      <w:pPr>
        <w:spacing w:line="276" w:lineRule="auto"/>
        <w:ind w:firstLine="2127"/>
        <w:rPr>
          <w:rStyle w:val="Hipervnculo"/>
          <w:color w:val="auto"/>
          <w:u w:val="none"/>
          <w:lang w:val="es-MX"/>
        </w:rPr>
      </w:pPr>
      <w:r w:rsidRPr="00432BA7">
        <w:rPr>
          <w:noProof/>
          <w:lang w:val="es-MX" w:eastAsia="es-MX"/>
        </w:rPr>
        <w:drawing>
          <wp:inline distT="0" distB="0" distL="0" distR="0" wp14:anchorId="0218F807" wp14:editId="42FC794C">
            <wp:extent cx="248163" cy="251238"/>
            <wp:effectExtent l="0" t="0" r="0" b="0"/>
            <wp:docPr id="2" name="Imagen 2"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283" cy="263508"/>
                    </a:xfrm>
                    <a:prstGeom prst="rect">
                      <a:avLst/>
                    </a:prstGeom>
                    <a:noFill/>
                    <a:ln>
                      <a:noFill/>
                    </a:ln>
                  </pic:spPr>
                </pic:pic>
              </a:graphicData>
            </a:graphic>
          </wp:inline>
        </w:drawing>
      </w:r>
      <w:r>
        <w:rPr>
          <w:noProof/>
        </w:rPr>
        <w:t xml:space="preserve"> </w:t>
      </w:r>
      <w:r w:rsidRPr="00432BA7">
        <w:rPr>
          <w:noProof/>
          <w:lang w:val="es-MX" w:eastAsia="es-MX"/>
        </w:rPr>
        <w:drawing>
          <wp:inline distT="0" distB="0" distL="0" distR="0" wp14:anchorId="1408C2F9" wp14:editId="292BAB20">
            <wp:extent cx="258685" cy="256919"/>
            <wp:effectExtent l="0" t="0" r="8255" b="0"/>
            <wp:docPr id="31" name="Imagen 31"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886" cy="358423"/>
                    </a:xfrm>
                    <a:prstGeom prst="rect">
                      <a:avLst/>
                    </a:prstGeom>
                    <a:noFill/>
                    <a:ln>
                      <a:noFill/>
                    </a:ln>
                  </pic:spPr>
                </pic:pic>
              </a:graphicData>
            </a:graphic>
          </wp:inline>
        </w:drawing>
      </w:r>
      <w:r>
        <w:rPr>
          <w:noProof/>
        </w:rPr>
        <w:t xml:space="preserve"> </w:t>
      </w:r>
      <w:r w:rsidRPr="00432BA7">
        <w:rPr>
          <w:noProof/>
          <w:lang w:val="es-MX" w:eastAsia="es-MX"/>
        </w:rPr>
        <w:drawing>
          <wp:inline distT="0" distB="0" distL="0" distR="0" wp14:anchorId="57781C0C" wp14:editId="42019F2B">
            <wp:extent cx="249167" cy="251352"/>
            <wp:effectExtent l="0" t="0" r="0"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746" cy="280181"/>
                    </a:xfrm>
                    <a:prstGeom prst="rect">
                      <a:avLst/>
                    </a:prstGeom>
                    <a:noFill/>
                    <a:ln>
                      <a:noFill/>
                    </a:ln>
                  </pic:spPr>
                </pic:pic>
              </a:graphicData>
            </a:graphic>
          </wp:inline>
        </w:drawing>
      </w:r>
      <w:r>
        <w:rPr>
          <w:noProof/>
        </w:rPr>
        <w:t xml:space="preserve"> </w:t>
      </w:r>
      <w:r w:rsidRPr="00432BA7">
        <w:rPr>
          <w:noProof/>
          <w:lang w:val="es-MX" w:eastAsia="es-MX"/>
        </w:rPr>
        <w:drawing>
          <wp:inline distT="0" distB="0" distL="0" distR="0" wp14:anchorId="5E434F50" wp14:editId="7C116D8C">
            <wp:extent cx="238748" cy="242684"/>
            <wp:effectExtent l="0" t="0" r="9525" b="5080"/>
            <wp:docPr id="32" name="Imagen 3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613" cy="289305"/>
                    </a:xfrm>
                    <a:prstGeom prst="rect">
                      <a:avLst/>
                    </a:prstGeom>
                    <a:noFill/>
                    <a:ln>
                      <a:noFill/>
                    </a:ln>
                  </pic:spPr>
                </pic:pic>
              </a:graphicData>
            </a:graphic>
          </wp:inline>
        </w:drawing>
      </w:r>
      <w:r>
        <w:rPr>
          <w:noProof/>
        </w:rPr>
        <w:t xml:space="preserve">  </w:t>
      </w:r>
      <w:r w:rsidRPr="00432BA7">
        <w:rPr>
          <w:noProof/>
          <w:sz w:val="14"/>
          <w:lang w:val="es-MX" w:eastAsia="es-MX"/>
        </w:rPr>
        <w:drawing>
          <wp:inline distT="0" distB="0" distL="0" distR="0" wp14:anchorId="4A589B3E" wp14:editId="5EB0EBB6">
            <wp:extent cx="1800225" cy="247752"/>
            <wp:effectExtent l="0" t="0" r="0" b="0"/>
            <wp:docPr id="14" name="Imagen 14"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cono&#10;&#10;Descripción generada automáticamente">
                      <a:hlinkClick r:id="rId15"/>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7290" cy="292764"/>
                    </a:xfrm>
                    <a:prstGeom prst="rect">
                      <a:avLst/>
                    </a:prstGeom>
                    <a:noFill/>
                    <a:ln>
                      <a:noFill/>
                    </a:ln>
                  </pic:spPr>
                </pic:pic>
              </a:graphicData>
            </a:graphic>
          </wp:inline>
        </w:drawing>
      </w:r>
    </w:p>
    <w:sectPr w:rsidR="006B1120" w:rsidRPr="001535F4" w:rsidSect="000923AB">
      <w:headerReference w:type="default" r:id="rId21"/>
      <w:footerReference w:type="default" r:id="rId22"/>
      <w:pgSz w:w="12240" w:h="15840"/>
      <w:pgMar w:top="1997" w:right="1183" w:bottom="851" w:left="1701" w:header="567"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5507" w14:textId="77777777" w:rsidR="00357AB3" w:rsidRDefault="00357AB3" w:rsidP="007562E1">
      <w:r>
        <w:separator/>
      </w:r>
    </w:p>
  </w:endnote>
  <w:endnote w:type="continuationSeparator" w:id="0">
    <w:p w14:paraId="73117E73" w14:textId="77777777" w:rsidR="00357AB3" w:rsidRDefault="00357AB3" w:rsidP="0075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49AD" w14:textId="77777777" w:rsidR="00F80FAC" w:rsidRPr="009D7477" w:rsidRDefault="00F80FAC" w:rsidP="0009164C">
    <w:pPr>
      <w:pStyle w:val="Piedepgina"/>
      <w:contextualSpacing/>
      <w:jc w:val="center"/>
      <w:rPr>
        <w:b/>
        <w:color w:val="002060"/>
        <w:sz w:val="12"/>
        <w:szCs w:val="22"/>
      </w:rPr>
    </w:pPr>
  </w:p>
  <w:p w14:paraId="2AB07234" w14:textId="77777777" w:rsidR="00F80FAC" w:rsidRPr="0093050B" w:rsidRDefault="00F80FAC" w:rsidP="00566932">
    <w:pPr>
      <w:pStyle w:val="Piedepgina"/>
      <w:ind w:left="-567"/>
      <w:contextualSpacing/>
      <w:jc w:val="center"/>
      <w:rPr>
        <w:color w:val="002060"/>
      </w:rPr>
    </w:pPr>
    <w:r w:rsidRPr="0093050B">
      <w:rPr>
        <w:b/>
        <w:color w:val="002060"/>
      </w:rPr>
      <w:t>COMUNICACIÓN SOCIAL</w:t>
    </w:r>
  </w:p>
  <w:p w14:paraId="4E19EE36" w14:textId="77777777" w:rsidR="00F80FAC" w:rsidRPr="009D7477" w:rsidRDefault="00F80FAC" w:rsidP="0009164C">
    <w:pPr>
      <w:pStyle w:val="Piedepgina"/>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4506" w14:textId="77777777" w:rsidR="00357AB3" w:rsidRDefault="00357AB3" w:rsidP="007562E1">
      <w:r>
        <w:separator/>
      </w:r>
    </w:p>
  </w:footnote>
  <w:footnote w:type="continuationSeparator" w:id="0">
    <w:p w14:paraId="7F655E7D" w14:textId="77777777" w:rsidR="00357AB3" w:rsidRDefault="00357AB3" w:rsidP="007562E1">
      <w:r>
        <w:continuationSeparator/>
      </w:r>
    </w:p>
  </w:footnote>
  <w:footnote w:id="1">
    <w:p w14:paraId="5BF871DD" w14:textId="77777777" w:rsidR="00D12AAE" w:rsidRPr="00F82349" w:rsidRDefault="00D12AAE" w:rsidP="00D12AAE">
      <w:pPr>
        <w:pStyle w:val="Textonotapie"/>
        <w:ind w:left="-426" w:hanging="141"/>
        <w:rPr>
          <w:sz w:val="16"/>
          <w:szCs w:val="16"/>
          <w:lang w:val="es-MX"/>
        </w:rPr>
      </w:pPr>
      <w:r w:rsidRPr="00505D98">
        <w:rPr>
          <w:rStyle w:val="Refdenotaalpie"/>
          <w:sz w:val="18"/>
          <w:szCs w:val="16"/>
        </w:rPr>
        <w:footnoteRef/>
      </w:r>
      <w:r w:rsidRPr="00505D98">
        <w:rPr>
          <w:sz w:val="18"/>
          <w:szCs w:val="16"/>
        </w:rPr>
        <w:t xml:space="preserve"> </w:t>
      </w:r>
      <w:r w:rsidRPr="00620574">
        <w:rPr>
          <w:sz w:val="16"/>
          <w:szCs w:val="16"/>
          <w:lang w:val="es-MX"/>
        </w:rPr>
        <w:t xml:space="preserve">INEGI. Sistema </w:t>
      </w:r>
      <w:r>
        <w:rPr>
          <w:sz w:val="16"/>
          <w:szCs w:val="16"/>
          <w:lang w:val="es-MX"/>
        </w:rPr>
        <w:t>de Cuentas Nacionales de México</w:t>
      </w:r>
      <w:r w:rsidRPr="00620574">
        <w:rPr>
          <w:sz w:val="16"/>
          <w:szCs w:val="16"/>
          <w:lang w:val="es-MX"/>
        </w:rPr>
        <w:t xml:space="preserve">. Cuenta </w:t>
      </w:r>
      <w:r>
        <w:rPr>
          <w:sz w:val="16"/>
          <w:szCs w:val="16"/>
          <w:lang w:val="es-MX"/>
        </w:rPr>
        <w:t>S</w:t>
      </w:r>
      <w:r w:rsidRPr="00620574">
        <w:rPr>
          <w:sz w:val="16"/>
          <w:szCs w:val="16"/>
          <w:lang w:val="es-MX"/>
        </w:rPr>
        <w:t xml:space="preserve">atélite del </w:t>
      </w:r>
      <w:r>
        <w:rPr>
          <w:sz w:val="16"/>
          <w:szCs w:val="16"/>
          <w:lang w:val="es-MX"/>
        </w:rPr>
        <w:t>T</w:t>
      </w:r>
      <w:r w:rsidRPr="00620574">
        <w:rPr>
          <w:sz w:val="16"/>
          <w:szCs w:val="16"/>
          <w:lang w:val="es-MX"/>
        </w:rPr>
        <w:t>urismo de México</w:t>
      </w:r>
      <w:r>
        <w:rPr>
          <w:sz w:val="16"/>
          <w:szCs w:val="16"/>
          <w:lang w:val="es-MX"/>
        </w:rPr>
        <w:t xml:space="preserve">, </w:t>
      </w:r>
      <w:r w:rsidRPr="00620574">
        <w:rPr>
          <w:sz w:val="16"/>
          <w:szCs w:val="16"/>
          <w:lang w:val="es-MX"/>
        </w:rPr>
        <w:t>201</w:t>
      </w:r>
      <w:r>
        <w:rPr>
          <w:sz w:val="16"/>
          <w:szCs w:val="16"/>
          <w:lang w:val="es-MX"/>
        </w:rPr>
        <w:t>9</w:t>
      </w:r>
      <w:r w:rsidRPr="00620574">
        <w:rPr>
          <w:sz w:val="16"/>
          <w:szCs w:val="16"/>
          <w:lang w:val="es-MX"/>
        </w:rPr>
        <w:t xml:space="preserve">. </w:t>
      </w:r>
      <w:r w:rsidRPr="008E2E16">
        <w:rPr>
          <w:sz w:val="16"/>
          <w:szCs w:val="16"/>
          <w:lang w:val="es-MX"/>
        </w:rPr>
        <w:t xml:space="preserve">Preliminar. Año base 2013. </w:t>
      </w:r>
      <w:r w:rsidRPr="008E2E16">
        <w:rPr>
          <w:sz w:val="16"/>
          <w:szCs w:val="16"/>
        </w:rPr>
        <w:t>Aguascalientes, México 20</w:t>
      </w:r>
      <w:r>
        <w:rPr>
          <w:sz w:val="16"/>
          <w:szCs w:val="16"/>
        </w:rPr>
        <w:t>20</w:t>
      </w:r>
      <w:r w:rsidRPr="008E2E16">
        <w:rPr>
          <w:sz w:val="16"/>
          <w:szCs w:val="16"/>
          <w:lang w:val="es-MX"/>
        </w:rPr>
        <w:t>.</w:t>
      </w:r>
    </w:p>
  </w:footnote>
  <w:footnote w:id="2">
    <w:p w14:paraId="3D99BCF0" w14:textId="77777777" w:rsidR="00DC35FA" w:rsidRPr="00141CB0" w:rsidRDefault="00DC35FA" w:rsidP="00DC35FA">
      <w:pPr>
        <w:pStyle w:val="Textonotapie"/>
        <w:ind w:left="-567"/>
        <w:rPr>
          <w:sz w:val="16"/>
          <w:szCs w:val="16"/>
          <w:lang w:val="es-MX"/>
        </w:rPr>
      </w:pPr>
      <w:r w:rsidRPr="00505D98">
        <w:rPr>
          <w:rStyle w:val="Refdenotaalpie"/>
          <w:sz w:val="18"/>
          <w:szCs w:val="16"/>
        </w:rPr>
        <w:footnoteRef/>
      </w:r>
      <w:r w:rsidRPr="007B64A1">
        <w:rPr>
          <w:sz w:val="16"/>
          <w:szCs w:val="16"/>
        </w:rPr>
        <w:t xml:space="preserve"> </w:t>
      </w:r>
      <w:r>
        <w:rPr>
          <w:sz w:val="16"/>
          <w:szCs w:val="16"/>
        </w:rPr>
        <w:t>Es el número promedio de ocupaciones remuneradas, requeridas o equivalentes para producir bienes y servicios turísticos</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713F" w14:textId="50D010E0" w:rsidR="0042409C" w:rsidRPr="00FE1C98" w:rsidRDefault="0042409C" w:rsidP="001F207E">
    <w:pPr>
      <w:pStyle w:val="Encabezado"/>
      <w:tabs>
        <w:tab w:val="clear" w:pos="4419"/>
        <w:tab w:val="clear" w:pos="8838"/>
      </w:tabs>
      <w:ind w:left="-567"/>
      <w:jc w:val="right"/>
      <w:rPr>
        <w:b/>
        <w:color w:val="002060"/>
        <w:sz w:val="26"/>
        <w:lang w:val="pt-BR"/>
      </w:rPr>
    </w:pPr>
    <w:r>
      <w:rPr>
        <w:noProof/>
        <w:lang w:val="es-MX" w:eastAsia="es-MX"/>
      </w:rPr>
      <w:drawing>
        <wp:anchor distT="0" distB="0" distL="114300" distR="114300" simplePos="0" relativeHeight="251659264" behindDoc="0" locked="0" layoutInCell="1" allowOverlap="1" wp14:anchorId="4E48A877" wp14:editId="5473AD7A">
          <wp:simplePos x="0" y="0"/>
          <wp:positionH relativeFrom="margin">
            <wp:posOffset>-323850</wp:posOffset>
          </wp:positionH>
          <wp:positionV relativeFrom="margin">
            <wp:posOffset>-847725</wp:posOffset>
          </wp:positionV>
          <wp:extent cx="695325" cy="721995"/>
          <wp:effectExtent l="0" t="0" r="9525"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sz w:val="24"/>
      </w:rPr>
      <w:t xml:space="preserve"> </w:t>
    </w:r>
    <w:r>
      <w:rPr>
        <w:b/>
        <w:color w:val="002060"/>
        <w:sz w:val="24"/>
      </w:rPr>
      <w:t>C</w:t>
    </w:r>
    <w:r w:rsidRPr="00FE1C98">
      <w:rPr>
        <w:b/>
        <w:color w:val="002060"/>
        <w:sz w:val="24"/>
      </w:rPr>
      <w:t>OMUNICADO DE PRENSA NÚM.</w:t>
    </w:r>
    <w:r>
      <w:rPr>
        <w:b/>
        <w:color w:val="002060"/>
        <w:sz w:val="24"/>
      </w:rPr>
      <w:t xml:space="preserve"> </w:t>
    </w:r>
    <w:r w:rsidR="00217A4E">
      <w:rPr>
        <w:b/>
        <w:color w:val="002060"/>
        <w:sz w:val="24"/>
      </w:rPr>
      <w:t>539</w:t>
    </w:r>
    <w:r>
      <w:rPr>
        <w:b/>
        <w:color w:val="002060"/>
        <w:sz w:val="24"/>
      </w:rPr>
      <w:t>/21</w:t>
    </w:r>
  </w:p>
  <w:p w14:paraId="0DDA3B42" w14:textId="243DD680" w:rsidR="0042409C" w:rsidRPr="00FE1C98" w:rsidRDefault="0042409C" w:rsidP="001F207E">
    <w:pPr>
      <w:pStyle w:val="Encabezado"/>
      <w:tabs>
        <w:tab w:val="clear" w:pos="4419"/>
        <w:tab w:val="clear" w:pos="8838"/>
      </w:tabs>
      <w:ind w:left="-567"/>
      <w:jc w:val="right"/>
      <w:rPr>
        <w:b/>
        <w:color w:val="002060"/>
        <w:sz w:val="26"/>
        <w:lang w:val="pt-BR"/>
      </w:rPr>
    </w:pPr>
    <w:r>
      <w:rPr>
        <w:b/>
        <w:color w:val="002060"/>
        <w:sz w:val="24"/>
        <w:lang w:val="pt-BR"/>
      </w:rPr>
      <w:t>2</w:t>
    </w:r>
    <w:r w:rsidR="001F207E">
      <w:rPr>
        <w:b/>
        <w:color w:val="002060"/>
        <w:sz w:val="24"/>
        <w:lang w:val="pt-BR"/>
      </w:rPr>
      <w:t>4</w:t>
    </w:r>
    <w:r>
      <w:rPr>
        <w:b/>
        <w:color w:val="002060"/>
        <w:sz w:val="24"/>
        <w:lang w:val="pt-BR"/>
      </w:rPr>
      <w:t xml:space="preserve"> DE SEPTIEMBRE DE 2021</w:t>
    </w:r>
  </w:p>
  <w:p w14:paraId="081FFD64" w14:textId="56E47E59" w:rsidR="0042409C" w:rsidRPr="00FE1C98" w:rsidRDefault="0042409C" w:rsidP="001F207E">
    <w:pPr>
      <w:pStyle w:val="Encabezado"/>
      <w:tabs>
        <w:tab w:val="clear" w:pos="4419"/>
        <w:tab w:val="clear" w:pos="8838"/>
      </w:tabs>
      <w:ind w:left="-567"/>
      <w:jc w:val="right"/>
      <w:rPr>
        <w:b/>
        <w:color w:val="002060"/>
        <w:sz w:val="24"/>
      </w:rPr>
    </w:pPr>
    <w:r w:rsidRPr="00FE1C98">
      <w:rPr>
        <w:b/>
        <w:color w:val="002060"/>
        <w:sz w:val="24"/>
      </w:rPr>
      <w:t xml:space="preserve">PÁGINA </w:t>
    </w:r>
    <w:r w:rsidRPr="00FE1C98">
      <w:rPr>
        <w:b/>
        <w:color w:val="002060"/>
        <w:sz w:val="24"/>
      </w:rPr>
      <w:fldChar w:fldCharType="begin"/>
    </w:r>
    <w:r w:rsidRPr="00FE1C98">
      <w:rPr>
        <w:b/>
        <w:color w:val="002060"/>
        <w:sz w:val="24"/>
      </w:rPr>
      <w:instrText xml:space="preserve"> PAGE  \* Arabic </w:instrText>
    </w:r>
    <w:r w:rsidRPr="00FE1C98">
      <w:rPr>
        <w:b/>
        <w:color w:val="002060"/>
        <w:sz w:val="24"/>
      </w:rPr>
      <w:fldChar w:fldCharType="separate"/>
    </w:r>
    <w:r w:rsidR="003E0EB3">
      <w:rPr>
        <w:b/>
        <w:noProof/>
        <w:color w:val="002060"/>
        <w:sz w:val="24"/>
      </w:rPr>
      <w:t>7</w:t>
    </w:r>
    <w:r w:rsidRPr="00FE1C98">
      <w:rPr>
        <w:b/>
        <w:color w:val="002060"/>
        <w:sz w:val="24"/>
      </w:rPr>
      <w:fldChar w:fldCharType="end"/>
    </w:r>
    <w:r w:rsidRPr="00FE1C98">
      <w:rPr>
        <w:b/>
        <w:color w:val="002060"/>
        <w:sz w:val="24"/>
      </w:rPr>
      <w:t>/</w:t>
    </w:r>
    <w:r w:rsidR="00662A64">
      <w:rPr>
        <w:b/>
        <w:color w:val="002060"/>
        <w:sz w:val="24"/>
      </w:rPr>
      <w:t>5</w:t>
    </w:r>
  </w:p>
  <w:p w14:paraId="75B90D1C" w14:textId="6E59B09D" w:rsidR="00F80FAC" w:rsidRDefault="00F80FAC" w:rsidP="003215B0">
    <w:pPr>
      <w:pStyle w:val="Encabezado"/>
      <w:ind w:left="567" w:hanging="1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918BB"/>
    <w:multiLevelType w:val="hybridMultilevel"/>
    <w:tmpl w:val="6032B7E2"/>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15:restartNumberingAfterBreak="0">
    <w:nsid w:val="44EF57CD"/>
    <w:multiLevelType w:val="hybridMultilevel"/>
    <w:tmpl w:val="4984E0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DE21308"/>
    <w:multiLevelType w:val="hybridMultilevel"/>
    <w:tmpl w:val="A2422CD2"/>
    <w:lvl w:ilvl="0" w:tplc="492A35F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C55F0E"/>
    <w:multiLevelType w:val="hybridMultilevel"/>
    <w:tmpl w:val="B18CB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9B0A65"/>
    <w:multiLevelType w:val="hybridMultilevel"/>
    <w:tmpl w:val="0938F74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9"/>
  <w:hyphenationZone w:val="425"/>
  <w:drawingGridHorizontalSpacing w:val="100"/>
  <w:displayHorizontalDrawingGridEvery w:val="2"/>
  <w:characterSpacingControl w:val="doNotCompress"/>
  <w:hdrShapeDefaults>
    <o:shapedefaults v:ext="edit" spidmax="2049" style="mso-width-relative:margin;mso-height-relative:margin" fill="f" fillcolor="white" strokecolor="#00b050">
      <v:fill color="white" on="f"/>
      <v:stroke color="#00b050" weight="4.5pt" linestyle="thickThin"/>
      <o:colormru v:ext="edit" colors="#3cc,#0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E1"/>
    <w:rsid w:val="00005227"/>
    <w:rsid w:val="00005A0B"/>
    <w:rsid w:val="00006502"/>
    <w:rsid w:val="00012EB7"/>
    <w:rsid w:val="00017916"/>
    <w:rsid w:val="0002260E"/>
    <w:rsid w:val="00040561"/>
    <w:rsid w:val="00044CD2"/>
    <w:rsid w:val="0005168D"/>
    <w:rsid w:val="0005231F"/>
    <w:rsid w:val="00053863"/>
    <w:rsid w:val="00053AE7"/>
    <w:rsid w:val="00055BF4"/>
    <w:rsid w:val="0005662C"/>
    <w:rsid w:val="00056CF9"/>
    <w:rsid w:val="00057945"/>
    <w:rsid w:val="00060424"/>
    <w:rsid w:val="00060BC1"/>
    <w:rsid w:val="00065CDC"/>
    <w:rsid w:val="0006738D"/>
    <w:rsid w:val="000737D2"/>
    <w:rsid w:val="00073955"/>
    <w:rsid w:val="000741FB"/>
    <w:rsid w:val="00076F32"/>
    <w:rsid w:val="000803E9"/>
    <w:rsid w:val="00082D78"/>
    <w:rsid w:val="00084C0C"/>
    <w:rsid w:val="00084D16"/>
    <w:rsid w:val="0008626D"/>
    <w:rsid w:val="0009164C"/>
    <w:rsid w:val="0009211B"/>
    <w:rsid w:val="000923AB"/>
    <w:rsid w:val="000977CF"/>
    <w:rsid w:val="000A0E3A"/>
    <w:rsid w:val="000A6B10"/>
    <w:rsid w:val="000A73DA"/>
    <w:rsid w:val="000B1229"/>
    <w:rsid w:val="000B482E"/>
    <w:rsid w:val="000B485A"/>
    <w:rsid w:val="000B632A"/>
    <w:rsid w:val="000B715E"/>
    <w:rsid w:val="000B75F4"/>
    <w:rsid w:val="000C25DC"/>
    <w:rsid w:val="000C27B7"/>
    <w:rsid w:val="000C2869"/>
    <w:rsid w:val="000C43C9"/>
    <w:rsid w:val="000D390F"/>
    <w:rsid w:val="000D616B"/>
    <w:rsid w:val="000E3FBF"/>
    <w:rsid w:val="000F047D"/>
    <w:rsid w:val="000F1DC7"/>
    <w:rsid w:val="000F2AF9"/>
    <w:rsid w:val="000F39BD"/>
    <w:rsid w:val="000F4BB3"/>
    <w:rsid w:val="000F607A"/>
    <w:rsid w:val="000F781B"/>
    <w:rsid w:val="001056DC"/>
    <w:rsid w:val="00112D25"/>
    <w:rsid w:val="001132E8"/>
    <w:rsid w:val="001153AF"/>
    <w:rsid w:val="0011552A"/>
    <w:rsid w:val="00115E63"/>
    <w:rsid w:val="00117BC2"/>
    <w:rsid w:val="00117C43"/>
    <w:rsid w:val="0012039F"/>
    <w:rsid w:val="00120B04"/>
    <w:rsid w:val="0013350B"/>
    <w:rsid w:val="00133A32"/>
    <w:rsid w:val="00134D18"/>
    <w:rsid w:val="00137BE0"/>
    <w:rsid w:val="00140512"/>
    <w:rsid w:val="001408A5"/>
    <w:rsid w:val="001535F4"/>
    <w:rsid w:val="00154D00"/>
    <w:rsid w:val="001616A9"/>
    <w:rsid w:val="001642F0"/>
    <w:rsid w:val="00166351"/>
    <w:rsid w:val="00166B1C"/>
    <w:rsid w:val="00172BAD"/>
    <w:rsid w:val="00176345"/>
    <w:rsid w:val="001765CD"/>
    <w:rsid w:val="0018141F"/>
    <w:rsid w:val="00182D9B"/>
    <w:rsid w:val="00184167"/>
    <w:rsid w:val="0018458B"/>
    <w:rsid w:val="00184F7F"/>
    <w:rsid w:val="001875DA"/>
    <w:rsid w:val="00191B2A"/>
    <w:rsid w:val="00194CE5"/>
    <w:rsid w:val="00197112"/>
    <w:rsid w:val="001A46D1"/>
    <w:rsid w:val="001A5111"/>
    <w:rsid w:val="001B10F4"/>
    <w:rsid w:val="001B1DE0"/>
    <w:rsid w:val="001B4052"/>
    <w:rsid w:val="001B4E19"/>
    <w:rsid w:val="001B63FF"/>
    <w:rsid w:val="001B78D6"/>
    <w:rsid w:val="001C10F5"/>
    <w:rsid w:val="001C50BC"/>
    <w:rsid w:val="001C7400"/>
    <w:rsid w:val="001D1047"/>
    <w:rsid w:val="001D238A"/>
    <w:rsid w:val="001D5498"/>
    <w:rsid w:val="001D642A"/>
    <w:rsid w:val="001D7A5F"/>
    <w:rsid w:val="001E483A"/>
    <w:rsid w:val="001F0360"/>
    <w:rsid w:val="001F207E"/>
    <w:rsid w:val="001F3E1D"/>
    <w:rsid w:val="001F4259"/>
    <w:rsid w:val="001F5BE8"/>
    <w:rsid w:val="001F6417"/>
    <w:rsid w:val="001F782B"/>
    <w:rsid w:val="00203713"/>
    <w:rsid w:val="002072F5"/>
    <w:rsid w:val="0021220F"/>
    <w:rsid w:val="00214D88"/>
    <w:rsid w:val="00215632"/>
    <w:rsid w:val="00217A4E"/>
    <w:rsid w:val="00221FF7"/>
    <w:rsid w:val="0022474B"/>
    <w:rsid w:val="002262B4"/>
    <w:rsid w:val="00226DCB"/>
    <w:rsid w:val="00227EE3"/>
    <w:rsid w:val="00230231"/>
    <w:rsid w:val="00231058"/>
    <w:rsid w:val="00234162"/>
    <w:rsid w:val="00235805"/>
    <w:rsid w:val="00235889"/>
    <w:rsid w:val="00243DA6"/>
    <w:rsid w:val="0025390C"/>
    <w:rsid w:val="00254DF6"/>
    <w:rsid w:val="002569C9"/>
    <w:rsid w:val="002621EA"/>
    <w:rsid w:val="002627DE"/>
    <w:rsid w:val="00266D17"/>
    <w:rsid w:val="00273306"/>
    <w:rsid w:val="00273325"/>
    <w:rsid w:val="002734D8"/>
    <w:rsid w:val="00277372"/>
    <w:rsid w:val="0028266A"/>
    <w:rsid w:val="00285D3A"/>
    <w:rsid w:val="00286BB0"/>
    <w:rsid w:val="002872D9"/>
    <w:rsid w:val="00287D0F"/>
    <w:rsid w:val="00292B8B"/>
    <w:rsid w:val="002930CF"/>
    <w:rsid w:val="0029334D"/>
    <w:rsid w:val="00293BA9"/>
    <w:rsid w:val="00295F0E"/>
    <w:rsid w:val="002A3C88"/>
    <w:rsid w:val="002A6FC8"/>
    <w:rsid w:val="002B38D8"/>
    <w:rsid w:val="002B6082"/>
    <w:rsid w:val="002C0BD1"/>
    <w:rsid w:val="002C1501"/>
    <w:rsid w:val="002C6810"/>
    <w:rsid w:val="002C7262"/>
    <w:rsid w:val="002D2F28"/>
    <w:rsid w:val="002D44D4"/>
    <w:rsid w:val="002D4DCB"/>
    <w:rsid w:val="002D56C9"/>
    <w:rsid w:val="002D7BFC"/>
    <w:rsid w:val="002E1072"/>
    <w:rsid w:val="002E2924"/>
    <w:rsid w:val="002E325F"/>
    <w:rsid w:val="002E4FD0"/>
    <w:rsid w:val="002F6430"/>
    <w:rsid w:val="002F6A51"/>
    <w:rsid w:val="003002E7"/>
    <w:rsid w:val="0030494D"/>
    <w:rsid w:val="0030684B"/>
    <w:rsid w:val="00307ACD"/>
    <w:rsid w:val="00313CE9"/>
    <w:rsid w:val="00314ED0"/>
    <w:rsid w:val="00315635"/>
    <w:rsid w:val="003162BA"/>
    <w:rsid w:val="00316EC3"/>
    <w:rsid w:val="0031795F"/>
    <w:rsid w:val="00320624"/>
    <w:rsid w:val="003215B0"/>
    <w:rsid w:val="0032386E"/>
    <w:rsid w:val="003239EB"/>
    <w:rsid w:val="00324291"/>
    <w:rsid w:val="003309A0"/>
    <w:rsid w:val="00332D24"/>
    <w:rsid w:val="00335952"/>
    <w:rsid w:val="00336975"/>
    <w:rsid w:val="00340392"/>
    <w:rsid w:val="0034325F"/>
    <w:rsid w:val="00344744"/>
    <w:rsid w:val="00344FED"/>
    <w:rsid w:val="00345523"/>
    <w:rsid w:val="00345DF3"/>
    <w:rsid w:val="00351A71"/>
    <w:rsid w:val="0035304B"/>
    <w:rsid w:val="00357AB3"/>
    <w:rsid w:val="00363B12"/>
    <w:rsid w:val="00363CAC"/>
    <w:rsid w:val="00363CC5"/>
    <w:rsid w:val="00371AC7"/>
    <w:rsid w:val="0037290D"/>
    <w:rsid w:val="0037362A"/>
    <w:rsid w:val="00380566"/>
    <w:rsid w:val="00382D42"/>
    <w:rsid w:val="00393876"/>
    <w:rsid w:val="003A1E10"/>
    <w:rsid w:val="003A3BF1"/>
    <w:rsid w:val="003B23CE"/>
    <w:rsid w:val="003B3ECF"/>
    <w:rsid w:val="003B3F05"/>
    <w:rsid w:val="003B44C0"/>
    <w:rsid w:val="003B78E0"/>
    <w:rsid w:val="003C0759"/>
    <w:rsid w:val="003C2E2D"/>
    <w:rsid w:val="003C7051"/>
    <w:rsid w:val="003D05E8"/>
    <w:rsid w:val="003D1583"/>
    <w:rsid w:val="003D2348"/>
    <w:rsid w:val="003D762D"/>
    <w:rsid w:val="003E0EB3"/>
    <w:rsid w:val="003E245B"/>
    <w:rsid w:val="003F0030"/>
    <w:rsid w:val="003F26C8"/>
    <w:rsid w:val="003F4FE3"/>
    <w:rsid w:val="00403100"/>
    <w:rsid w:val="00407BF6"/>
    <w:rsid w:val="0041307A"/>
    <w:rsid w:val="00413635"/>
    <w:rsid w:val="0041498B"/>
    <w:rsid w:val="00417B68"/>
    <w:rsid w:val="0042064D"/>
    <w:rsid w:val="0042409C"/>
    <w:rsid w:val="004249F8"/>
    <w:rsid w:val="00426AE5"/>
    <w:rsid w:val="004344D7"/>
    <w:rsid w:val="00440C8C"/>
    <w:rsid w:val="00442B05"/>
    <w:rsid w:val="00456796"/>
    <w:rsid w:val="004601A6"/>
    <w:rsid w:val="00460C20"/>
    <w:rsid w:val="004611C8"/>
    <w:rsid w:val="0046242A"/>
    <w:rsid w:val="0046799A"/>
    <w:rsid w:val="00467A8D"/>
    <w:rsid w:val="0047063E"/>
    <w:rsid w:val="00472DF4"/>
    <w:rsid w:val="00475EFB"/>
    <w:rsid w:val="00484A74"/>
    <w:rsid w:val="00484C12"/>
    <w:rsid w:val="004A0294"/>
    <w:rsid w:val="004A3996"/>
    <w:rsid w:val="004A6338"/>
    <w:rsid w:val="004A6C2B"/>
    <w:rsid w:val="004B166B"/>
    <w:rsid w:val="004B27C4"/>
    <w:rsid w:val="004B3140"/>
    <w:rsid w:val="004B38C4"/>
    <w:rsid w:val="004B39FA"/>
    <w:rsid w:val="004B60B8"/>
    <w:rsid w:val="004C053F"/>
    <w:rsid w:val="004C0C89"/>
    <w:rsid w:val="004C0D91"/>
    <w:rsid w:val="004C4015"/>
    <w:rsid w:val="004D591A"/>
    <w:rsid w:val="004D64BA"/>
    <w:rsid w:val="004D65E6"/>
    <w:rsid w:val="004D66F6"/>
    <w:rsid w:val="004E0323"/>
    <w:rsid w:val="004E374D"/>
    <w:rsid w:val="004E4D43"/>
    <w:rsid w:val="004F409A"/>
    <w:rsid w:val="004F7368"/>
    <w:rsid w:val="005050C7"/>
    <w:rsid w:val="00505F29"/>
    <w:rsid w:val="005108DE"/>
    <w:rsid w:val="0051202B"/>
    <w:rsid w:val="005141C5"/>
    <w:rsid w:val="00514E7E"/>
    <w:rsid w:val="005155ED"/>
    <w:rsid w:val="00520FD8"/>
    <w:rsid w:val="00521D7A"/>
    <w:rsid w:val="00523531"/>
    <w:rsid w:val="00542479"/>
    <w:rsid w:val="00543683"/>
    <w:rsid w:val="005459C8"/>
    <w:rsid w:val="0055016C"/>
    <w:rsid w:val="00550B75"/>
    <w:rsid w:val="005557AC"/>
    <w:rsid w:val="00555A6D"/>
    <w:rsid w:val="00560A11"/>
    <w:rsid w:val="00561AA7"/>
    <w:rsid w:val="0056231E"/>
    <w:rsid w:val="00566932"/>
    <w:rsid w:val="00567507"/>
    <w:rsid w:val="0057031B"/>
    <w:rsid w:val="00571A3B"/>
    <w:rsid w:val="00580C32"/>
    <w:rsid w:val="0058120C"/>
    <w:rsid w:val="00581652"/>
    <w:rsid w:val="00581667"/>
    <w:rsid w:val="00582CB0"/>
    <w:rsid w:val="00583587"/>
    <w:rsid w:val="00594158"/>
    <w:rsid w:val="005A1303"/>
    <w:rsid w:val="005A1F7C"/>
    <w:rsid w:val="005A56A0"/>
    <w:rsid w:val="005B25AF"/>
    <w:rsid w:val="005B4994"/>
    <w:rsid w:val="005B7A39"/>
    <w:rsid w:val="005C0823"/>
    <w:rsid w:val="005C113A"/>
    <w:rsid w:val="005C36A1"/>
    <w:rsid w:val="005D1F07"/>
    <w:rsid w:val="005D6893"/>
    <w:rsid w:val="005E0173"/>
    <w:rsid w:val="005E019D"/>
    <w:rsid w:val="005E1DEE"/>
    <w:rsid w:val="005E4611"/>
    <w:rsid w:val="005E556C"/>
    <w:rsid w:val="005E6449"/>
    <w:rsid w:val="005E68B6"/>
    <w:rsid w:val="005E7867"/>
    <w:rsid w:val="005F4D78"/>
    <w:rsid w:val="006026BC"/>
    <w:rsid w:val="00602F2F"/>
    <w:rsid w:val="00606C38"/>
    <w:rsid w:val="006118A2"/>
    <w:rsid w:val="006225B1"/>
    <w:rsid w:val="006249E6"/>
    <w:rsid w:val="00625C8E"/>
    <w:rsid w:val="00627016"/>
    <w:rsid w:val="00630229"/>
    <w:rsid w:val="006308E0"/>
    <w:rsid w:val="00634F0A"/>
    <w:rsid w:val="0063554C"/>
    <w:rsid w:val="006465D4"/>
    <w:rsid w:val="00655300"/>
    <w:rsid w:val="00662A64"/>
    <w:rsid w:val="00665383"/>
    <w:rsid w:val="00665387"/>
    <w:rsid w:val="0067269F"/>
    <w:rsid w:val="00681102"/>
    <w:rsid w:val="006811B3"/>
    <w:rsid w:val="00681878"/>
    <w:rsid w:val="00684863"/>
    <w:rsid w:val="00691F91"/>
    <w:rsid w:val="0069234F"/>
    <w:rsid w:val="00695F04"/>
    <w:rsid w:val="0069623A"/>
    <w:rsid w:val="006A184C"/>
    <w:rsid w:val="006A75C3"/>
    <w:rsid w:val="006A7A1B"/>
    <w:rsid w:val="006A7D76"/>
    <w:rsid w:val="006B1120"/>
    <w:rsid w:val="006B6994"/>
    <w:rsid w:val="006B76E4"/>
    <w:rsid w:val="006C0141"/>
    <w:rsid w:val="006C3756"/>
    <w:rsid w:val="006C67FC"/>
    <w:rsid w:val="006C7756"/>
    <w:rsid w:val="006D0C54"/>
    <w:rsid w:val="006D1CCC"/>
    <w:rsid w:val="006D7319"/>
    <w:rsid w:val="006E0A62"/>
    <w:rsid w:val="006E0B9E"/>
    <w:rsid w:val="006E1718"/>
    <w:rsid w:val="006F1876"/>
    <w:rsid w:val="006F24F4"/>
    <w:rsid w:val="006F590C"/>
    <w:rsid w:val="007005B1"/>
    <w:rsid w:val="00700D81"/>
    <w:rsid w:val="007038F2"/>
    <w:rsid w:val="00703F0C"/>
    <w:rsid w:val="00706930"/>
    <w:rsid w:val="00706A42"/>
    <w:rsid w:val="007109D8"/>
    <w:rsid w:val="00712E33"/>
    <w:rsid w:val="00712EC2"/>
    <w:rsid w:val="00713DD3"/>
    <w:rsid w:val="00720059"/>
    <w:rsid w:val="007259B3"/>
    <w:rsid w:val="0072735E"/>
    <w:rsid w:val="00727581"/>
    <w:rsid w:val="00732ACA"/>
    <w:rsid w:val="00734B32"/>
    <w:rsid w:val="00741D1C"/>
    <w:rsid w:val="00742B82"/>
    <w:rsid w:val="00743FDF"/>
    <w:rsid w:val="0074612C"/>
    <w:rsid w:val="00753934"/>
    <w:rsid w:val="007562E1"/>
    <w:rsid w:val="0076064C"/>
    <w:rsid w:val="007606BE"/>
    <w:rsid w:val="00762950"/>
    <w:rsid w:val="00762FA5"/>
    <w:rsid w:val="007640D5"/>
    <w:rsid w:val="00764574"/>
    <w:rsid w:val="00766BCB"/>
    <w:rsid w:val="00770385"/>
    <w:rsid w:val="007722FA"/>
    <w:rsid w:val="0077502E"/>
    <w:rsid w:val="00775422"/>
    <w:rsid w:val="00777969"/>
    <w:rsid w:val="00781C3D"/>
    <w:rsid w:val="00786D2A"/>
    <w:rsid w:val="007879E1"/>
    <w:rsid w:val="007A127A"/>
    <w:rsid w:val="007A1835"/>
    <w:rsid w:val="007A34BF"/>
    <w:rsid w:val="007A3975"/>
    <w:rsid w:val="007A5419"/>
    <w:rsid w:val="007B0D96"/>
    <w:rsid w:val="007B2BF5"/>
    <w:rsid w:val="007B4C27"/>
    <w:rsid w:val="007B6168"/>
    <w:rsid w:val="007C0C3B"/>
    <w:rsid w:val="007C4DD8"/>
    <w:rsid w:val="007C72D9"/>
    <w:rsid w:val="007D2223"/>
    <w:rsid w:val="007D3F1A"/>
    <w:rsid w:val="007D5B8D"/>
    <w:rsid w:val="007D613C"/>
    <w:rsid w:val="007D6871"/>
    <w:rsid w:val="007D6A15"/>
    <w:rsid w:val="007E02D5"/>
    <w:rsid w:val="007E1577"/>
    <w:rsid w:val="007E42F4"/>
    <w:rsid w:val="007E4CA9"/>
    <w:rsid w:val="007E546E"/>
    <w:rsid w:val="007E71E8"/>
    <w:rsid w:val="007F512E"/>
    <w:rsid w:val="008026B3"/>
    <w:rsid w:val="008046FD"/>
    <w:rsid w:val="0080590A"/>
    <w:rsid w:val="008079E2"/>
    <w:rsid w:val="00810AEF"/>
    <w:rsid w:val="008119AC"/>
    <w:rsid w:val="00817059"/>
    <w:rsid w:val="00821BE5"/>
    <w:rsid w:val="008304FE"/>
    <w:rsid w:val="00836CC8"/>
    <w:rsid w:val="00836D42"/>
    <w:rsid w:val="0083777E"/>
    <w:rsid w:val="008422B7"/>
    <w:rsid w:val="00842737"/>
    <w:rsid w:val="0084330A"/>
    <w:rsid w:val="00843B26"/>
    <w:rsid w:val="00845A49"/>
    <w:rsid w:val="00852FEC"/>
    <w:rsid w:val="008564B2"/>
    <w:rsid w:val="00860DB4"/>
    <w:rsid w:val="00872779"/>
    <w:rsid w:val="0087417E"/>
    <w:rsid w:val="008774B8"/>
    <w:rsid w:val="0088086F"/>
    <w:rsid w:val="00886328"/>
    <w:rsid w:val="00887E5B"/>
    <w:rsid w:val="00891320"/>
    <w:rsid w:val="00893A64"/>
    <w:rsid w:val="00894D4A"/>
    <w:rsid w:val="00895D92"/>
    <w:rsid w:val="008A08DC"/>
    <w:rsid w:val="008A2A1A"/>
    <w:rsid w:val="008A309E"/>
    <w:rsid w:val="008A38FB"/>
    <w:rsid w:val="008A657B"/>
    <w:rsid w:val="008B1C4B"/>
    <w:rsid w:val="008B48F2"/>
    <w:rsid w:val="008B6BC1"/>
    <w:rsid w:val="008B6F65"/>
    <w:rsid w:val="008C31FF"/>
    <w:rsid w:val="008C5911"/>
    <w:rsid w:val="008D36E1"/>
    <w:rsid w:val="008D78FA"/>
    <w:rsid w:val="008E0365"/>
    <w:rsid w:val="008E09EA"/>
    <w:rsid w:val="008E2085"/>
    <w:rsid w:val="008E2893"/>
    <w:rsid w:val="008E2E16"/>
    <w:rsid w:val="008E4C31"/>
    <w:rsid w:val="008E7F26"/>
    <w:rsid w:val="008F0788"/>
    <w:rsid w:val="008F5395"/>
    <w:rsid w:val="008F5BF4"/>
    <w:rsid w:val="00905586"/>
    <w:rsid w:val="0090609F"/>
    <w:rsid w:val="00910E91"/>
    <w:rsid w:val="009138B8"/>
    <w:rsid w:val="00914645"/>
    <w:rsid w:val="00914DB0"/>
    <w:rsid w:val="00923B68"/>
    <w:rsid w:val="009250BA"/>
    <w:rsid w:val="0093050B"/>
    <w:rsid w:val="00930B0B"/>
    <w:rsid w:val="00936BAA"/>
    <w:rsid w:val="0094222D"/>
    <w:rsid w:val="0094633C"/>
    <w:rsid w:val="00947A8A"/>
    <w:rsid w:val="00951575"/>
    <w:rsid w:val="00953D9D"/>
    <w:rsid w:val="009551A5"/>
    <w:rsid w:val="00955287"/>
    <w:rsid w:val="00957996"/>
    <w:rsid w:val="00960D5A"/>
    <w:rsid w:val="00960F33"/>
    <w:rsid w:val="0096233E"/>
    <w:rsid w:val="00964745"/>
    <w:rsid w:val="00965A5C"/>
    <w:rsid w:val="00980943"/>
    <w:rsid w:val="009914DA"/>
    <w:rsid w:val="00997638"/>
    <w:rsid w:val="009A27E2"/>
    <w:rsid w:val="009A2F8E"/>
    <w:rsid w:val="009A4C94"/>
    <w:rsid w:val="009A6541"/>
    <w:rsid w:val="009B1206"/>
    <w:rsid w:val="009B663D"/>
    <w:rsid w:val="009C33CF"/>
    <w:rsid w:val="009C4156"/>
    <w:rsid w:val="009C5BC9"/>
    <w:rsid w:val="009C7BF3"/>
    <w:rsid w:val="009D49DF"/>
    <w:rsid w:val="009D4A5F"/>
    <w:rsid w:val="009D5EDB"/>
    <w:rsid w:val="009D68FB"/>
    <w:rsid w:val="009E3369"/>
    <w:rsid w:val="009E3CF1"/>
    <w:rsid w:val="009E63A2"/>
    <w:rsid w:val="009E70AF"/>
    <w:rsid w:val="009E7C31"/>
    <w:rsid w:val="009F08E3"/>
    <w:rsid w:val="009F4338"/>
    <w:rsid w:val="009F488A"/>
    <w:rsid w:val="009F570A"/>
    <w:rsid w:val="009F6FA4"/>
    <w:rsid w:val="00A1123B"/>
    <w:rsid w:val="00A14E29"/>
    <w:rsid w:val="00A15706"/>
    <w:rsid w:val="00A16ED3"/>
    <w:rsid w:val="00A2127B"/>
    <w:rsid w:val="00A23296"/>
    <w:rsid w:val="00A23519"/>
    <w:rsid w:val="00A300C3"/>
    <w:rsid w:val="00A3478F"/>
    <w:rsid w:val="00A37D98"/>
    <w:rsid w:val="00A41A90"/>
    <w:rsid w:val="00A41F9B"/>
    <w:rsid w:val="00A42A89"/>
    <w:rsid w:val="00A444A2"/>
    <w:rsid w:val="00A52281"/>
    <w:rsid w:val="00A5319A"/>
    <w:rsid w:val="00A5696E"/>
    <w:rsid w:val="00A607F0"/>
    <w:rsid w:val="00A67DEF"/>
    <w:rsid w:val="00A70073"/>
    <w:rsid w:val="00A70982"/>
    <w:rsid w:val="00A70DC6"/>
    <w:rsid w:val="00A72686"/>
    <w:rsid w:val="00A756D9"/>
    <w:rsid w:val="00A809DE"/>
    <w:rsid w:val="00A81A12"/>
    <w:rsid w:val="00A82B71"/>
    <w:rsid w:val="00A83CDB"/>
    <w:rsid w:val="00A842BC"/>
    <w:rsid w:val="00A84F9C"/>
    <w:rsid w:val="00A8715A"/>
    <w:rsid w:val="00A90CD2"/>
    <w:rsid w:val="00A94D58"/>
    <w:rsid w:val="00AA0E8E"/>
    <w:rsid w:val="00AA35F1"/>
    <w:rsid w:val="00AA4DB9"/>
    <w:rsid w:val="00AA551A"/>
    <w:rsid w:val="00AB2534"/>
    <w:rsid w:val="00AB3D3F"/>
    <w:rsid w:val="00AB4098"/>
    <w:rsid w:val="00AB650A"/>
    <w:rsid w:val="00AC4E63"/>
    <w:rsid w:val="00AC765B"/>
    <w:rsid w:val="00AD1ACA"/>
    <w:rsid w:val="00AD2289"/>
    <w:rsid w:val="00AD7F2E"/>
    <w:rsid w:val="00AE3B68"/>
    <w:rsid w:val="00AE57C7"/>
    <w:rsid w:val="00AE5C96"/>
    <w:rsid w:val="00AF7949"/>
    <w:rsid w:val="00B0065C"/>
    <w:rsid w:val="00B00ED8"/>
    <w:rsid w:val="00B01BDD"/>
    <w:rsid w:val="00B06C72"/>
    <w:rsid w:val="00B06E95"/>
    <w:rsid w:val="00B1482A"/>
    <w:rsid w:val="00B25A23"/>
    <w:rsid w:val="00B31466"/>
    <w:rsid w:val="00B40317"/>
    <w:rsid w:val="00B43A71"/>
    <w:rsid w:val="00B45E5E"/>
    <w:rsid w:val="00B567C3"/>
    <w:rsid w:val="00B56943"/>
    <w:rsid w:val="00B614B0"/>
    <w:rsid w:val="00B64CD7"/>
    <w:rsid w:val="00B665B0"/>
    <w:rsid w:val="00B74E70"/>
    <w:rsid w:val="00B76ECF"/>
    <w:rsid w:val="00B77A13"/>
    <w:rsid w:val="00B80736"/>
    <w:rsid w:val="00B80964"/>
    <w:rsid w:val="00B834B0"/>
    <w:rsid w:val="00B85D52"/>
    <w:rsid w:val="00B90991"/>
    <w:rsid w:val="00B9372C"/>
    <w:rsid w:val="00B957AE"/>
    <w:rsid w:val="00B974A5"/>
    <w:rsid w:val="00BA27CE"/>
    <w:rsid w:val="00BA3564"/>
    <w:rsid w:val="00BA6C2E"/>
    <w:rsid w:val="00BA6FE4"/>
    <w:rsid w:val="00BA7269"/>
    <w:rsid w:val="00BB2E3B"/>
    <w:rsid w:val="00BB459C"/>
    <w:rsid w:val="00BB65C7"/>
    <w:rsid w:val="00BB69AC"/>
    <w:rsid w:val="00BC3681"/>
    <w:rsid w:val="00BC37B9"/>
    <w:rsid w:val="00BC496B"/>
    <w:rsid w:val="00BC601B"/>
    <w:rsid w:val="00BC6B20"/>
    <w:rsid w:val="00BC7077"/>
    <w:rsid w:val="00BD0732"/>
    <w:rsid w:val="00BD4DE4"/>
    <w:rsid w:val="00BD53CA"/>
    <w:rsid w:val="00BE2AC5"/>
    <w:rsid w:val="00BE66FD"/>
    <w:rsid w:val="00BE6701"/>
    <w:rsid w:val="00BE700A"/>
    <w:rsid w:val="00BE7058"/>
    <w:rsid w:val="00BF1862"/>
    <w:rsid w:val="00BF4848"/>
    <w:rsid w:val="00BF6FE6"/>
    <w:rsid w:val="00C034F2"/>
    <w:rsid w:val="00C051DF"/>
    <w:rsid w:val="00C113D1"/>
    <w:rsid w:val="00C132F5"/>
    <w:rsid w:val="00C13CEA"/>
    <w:rsid w:val="00C14C5F"/>
    <w:rsid w:val="00C16199"/>
    <w:rsid w:val="00C31D45"/>
    <w:rsid w:val="00C37C14"/>
    <w:rsid w:val="00C401C3"/>
    <w:rsid w:val="00C42413"/>
    <w:rsid w:val="00C4529F"/>
    <w:rsid w:val="00C45CC7"/>
    <w:rsid w:val="00C54ADB"/>
    <w:rsid w:val="00C626F5"/>
    <w:rsid w:val="00C65711"/>
    <w:rsid w:val="00C701F3"/>
    <w:rsid w:val="00C71371"/>
    <w:rsid w:val="00C81366"/>
    <w:rsid w:val="00C83141"/>
    <w:rsid w:val="00C87B95"/>
    <w:rsid w:val="00C90C2B"/>
    <w:rsid w:val="00C9146F"/>
    <w:rsid w:val="00C91C66"/>
    <w:rsid w:val="00C9265C"/>
    <w:rsid w:val="00C92FDD"/>
    <w:rsid w:val="00CB15F1"/>
    <w:rsid w:val="00CB16D3"/>
    <w:rsid w:val="00CB635E"/>
    <w:rsid w:val="00CB6756"/>
    <w:rsid w:val="00CC1C22"/>
    <w:rsid w:val="00CC2302"/>
    <w:rsid w:val="00CC232D"/>
    <w:rsid w:val="00CC5D30"/>
    <w:rsid w:val="00CE7707"/>
    <w:rsid w:val="00CF1B46"/>
    <w:rsid w:val="00CF269E"/>
    <w:rsid w:val="00CF35DD"/>
    <w:rsid w:val="00CF5143"/>
    <w:rsid w:val="00CF514E"/>
    <w:rsid w:val="00CF54D7"/>
    <w:rsid w:val="00CF7DF6"/>
    <w:rsid w:val="00D04B6E"/>
    <w:rsid w:val="00D04E22"/>
    <w:rsid w:val="00D05FFA"/>
    <w:rsid w:val="00D12076"/>
    <w:rsid w:val="00D12648"/>
    <w:rsid w:val="00D12695"/>
    <w:rsid w:val="00D12AAE"/>
    <w:rsid w:val="00D153E3"/>
    <w:rsid w:val="00D1659E"/>
    <w:rsid w:val="00D20517"/>
    <w:rsid w:val="00D20A29"/>
    <w:rsid w:val="00D20F61"/>
    <w:rsid w:val="00D23D58"/>
    <w:rsid w:val="00D25567"/>
    <w:rsid w:val="00D27B79"/>
    <w:rsid w:val="00D30BB0"/>
    <w:rsid w:val="00D3234E"/>
    <w:rsid w:val="00D33464"/>
    <w:rsid w:val="00D36B38"/>
    <w:rsid w:val="00D43F5F"/>
    <w:rsid w:val="00D46BE1"/>
    <w:rsid w:val="00D471D8"/>
    <w:rsid w:val="00D472C2"/>
    <w:rsid w:val="00D54664"/>
    <w:rsid w:val="00D557EA"/>
    <w:rsid w:val="00D55CCE"/>
    <w:rsid w:val="00D572F2"/>
    <w:rsid w:val="00D624A5"/>
    <w:rsid w:val="00D625F2"/>
    <w:rsid w:val="00D636F5"/>
    <w:rsid w:val="00D64901"/>
    <w:rsid w:val="00D65A13"/>
    <w:rsid w:val="00D66D20"/>
    <w:rsid w:val="00D709D9"/>
    <w:rsid w:val="00D75A0E"/>
    <w:rsid w:val="00D77F0D"/>
    <w:rsid w:val="00D80CBB"/>
    <w:rsid w:val="00D81751"/>
    <w:rsid w:val="00D8332A"/>
    <w:rsid w:val="00D85C13"/>
    <w:rsid w:val="00DA0866"/>
    <w:rsid w:val="00DA0CAF"/>
    <w:rsid w:val="00DA46CF"/>
    <w:rsid w:val="00DA4F7E"/>
    <w:rsid w:val="00DB0C03"/>
    <w:rsid w:val="00DB0CAA"/>
    <w:rsid w:val="00DB13AA"/>
    <w:rsid w:val="00DB79E1"/>
    <w:rsid w:val="00DC35FA"/>
    <w:rsid w:val="00DD1974"/>
    <w:rsid w:val="00DD323A"/>
    <w:rsid w:val="00DE2A43"/>
    <w:rsid w:val="00DE45A7"/>
    <w:rsid w:val="00DE48A4"/>
    <w:rsid w:val="00DF08BC"/>
    <w:rsid w:val="00DF1A05"/>
    <w:rsid w:val="00DF600B"/>
    <w:rsid w:val="00E00D42"/>
    <w:rsid w:val="00E01B4D"/>
    <w:rsid w:val="00E059FC"/>
    <w:rsid w:val="00E072D3"/>
    <w:rsid w:val="00E0737F"/>
    <w:rsid w:val="00E1066F"/>
    <w:rsid w:val="00E11ED8"/>
    <w:rsid w:val="00E12F7C"/>
    <w:rsid w:val="00E1311B"/>
    <w:rsid w:val="00E139ED"/>
    <w:rsid w:val="00E14E31"/>
    <w:rsid w:val="00E17F6D"/>
    <w:rsid w:val="00E203AE"/>
    <w:rsid w:val="00E211D1"/>
    <w:rsid w:val="00E260B9"/>
    <w:rsid w:val="00E31294"/>
    <w:rsid w:val="00E33A43"/>
    <w:rsid w:val="00E3632F"/>
    <w:rsid w:val="00E44E97"/>
    <w:rsid w:val="00E46328"/>
    <w:rsid w:val="00E47A9C"/>
    <w:rsid w:val="00E523EA"/>
    <w:rsid w:val="00E5384A"/>
    <w:rsid w:val="00E6008B"/>
    <w:rsid w:val="00E6719C"/>
    <w:rsid w:val="00E8098F"/>
    <w:rsid w:val="00E80E5E"/>
    <w:rsid w:val="00E814BC"/>
    <w:rsid w:val="00E82FDF"/>
    <w:rsid w:val="00E847C0"/>
    <w:rsid w:val="00E84952"/>
    <w:rsid w:val="00E87926"/>
    <w:rsid w:val="00E87A66"/>
    <w:rsid w:val="00E90AB0"/>
    <w:rsid w:val="00E92D28"/>
    <w:rsid w:val="00E93E75"/>
    <w:rsid w:val="00E97C26"/>
    <w:rsid w:val="00EA1E38"/>
    <w:rsid w:val="00EA2787"/>
    <w:rsid w:val="00EA3A4C"/>
    <w:rsid w:val="00EA3E67"/>
    <w:rsid w:val="00EB30C4"/>
    <w:rsid w:val="00EB3559"/>
    <w:rsid w:val="00EB4A8A"/>
    <w:rsid w:val="00EB5932"/>
    <w:rsid w:val="00EC0018"/>
    <w:rsid w:val="00EC07BA"/>
    <w:rsid w:val="00EC0902"/>
    <w:rsid w:val="00EC4D0D"/>
    <w:rsid w:val="00ED1FF5"/>
    <w:rsid w:val="00ED2101"/>
    <w:rsid w:val="00ED6C9F"/>
    <w:rsid w:val="00EE3FC2"/>
    <w:rsid w:val="00EE6567"/>
    <w:rsid w:val="00EF26F7"/>
    <w:rsid w:val="00EF5135"/>
    <w:rsid w:val="00EF6A39"/>
    <w:rsid w:val="00EF71A3"/>
    <w:rsid w:val="00F05D42"/>
    <w:rsid w:val="00F07124"/>
    <w:rsid w:val="00F10553"/>
    <w:rsid w:val="00F130CB"/>
    <w:rsid w:val="00F1623D"/>
    <w:rsid w:val="00F20674"/>
    <w:rsid w:val="00F21483"/>
    <w:rsid w:val="00F21B30"/>
    <w:rsid w:val="00F223C4"/>
    <w:rsid w:val="00F228D8"/>
    <w:rsid w:val="00F2505E"/>
    <w:rsid w:val="00F272F8"/>
    <w:rsid w:val="00F32AD6"/>
    <w:rsid w:val="00F34B3B"/>
    <w:rsid w:val="00F43C28"/>
    <w:rsid w:val="00F44F42"/>
    <w:rsid w:val="00F459D8"/>
    <w:rsid w:val="00F47E37"/>
    <w:rsid w:val="00F50D23"/>
    <w:rsid w:val="00F5166F"/>
    <w:rsid w:val="00F600DC"/>
    <w:rsid w:val="00F7258F"/>
    <w:rsid w:val="00F74A7E"/>
    <w:rsid w:val="00F80FAC"/>
    <w:rsid w:val="00F82349"/>
    <w:rsid w:val="00F823BE"/>
    <w:rsid w:val="00F82B83"/>
    <w:rsid w:val="00F865F2"/>
    <w:rsid w:val="00F956F5"/>
    <w:rsid w:val="00F95867"/>
    <w:rsid w:val="00F97B00"/>
    <w:rsid w:val="00F97FB5"/>
    <w:rsid w:val="00FA0F78"/>
    <w:rsid w:val="00FA4E77"/>
    <w:rsid w:val="00FA5BDF"/>
    <w:rsid w:val="00FA7642"/>
    <w:rsid w:val="00FB0FD3"/>
    <w:rsid w:val="00FB31EF"/>
    <w:rsid w:val="00FC097F"/>
    <w:rsid w:val="00FC2A7B"/>
    <w:rsid w:val="00FC42CD"/>
    <w:rsid w:val="00FC4784"/>
    <w:rsid w:val="00FC5777"/>
    <w:rsid w:val="00FC61F7"/>
    <w:rsid w:val="00FE41D4"/>
    <w:rsid w:val="00FE7D1D"/>
    <w:rsid w:val="00FF0632"/>
    <w:rsid w:val="00FF31E9"/>
    <w:rsid w:val="00FF7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color="#00b050">
      <v:fill color="white" on="f"/>
      <v:stroke color="#00b050" weight="4.5pt" linestyle="thickThin"/>
      <o:colormru v:ext="edit" colors="#3cc,#0c6"/>
    </o:shapedefaults>
    <o:shapelayout v:ext="edit">
      <o:idmap v:ext="edit" data="1"/>
    </o:shapelayout>
  </w:shapeDefaults>
  <w:decimalSymbol w:val="."/>
  <w:listSeparator w:val=","/>
  <w14:docId w14:val="4EC65269"/>
  <w15:docId w15:val="{5E956058-6FAA-4176-855C-737AB5A3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2E1"/>
    <w:pPr>
      <w:spacing w:after="0" w:line="240" w:lineRule="auto"/>
      <w:jc w:val="both"/>
    </w:pPr>
    <w:rPr>
      <w:rFonts w:ascii="Arial" w:eastAsia="Times New Roman" w:hAnsi="Arial" w:cs="Arial"/>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2E1"/>
    <w:pPr>
      <w:tabs>
        <w:tab w:val="center" w:pos="4419"/>
        <w:tab w:val="right" w:pos="8838"/>
      </w:tabs>
    </w:pPr>
  </w:style>
  <w:style w:type="character" w:customStyle="1" w:styleId="EncabezadoCar">
    <w:name w:val="Encabezado Car"/>
    <w:basedOn w:val="Fuentedeprrafopredeter"/>
    <w:link w:val="Encabezado"/>
    <w:uiPriority w:val="99"/>
    <w:rsid w:val="007562E1"/>
  </w:style>
  <w:style w:type="paragraph" w:styleId="Piedepgina">
    <w:name w:val="footer"/>
    <w:basedOn w:val="Normal"/>
    <w:link w:val="PiedepginaCar"/>
    <w:uiPriority w:val="99"/>
    <w:unhideWhenUsed/>
    <w:rsid w:val="007562E1"/>
    <w:pPr>
      <w:tabs>
        <w:tab w:val="center" w:pos="4419"/>
        <w:tab w:val="right" w:pos="8838"/>
      </w:tabs>
    </w:pPr>
  </w:style>
  <w:style w:type="character" w:customStyle="1" w:styleId="PiedepginaCar">
    <w:name w:val="Pie de página Car"/>
    <w:basedOn w:val="Fuentedeprrafopredeter"/>
    <w:link w:val="Piedepgina"/>
    <w:uiPriority w:val="99"/>
    <w:rsid w:val="007562E1"/>
  </w:style>
  <w:style w:type="paragraph" w:styleId="Textodeglobo">
    <w:name w:val="Balloon Text"/>
    <w:basedOn w:val="Normal"/>
    <w:link w:val="TextodegloboCar"/>
    <w:uiPriority w:val="99"/>
    <w:semiHidden/>
    <w:unhideWhenUsed/>
    <w:rsid w:val="007562E1"/>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2E1"/>
    <w:rPr>
      <w:rFonts w:ascii="Tahoma" w:hAnsi="Tahoma" w:cs="Tahoma"/>
      <w:sz w:val="16"/>
      <w:szCs w:val="16"/>
    </w:rPr>
  </w:style>
  <w:style w:type="paragraph" w:styleId="Prrafodelista">
    <w:name w:val="List Paragraph"/>
    <w:basedOn w:val="Normal"/>
    <w:uiPriority w:val="34"/>
    <w:qFormat/>
    <w:rsid w:val="007562E1"/>
    <w:pPr>
      <w:ind w:left="708"/>
    </w:pPr>
  </w:style>
  <w:style w:type="character" w:styleId="Refdecomentario">
    <w:name w:val="annotation reference"/>
    <w:basedOn w:val="Fuentedeprrafopredeter"/>
    <w:uiPriority w:val="99"/>
    <w:semiHidden/>
    <w:unhideWhenUsed/>
    <w:rsid w:val="007562E1"/>
    <w:rPr>
      <w:sz w:val="16"/>
      <w:szCs w:val="16"/>
    </w:rPr>
  </w:style>
  <w:style w:type="paragraph" w:styleId="Textocomentario">
    <w:name w:val="annotation text"/>
    <w:basedOn w:val="Normal"/>
    <w:link w:val="TextocomentarioCar"/>
    <w:uiPriority w:val="99"/>
    <w:semiHidden/>
    <w:unhideWhenUsed/>
    <w:rsid w:val="007562E1"/>
  </w:style>
  <w:style w:type="character" w:customStyle="1" w:styleId="TextocomentarioCar">
    <w:name w:val="Texto comentario Car"/>
    <w:basedOn w:val="Fuentedeprrafopredeter"/>
    <w:link w:val="Textocomentario"/>
    <w:uiPriority w:val="99"/>
    <w:semiHidden/>
    <w:rsid w:val="007562E1"/>
    <w:rPr>
      <w:rFonts w:ascii="Arial" w:eastAsia="Times New Roman" w:hAnsi="Arial" w:cs="Arial"/>
      <w:sz w:val="20"/>
      <w:szCs w:val="20"/>
      <w:lang w:val="es-ES_tradnl" w:eastAsia="es-ES"/>
    </w:rPr>
  </w:style>
  <w:style w:type="paragraph" w:styleId="Textonotapie">
    <w:name w:val="footnote text"/>
    <w:basedOn w:val="Normal"/>
    <w:link w:val="TextonotapieCar"/>
    <w:unhideWhenUsed/>
    <w:rsid w:val="00F82B83"/>
  </w:style>
  <w:style w:type="character" w:customStyle="1" w:styleId="TextonotapieCar">
    <w:name w:val="Texto nota pie Car"/>
    <w:basedOn w:val="Fuentedeprrafopredeter"/>
    <w:link w:val="Textonotapie"/>
    <w:rsid w:val="00F82B83"/>
    <w:rPr>
      <w:rFonts w:ascii="Arial" w:eastAsia="Times New Roman" w:hAnsi="Arial" w:cs="Arial"/>
      <w:sz w:val="20"/>
      <w:szCs w:val="20"/>
      <w:lang w:val="es-ES_tradnl" w:eastAsia="es-ES"/>
    </w:rPr>
  </w:style>
  <w:style w:type="character" w:styleId="Refdenotaalpie">
    <w:name w:val="footnote reference"/>
    <w:basedOn w:val="Fuentedeprrafopredeter"/>
    <w:unhideWhenUsed/>
    <w:rsid w:val="00F82B83"/>
    <w:rPr>
      <w:vertAlign w:val="superscript"/>
    </w:rPr>
  </w:style>
  <w:style w:type="paragraph" w:styleId="Descripcin">
    <w:name w:val="caption"/>
    <w:basedOn w:val="Normal"/>
    <w:next w:val="Normal"/>
    <w:uiPriority w:val="35"/>
    <w:unhideWhenUsed/>
    <w:qFormat/>
    <w:rsid w:val="000F2AF9"/>
    <w:pPr>
      <w:spacing w:after="200"/>
    </w:pPr>
    <w:rPr>
      <w:b/>
      <w:bCs/>
      <w:color w:val="4F81BD" w:themeColor="accent1"/>
      <w:sz w:val="18"/>
      <w:szCs w:val="18"/>
    </w:rPr>
  </w:style>
  <w:style w:type="paragraph" w:styleId="NormalWeb">
    <w:name w:val="Normal (Web)"/>
    <w:basedOn w:val="Normal"/>
    <w:uiPriority w:val="99"/>
    <w:unhideWhenUsed/>
    <w:rsid w:val="0047063E"/>
    <w:pPr>
      <w:spacing w:before="100" w:beforeAutospacing="1" w:after="100" w:afterAutospacing="1"/>
      <w:jc w:val="left"/>
    </w:pPr>
    <w:rPr>
      <w:rFonts w:ascii="Times New Roman" w:hAnsi="Times New Roman" w:cs="Times New Roman"/>
      <w:sz w:val="24"/>
      <w:szCs w:val="24"/>
      <w:lang w:val="es-MX" w:eastAsia="es-MX"/>
    </w:rPr>
  </w:style>
  <w:style w:type="character" w:styleId="Hipervnculo">
    <w:name w:val="Hyperlink"/>
    <w:basedOn w:val="Fuentedeprrafopredeter"/>
    <w:uiPriority w:val="99"/>
    <w:unhideWhenUsed/>
    <w:rsid w:val="00BA6C2E"/>
    <w:rPr>
      <w:color w:val="0000FF" w:themeColor="hyperlink"/>
      <w:u w:val="single"/>
    </w:rPr>
  </w:style>
  <w:style w:type="paragraph" w:customStyle="1" w:styleId="p0">
    <w:name w:val="p0"/>
    <w:basedOn w:val="Normal"/>
    <w:rsid w:val="00BA6C2E"/>
    <w:pPr>
      <w:keepLines/>
      <w:widowControl w:val="0"/>
      <w:spacing w:before="240"/>
    </w:pPr>
    <w:rPr>
      <w:rFonts w:cs="Times New Roman"/>
      <w:snapToGrid w:val="0"/>
      <w:color w:val="0000FF"/>
      <w:sz w:val="24"/>
    </w:rPr>
  </w:style>
  <w:style w:type="paragraph" w:customStyle="1" w:styleId="Default">
    <w:name w:val="Default"/>
    <w:rsid w:val="005D6893"/>
    <w:pPr>
      <w:autoSpaceDE w:val="0"/>
      <w:autoSpaceDN w:val="0"/>
      <w:adjustRightInd w:val="0"/>
      <w:spacing w:after="0" w:line="240" w:lineRule="auto"/>
    </w:pPr>
    <w:rPr>
      <w:rFonts w:ascii="Times New Roman" w:hAnsi="Times New Roman" w:cs="Times New Roman"/>
      <w:color w:val="000000"/>
      <w:sz w:val="24"/>
      <w:szCs w:val="24"/>
    </w:rPr>
  </w:style>
  <w:style w:type="character" w:styleId="nfasis">
    <w:name w:val="Emphasis"/>
    <w:basedOn w:val="Fuentedeprrafopredeter"/>
    <w:uiPriority w:val="20"/>
    <w:qFormat/>
    <w:rsid w:val="003F26C8"/>
    <w:rPr>
      <w:i/>
      <w:iCs/>
    </w:rPr>
  </w:style>
  <w:style w:type="character" w:styleId="Hipervnculovisitado">
    <w:name w:val="FollowedHyperlink"/>
    <w:basedOn w:val="Fuentedeprrafopredeter"/>
    <w:uiPriority w:val="99"/>
    <w:semiHidden/>
    <w:unhideWhenUsed/>
    <w:rsid w:val="00005A0B"/>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314ED0"/>
    <w:rPr>
      <w:b/>
      <w:bCs/>
    </w:rPr>
  </w:style>
  <w:style w:type="character" w:customStyle="1" w:styleId="AsuntodelcomentarioCar">
    <w:name w:val="Asunto del comentario Car"/>
    <w:basedOn w:val="TextocomentarioCar"/>
    <w:link w:val="Asuntodelcomentario"/>
    <w:uiPriority w:val="99"/>
    <w:semiHidden/>
    <w:rsid w:val="00314ED0"/>
    <w:rPr>
      <w:rFonts w:ascii="Arial" w:eastAsia="Times New Roman" w:hAnsi="Arial" w:cs="Arial"/>
      <w:b/>
      <w:bCs/>
      <w:sz w:val="20"/>
      <w:szCs w:val="20"/>
      <w:lang w:val="es-ES_tradnl" w:eastAsia="es-ES"/>
    </w:rPr>
  </w:style>
  <w:style w:type="character" w:customStyle="1" w:styleId="Mencinsinresolver1">
    <w:name w:val="Mención sin resolver1"/>
    <w:basedOn w:val="Fuentedeprrafopredeter"/>
    <w:uiPriority w:val="99"/>
    <w:semiHidden/>
    <w:unhideWhenUsed/>
    <w:rsid w:val="001535F4"/>
    <w:rPr>
      <w:color w:val="605E5C"/>
      <w:shd w:val="clear" w:color="auto" w:fill="E1DFDD"/>
    </w:rPr>
  </w:style>
  <w:style w:type="character" w:styleId="Mencinsinresolver">
    <w:name w:val="Unresolved Mention"/>
    <w:basedOn w:val="Fuentedeprrafopredeter"/>
    <w:uiPriority w:val="99"/>
    <w:semiHidden/>
    <w:unhideWhenUsed/>
    <w:rsid w:val="00DC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6633">
      <w:bodyDiv w:val="1"/>
      <w:marLeft w:val="0"/>
      <w:marRight w:val="0"/>
      <w:marTop w:val="0"/>
      <w:marBottom w:val="0"/>
      <w:divBdr>
        <w:top w:val="none" w:sz="0" w:space="0" w:color="auto"/>
        <w:left w:val="none" w:sz="0" w:space="0" w:color="auto"/>
        <w:bottom w:val="none" w:sz="0" w:space="0" w:color="auto"/>
        <w:right w:val="none" w:sz="0" w:space="0" w:color="auto"/>
      </w:divBdr>
    </w:div>
    <w:div w:id="231084305">
      <w:bodyDiv w:val="1"/>
      <w:marLeft w:val="0"/>
      <w:marRight w:val="0"/>
      <w:marTop w:val="0"/>
      <w:marBottom w:val="0"/>
      <w:divBdr>
        <w:top w:val="none" w:sz="0" w:space="0" w:color="auto"/>
        <w:left w:val="none" w:sz="0" w:space="0" w:color="auto"/>
        <w:bottom w:val="none" w:sz="0" w:space="0" w:color="auto"/>
        <w:right w:val="none" w:sz="0" w:space="0" w:color="auto"/>
      </w:divBdr>
    </w:div>
    <w:div w:id="361631025">
      <w:bodyDiv w:val="1"/>
      <w:marLeft w:val="0"/>
      <w:marRight w:val="0"/>
      <w:marTop w:val="0"/>
      <w:marBottom w:val="0"/>
      <w:divBdr>
        <w:top w:val="none" w:sz="0" w:space="0" w:color="auto"/>
        <w:left w:val="none" w:sz="0" w:space="0" w:color="auto"/>
        <w:bottom w:val="none" w:sz="0" w:space="0" w:color="auto"/>
        <w:right w:val="none" w:sz="0" w:space="0" w:color="auto"/>
      </w:divBdr>
    </w:div>
    <w:div w:id="410081403">
      <w:bodyDiv w:val="1"/>
      <w:marLeft w:val="0"/>
      <w:marRight w:val="0"/>
      <w:marTop w:val="0"/>
      <w:marBottom w:val="0"/>
      <w:divBdr>
        <w:top w:val="none" w:sz="0" w:space="0" w:color="auto"/>
        <w:left w:val="none" w:sz="0" w:space="0" w:color="auto"/>
        <w:bottom w:val="none" w:sz="0" w:space="0" w:color="auto"/>
        <w:right w:val="none" w:sz="0" w:space="0" w:color="auto"/>
      </w:divBdr>
    </w:div>
    <w:div w:id="545602589">
      <w:bodyDiv w:val="1"/>
      <w:marLeft w:val="0"/>
      <w:marRight w:val="0"/>
      <w:marTop w:val="0"/>
      <w:marBottom w:val="0"/>
      <w:divBdr>
        <w:top w:val="none" w:sz="0" w:space="0" w:color="auto"/>
        <w:left w:val="none" w:sz="0" w:space="0" w:color="auto"/>
        <w:bottom w:val="none" w:sz="0" w:space="0" w:color="auto"/>
        <w:right w:val="none" w:sz="0" w:space="0" w:color="auto"/>
      </w:divBdr>
    </w:div>
    <w:div w:id="697386857">
      <w:bodyDiv w:val="1"/>
      <w:marLeft w:val="0"/>
      <w:marRight w:val="0"/>
      <w:marTop w:val="0"/>
      <w:marBottom w:val="0"/>
      <w:divBdr>
        <w:top w:val="none" w:sz="0" w:space="0" w:color="auto"/>
        <w:left w:val="none" w:sz="0" w:space="0" w:color="auto"/>
        <w:bottom w:val="none" w:sz="0" w:space="0" w:color="auto"/>
        <w:right w:val="none" w:sz="0" w:space="0" w:color="auto"/>
      </w:divBdr>
    </w:div>
    <w:div w:id="733820944">
      <w:bodyDiv w:val="1"/>
      <w:marLeft w:val="0"/>
      <w:marRight w:val="0"/>
      <w:marTop w:val="0"/>
      <w:marBottom w:val="0"/>
      <w:divBdr>
        <w:top w:val="none" w:sz="0" w:space="0" w:color="auto"/>
        <w:left w:val="none" w:sz="0" w:space="0" w:color="auto"/>
        <w:bottom w:val="none" w:sz="0" w:space="0" w:color="auto"/>
        <w:right w:val="none" w:sz="0" w:space="0" w:color="auto"/>
      </w:divBdr>
    </w:div>
    <w:div w:id="917596888">
      <w:bodyDiv w:val="1"/>
      <w:marLeft w:val="0"/>
      <w:marRight w:val="0"/>
      <w:marTop w:val="0"/>
      <w:marBottom w:val="0"/>
      <w:divBdr>
        <w:top w:val="none" w:sz="0" w:space="0" w:color="auto"/>
        <w:left w:val="none" w:sz="0" w:space="0" w:color="auto"/>
        <w:bottom w:val="none" w:sz="0" w:space="0" w:color="auto"/>
        <w:right w:val="none" w:sz="0" w:space="0" w:color="auto"/>
      </w:divBdr>
    </w:div>
    <w:div w:id="954563244">
      <w:bodyDiv w:val="1"/>
      <w:marLeft w:val="0"/>
      <w:marRight w:val="0"/>
      <w:marTop w:val="0"/>
      <w:marBottom w:val="0"/>
      <w:divBdr>
        <w:top w:val="none" w:sz="0" w:space="0" w:color="auto"/>
        <w:left w:val="none" w:sz="0" w:space="0" w:color="auto"/>
        <w:bottom w:val="none" w:sz="0" w:space="0" w:color="auto"/>
        <w:right w:val="none" w:sz="0" w:space="0" w:color="auto"/>
      </w:divBdr>
    </w:div>
    <w:div w:id="1021474077">
      <w:bodyDiv w:val="1"/>
      <w:marLeft w:val="0"/>
      <w:marRight w:val="0"/>
      <w:marTop w:val="0"/>
      <w:marBottom w:val="0"/>
      <w:divBdr>
        <w:top w:val="none" w:sz="0" w:space="0" w:color="auto"/>
        <w:left w:val="none" w:sz="0" w:space="0" w:color="auto"/>
        <w:bottom w:val="none" w:sz="0" w:space="0" w:color="auto"/>
        <w:right w:val="none" w:sz="0" w:space="0" w:color="auto"/>
      </w:divBdr>
    </w:div>
    <w:div w:id="1042484882">
      <w:bodyDiv w:val="1"/>
      <w:marLeft w:val="0"/>
      <w:marRight w:val="0"/>
      <w:marTop w:val="0"/>
      <w:marBottom w:val="0"/>
      <w:divBdr>
        <w:top w:val="none" w:sz="0" w:space="0" w:color="auto"/>
        <w:left w:val="none" w:sz="0" w:space="0" w:color="auto"/>
        <w:bottom w:val="none" w:sz="0" w:space="0" w:color="auto"/>
        <w:right w:val="none" w:sz="0" w:space="0" w:color="auto"/>
      </w:divBdr>
    </w:div>
    <w:div w:id="1353065757">
      <w:bodyDiv w:val="1"/>
      <w:marLeft w:val="0"/>
      <w:marRight w:val="0"/>
      <w:marTop w:val="0"/>
      <w:marBottom w:val="0"/>
      <w:divBdr>
        <w:top w:val="none" w:sz="0" w:space="0" w:color="auto"/>
        <w:left w:val="none" w:sz="0" w:space="0" w:color="auto"/>
        <w:bottom w:val="none" w:sz="0" w:space="0" w:color="auto"/>
        <w:right w:val="none" w:sz="0" w:space="0" w:color="auto"/>
      </w:divBdr>
    </w:div>
    <w:div w:id="1361131456">
      <w:bodyDiv w:val="1"/>
      <w:marLeft w:val="0"/>
      <w:marRight w:val="0"/>
      <w:marTop w:val="0"/>
      <w:marBottom w:val="0"/>
      <w:divBdr>
        <w:top w:val="none" w:sz="0" w:space="0" w:color="auto"/>
        <w:left w:val="none" w:sz="0" w:space="0" w:color="auto"/>
        <w:bottom w:val="none" w:sz="0" w:space="0" w:color="auto"/>
        <w:right w:val="none" w:sz="0" w:space="0" w:color="auto"/>
      </w:divBdr>
    </w:div>
    <w:div w:id="1795782312">
      <w:bodyDiv w:val="1"/>
      <w:marLeft w:val="0"/>
      <w:marRight w:val="0"/>
      <w:marTop w:val="0"/>
      <w:marBottom w:val="0"/>
      <w:divBdr>
        <w:top w:val="none" w:sz="0" w:space="0" w:color="auto"/>
        <w:left w:val="none" w:sz="0" w:space="0" w:color="auto"/>
        <w:bottom w:val="none" w:sz="0" w:space="0" w:color="auto"/>
        <w:right w:val="none" w:sz="0" w:space="0" w:color="auto"/>
      </w:divBdr>
    </w:div>
    <w:div w:id="1824276730">
      <w:bodyDiv w:val="1"/>
      <w:marLeft w:val="0"/>
      <w:marRight w:val="0"/>
      <w:marTop w:val="0"/>
      <w:marBottom w:val="0"/>
      <w:divBdr>
        <w:top w:val="none" w:sz="0" w:space="0" w:color="auto"/>
        <w:left w:val="none" w:sz="0" w:space="0" w:color="auto"/>
        <w:bottom w:val="none" w:sz="0" w:space="0" w:color="auto"/>
        <w:right w:val="none" w:sz="0" w:space="0" w:color="auto"/>
      </w:divBdr>
    </w:div>
    <w:div w:id="1940022357">
      <w:bodyDiv w:val="1"/>
      <w:marLeft w:val="0"/>
      <w:marRight w:val="0"/>
      <w:marTop w:val="0"/>
      <w:marBottom w:val="0"/>
      <w:divBdr>
        <w:top w:val="none" w:sz="0" w:space="0" w:color="auto"/>
        <w:left w:val="none" w:sz="0" w:space="0" w:color="auto"/>
        <w:bottom w:val="none" w:sz="0" w:space="0" w:color="auto"/>
        <w:right w:val="none" w:sz="0" w:space="0" w:color="auto"/>
      </w:divBdr>
    </w:div>
    <w:div w:id="19837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D:\Mis%20documentos\D&#237;a%20Mundial%20del%20Turismo\2021\Cuadros%20y%20gr&#225;ficas%20BDMT_v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Mis%20documentos\D&#237;a%20Mundial%20del%20Turismo\2021\Cuadros%20y%20gr&#225;ficas%20BDMT_v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7.4270685074587117E-2"/>
          <c:y val="0.23693830983399333"/>
          <c:w val="0.90083807976059282"/>
          <c:h val="0.48010269387153437"/>
        </c:manualLayout>
      </c:layout>
      <c:lineChart>
        <c:grouping val="standard"/>
        <c:varyColors val="0"/>
        <c:ser>
          <c:idx val="0"/>
          <c:order val="0"/>
          <c:tx>
            <c:strRef>
              <c:f>'Part% PIBT'!$A$11</c:f>
              <c:strCache>
                <c:ptCount val="1"/>
                <c:pt idx="0">
                  <c:v>Base 2013</c:v>
                </c:pt>
              </c:strCache>
            </c:strRef>
          </c:tx>
          <c:spPr>
            <a:ln w="34925" cap="rnd" cmpd="tri">
              <a:solidFill>
                <a:srgbClr val="008080"/>
              </a:solidFill>
              <a:round/>
            </a:ln>
            <a:effectLst/>
          </c:spPr>
          <c:marker>
            <c:symbol val="circle"/>
            <c:size val="9"/>
            <c:spPr>
              <a:gradFill>
                <a:gsLst>
                  <a:gs pos="85000">
                    <a:schemeClr val="accent5">
                      <a:lumMod val="20000"/>
                      <a:lumOff val="80000"/>
                    </a:schemeClr>
                  </a:gs>
                  <a:gs pos="1000">
                    <a:srgbClr val="008080"/>
                  </a:gs>
                </a:gsLst>
                <a:lin ang="5400000" scaled="1"/>
              </a:gradFill>
              <a:ln w="28575">
                <a:noFill/>
              </a:ln>
              <a:effectLst/>
              <a:scene3d>
                <a:camera prst="orthographicFront"/>
                <a:lightRig rig="threePt" dir="t"/>
              </a:scene3d>
              <a:sp3d>
                <a:bevelT/>
              </a:sp3d>
            </c:spPr>
          </c:marker>
          <c:dLbls>
            <c:dLbl>
              <c:idx val="26"/>
              <c:layout>
                <c:manualLayout>
                  <c:x val="-8.726955383440602E-3"/>
                  <c:y val="-9.5783953686033665E-2"/>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BA-4A98-AAB3-3E3C7C1E5A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PIBT'!$B$10:$AB$10</c:f>
              <c:strCache>
                <c:ptCount val="27"/>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strCache>
            </c:strRef>
          </c:cat>
          <c:val>
            <c:numRef>
              <c:f>'Part% PIBT'!$B$11:$AB$11</c:f>
              <c:numCache>
                <c:formatCode>0.0%</c:formatCode>
                <c:ptCount val="27"/>
                <c:pt idx="0">
                  <c:v>8.5063808355232723E-2</c:v>
                </c:pt>
                <c:pt idx="1">
                  <c:v>8.228747975564267E-2</c:v>
                </c:pt>
                <c:pt idx="2">
                  <c:v>8.0737537223063593E-2</c:v>
                </c:pt>
                <c:pt idx="3">
                  <c:v>7.8302597106074054E-2</c:v>
                </c:pt>
                <c:pt idx="4">
                  <c:v>7.946702345967098E-2</c:v>
                </c:pt>
                <c:pt idx="5">
                  <c:v>8.369840011760761E-2</c:v>
                </c:pt>
                <c:pt idx="6">
                  <c:v>8.5273467737136233E-2</c:v>
                </c:pt>
                <c:pt idx="7">
                  <c:v>8.3969100650227294E-2</c:v>
                </c:pt>
                <c:pt idx="8">
                  <c:v>8.7291116693050758E-2</c:v>
                </c:pt>
                <c:pt idx="9">
                  <c:v>8.6860455397683861E-2</c:v>
                </c:pt>
                <c:pt idx="10">
                  <c:v>8.8433324935476329E-2</c:v>
                </c:pt>
                <c:pt idx="11">
                  <c:v>8.7914534273059064E-2</c:v>
                </c:pt>
                <c:pt idx="12">
                  <c:v>8.5496496257913474E-2</c:v>
                </c:pt>
                <c:pt idx="13">
                  <c:v>8.2776464456424129E-2</c:v>
                </c:pt>
                <c:pt idx="14">
                  <c:v>8.297107967144432E-2</c:v>
                </c:pt>
                <c:pt idx="15">
                  <c:v>8.3201047016364341E-2</c:v>
                </c:pt>
                <c:pt idx="16">
                  <c:v>8.5130820988733966E-2</c:v>
                </c:pt>
                <c:pt idx="17">
                  <c:v>8.3554857389806184E-2</c:v>
                </c:pt>
                <c:pt idx="18">
                  <c:v>8.1897019889919723E-2</c:v>
                </c:pt>
                <c:pt idx="19">
                  <c:v>8.2002511107494125E-2</c:v>
                </c:pt>
                <c:pt idx="20">
                  <c:v>8.5152064500612426E-2</c:v>
                </c:pt>
                <c:pt idx="21">
                  <c:v>8.5027099043744059E-2</c:v>
                </c:pt>
                <c:pt idx="22">
                  <c:v>8.6807649929876676E-2</c:v>
                </c:pt>
                <c:pt idx="23">
                  <c:v>8.5538478272625701E-2</c:v>
                </c:pt>
                <c:pt idx="24">
                  <c:v>8.4942510206634014E-2</c:v>
                </c:pt>
                <c:pt idx="25">
                  <c:v>8.5593400323461563E-2</c:v>
                </c:pt>
                <c:pt idx="26">
                  <c:v>8.6619064441995991E-2</c:v>
                </c:pt>
              </c:numCache>
            </c:numRef>
          </c:val>
          <c:smooth val="1"/>
          <c:extLst>
            <c:ext xmlns:c16="http://schemas.microsoft.com/office/drawing/2014/chart" uri="{C3380CC4-5D6E-409C-BE32-E72D297353CC}">
              <c16:uniqueId val="{00000001-61BA-4A98-AAB3-3E3C7C1E5A75}"/>
            </c:ext>
          </c:extLst>
        </c:ser>
        <c:dLbls>
          <c:showLegendKey val="0"/>
          <c:showVal val="1"/>
          <c:showCatName val="0"/>
          <c:showSerName val="0"/>
          <c:showPercent val="0"/>
          <c:showBubbleSize val="0"/>
        </c:dLbls>
        <c:marker val="1"/>
        <c:smooth val="0"/>
        <c:axId val="415175912"/>
        <c:axId val="415176304"/>
      </c:lineChart>
      <c:catAx>
        <c:axId val="41517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15176304"/>
        <c:crosses val="autoZero"/>
        <c:auto val="1"/>
        <c:lblAlgn val="ctr"/>
        <c:lblOffset val="100"/>
        <c:noMultiLvlLbl val="0"/>
      </c:catAx>
      <c:valAx>
        <c:axId val="415176304"/>
        <c:scaling>
          <c:orientation val="minMax"/>
          <c:min val="7.6000000000000012E-2"/>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15175912"/>
        <c:crosses val="autoZero"/>
        <c:crossBetween val="between"/>
      </c:valAx>
      <c:spPr>
        <a:noFill/>
        <a:ln>
          <a:noFill/>
        </a:ln>
        <a:effectLst/>
      </c:spPr>
    </c:plotArea>
    <c:plotVisOnly val="1"/>
    <c:dispBlanksAs val="zero"/>
    <c:showDLblsOverMax val="0"/>
  </c:chart>
  <c:spPr>
    <a:solidFill>
      <a:schemeClr val="bg1"/>
    </a:solidFill>
    <a:ln w="57150" cap="rnd" cmpd="thinThick" algn="ctr">
      <a:solidFill>
        <a:srgbClr val="008080"/>
      </a:solidFill>
      <a:round/>
    </a:ln>
    <a:effectLst/>
  </c:spPr>
  <c:txPr>
    <a:bodyPr/>
    <a:lstStyle/>
    <a:p>
      <a:pPr>
        <a:defRPr sz="900">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83828161438371E-2"/>
          <c:y val="0.15016638357254261"/>
          <c:w val="0.8927594373219373"/>
          <c:h val="0.51138385668912478"/>
        </c:manualLayout>
      </c:layout>
      <c:barChart>
        <c:barDir val="col"/>
        <c:grouping val="clustered"/>
        <c:varyColors val="0"/>
        <c:ser>
          <c:idx val="0"/>
          <c:order val="0"/>
          <c:tx>
            <c:strRef>
              <c:f>ITAT_PIBT!$C$4</c:f>
              <c:strCache>
                <c:ptCount val="1"/>
                <c:pt idx="0">
                  <c:v>Total del Turismo</c:v>
                </c:pt>
              </c:strCache>
            </c:strRef>
          </c:tx>
          <c:spPr>
            <a:solidFill>
              <a:schemeClr val="accent1"/>
            </a:solidFill>
            <a:ln>
              <a:solidFill>
                <a:srgbClr val="008080"/>
              </a:solidFill>
            </a:ln>
            <a:effectLst>
              <a:outerShdw blurRad="50800" dist="38100" dir="2700000" algn="tl" rotWithShape="0">
                <a:prstClr val="black">
                  <a:alpha val="40000"/>
                </a:prstClr>
              </a:outerShdw>
            </a:effectLst>
          </c:spPr>
          <c:invertIfNegative val="0"/>
          <c:dPt>
            <c:idx val="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72E8-4663-8519-7412DBF95A6B}"/>
              </c:ext>
            </c:extLst>
          </c:dPt>
          <c:dPt>
            <c:idx val="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72E8-4663-8519-7412DBF95A6B}"/>
              </c:ext>
            </c:extLst>
          </c:dPt>
          <c:dPt>
            <c:idx val="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72E8-4663-8519-7412DBF95A6B}"/>
              </c:ext>
            </c:extLst>
          </c:dPt>
          <c:dPt>
            <c:idx val="1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72E8-4663-8519-7412DBF95A6B}"/>
              </c:ext>
            </c:extLst>
          </c:dPt>
          <c:dPt>
            <c:idx val="1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9-72E8-4663-8519-7412DBF95A6B}"/>
              </c:ext>
            </c:extLst>
          </c:dPt>
          <c:dPt>
            <c:idx val="2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B-72E8-4663-8519-7412DBF95A6B}"/>
              </c:ext>
            </c:extLst>
          </c:dPt>
          <c:dPt>
            <c:idx val="2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D-72E8-4663-8519-7412DBF95A6B}"/>
              </c:ext>
            </c:extLst>
          </c:dPt>
          <c:dPt>
            <c:idx val="2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F-72E8-4663-8519-7412DBF95A6B}"/>
              </c:ext>
            </c:extLst>
          </c:dPt>
          <c:dPt>
            <c:idx val="3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1-72E8-4663-8519-7412DBF95A6B}"/>
              </c:ext>
            </c:extLst>
          </c:dPt>
          <c:dPt>
            <c:idx val="3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3-72E8-4663-8519-7412DBF95A6B}"/>
              </c:ext>
            </c:extLst>
          </c:dPt>
          <c:dPt>
            <c:idx val="4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5-72E8-4663-8519-7412DBF95A6B}"/>
              </c:ext>
            </c:extLst>
          </c:dPt>
          <c:dPt>
            <c:idx val="4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7-72E8-4663-8519-7412DBF95A6B}"/>
              </c:ext>
            </c:extLst>
          </c:dPt>
          <c:dPt>
            <c:idx val="4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9-72E8-4663-8519-7412DBF95A6B}"/>
              </c:ext>
            </c:extLst>
          </c:dPt>
          <c:dPt>
            <c:idx val="5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B-72E8-4663-8519-7412DBF95A6B}"/>
              </c:ext>
            </c:extLst>
          </c:dPt>
          <c:dPt>
            <c:idx val="5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D-72E8-4663-8519-7412DBF95A6B}"/>
              </c:ext>
            </c:extLst>
          </c:dPt>
          <c:dPt>
            <c:idx val="6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1F-72E8-4663-8519-7412DBF95A6B}"/>
              </c:ext>
            </c:extLst>
          </c:dPt>
          <c:dPt>
            <c:idx val="6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1-72E8-4663-8519-7412DBF95A6B}"/>
              </c:ext>
            </c:extLst>
          </c:dPt>
          <c:dPt>
            <c:idx val="6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3-72E8-4663-8519-7412DBF95A6B}"/>
              </c:ext>
            </c:extLst>
          </c:dPt>
          <c:dPt>
            <c:idx val="7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5-72E8-4663-8519-7412DBF95A6B}"/>
              </c:ext>
            </c:extLst>
          </c:dPt>
          <c:dPt>
            <c:idx val="7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7-72E8-4663-8519-7412DBF95A6B}"/>
              </c:ext>
            </c:extLst>
          </c:dPt>
          <c:dPt>
            <c:idx val="8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9-72E8-4663-8519-7412DBF95A6B}"/>
              </c:ext>
            </c:extLst>
          </c:dPt>
          <c:dPt>
            <c:idx val="8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B-72E8-4663-8519-7412DBF95A6B}"/>
              </c:ext>
            </c:extLst>
          </c:dPt>
          <c:dPt>
            <c:idx val="8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D-72E8-4663-8519-7412DBF95A6B}"/>
              </c:ext>
            </c:extLst>
          </c:dPt>
          <c:dPt>
            <c:idx val="9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2F-72E8-4663-8519-7412DBF95A6B}"/>
              </c:ext>
            </c:extLst>
          </c:dPt>
          <c:dPt>
            <c:idx val="96"/>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1-72E8-4663-8519-7412DBF95A6B}"/>
              </c:ext>
            </c:extLst>
          </c:dPt>
          <c:dPt>
            <c:idx val="100"/>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3-72E8-4663-8519-7412DBF95A6B}"/>
              </c:ext>
            </c:extLst>
          </c:dPt>
          <c:dPt>
            <c:idx val="104"/>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5-72E8-4663-8519-7412DBF95A6B}"/>
              </c:ext>
            </c:extLst>
          </c:dPt>
          <c:dPt>
            <c:idx val="108"/>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7-72E8-4663-8519-7412DBF95A6B}"/>
              </c:ext>
            </c:extLst>
          </c:dPt>
          <c:dPt>
            <c:idx val="112"/>
            <c:invertIfNegative val="0"/>
            <c:bubble3D val="0"/>
            <c:spPr>
              <a:solidFill>
                <a:schemeClr val="accent6"/>
              </a:solidFill>
              <a:ln>
                <a:solidFill>
                  <a:srgbClr val="008080"/>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39-72E8-4663-8519-7412DBF95A6B}"/>
              </c:ext>
            </c:extLst>
          </c:dPt>
          <c:dLbls>
            <c:dLbl>
              <c:idx val="112"/>
              <c:layout>
                <c:manualLayout>
                  <c:x val="-2.1817388458601505E-3"/>
                  <c:y val="-0.1162790697674419"/>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72E8-4663-8519-7412DBF95A6B}"/>
                </c:ext>
              </c:extLst>
            </c:dLbl>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ITAT_PIBT!$B$5:$B$117</c:f>
              <c:strCache>
                <c:ptCount val="113"/>
                <c:pt idx="0">
                  <c:v>1993 - I</c:v>
                </c:pt>
                <c:pt idx="4">
                  <c:v>1994 - I</c:v>
                </c:pt>
                <c:pt idx="8">
                  <c:v>1995 - I</c:v>
                </c:pt>
                <c:pt idx="12">
                  <c:v>1996 - I</c:v>
                </c:pt>
                <c:pt idx="16">
                  <c:v>1997 - I</c:v>
                </c:pt>
                <c:pt idx="20">
                  <c:v>1998 - I</c:v>
                </c:pt>
                <c:pt idx="24">
                  <c:v>1999 - I</c:v>
                </c:pt>
                <c:pt idx="28">
                  <c:v>2000 - I</c:v>
                </c:pt>
                <c:pt idx="32">
                  <c:v>2001 - I</c:v>
                </c:pt>
                <c:pt idx="36">
                  <c:v>2002 - I</c:v>
                </c:pt>
                <c:pt idx="40">
                  <c:v>2003 - I</c:v>
                </c:pt>
                <c:pt idx="44">
                  <c:v>2004 - I</c:v>
                </c:pt>
                <c:pt idx="48">
                  <c:v>2005 - I</c:v>
                </c:pt>
                <c:pt idx="52">
                  <c:v>2006 - I</c:v>
                </c:pt>
                <c:pt idx="56">
                  <c:v>2007 - I</c:v>
                </c:pt>
                <c:pt idx="60">
                  <c:v>2008 - I</c:v>
                </c:pt>
                <c:pt idx="64">
                  <c:v>2009 - I</c:v>
                </c:pt>
                <c:pt idx="68">
                  <c:v>2010 - I</c:v>
                </c:pt>
                <c:pt idx="72">
                  <c:v>2011 - I</c:v>
                </c:pt>
                <c:pt idx="76">
                  <c:v>2012 - I</c:v>
                </c:pt>
                <c:pt idx="80">
                  <c:v>2013 - I</c:v>
                </c:pt>
                <c:pt idx="84">
                  <c:v>2014 - I</c:v>
                </c:pt>
                <c:pt idx="88">
                  <c:v>2015 - I</c:v>
                </c:pt>
                <c:pt idx="92">
                  <c:v>2016 - I</c:v>
                </c:pt>
                <c:pt idx="96">
                  <c:v>2017 - I</c:v>
                </c:pt>
                <c:pt idx="100">
                  <c:v>2018 - I</c:v>
                </c:pt>
                <c:pt idx="104">
                  <c:v>2019 - I</c:v>
                </c:pt>
                <c:pt idx="108">
                  <c:v>2020 - I</c:v>
                </c:pt>
                <c:pt idx="112">
                  <c:v>2021 - I</c:v>
                </c:pt>
              </c:strCache>
            </c:strRef>
          </c:cat>
          <c:val>
            <c:numRef>
              <c:f>ITAT_PIBT!$C$5:$C$117</c:f>
              <c:numCache>
                <c:formatCode>0.0</c:formatCode>
                <c:ptCount val="113"/>
                <c:pt idx="0">
                  <c:v>58.651000000000003</c:v>
                </c:pt>
                <c:pt idx="1">
                  <c:v>59.201000000000001</c:v>
                </c:pt>
                <c:pt idx="2">
                  <c:v>58.488999999999997</c:v>
                </c:pt>
                <c:pt idx="3">
                  <c:v>61.354999999999997</c:v>
                </c:pt>
                <c:pt idx="4">
                  <c:v>59.530999999999999</c:v>
                </c:pt>
                <c:pt idx="5">
                  <c:v>59.661000000000001</c:v>
                </c:pt>
                <c:pt idx="6">
                  <c:v>59.28</c:v>
                </c:pt>
                <c:pt idx="7">
                  <c:v>61.54</c:v>
                </c:pt>
                <c:pt idx="8">
                  <c:v>62.488</c:v>
                </c:pt>
                <c:pt idx="9">
                  <c:v>57.747</c:v>
                </c:pt>
                <c:pt idx="10">
                  <c:v>56.161999999999999</c:v>
                </c:pt>
                <c:pt idx="11">
                  <c:v>60.116</c:v>
                </c:pt>
                <c:pt idx="12">
                  <c:v>60.697000000000003</c:v>
                </c:pt>
                <c:pt idx="13">
                  <c:v>59.683</c:v>
                </c:pt>
                <c:pt idx="14">
                  <c:v>59.308</c:v>
                </c:pt>
                <c:pt idx="15">
                  <c:v>63.280999999999999</c:v>
                </c:pt>
                <c:pt idx="16">
                  <c:v>64.932000000000002</c:v>
                </c:pt>
                <c:pt idx="17">
                  <c:v>64.070999999999998</c:v>
                </c:pt>
                <c:pt idx="18">
                  <c:v>63.31</c:v>
                </c:pt>
                <c:pt idx="19">
                  <c:v>65.400999999999996</c:v>
                </c:pt>
                <c:pt idx="20">
                  <c:v>69.177999999999997</c:v>
                </c:pt>
                <c:pt idx="21">
                  <c:v>68.412999999999997</c:v>
                </c:pt>
                <c:pt idx="22">
                  <c:v>68.912999999999997</c:v>
                </c:pt>
                <c:pt idx="23">
                  <c:v>70.759</c:v>
                </c:pt>
                <c:pt idx="24">
                  <c:v>72.031999999999996</c:v>
                </c:pt>
                <c:pt idx="25">
                  <c:v>70.995999999999995</c:v>
                </c:pt>
                <c:pt idx="26">
                  <c:v>70.471000000000004</c:v>
                </c:pt>
                <c:pt idx="27">
                  <c:v>70.861000000000004</c:v>
                </c:pt>
                <c:pt idx="28">
                  <c:v>73.685000000000002</c:v>
                </c:pt>
                <c:pt idx="29">
                  <c:v>73.656999999999996</c:v>
                </c:pt>
                <c:pt idx="30">
                  <c:v>72.305999999999997</c:v>
                </c:pt>
                <c:pt idx="31">
                  <c:v>73.236999999999995</c:v>
                </c:pt>
                <c:pt idx="32">
                  <c:v>79.171999999999997</c:v>
                </c:pt>
                <c:pt idx="33">
                  <c:v>77.019000000000005</c:v>
                </c:pt>
                <c:pt idx="34">
                  <c:v>73.945999999999998</c:v>
                </c:pt>
                <c:pt idx="35">
                  <c:v>72.992999999999995</c:v>
                </c:pt>
                <c:pt idx="36">
                  <c:v>75.528999999999996</c:v>
                </c:pt>
                <c:pt idx="37">
                  <c:v>76.358999999999995</c:v>
                </c:pt>
                <c:pt idx="38">
                  <c:v>75.528999999999996</c:v>
                </c:pt>
                <c:pt idx="39">
                  <c:v>77.766000000000005</c:v>
                </c:pt>
                <c:pt idx="40">
                  <c:v>79.114000000000004</c:v>
                </c:pt>
                <c:pt idx="41">
                  <c:v>78.352000000000004</c:v>
                </c:pt>
                <c:pt idx="42">
                  <c:v>76.846999999999994</c:v>
                </c:pt>
                <c:pt idx="43">
                  <c:v>78.67</c:v>
                </c:pt>
                <c:pt idx="44">
                  <c:v>83.664000000000001</c:v>
                </c:pt>
                <c:pt idx="45">
                  <c:v>83.269000000000005</c:v>
                </c:pt>
                <c:pt idx="46">
                  <c:v>81.968000000000004</c:v>
                </c:pt>
                <c:pt idx="47">
                  <c:v>84.65</c:v>
                </c:pt>
                <c:pt idx="48">
                  <c:v>86.061999999999998</c:v>
                </c:pt>
                <c:pt idx="49">
                  <c:v>84.457999999999998</c:v>
                </c:pt>
                <c:pt idx="50">
                  <c:v>81.975999999999999</c:v>
                </c:pt>
                <c:pt idx="51">
                  <c:v>81.694999999999993</c:v>
                </c:pt>
                <c:pt idx="52">
                  <c:v>86.763999999999996</c:v>
                </c:pt>
                <c:pt idx="53">
                  <c:v>88.417000000000002</c:v>
                </c:pt>
                <c:pt idx="54">
                  <c:v>85.430999999999997</c:v>
                </c:pt>
                <c:pt idx="55">
                  <c:v>88.531000000000006</c:v>
                </c:pt>
                <c:pt idx="56">
                  <c:v>93.177000000000007</c:v>
                </c:pt>
                <c:pt idx="57">
                  <c:v>91.509</c:v>
                </c:pt>
                <c:pt idx="58">
                  <c:v>89.039000000000001</c:v>
                </c:pt>
                <c:pt idx="59">
                  <c:v>90.513000000000005</c:v>
                </c:pt>
                <c:pt idx="60">
                  <c:v>98.396000000000001</c:v>
                </c:pt>
                <c:pt idx="61">
                  <c:v>95.222999999999999</c:v>
                </c:pt>
                <c:pt idx="62">
                  <c:v>91.977999999999994</c:v>
                </c:pt>
                <c:pt idx="63">
                  <c:v>96.015000000000001</c:v>
                </c:pt>
                <c:pt idx="64">
                  <c:v>95.846999999999994</c:v>
                </c:pt>
                <c:pt idx="65">
                  <c:v>85.563999999999993</c:v>
                </c:pt>
                <c:pt idx="66">
                  <c:v>88.87</c:v>
                </c:pt>
                <c:pt idx="67">
                  <c:v>90.578000000000003</c:v>
                </c:pt>
                <c:pt idx="68">
                  <c:v>95.224999999999994</c:v>
                </c:pt>
                <c:pt idx="69">
                  <c:v>91.394000000000005</c:v>
                </c:pt>
                <c:pt idx="70">
                  <c:v>90.902000000000001</c:v>
                </c:pt>
                <c:pt idx="71">
                  <c:v>91.488</c:v>
                </c:pt>
                <c:pt idx="72">
                  <c:v>94.186000000000007</c:v>
                </c:pt>
                <c:pt idx="73">
                  <c:v>93.605000000000004</c:v>
                </c:pt>
                <c:pt idx="74">
                  <c:v>93.837999999999994</c:v>
                </c:pt>
                <c:pt idx="75">
                  <c:v>98.024000000000001</c:v>
                </c:pt>
                <c:pt idx="76">
                  <c:v>97.78</c:v>
                </c:pt>
                <c:pt idx="77">
                  <c:v>97.86</c:v>
                </c:pt>
                <c:pt idx="78">
                  <c:v>97.316999999999993</c:v>
                </c:pt>
                <c:pt idx="79">
                  <c:v>98.819000000000003</c:v>
                </c:pt>
                <c:pt idx="80">
                  <c:v>99.46</c:v>
                </c:pt>
                <c:pt idx="81">
                  <c:v>98.213999999999999</c:v>
                </c:pt>
                <c:pt idx="82">
                  <c:v>99.524000000000001</c:v>
                </c:pt>
                <c:pt idx="83">
                  <c:v>102.80200000000001</c:v>
                </c:pt>
                <c:pt idx="84">
                  <c:v>102.095</c:v>
                </c:pt>
                <c:pt idx="85">
                  <c:v>100.22</c:v>
                </c:pt>
                <c:pt idx="86">
                  <c:v>99.908000000000001</c:v>
                </c:pt>
                <c:pt idx="87">
                  <c:v>103.60299999999999</c:v>
                </c:pt>
                <c:pt idx="88">
                  <c:v>103.645</c:v>
                </c:pt>
                <c:pt idx="89">
                  <c:v>103.206</c:v>
                </c:pt>
                <c:pt idx="90">
                  <c:v>104.232</c:v>
                </c:pt>
                <c:pt idx="91">
                  <c:v>107.901</c:v>
                </c:pt>
                <c:pt idx="92">
                  <c:v>108.36499999999999</c:v>
                </c:pt>
                <c:pt idx="93">
                  <c:v>105.652</c:v>
                </c:pt>
                <c:pt idx="94">
                  <c:v>104.887</c:v>
                </c:pt>
                <c:pt idx="95">
                  <c:v>109.845</c:v>
                </c:pt>
                <c:pt idx="96">
                  <c:v>116.169</c:v>
                </c:pt>
                <c:pt idx="97">
                  <c:v>110.453</c:v>
                </c:pt>
                <c:pt idx="98">
                  <c:v>105.35899999999999</c:v>
                </c:pt>
                <c:pt idx="99">
                  <c:v>109.941</c:v>
                </c:pt>
                <c:pt idx="100">
                  <c:v>116.509</c:v>
                </c:pt>
                <c:pt idx="101">
                  <c:v>114.68</c:v>
                </c:pt>
                <c:pt idx="102">
                  <c:v>110.19799999999999</c:v>
                </c:pt>
                <c:pt idx="103">
                  <c:v>112.791</c:v>
                </c:pt>
                <c:pt idx="104">
                  <c:v>117.596</c:v>
                </c:pt>
                <c:pt idx="105">
                  <c:v>113.833</c:v>
                </c:pt>
                <c:pt idx="106">
                  <c:v>112.455</c:v>
                </c:pt>
                <c:pt idx="107">
                  <c:v>112.67</c:v>
                </c:pt>
                <c:pt idx="108">
                  <c:v>110.08499999999999</c:v>
                </c:pt>
                <c:pt idx="109">
                  <c:v>60.713000000000001</c:v>
                </c:pt>
                <c:pt idx="110">
                  <c:v>75.055000000000007</c:v>
                </c:pt>
                <c:pt idx="111">
                  <c:v>83.039000000000001</c:v>
                </c:pt>
                <c:pt idx="112">
                  <c:v>84.46</c:v>
                </c:pt>
              </c:numCache>
            </c:numRef>
          </c:val>
          <c:extLst>
            <c:ext xmlns:c16="http://schemas.microsoft.com/office/drawing/2014/chart" uri="{C3380CC4-5D6E-409C-BE32-E72D297353CC}">
              <c16:uniqueId val="{0000003A-72E8-4663-8519-7412DBF95A6B}"/>
            </c:ext>
          </c:extLst>
        </c:ser>
        <c:dLbls>
          <c:showLegendKey val="0"/>
          <c:showVal val="0"/>
          <c:showCatName val="0"/>
          <c:showSerName val="0"/>
          <c:showPercent val="0"/>
          <c:showBubbleSize val="0"/>
        </c:dLbls>
        <c:gapWidth val="150"/>
        <c:axId val="579489072"/>
        <c:axId val="582667072"/>
      </c:barChart>
      <c:lineChart>
        <c:grouping val="standard"/>
        <c:varyColors val="0"/>
        <c:ser>
          <c:idx val="1"/>
          <c:order val="1"/>
          <c:tx>
            <c:strRef>
              <c:f>ITAT_PIBT!$D$4</c:f>
              <c:strCache>
                <c:ptCount val="1"/>
                <c:pt idx="0">
                  <c:v>Tendencia</c:v>
                </c:pt>
              </c:strCache>
            </c:strRef>
          </c:tx>
          <c:spPr>
            <a:ln w="12700" cap="rnd">
              <a:solidFill>
                <a:schemeClr val="accent6">
                  <a:lumMod val="75000"/>
                </a:schemeClr>
              </a:solidFill>
              <a:round/>
            </a:ln>
            <a:effectLst/>
          </c:spPr>
          <c:marker>
            <c:symbol val="none"/>
          </c:marker>
          <c:val>
            <c:numRef>
              <c:f>ITAT_PIBT!$D$5:$D$117</c:f>
              <c:numCache>
                <c:formatCode>0.0</c:formatCode>
                <c:ptCount val="113"/>
                <c:pt idx="0">
                  <c:v>58.227132673591399</c:v>
                </c:pt>
                <c:pt idx="1">
                  <c:v>59.172420402624702</c:v>
                </c:pt>
                <c:pt idx="2">
                  <c:v>59.796875921082403</c:v>
                </c:pt>
                <c:pt idx="3">
                  <c:v>59.621415943144598</c:v>
                </c:pt>
                <c:pt idx="4">
                  <c:v>59.365887769605898</c:v>
                </c:pt>
                <c:pt idx="5">
                  <c:v>59.8286097686711</c:v>
                </c:pt>
                <c:pt idx="6">
                  <c:v>60.4939271763349</c:v>
                </c:pt>
                <c:pt idx="7">
                  <c:v>60.9681309474527</c:v>
                </c:pt>
                <c:pt idx="8">
                  <c:v>61.538965523786402</c:v>
                </c:pt>
                <c:pt idx="9">
                  <c:v>57.744536559044199</c:v>
                </c:pt>
                <c:pt idx="10">
                  <c:v>58.284229262852001</c:v>
                </c:pt>
                <c:pt idx="11">
                  <c:v>59.142843072988498</c:v>
                </c:pt>
                <c:pt idx="12">
                  <c:v>59.693555673400198</c:v>
                </c:pt>
                <c:pt idx="13">
                  <c:v>59.916692589315701</c:v>
                </c:pt>
                <c:pt idx="14">
                  <c:v>60.9750290962428</c:v>
                </c:pt>
                <c:pt idx="15">
                  <c:v>62.553996421515102</c:v>
                </c:pt>
                <c:pt idx="16">
                  <c:v>63.731205068900799</c:v>
                </c:pt>
                <c:pt idx="17">
                  <c:v>64.272599013266401</c:v>
                </c:pt>
                <c:pt idx="18">
                  <c:v>64.613204716634002</c:v>
                </c:pt>
                <c:pt idx="19">
                  <c:v>65.559728379075295</c:v>
                </c:pt>
                <c:pt idx="20">
                  <c:v>67.112574651619596</c:v>
                </c:pt>
                <c:pt idx="21">
                  <c:v>68.7471151216631</c:v>
                </c:pt>
                <c:pt idx="22">
                  <c:v>70.081999532371</c:v>
                </c:pt>
                <c:pt idx="23">
                  <c:v>70.803793407871794</c:v>
                </c:pt>
                <c:pt idx="24">
                  <c:v>70.759587383254399</c:v>
                </c:pt>
                <c:pt idx="25">
                  <c:v>70.970586754015699</c:v>
                </c:pt>
                <c:pt idx="26">
                  <c:v>71.355967699049103</c:v>
                </c:pt>
                <c:pt idx="27">
                  <c:v>71.630048852674506</c:v>
                </c:pt>
                <c:pt idx="28">
                  <c:v>72.252822922696197</c:v>
                </c:pt>
                <c:pt idx="29">
                  <c:v>73.032647709020196</c:v>
                </c:pt>
                <c:pt idx="30">
                  <c:v>73.778426081995903</c:v>
                </c:pt>
                <c:pt idx="31">
                  <c:v>75.058591948575398</c:v>
                </c:pt>
                <c:pt idx="32">
                  <c:v>76.295410550598902</c:v>
                </c:pt>
                <c:pt idx="33">
                  <c:v>76.344178831711005</c:v>
                </c:pt>
                <c:pt idx="34">
                  <c:v>75.161297268859698</c:v>
                </c:pt>
                <c:pt idx="35">
                  <c:v>73.983544332473599</c:v>
                </c:pt>
                <c:pt idx="36">
                  <c:v>74.136931343787296</c:v>
                </c:pt>
                <c:pt idx="37">
                  <c:v>75.518098269046305</c:v>
                </c:pt>
                <c:pt idx="38">
                  <c:v>77.239260269741493</c:v>
                </c:pt>
                <c:pt idx="39">
                  <c:v>78.067896202271797</c:v>
                </c:pt>
                <c:pt idx="40">
                  <c:v>77.833890354839795</c:v>
                </c:pt>
                <c:pt idx="41">
                  <c:v>77.641590786495996</c:v>
                </c:pt>
                <c:pt idx="42">
                  <c:v>78.317085728877302</c:v>
                </c:pt>
                <c:pt idx="43">
                  <c:v>79.799937019328496</c:v>
                </c:pt>
                <c:pt idx="44">
                  <c:v>81.463296975415005</c:v>
                </c:pt>
                <c:pt idx="45">
                  <c:v>82.697570481679094</c:v>
                </c:pt>
                <c:pt idx="46">
                  <c:v>83.9008956720713</c:v>
                </c:pt>
                <c:pt idx="47">
                  <c:v>84.709466953379305</c:v>
                </c:pt>
                <c:pt idx="48">
                  <c:v>84.243549134513898</c:v>
                </c:pt>
                <c:pt idx="49">
                  <c:v>83.728542097028907</c:v>
                </c:pt>
                <c:pt idx="50">
                  <c:v>83.455341049521607</c:v>
                </c:pt>
                <c:pt idx="51">
                  <c:v>83.278264650066802</c:v>
                </c:pt>
                <c:pt idx="52">
                  <c:v>84.640229569646294</c:v>
                </c:pt>
                <c:pt idx="53">
                  <c:v>86.747895664841707</c:v>
                </c:pt>
                <c:pt idx="54">
                  <c:v>88.296866474570393</c:v>
                </c:pt>
                <c:pt idx="55">
                  <c:v>89.495470213187005</c:v>
                </c:pt>
                <c:pt idx="56">
                  <c:v>90.419257274961595</c:v>
                </c:pt>
                <c:pt idx="57">
                  <c:v>90.776394001434696</c:v>
                </c:pt>
                <c:pt idx="58">
                  <c:v>91.168847463205097</c:v>
                </c:pt>
                <c:pt idx="59">
                  <c:v>92.576330709012694</c:v>
                </c:pt>
                <c:pt idx="60">
                  <c:v>94.416544795465597</c:v>
                </c:pt>
                <c:pt idx="61">
                  <c:v>94.963405990532294</c:v>
                </c:pt>
                <c:pt idx="62">
                  <c:v>94.665962813565798</c:v>
                </c:pt>
                <c:pt idx="63">
                  <c:v>94.496225468623905</c:v>
                </c:pt>
                <c:pt idx="64">
                  <c:v>93.945106903534906</c:v>
                </c:pt>
                <c:pt idx="65">
                  <c:v>93.510305970785794</c:v>
                </c:pt>
                <c:pt idx="66">
                  <c:v>93.142017540609999</c:v>
                </c:pt>
                <c:pt idx="67">
                  <c:v>92.685892216438106</c:v>
                </c:pt>
                <c:pt idx="68">
                  <c:v>92.392005436683903</c:v>
                </c:pt>
                <c:pt idx="69">
                  <c:v>92.401864586806894</c:v>
                </c:pt>
                <c:pt idx="70">
                  <c:v>92.095327557364698</c:v>
                </c:pt>
                <c:pt idx="71">
                  <c:v>91.835598596445394</c:v>
                </c:pt>
                <c:pt idx="72">
                  <c:v>92.352322865299598</c:v>
                </c:pt>
                <c:pt idx="73">
                  <c:v>93.862220314521196</c:v>
                </c:pt>
                <c:pt idx="74">
                  <c:v>95.6958681270673</c:v>
                </c:pt>
                <c:pt idx="75">
                  <c:v>97.138591142942602</c:v>
                </c:pt>
                <c:pt idx="76">
                  <c:v>98.065724444332801</c:v>
                </c:pt>
                <c:pt idx="77">
                  <c:v>98.503096470382502</c:v>
                </c:pt>
                <c:pt idx="78">
                  <c:v>98.553729092203099</c:v>
                </c:pt>
                <c:pt idx="79">
                  <c:v>98.130084183082204</c:v>
                </c:pt>
                <c:pt idx="80">
                  <c:v>98.166669251852895</c:v>
                </c:pt>
                <c:pt idx="81">
                  <c:v>99.253919780885099</c:v>
                </c:pt>
                <c:pt idx="82">
                  <c:v>100.78433327318901</c:v>
                </c:pt>
                <c:pt idx="83">
                  <c:v>101.46544898056899</c:v>
                </c:pt>
                <c:pt idx="84">
                  <c:v>101.14210662155401</c:v>
                </c:pt>
                <c:pt idx="85">
                  <c:v>101.020762079869</c:v>
                </c:pt>
                <c:pt idx="86">
                  <c:v>101.533629822872</c:v>
                </c:pt>
                <c:pt idx="87">
                  <c:v>101.895776462169</c:v>
                </c:pt>
                <c:pt idx="88">
                  <c:v>102.39653385781</c:v>
                </c:pt>
                <c:pt idx="89">
                  <c:v>103.971220183472</c:v>
                </c:pt>
                <c:pt idx="90">
                  <c:v>106.155008228035</c:v>
                </c:pt>
                <c:pt idx="91">
                  <c:v>106.95458958544999</c:v>
                </c:pt>
                <c:pt idx="92">
                  <c:v>106.31051743813801</c:v>
                </c:pt>
                <c:pt idx="93">
                  <c:v>106.157984701429</c:v>
                </c:pt>
                <c:pt idx="94">
                  <c:v>107.510712675356</c:v>
                </c:pt>
                <c:pt idx="95">
                  <c:v>109.78502287005099</c:v>
                </c:pt>
                <c:pt idx="96">
                  <c:v>111.177460834288</c:v>
                </c:pt>
                <c:pt idx="97">
                  <c:v>110.353501633487</c:v>
                </c:pt>
                <c:pt idx="98">
                  <c:v>109.11654378318499</c:v>
                </c:pt>
                <c:pt idx="99">
                  <c:v>110.148712417958</c:v>
                </c:pt>
                <c:pt idx="100">
                  <c:v>112.833303542211</c:v>
                </c:pt>
                <c:pt idx="101">
                  <c:v>114.28048621022501</c:v>
                </c:pt>
                <c:pt idx="102">
                  <c:v>113.901244450717</c:v>
                </c:pt>
                <c:pt idx="103">
                  <c:v>113.27673205985199</c:v>
                </c:pt>
                <c:pt idx="104">
                  <c:v>113.488846878272</c:v>
                </c:pt>
                <c:pt idx="105">
                  <c:v>114.28153686201701</c:v>
                </c:pt>
                <c:pt idx="106">
                  <c:v>114.350491226514</c:v>
                </c:pt>
                <c:pt idx="107">
                  <c:v>113.48957683007799</c:v>
                </c:pt>
                <c:pt idx="108">
                  <c:v>106.123228738013</c:v>
                </c:pt>
                <c:pt idx="109">
                  <c:v>77.669223547143403</c:v>
                </c:pt>
                <c:pt idx="110">
                  <c:v>79.187169340219796</c:v>
                </c:pt>
                <c:pt idx="111">
                  <c:v>80.847200734548593</c:v>
                </c:pt>
                <c:pt idx="112">
                  <c:v>81.468333680973302</c:v>
                </c:pt>
              </c:numCache>
            </c:numRef>
          </c:val>
          <c:smooth val="0"/>
          <c:extLst>
            <c:ext xmlns:c16="http://schemas.microsoft.com/office/drawing/2014/chart" uri="{C3380CC4-5D6E-409C-BE32-E72D297353CC}">
              <c16:uniqueId val="{0000003B-72E8-4663-8519-7412DBF95A6B}"/>
            </c:ext>
          </c:extLst>
        </c:ser>
        <c:dLbls>
          <c:showLegendKey val="0"/>
          <c:showVal val="0"/>
          <c:showCatName val="0"/>
          <c:showSerName val="0"/>
          <c:showPercent val="0"/>
          <c:showBubbleSize val="0"/>
        </c:dLbls>
        <c:marker val="1"/>
        <c:smooth val="0"/>
        <c:axId val="579489072"/>
        <c:axId val="582667072"/>
      </c:lineChart>
      <c:catAx>
        <c:axId val="579489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82667072"/>
        <c:crosses val="autoZero"/>
        <c:auto val="1"/>
        <c:lblAlgn val="ctr"/>
        <c:lblOffset val="100"/>
        <c:noMultiLvlLbl val="0"/>
      </c:catAx>
      <c:valAx>
        <c:axId val="582667072"/>
        <c:scaling>
          <c:orientation val="minMax"/>
          <c:max val="12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79489072"/>
        <c:crosses val="autoZero"/>
        <c:crossBetween val="between"/>
      </c:valAx>
      <c:spPr>
        <a:noFill/>
        <a:ln>
          <a:solidFill>
            <a:schemeClr val="bg1">
              <a:lumMod val="95000"/>
            </a:schemeClr>
          </a:solidFill>
        </a:ln>
        <a:effectLst/>
      </c:spPr>
    </c:plotArea>
    <c:legend>
      <c:legendPos val="r"/>
      <c:layout>
        <c:manualLayout>
          <c:xMode val="edge"/>
          <c:yMode val="edge"/>
          <c:x val="7.1625799147747513E-2"/>
          <c:y val="0.79290486143121441"/>
          <c:w val="0.90437507354779079"/>
          <c:h val="7.176846478793198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57150" cap="flat" cmpd="thinThick" algn="ctr">
      <a:solidFill>
        <a:srgbClr val="009999"/>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0.99995</cdr:x>
      <cdr:y>0.18886</cdr:y>
    </cdr:to>
    <cdr:sp macro="" textlink="">
      <cdr:nvSpPr>
        <cdr:cNvPr id="2" name="Text Box 3"/>
        <cdr:cNvSpPr txBox="1">
          <a:spLocks xmlns:a="http://schemas.openxmlformats.org/drawingml/2006/main" noChangeArrowheads="1"/>
        </cdr:cNvSpPr>
      </cdr:nvSpPr>
      <cdr:spPr bwMode="auto">
        <a:xfrm xmlns:a="http://schemas.openxmlformats.org/drawingml/2006/main">
          <a:off x="0" y="0"/>
          <a:ext cx="5820765" cy="3488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1000" b="0">
              <a:latin typeface="Arial" pitchFamily="34" charset="0"/>
              <a:cs typeface="Arial" pitchFamily="34" charset="0"/>
            </a:rPr>
            <a:t>Figura 1. </a:t>
          </a:r>
          <a:r>
            <a:rPr lang="es-MX" sz="1000" b="1">
              <a:latin typeface="Arial" pitchFamily="34" charset="0"/>
              <a:cs typeface="Arial" pitchFamily="34" charset="0"/>
            </a:rPr>
            <a:t>Participación porcentual del </a:t>
          </a:r>
          <a:r>
            <a:rPr lang="es-MX" sz="1000" b="1">
              <a:solidFill>
                <a:sysClr val="windowText" lastClr="000000"/>
              </a:solidFill>
              <a:latin typeface="Arial" pitchFamily="34" charset="0"/>
              <a:cs typeface="Arial" pitchFamily="34" charset="0"/>
            </a:rPr>
            <a:t>PIB turístico en el total de la economía nacional </a:t>
          </a:r>
        </a:p>
        <a:p xmlns:a="http://schemas.openxmlformats.org/drawingml/2006/main">
          <a:pPr algn="ctr"/>
          <a:r>
            <a:rPr lang="es-MX" sz="1000" b="1">
              <a:solidFill>
                <a:sysClr val="windowText" lastClr="000000"/>
              </a:solidFill>
              <a:latin typeface="Arial" pitchFamily="34" charset="0"/>
              <a:cs typeface="Arial" pitchFamily="34" charset="0"/>
            </a:rPr>
            <a:t>A</a:t>
          </a:r>
          <a:r>
            <a:rPr lang="es-MX" sz="1000" b="1" baseline="0">
              <a:solidFill>
                <a:sysClr val="windowText" lastClr="000000"/>
              </a:solidFill>
              <a:latin typeface="Arial" pitchFamily="34" charset="0"/>
              <a:cs typeface="Arial" pitchFamily="34" charset="0"/>
            </a:rPr>
            <a:t> precios corrientes, </a:t>
          </a:r>
          <a:r>
            <a:rPr lang="es-MX" sz="1000" b="1">
              <a:solidFill>
                <a:sysClr val="windowText" lastClr="000000"/>
              </a:solidFill>
              <a:latin typeface="Arial" pitchFamily="34" charset="0"/>
              <a:cs typeface="Arial" pitchFamily="34" charset="0"/>
            </a:rPr>
            <a:t>Base </a:t>
          </a:r>
          <a:r>
            <a:rPr lang="es-MX" sz="1000" b="1">
              <a:latin typeface="Arial" pitchFamily="34" charset="0"/>
              <a:cs typeface="Arial" pitchFamily="34" charset="0"/>
            </a:rPr>
            <a:t>2013, </a:t>
          </a:r>
          <a:r>
            <a:rPr lang="es-MX" sz="1000" b="1" i="0" u="none" strike="noStrike" baseline="0">
              <a:solidFill>
                <a:srgbClr val="000000"/>
              </a:solidFill>
              <a:latin typeface="Arial" pitchFamily="34" charset="0"/>
              <a:cs typeface="Arial" pitchFamily="34" charset="0"/>
            </a:rPr>
            <a:t>Serie 1993-2019</a:t>
          </a:r>
          <a:endParaRPr lang="es-MX" sz="1000" b="1" i="0" u="none" strike="noStrike" baseline="30000">
            <a:solidFill>
              <a:srgbClr val="000000"/>
            </a:solidFill>
            <a:latin typeface="Arial" pitchFamily="34" charset="0"/>
            <a:cs typeface="Arial" pitchFamily="34" charset="0"/>
          </a:endParaRPr>
        </a:p>
        <a:p xmlns:a="http://schemas.openxmlformats.org/drawingml/2006/main">
          <a:pPr algn="ctr" rtl="0">
            <a:defRPr sz="1000"/>
          </a:pPr>
          <a:r>
            <a:rPr lang="es-MX" sz="900" b="0" i="0" u="none" strike="noStrike" baseline="0">
              <a:solidFill>
                <a:srgbClr val="000000"/>
              </a:solidFill>
              <a:latin typeface="Arial" pitchFamily="34" charset="0"/>
              <a:cs typeface="Arial" pitchFamily="34" charset="0"/>
            </a:rPr>
            <a:t>Porcentaje</a:t>
          </a:r>
        </a:p>
        <a:p xmlns:a="http://schemas.openxmlformats.org/drawingml/2006/main">
          <a:pPr algn="l" rtl="0">
            <a:defRPr sz="1000"/>
          </a:pPr>
          <a:endParaRPr lang="es-MX" sz="900" b="0" i="0" u="none" strike="noStrike" baseline="0">
            <a:solidFill>
              <a:srgbClr val="000000"/>
            </a:solidFill>
            <a:latin typeface="Cambria"/>
          </a:endParaRPr>
        </a:p>
      </cdr:txBody>
    </cdr:sp>
  </cdr:relSizeAnchor>
  <cdr:relSizeAnchor xmlns:cdr="http://schemas.openxmlformats.org/drawingml/2006/chartDrawing">
    <cdr:from>
      <cdr:x>0</cdr:x>
      <cdr:y>0.84475</cdr:y>
    </cdr:from>
    <cdr:to>
      <cdr:x>0.99995</cdr:x>
      <cdr:y>0.95823</cdr:y>
    </cdr:to>
    <cdr:sp macro="" textlink="">
      <cdr:nvSpPr>
        <cdr:cNvPr id="3" name="Text Box 3"/>
        <cdr:cNvSpPr txBox="1">
          <a:spLocks xmlns:a="http://schemas.openxmlformats.org/drawingml/2006/main" noChangeArrowheads="1"/>
        </cdr:cNvSpPr>
      </cdr:nvSpPr>
      <cdr:spPr bwMode="auto">
        <a:xfrm xmlns:a="http://schemas.openxmlformats.org/drawingml/2006/main">
          <a:off x="0" y="1843670"/>
          <a:ext cx="5820754" cy="2476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s-MX" sz="700" b="1">
              <a:solidFill>
                <a:sysClr val="windowText" lastClr="000000"/>
              </a:solidFill>
              <a:latin typeface="Arial" panose="020B0604020202020204" pitchFamily="34" charset="0"/>
              <a:cs typeface="Arial" panose="020B0604020202020204" pitchFamily="34" charset="0"/>
            </a:rPr>
            <a:t>Fuente: </a:t>
          </a:r>
          <a:r>
            <a:rPr lang="es-MX" sz="700">
              <a:solidFill>
                <a:sysClr val="windowText" lastClr="000000"/>
              </a:solidFill>
              <a:effectLst/>
              <a:latin typeface="Arial" panose="020B0604020202020204" pitchFamily="34" charset="0"/>
              <a:ea typeface="+mn-ea"/>
              <a:cs typeface="Arial" panose="020B0604020202020204" pitchFamily="34" charset="0"/>
            </a:rPr>
            <a:t>INEGI. Sistema de Cuentas Nacionales de México. Cuenta Satélite del Turismo de México, 2019. Preliminar. Año base 2013. Aguascalientes, México 2020.</a:t>
          </a:r>
          <a:endParaRPr lang="es-MX" sz="700" b="0" i="0" u="none" strike="noStrike" baseline="0">
            <a:solidFill>
              <a:sysClr val="windowText" lastClr="00000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0.94058</cdr:x>
      <cdr:y>0.71355</cdr:y>
    </cdr:from>
    <cdr:to>
      <cdr:x>0.97667</cdr:x>
      <cdr:y>0.76723</cdr:y>
    </cdr:to>
    <cdr:sp macro="" textlink="">
      <cdr:nvSpPr>
        <cdr:cNvPr id="4" name="Cuadro de texto 2"/>
        <cdr:cNvSpPr txBox="1">
          <a:spLocks xmlns:a="http://schemas.openxmlformats.org/drawingml/2006/main" noChangeArrowheads="1"/>
        </cdr:cNvSpPr>
      </cdr:nvSpPr>
      <cdr:spPr bwMode="auto">
        <a:xfrm xmlns:a="http://schemas.openxmlformats.org/drawingml/2006/main" rot="16200000">
          <a:off x="5520534" y="1541426"/>
          <a:ext cx="119372" cy="21008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spcAft>
              <a:spcPts val="0"/>
            </a:spcAft>
          </a:pPr>
          <a:r>
            <a:rPr lang="es-ES_tradnl" sz="700">
              <a:solidFill>
                <a:schemeClr val="tx1">
                  <a:lumMod val="65000"/>
                  <a:lumOff val="35000"/>
                </a:schemeClr>
              </a:solidFill>
              <a:effectLst/>
              <a:latin typeface="Arial" panose="020B0604020202020204" pitchFamily="34" charset="0"/>
              <a:ea typeface="Times New Roman" panose="02020603050405020304" pitchFamily="18" charset="0"/>
            </a:rPr>
            <a:t>P</a:t>
          </a:r>
          <a:endParaRPr lang="es-MX" sz="1000">
            <a:solidFill>
              <a:schemeClr val="tx1">
                <a:lumMod val="65000"/>
                <a:lumOff val="35000"/>
              </a:schemeClr>
            </a:solidFill>
            <a:effectLst/>
            <a:latin typeface="Arial" panose="020B0604020202020204" pitchFamily="34"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0.00069</cdr:x>
      <cdr:y>0.01335</cdr:y>
    </cdr:from>
    <cdr:to>
      <cdr:x>1</cdr:x>
      <cdr:y>0.12766</cdr:y>
    </cdr:to>
    <cdr:sp macro="" textlink="">
      <cdr:nvSpPr>
        <cdr:cNvPr id="2" name="Text Box 3"/>
        <cdr:cNvSpPr txBox="1">
          <a:spLocks xmlns:a="http://schemas.openxmlformats.org/drawingml/2006/main" noChangeArrowheads="1"/>
        </cdr:cNvSpPr>
      </cdr:nvSpPr>
      <cdr:spPr bwMode="auto">
        <a:xfrm xmlns:a="http://schemas.openxmlformats.org/drawingml/2006/main">
          <a:off x="50800" y="50800"/>
          <a:ext cx="5612130" cy="4349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MX" sz="1000">
              <a:effectLst/>
              <a:latin typeface="Arial" panose="020B0604020202020204" pitchFamily="34" charset="0"/>
              <a:ea typeface="Times New Roman" panose="02020603050405020304" pitchFamily="18" charset="0"/>
              <a:cs typeface="Arial" panose="020B0604020202020204" pitchFamily="34" charset="0"/>
            </a:rPr>
            <a:t>Figura 2.</a:t>
          </a:r>
          <a:r>
            <a:rPr lang="es-MX" sz="1000" b="1">
              <a:effectLst/>
              <a:latin typeface="Arial" panose="020B0604020202020204" pitchFamily="34" charset="0"/>
              <a:ea typeface="Times New Roman" panose="02020603050405020304" pitchFamily="18" charset="0"/>
              <a:cs typeface="Arial" panose="020B0604020202020204" pitchFamily="34" charset="0"/>
            </a:rPr>
            <a:t> </a:t>
          </a:r>
          <a:r>
            <a:rPr lang="es-MX" sz="1000" b="1">
              <a:effectLst/>
              <a:latin typeface="Arial" panose="020B0604020202020204" pitchFamily="34" charset="0"/>
              <a:ea typeface="Times New Roman" panose="02020603050405020304" pitchFamily="18" charset="0"/>
            </a:rPr>
            <a:t>Índices de Volumen Físico del Producto Interno Bruto Turístico Trimestral </a:t>
          </a:r>
          <a:endParaRPr lang="es-MX" sz="1000">
            <a:effectLst/>
            <a:latin typeface="Arial" panose="020B0604020202020204" pitchFamily="34" charset="0"/>
            <a:ea typeface="Times New Roman" panose="02020603050405020304" pitchFamily="18" charset="0"/>
            <a:cs typeface="Arial" panose="020B0604020202020204" pitchFamily="34" charset="0"/>
          </a:endParaRPr>
        </a:p>
        <a:p xmlns:a="http://schemas.openxmlformats.org/drawingml/2006/main">
          <a:pPr algn="ctr">
            <a:spcAft>
              <a:spcPts val="0"/>
            </a:spcAft>
          </a:pPr>
          <a:r>
            <a:rPr lang="es-ES_tradnl" sz="900" kern="1200">
              <a:solidFill>
                <a:srgbClr val="000000"/>
              </a:solidFill>
              <a:effectLst/>
              <a:latin typeface="Arial" panose="020B0604020202020204" pitchFamily="34" charset="0"/>
              <a:ea typeface="Times New Roman" panose="02020603050405020304" pitchFamily="18" charset="0"/>
              <a:cs typeface="Arial" panose="020B0604020202020204" pitchFamily="34" charset="0"/>
            </a:rPr>
            <a:t>(Cifras</a:t>
          </a:r>
          <a:r>
            <a:rPr lang="es-ES_tradnl" sz="900" kern="1200" baseline="0">
              <a:solidFill>
                <a:srgbClr val="000000"/>
              </a:solidFill>
              <a:effectLst/>
              <a:latin typeface="Arial" panose="020B0604020202020204" pitchFamily="34" charset="0"/>
              <a:ea typeface="Times New Roman" panose="02020603050405020304" pitchFamily="18" charset="0"/>
              <a:cs typeface="Arial" panose="020B0604020202020204" pitchFamily="34" charset="0"/>
            </a:rPr>
            <a:t> originales)</a:t>
          </a:r>
          <a:endParaRPr lang="es-MX" sz="9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cdr:x>
      <cdr:y>0.86073</cdr:y>
    </cdr:from>
    <cdr:to>
      <cdr:x>0.99931</cdr:x>
      <cdr:y>0.98089</cdr:y>
    </cdr:to>
    <cdr:sp macro="" textlink="">
      <cdr:nvSpPr>
        <cdr:cNvPr id="3" name="Text Box 3"/>
        <cdr:cNvSpPr txBox="1">
          <a:spLocks xmlns:a="http://schemas.openxmlformats.org/drawingml/2006/main" noChangeArrowheads="1"/>
        </cdr:cNvSpPr>
      </cdr:nvSpPr>
      <cdr:spPr bwMode="auto">
        <a:xfrm xmlns:a="http://schemas.openxmlformats.org/drawingml/2006/main">
          <a:off x="0" y="2726246"/>
          <a:ext cx="5817028" cy="3805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91440" tIns="45720" rIns="91440" bIns="4572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spcAft>
              <a:spcPts val="0"/>
            </a:spcAft>
          </a:pPr>
          <a:r>
            <a:rPr lang="es-MX" sz="750" b="1">
              <a:effectLst/>
              <a:latin typeface="Arial" panose="020B0604020202020204" pitchFamily="34" charset="0"/>
              <a:ea typeface="Times New Roman" panose="02020603050405020304" pitchFamily="18" charset="0"/>
            </a:rPr>
            <a:t>Fuente: </a:t>
          </a:r>
          <a:r>
            <a:rPr lang="es-MX" sz="750">
              <a:effectLst/>
              <a:latin typeface="Arial" panose="020B0604020202020204" pitchFamily="34" charset="0"/>
              <a:ea typeface="Times New Roman" panose="02020603050405020304" pitchFamily="18" charset="0"/>
            </a:rPr>
            <a:t>INEGI.</a:t>
          </a:r>
          <a:r>
            <a:rPr lang="es-ES_tradnl" sz="750">
              <a:effectLst/>
              <a:latin typeface="Arial" panose="020B0604020202020204" pitchFamily="34" charset="0"/>
              <a:ea typeface="Times New Roman" panose="02020603050405020304" pitchFamily="18" charset="0"/>
            </a:rPr>
            <a:t> Sistema de Cuentas Nacionales de México. </a:t>
          </a:r>
          <a:r>
            <a:rPr lang="es-MX" sz="750">
              <a:effectLst/>
              <a:latin typeface="Arial" panose="020B0604020202020204" pitchFamily="34" charset="0"/>
              <a:ea typeface="Times New Roman" panose="02020603050405020304" pitchFamily="18" charset="0"/>
            </a:rPr>
            <a:t>Indicadores Trimestrales de la Actividad </a:t>
          </a:r>
          <a:r>
            <a:rPr lang="es-MX" sz="750">
              <a:solidFill>
                <a:sysClr val="windowText" lastClr="000000"/>
              </a:solidFill>
              <a:effectLst/>
              <a:latin typeface="Arial" panose="020B0604020202020204" pitchFamily="34" charset="0"/>
              <a:ea typeface="Times New Roman" panose="02020603050405020304" pitchFamily="18" charset="0"/>
            </a:rPr>
            <a:t>Turística.</a:t>
          </a:r>
          <a:r>
            <a:rPr lang="es-MX" sz="750" baseline="0">
              <a:solidFill>
                <a:sysClr val="windowText" lastClr="000000"/>
              </a:solidFill>
              <a:effectLst/>
              <a:latin typeface="Arial" panose="020B0604020202020204" pitchFamily="34" charset="0"/>
              <a:ea typeface="Times New Roman" panose="02020603050405020304" pitchFamily="18" charset="0"/>
            </a:rPr>
            <a:t> </a:t>
          </a:r>
          <a:r>
            <a:rPr lang="es-MX" sz="750">
              <a:solidFill>
                <a:sysClr val="windowText" lastClr="000000"/>
              </a:solidFill>
              <a:effectLst/>
              <a:latin typeface="Arial" panose="020B0604020202020204" pitchFamily="34" charset="0"/>
              <a:ea typeface="Times New Roman" panose="02020603050405020304" pitchFamily="18" charset="0"/>
            </a:rPr>
            <a:t>ITAT.</a:t>
          </a:r>
          <a:r>
            <a:rPr lang="es-MX" sz="750" baseline="0">
              <a:solidFill>
                <a:sysClr val="windowText" lastClr="000000"/>
              </a:solidFill>
              <a:effectLst/>
              <a:latin typeface="Arial" panose="020B0604020202020204" pitchFamily="34" charset="0"/>
              <a:ea typeface="Times New Roman" panose="02020603050405020304" pitchFamily="18" charset="0"/>
            </a:rPr>
            <a:t> Año base 2013.            </a:t>
          </a:r>
        </a:p>
        <a:p xmlns:a="http://schemas.openxmlformats.org/drawingml/2006/main">
          <a:pPr algn="l">
            <a:spcAft>
              <a:spcPts val="0"/>
            </a:spcAft>
          </a:pPr>
          <a:r>
            <a:rPr lang="es-MX" sz="750" baseline="0">
              <a:solidFill>
                <a:sysClr val="windowText" lastClr="000000"/>
              </a:solidFill>
              <a:effectLst/>
              <a:latin typeface="Arial" panose="020B0604020202020204" pitchFamily="34" charset="0"/>
              <a:ea typeface="Times New Roman" panose="02020603050405020304" pitchFamily="18" charset="0"/>
            </a:rPr>
            <a:t>              Primer trimestre 2021</a:t>
          </a:r>
          <a:r>
            <a:rPr lang="es-MX" sz="750">
              <a:solidFill>
                <a:sysClr val="windowText" lastClr="000000"/>
              </a:solidFill>
              <a:effectLst/>
              <a:latin typeface="Arial" panose="020B0604020202020204" pitchFamily="34" charset="0"/>
              <a:ea typeface="Times New Roman" panose="02020603050405020304" pitchFamily="18" charset="0"/>
            </a:rPr>
            <a:t>. </a:t>
          </a:r>
        </a:p>
        <a:p xmlns:a="http://schemas.openxmlformats.org/drawingml/2006/main">
          <a:pPr algn="just">
            <a:spcAft>
              <a:spcPts val="0"/>
            </a:spcAft>
          </a:pPr>
          <a:r>
            <a:rPr lang="es-MX" sz="750">
              <a:solidFill>
                <a:sysClr val="windowText" lastClr="000000"/>
              </a:solidFill>
              <a:effectLst/>
              <a:latin typeface="Arial" panose="020B0604020202020204" pitchFamily="34" charset="0"/>
              <a:ea typeface="Times New Roman" panose="02020603050405020304" pitchFamily="18" charset="0"/>
            </a:rPr>
            <a:t>Cifras preliminares a partir del primer trimestre de 2019.</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A752-2A9D-4EFB-A2D5-51C21127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ESTADÍSTICAS A PROPÓSITO DEL DÍA MUNDIAL DEL TURISMO</vt:lpstr>
    </vt:vector>
  </TitlesOfParts>
  <Company>INEGI</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A PROPÓSITO DEL DÍA MUNDIAL DEL TURISMO</dc:title>
  <dc:subject/>
  <dc:creator>MARIA.ROJANO@inegi.org.mx</dc:creator>
  <cp:keywords/>
  <dc:description/>
  <cp:lastModifiedBy>MORONES RUIZ FABIOLA CRISTINA</cp:lastModifiedBy>
  <cp:revision>2</cp:revision>
  <cp:lastPrinted>2019-09-12T17:03:00Z</cp:lastPrinted>
  <dcterms:created xsi:type="dcterms:W3CDTF">2021-09-24T15:01:00Z</dcterms:created>
  <dcterms:modified xsi:type="dcterms:W3CDTF">2021-09-24T15:01:00Z</dcterms:modified>
</cp:coreProperties>
</file>