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3C8E3D" w14:textId="77777777" w:rsidR="00792300" w:rsidRPr="00BB53A6" w:rsidRDefault="00792300" w:rsidP="00792300">
      <w:pPr>
        <w:spacing w:after="0"/>
        <w:ind w:left="-284" w:right="-235"/>
        <w:jc w:val="center"/>
        <w:rPr>
          <w:rFonts w:ascii="Arial" w:eastAsiaTheme="majorEastAsia" w:hAnsi="Arial" w:cs="Arial"/>
          <w:b/>
          <w:bCs/>
          <w:color w:val="000000" w:themeColor="text1"/>
          <w:sz w:val="24"/>
          <w:szCs w:val="20"/>
        </w:rPr>
      </w:pPr>
      <w:r w:rsidRPr="00BB53A6">
        <w:rPr>
          <w:rFonts w:ascii="Arial" w:eastAsiaTheme="majorEastAsia" w:hAnsi="Arial" w:cs="Arial"/>
          <w:b/>
          <w:bCs/>
          <w:color w:val="000000" w:themeColor="text1"/>
          <w:sz w:val="24"/>
          <w:szCs w:val="20"/>
        </w:rPr>
        <w:t>ESTADÍSTICAS A PROPÓSITO DEL DÍA INTERNACIONAL DE LA LUCHA CONTRA</w:t>
      </w:r>
    </w:p>
    <w:p w14:paraId="7629A84D" w14:textId="1A6508B7" w:rsidR="00792300" w:rsidRPr="00BB53A6" w:rsidRDefault="00792300" w:rsidP="00D60EA6">
      <w:pPr>
        <w:spacing w:after="120"/>
        <w:ind w:left="-284" w:right="-232"/>
        <w:jc w:val="center"/>
        <w:rPr>
          <w:rFonts w:ascii="Arial" w:eastAsiaTheme="majorEastAsia" w:hAnsi="Arial" w:cs="Arial"/>
          <w:b/>
          <w:bCs/>
          <w:color w:val="000000" w:themeColor="text1"/>
          <w:sz w:val="24"/>
          <w:szCs w:val="20"/>
        </w:rPr>
      </w:pPr>
      <w:r w:rsidRPr="00BB53A6">
        <w:rPr>
          <w:rFonts w:ascii="Arial" w:eastAsiaTheme="majorEastAsia" w:hAnsi="Arial" w:cs="Arial"/>
          <w:b/>
          <w:bCs/>
          <w:color w:val="000000" w:themeColor="text1"/>
          <w:sz w:val="24"/>
          <w:szCs w:val="20"/>
        </w:rPr>
        <w:t>EL USO INDEBIDO Y EL TRÁFICO DE DROGAS (26 DE JUNIO)</w:t>
      </w:r>
    </w:p>
    <w:p w14:paraId="0E887DFD" w14:textId="6B32950B" w:rsidR="004E07CE" w:rsidRDefault="004E07CE" w:rsidP="00CC0895">
      <w:pPr>
        <w:pStyle w:val="Prrafodelista"/>
        <w:numPr>
          <w:ilvl w:val="0"/>
          <w:numId w:val="18"/>
        </w:numPr>
        <w:spacing w:after="0" w:line="240" w:lineRule="auto"/>
        <w:ind w:left="425" w:hanging="357"/>
        <w:jc w:val="both"/>
        <w:rPr>
          <w:rFonts w:ascii="Arial" w:hAnsi="Arial" w:cs="Arial"/>
        </w:rPr>
      </w:pPr>
      <w:r w:rsidRPr="00042ED7">
        <w:rPr>
          <w:rFonts w:ascii="Arial" w:hAnsi="Arial" w:cs="Arial"/>
        </w:rPr>
        <w:t>De</w:t>
      </w:r>
      <w:r>
        <w:rPr>
          <w:rFonts w:ascii="Arial" w:hAnsi="Arial" w:cs="Arial"/>
        </w:rPr>
        <w:t xml:space="preserve">l total de los delitos </w:t>
      </w:r>
      <w:r w:rsidRPr="00042ED7">
        <w:rPr>
          <w:rFonts w:ascii="Arial" w:hAnsi="Arial" w:cs="Arial"/>
        </w:rPr>
        <w:t>del fuero común y federal en averiguaciones previas y carpetas de investigación iniciadas en las fiscalías y procuradurías de justicia del país</w:t>
      </w:r>
      <w:r w:rsidR="00D674DA">
        <w:rPr>
          <w:rFonts w:ascii="Arial" w:hAnsi="Arial" w:cs="Arial"/>
        </w:rPr>
        <w:t xml:space="preserve">, </w:t>
      </w:r>
      <w:r w:rsidRPr="00042ED7">
        <w:rPr>
          <w:rFonts w:ascii="Arial" w:hAnsi="Arial" w:cs="Arial"/>
        </w:rPr>
        <w:t>4.7% estuvieron relacionados con drogas, de los cuales 92.7% fueron en su modalidad de narcomenudeo y 7.3% fueron delitos federales contra la salud relacionados con narcóticos</w:t>
      </w:r>
      <w:r w:rsidR="00D674DA">
        <w:rPr>
          <w:rFonts w:ascii="Arial" w:hAnsi="Arial" w:cs="Arial"/>
        </w:rPr>
        <w:t>.</w:t>
      </w:r>
    </w:p>
    <w:p w14:paraId="0E8CB8E4" w14:textId="7F172B7C" w:rsidR="00D674DA" w:rsidRDefault="00D674DA" w:rsidP="00CC0895">
      <w:pPr>
        <w:pStyle w:val="Prrafodelista"/>
        <w:numPr>
          <w:ilvl w:val="0"/>
          <w:numId w:val="18"/>
        </w:numPr>
        <w:spacing w:after="0" w:line="240" w:lineRule="auto"/>
        <w:ind w:left="425" w:hanging="357"/>
        <w:jc w:val="both"/>
        <w:rPr>
          <w:rFonts w:ascii="Arial" w:hAnsi="Arial" w:cs="Arial"/>
        </w:rPr>
      </w:pPr>
      <w:r w:rsidRPr="00042ED7">
        <w:rPr>
          <w:rFonts w:ascii="Arial" w:hAnsi="Arial" w:cs="Arial"/>
        </w:rPr>
        <w:t>Con relación a las sustancias psicoactivas involucradas en los delitos de narcomenudeo, se encontró que la mitad de los delitos (50.1%) estuvieron relacionados con la posesión y comercio de cannabis, 34.1% estuvieron relacionados con metanfetaminas y 14.4% con cocaína</w:t>
      </w:r>
      <w:r>
        <w:rPr>
          <w:rFonts w:ascii="Arial" w:hAnsi="Arial" w:cs="Arial"/>
        </w:rPr>
        <w:t>.</w:t>
      </w:r>
    </w:p>
    <w:p w14:paraId="5F32D180" w14:textId="4509A187" w:rsidR="00BF359C" w:rsidRPr="00CC0895" w:rsidRDefault="00D674DA" w:rsidP="00CC0895">
      <w:pPr>
        <w:pStyle w:val="Prrafodelista"/>
        <w:numPr>
          <w:ilvl w:val="0"/>
          <w:numId w:val="18"/>
        </w:numPr>
        <w:spacing w:after="0" w:line="240" w:lineRule="auto"/>
        <w:ind w:left="425" w:hanging="357"/>
        <w:jc w:val="both"/>
        <w:rPr>
          <w:rFonts w:ascii="Arial" w:hAnsi="Arial" w:cs="Arial"/>
        </w:rPr>
      </w:pPr>
      <w:r>
        <w:rPr>
          <w:rFonts w:ascii="Arial" w:hAnsi="Arial" w:cs="Arial"/>
        </w:rPr>
        <w:t xml:space="preserve">Las </w:t>
      </w:r>
      <w:r w:rsidRPr="00042ED7">
        <w:rPr>
          <w:rFonts w:ascii="Arial" w:hAnsi="Arial" w:cs="Arial"/>
        </w:rPr>
        <w:t>mujeres tienden a involucrarse con mayor frecuencia en actividades de alto riesgo, pero de bajo rango como el transporte de drogas</w:t>
      </w:r>
      <w:r>
        <w:rPr>
          <w:rFonts w:ascii="Arial" w:hAnsi="Arial" w:cs="Arial"/>
        </w:rPr>
        <w:t xml:space="preserve"> y sufren mayor inseguridad jurídica en el proceso penal.</w:t>
      </w:r>
    </w:p>
    <w:p w14:paraId="14E69A76" w14:textId="32A6C826" w:rsidR="001D3AB1" w:rsidRPr="00042ED7" w:rsidRDefault="00D674DA" w:rsidP="00CC0895">
      <w:pPr>
        <w:pStyle w:val="Prrafodelista"/>
        <w:numPr>
          <w:ilvl w:val="0"/>
          <w:numId w:val="18"/>
        </w:numPr>
        <w:spacing w:after="0" w:line="240" w:lineRule="auto"/>
        <w:ind w:left="425" w:hanging="357"/>
        <w:jc w:val="both"/>
        <w:rPr>
          <w:rFonts w:ascii="Arial" w:hAnsi="Arial" w:cs="Arial"/>
        </w:rPr>
      </w:pPr>
      <w:r>
        <w:rPr>
          <w:rFonts w:ascii="Arial" w:hAnsi="Arial" w:cs="Arial"/>
        </w:rPr>
        <w:t>De 2017 a 2019, e</w:t>
      </w:r>
      <w:r w:rsidR="00792300" w:rsidRPr="00042ED7">
        <w:rPr>
          <w:rFonts w:ascii="Arial" w:hAnsi="Arial" w:cs="Arial"/>
        </w:rPr>
        <w:t xml:space="preserve">l aseguramiento de </w:t>
      </w:r>
      <w:r w:rsidR="001D3AB1" w:rsidRPr="00042ED7">
        <w:rPr>
          <w:rFonts w:ascii="Arial" w:hAnsi="Arial" w:cs="Arial"/>
        </w:rPr>
        <w:t xml:space="preserve">drogas </w:t>
      </w:r>
      <w:r w:rsidR="00792300" w:rsidRPr="00042ED7">
        <w:rPr>
          <w:rFonts w:ascii="Arial" w:hAnsi="Arial" w:cs="Arial"/>
        </w:rPr>
        <w:t xml:space="preserve">ha registrado </w:t>
      </w:r>
      <w:r w:rsidR="001D3AB1" w:rsidRPr="00042ED7">
        <w:rPr>
          <w:rFonts w:ascii="Arial" w:hAnsi="Arial" w:cs="Arial"/>
        </w:rPr>
        <w:t xml:space="preserve">una tendencia decreciente, </w:t>
      </w:r>
      <w:r w:rsidR="0041252D" w:rsidRPr="00042ED7">
        <w:rPr>
          <w:rFonts w:ascii="Arial" w:hAnsi="Arial" w:cs="Arial"/>
        </w:rPr>
        <w:t>particularmente en el aseguramiento de marihuana y amapola</w:t>
      </w:r>
      <w:r w:rsidR="001D3AB1" w:rsidRPr="00042ED7">
        <w:rPr>
          <w:rFonts w:ascii="Arial" w:hAnsi="Arial" w:cs="Arial"/>
        </w:rPr>
        <w:t>.</w:t>
      </w:r>
    </w:p>
    <w:p w14:paraId="3A33BC46" w14:textId="77777777" w:rsidR="00CC0895" w:rsidRDefault="00CC0895" w:rsidP="0041252D">
      <w:pPr>
        <w:spacing w:after="120"/>
        <w:jc w:val="both"/>
        <w:rPr>
          <w:rFonts w:ascii="Arial" w:hAnsi="Arial" w:cs="Arial"/>
        </w:rPr>
      </w:pPr>
    </w:p>
    <w:p w14:paraId="245E79FA" w14:textId="1354E076" w:rsidR="0065637C" w:rsidRPr="00042ED7" w:rsidRDefault="00150C64" w:rsidP="0041252D">
      <w:pPr>
        <w:spacing w:after="120"/>
        <w:jc w:val="both"/>
        <w:rPr>
          <w:rFonts w:ascii="Arial" w:hAnsi="Arial" w:cs="Arial"/>
        </w:rPr>
      </w:pPr>
      <w:r>
        <w:rPr>
          <w:rFonts w:ascii="Arial" w:hAnsi="Arial" w:cs="Arial"/>
        </w:rPr>
        <w:t xml:space="preserve">A partir de </w:t>
      </w:r>
      <w:r w:rsidR="0065637C" w:rsidRPr="00042ED7">
        <w:rPr>
          <w:rFonts w:ascii="Arial" w:hAnsi="Arial" w:cs="Arial"/>
        </w:rPr>
        <w:t>1988</w:t>
      </w:r>
      <w:r>
        <w:rPr>
          <w:rFonts w:ascii="Arial" w:hAnsi="Arial" w:cs="Arial"/>
        </w:rPr>
        <w:t>, l</w:t>
      </w:r>
      <w:r w:rsidR="005C3060" w:rsidRPr="00042ED7">
        <w:rPr>
          <w:rFonts w:ascii="Arial" w:hAnsi="Arial" w:cs="Arial"/>
        </w:rPr>
        <w:t xml:space="preserve">a Asamblea de la Naciones Unidas </w:t>
      </w:r>
      <w:r>
        <w:rPr>
          <w:rFonts w:ascii="Arial" w:hAnsi="Arial" w:cs="Arial"/>
        </w:rPr>
        <w:t xml:space="preserve">determinó </w:t>
      </w:r>
      <w:r w:rsidR="00432E31" w:rsidRPr="00042ED7">
        <w:rPr>
          <w:rFonts w:ascii="Arial" w:hAnsi="Arial" w:cs="Arial"/>
        </w:rPr>
        <w:t xml:space="preserve">el </w:t>
      </w:r>
      <w:r w:rsidR="0065637C" w:rsidRPr="00042ED7">
        <w:rPr>
          <w:rFonts w:ascii="Arial" w:hAnsi="Arial" w:cs="Arial"/>
        </w:rPr>
        <w:t xml:space="preserve">26 de junio </w:t>
      </w:r>
      <w:r>
        <w:rPr>
          <w:rFonts w:ascii="Arial" w:hAnsi="Arial" w:cs="Arial"/>
        </w:rPr>
        <w:t xml:space="preserve">como el </w:t>
      </w:r>
      <w:bookmarkStart w:id="0" w:name="_GoBack"/>
      <w:r w:rsidR="00792300" w:rsidRPr="00042ED7">
        <w:rPr>
          <w:rFonts w:ascii="Arial" w:hAnsi="Arial" w:cs="Arial"/>
        </w:rPr>
        <w:t>Día Internacional de la Lucha Contra el Uso Indebido y el Tráfico Ilícito de Drogas</w:t>
      </w:r>
      <w:bookmarkEnd w:id="0"/>
      <w:r>
        <w:rPr>
          <w:rFonts w:ascii="Arial" w:hAnsi="Arial" w:cs="Arial"/>
        </w:rPr>
        <w:t xml:space="preserve">, con la finalidad de </w:t>
      </w:r>
      <w:r w:rsidRPr="00042ED7">
        <w:rPr>
          <w:rFonts w:ascii="Arial" w:hAnsi="Arial" w:cs="Arial"/>
        </w:rPr>
        <w:t>hacer conciencia sobre el grave problema que representan las drogas ilícitas en la sociedad</w:t>
      </w:r>
      <w:r w:rsidR="0065637C" w:rsidRPr="00042ED7">
        <w:rPr>
          <w:rFonts w:ascii="Arial" w:hAnsi="Arial" w:cs="Arial"/>
        </w:rPr>
        <w:t>.</w:t>
      </w:r>
    </w:p>
    <w:p w14:paraId="1A3B726B" w14:textId="2EC4130D" w:rsidR="00C26C55" w:rsidRPr="00042ED7" w:rsidRDefault="0065637C" w:rsidP="0041252D">
      <w:pPr>
        <w:spacing w:after="120"/>
        <w:jc w:val="both"/>
        <w:rPr>
          <w:rFonts w:ascii="Arial" w:hAnsi="Arial" w:cs="Arial"/>
        </w:rPr>
      </w:pPr>
      <w:r w:rsidRPr="00042ED7">
        <w:rPr>
          <w:rFonts w:ascii="Arial" w:hAnsi="Arial" w:cs="Arial"/>
        </w:rPr>
        <w:t>E</w:t>
      </w:r>
      <w:r w:rsidR="005C3060" w:rsidRPr="00042ED7">
        <w:rPr>
          <w:rFonts w:ascii="Arial" w:hAnsi="Arial" w:cs="Arial"/>
        </w:rPr>
        <w:t xml:space="preserve">n el marco de este llamado, el </w:t>
      </w:r>
      <w:r w:rsidR="005367BA">
        <w:rPr>
          <w:rFonts w:ascii="Arial" w:hAnsi="Arial" w:cs="Arial"/>
        </w:rPr>
        <w:t>INEGI</w:t>
      </w:r>
      <w:r w:rsidR="00792300" w:rsidRPr="00042ED7">
        <w:rPr>
          <w:rFonts w:ascii="Arial" w:hAnsi="Arial" w:cs="Arial"/>
        </w:rPr>
        <w:t xml:space="preserve"> </w:t>
      </w:r>
      <w:r w:rsidR="004E07CE">
        <w:rPr>
          <w:rFonts w:ascii="Arial" w:hAnsi="Arial" w:cs="Arial"/>
        </w:rPr>
        <w:t xml:space="preserve">presenta datos de </w:t>
      </w:r>
      <w:r w:rsidR="005367BA">
        <w:rPr>
          <w:rFonts w:ascii="Arial" w:hAnsi="Arial" w:cs="Arial"/>
        </w:rPr>
        <w:t>c</w:t>
      </w:r>
      <w:r w:rsidR="004E07CE">
        <w:rPr>
          <w:rFonts w:ascii="Arial" w:hAnsi="Arial" w:cs="Arial"/>
        </w:rPr>
        <w:t>ensos nacionales y estatales de gobierno y procuración de justicia</w:t>
      </w:r>
      <w:r w:rsidR="004E07CE">
        <w:rPr>
          <w:rStyle w:val="Refdenotaalpie"/>
          <w:rFonts w:ascii="Arial" w:hAnsi="Arial" w:cs="Arial"/>
        </w:rPr>
        <w:footnoteReference w:id="1"/>
      </w:r>
      <w:r w:rsidR="004E07CE">
        <w:rPr>
          <w:rFonts w:ascii="Arial" w:hAnsi="Arial" w:cs="Arial"/>
        </w:rPr>
        <w:t xml:space="preserve"> para </w:t>
      </w:r>
      <w:r w:rsidR="005C3060" w:rsidRPr="00042ED7">
        <w:rPr>
          <w:rFonts w:ascii="Arial" w:hAnsi="Arial" w:cs="Arial"/>
        </w:rPr>
        <w:t>ofrece</w:t>
      </w:r>
      <w:r w:rsidR="004E07CE">
        <w:rPr>
          <w:rFonts w:ascii="Arial" w:hAnsi="Arial" w:cs="Arial"/>
        </w:rPr>
        <w:t xml:space="preserve">r </w:t>
      </w:r>
      <w:r w:rsidR="005C3060" w:rsidRPr="00042ED7">
        <w:rPr>
          <w:rFonts w:ascii="Arial" w:hAnsi="Arial" w:cs="Arial"/>
        </w:rPr>
        <w:t xml:space="preserve">un </w:t>
      </w:r>
      <w:r w:rsidR="00727D9A" w:rsidRPr="00042ED7">
        <w:rPr>
          <w:rFonts w:ascii="Arial" w:hAnsi="Arial" w:cs="Arial"/>
        </w:rPr>
        <w:t xml:space="preserve">panorama del </w:t>
      </w:r>
      <w:r w:rsidR="00792300" w:rsidRPr="00042ED7">
        <w:rPr>
          <w:rFonts w:ascii="Arial" w:hAnsi="Arial" w:cs="Arial"/>
        </w:rPr>
        <w:t xml:space="preserve">fenómeno de las drogas </w:t>
      </w:r>
      <w:r w:rsidR="005C3060" w:rsidRPr="00042ED7">
        <w:rPr>
          <w:rFonts w:ascii="Arial" w:hAnsi="Arial" w:cs="Arial"/>
        </w:rPr>
        <w:t xml:space="preserve">en México </w:t>
      </w:r>
      <w:r w:rsidR="00792300" w:rsidRPr="00042ED7">
        <w:rPr>
          <w:rFonts w:ascii="Arial" w:hAnsi="Arial" w:cs="Arial"/>
        </w:rPr>
        <w:t xml:space="preserve">desde </w:t>
      </w:r>
      <w:r w:rsidR="00727D9A" w:rsidRPr="00042ED7">
        <w:rPr>
          <w:rFonts w:ascii="Arial" w:hAnsi="Arial" w:cs="Arial"/>
        </w:rPr>
        <w:t>el ámbito de la</w:t>
      </w:r>
      <w:r w:rsidR="00792300" w:rsidRPr="00042ED7">
        <w:rPr>
          <w:rFonts w:ascii="Arial" w:hAnsi="Arial" w:cs="Arial"/>
        </w:rPr>
        <w:t xml:space="preserve"> justicia a través de las estadísticas sobre personas y delitos relacionados con </w:t>
      </w:r>
      <w:r w:rsidR="00C26C55" w:rsidRPr="00042ED7">
        <w:rPr>
          <w:rFonts w:ascii="Arial" w:hAnsi="Arial" w:cs="Arial"/>
        </w:rPr>
        <w:t>drogas,</w:t>
      </w:r>
      <w:r w:rsidR="00792300" w:rsidRPr="00042ED7">
        <w:rPr>
          <w:rFonts w:ascii="Arial" w:hAnsi="Arial" w:cs="Arial"/>
        </w:rPr>
        <w:t xml:space="preserve"> así como </w:t>
      </w:r>
      <w:r w:rsidR="00727D9A" w:rsidRPr="00042ED7">
        <w:rPr>
          <w:rFonts w:ascii="Arial" w:hAnsi="Arial" w:cs="Arial"/>
        </w:rPr>
        <w:t xml:space="preserve">de </w:t>
      </w:r>
      <w:r w:rsidR="00792300" w:rsidRPr="00042ED7">
        <w:rPr>
          <w:rFonts w:ascii="Arial" w:hAnsi="Arial" w:cs="Arial"/>
        </w:rPr>
        <w:t xml:space="preserve">algunos resultados de las acciones que el Estado </w:t>
      </w:r>
      <w:r w:rsidR="005C3060" w:rsidRPr="00042ED7">
        <w:rPr>
          <w:rFonts w:ascii="Arial" w:hAnsi="Arial" w:cs="Arial"/>
        </w:rPr>
        <w:t xml:space="preserve">mexicano </w:t>
      </w:r>
      <w:r w:rsidR="00727D9A" w:rsidRPr="00042ED7">
        <w:rPr>
          <w:rFonts w:ascii="Arial" w:hAnsi="Arial" w:cs="Arial"/>
        </w:rPr>
        <w:t xml:space="preserve">ha desplegado </w:t>
      </w:r>
      <w:r w:rsidR="00792300" w:rsidRPr="00042ED7">
        <w:rPr>
          <w:rFonts w:ascii="Arial" w:hAnsi="Arial" w:cs="Arial"/>
        </w:rPr>
        <w:t>para combatir el tráfico y producción de estupefacientes.</w:t>
      </w:r>
      <w:r w:rsidR="00792300" w:rsidRPr="00042ED7">
        <w:rPr>
          <w:rStyle w:val="Refdenotaalpie"/>
          <w:rFonts w:ascii="Arial" w:hAnsi="Arial" w:cs="Arial"/>
        </w:rPr>
        <w:footnoteReference w:id="2"/>
      </w:r>
      <w:bookmarkStart w:id="1" w:name="_Hlk70681127"/>
      <w:bookmarkStart w:id="2" w:name="_Hlk71047378"/>
      <w:r w:rsidR="00150C64">
        <w:rPr>
          <w:rFonts w:ascii="Arial" w:hAnsi="Arial" w:cs="Arial"/>
        </w:rPr>
        <w:t xml:space="preserve"> </w:t>
      </w:r>
    </w:p>
    <w:p w14:paraId="0A171CDB" w14:textId="447C648F" w:rsidR="00792300" w:rsidRDefault="00792300" w:rsidP="0041252D">
      <w:pPr>
        <w:spacing w:after="120"/>
        <w:jc w:val="both"/>
        <w:rPr>
          <w:rFonts w:ascii="Arial" w:hAnsi="Arial" w:cs="Arial"/>
        </w:rPr>
      </w:pPr>
      <w:r w:rsidRPr="00042ED7">
        <w:rPr>
          <w:rFonts w:ascii="Arial" w:hAnsi="Arial" w:cs="Arial"/>
        </w:rPr>
        <w:t>En el último lustro</w:t>
      </w:r>
      <w:r w:rsidR="005C3060" w:rsidRPr="00042ED7">
        <w:rPr>
          <w:rFonts w:ascii="Arial" w:hAnsi="Arial" w:cs="Arial"/>
        </w:rPr>
        <w:t>,</w:t>
      </w:r>
      <w:r w:rsidRPr="00042ED7">
        <w:rPr>
          <w:rFonts w:ascii="Arial" w:hAnsi="Arial" w:cs="Arial"/>
        </w:rPr>
        <w:t xml:space="preserve"> la política internacional de drogas ha estado en constante cambio debido a las estrategias globales y regionale</w:t>
      </w:r>
      <w:bookmarkEnd w:id="1"/>
      <w:bookmarkEnd w:id="2"/>
      <w:r w:rsidRPr="00042ED7">
        <w:rPr>
          <w:rFonts w:ascii="Arial" w:hAnsi="Arial" w:cs="Arial"/>
        </w:rPr>
        <w:t xml:space="preserve">s que promueven la adopción de los enfoques de género y derechos humanos en el combate a las drogas, así como por las reformas </w:t>
      </w:r>
      <w:r w:rsidR="00727D9A" w:rsidRPr="00042ED7">
        <w:rPr>
          <w:rFonts w:ascii="Arial" w:hAnsi="Arial" w:cs="Arial"/>
        </w:rPr>
        <w:t xml:space="preserve">de tipo </w:t>
      </w:r>
      <w:r w:rsidRPr="00042ED7">
        <w:rPr>
          <w:rFonts w:ascii="Arial" w:hAnsi="Arial" w:cs="Arial"/>
        </w:rPr>
        <w:t>legislativ</w:t>
      </w:r>
      <w:r w:rsidR="00727D9A" w:rsidRPr="00042ED7">
        <w:rPr>
          <w:rFonts w:ascii="Arial" w:hAnsi="Arial" w:cs="Arial"/>
        </w:rPr>
        <w:t xml:space="preserve">o que se han </w:t>
      </w:r>
      <w:r w:rsidRPr="00042ED7">
        <w:rPr>
          <w:rFonts w:ascii="Arial" w:hAnsi="Arial" w:cs="Arial"/>
        </w:rPr>
        <w:t xml:space="preserve">impulsado </w:t>
      </w:r>
      <w:r w:rsidR="00727D9A" w:rsidRPr="00042ED7">
        <w:rPr>
          <w:rFonts w:ascii="Arial" w:hAnsi="Arial" w:cs="Arial"/>
        </w:rPr>
        <w:t xml:space="preserve">en </w:t>
      </w:r>
      <w:r w:rsidRPr="00042ED7">
        <w:rPr>
          <w:rFonts w:ascii="Arial" w:hAnsi="Arial" w:cs="Arial"/>
        </w:rPr>
        <w:t>algunos países para regular el uso</w:t>
      </w:r>
      <w:r w:rsidR="00727D9A" w:rsidRPr="00042ED7">
        <w:rPr>
          <w:rFonts w:ascii="Arial" w:hAnsi="Arial" w:cs="Arial"/>
        </w:rPr>
        <w:t xml:space="preserve"> y consumo de algunos estupefacientes, en particular</w:t>
      </w:r>
      <w:r w:rsidRPr="00042ED7">
        <w:rPr>
          <w:rFonts w:ascii="Arial" w:hAnsi="Arial" w:cs="Arial"/>
        </w:rPr>
        <w:t xml:space="preserve"> del cannabis (Mapa 1).</w:t>
      </w:r>
    </w:p>
    <w:p w14:paraId="45931B73" w14:textId="77777777" w:rsidR="007868C5" w:rsidRPr="00042ED7" w:rsidRDefault="007868C5" w:rsidP="007868C5">
      <w:pPr>
        <w:spacing w:after="120"/>
        <w:jc w:val="both"/>
        <w:rPr>
          <w:rFonts w:ascii="Arial" w:hAnsi="Arial" w:cs="Arial"/>
        </w:rPr>
      </w:pPr>
      <w:r w:rsidRPr="00042ED7">
        <w:rPr>
          <w:rFonts w:ascii="Arial" w:hAnsi="Arial" w:cs="Arial"/>
        </w:rPr>
        <w:t>Durante 2019, se registraron un total 2 185 033 delitos del fuero común y federal en averiguaciones previas y carpetas de investigación iniciadas en las fiscalías y procuradurías de justicia del país. De los 2 086 637 delitos del fuero común</w:t>
      </w:r>
      <w:r>
        <w:rPr>
          <w:rFonts w:ascii="Arial" w:hAnsi="Arial" w:cs="Arial"/>
        </w:rPr>
        <w:t>,</w:t>
      </w:r>
      <w:r w:rsidRPr="00042ED7">
        <w:rPr>
          <w:rFonts w:ascii="Arial" w:hAnsi="Arial" w:cs="Arial"/>
        </w:rPr>
        <w:t xml:space="preserve"> 4.5% fueron delitos relacionados con drogas y de los 98 396 delitos del fuero federal</w:t>
      </w:r>
      <w:r>
        <w:rPr>
          <w:rFonts w:ascii="Arial" w:hAnsi="Arial" w:cs="Arial"/>
        </w:rPr>
        <w:t>,</w:t>
      </w:r>
      <w:r w:rsidRPr="00042ED7">
        <w:rPr>
          <w:rFonts w:ascii="Arial" w:hAnsi="Arial" w:cs="Arial"/>
        </w:rPr>
        <w:t xml:space="preserve"> 9.2% se vincularon con droga</w:t>
      </w:r>
      <w:r>
        <w:rPr>
          <w:rFonts w:ascii="Arial" w:hAnsi="Arial" w:cs="Arial"/>
        </w:rPr>
        <w:t>;</w:t>
      </w:r>
      <w:r w:rsidRPr="00042ED7">
        <w:rPr>
          <w:rFonts w:ascii="Arial" w:hAnsi="Arial" w:cs="Arial"/>
        </w:rPr>
        <w:t xml:space="preserve"> esto es </w:t>
      </w:r>
      <w:bookmarkStart w:id="3" w:name="_Hlk75513597"/>
      <w:r w:rsidRPr="00042ED7">
        <w:rPr>
          <w:rFonts w:ascii="Arial" w:hAnsi="Arial" w:cs="Arial"/>
        </w:rPr>
        <w:t>4.7% del total nacional de delitos estuvieron relacionados con drogas, de los cuales 92.7% fueron en su modalidad de narcomenudeo y 7.3% fueron delitos federales contra la salud relacionados con narcóticos</w:t>
      </w:r>
      <w:bookmarkEnd w:id="3"/>
      <w:r w:rsidRPr="00042ED7">
        <w:rPr>
          <w:rStyle w:val="Refdenotaalpie"/>
          <w:rFonts w:ascii="Arial" w:hAnsi="Arial" w:cs="Arial"/>
        </w:rPr>
        <w:footnoteReference w:id="3"/>
      </w:r>
      <w:r w:rsidRPr="00042ED7">
        <w:rPr>
          <w:rFonts w:ascii="Arial" w:hAnsi="Arial" w:cs="Arial"/>
        </w:rPr>
        <w:t>. Entre 2017 y 2019 hubo un aumento en las tasas de delitos registrados relacionados con drogas, especialmente en el caso de narcomenudeo cuyo registro se duplicó, al pasar de 58.4 a 103 delitos por cada 100 000 habitantes de 18 años y más (Gráfica 1).</w:t>
      </w:r>
      <w:bookmarkStart w:id="4" w:name="_Hlk70690896"/>
    </w:p>
    <w:bookmarkEnd w:id="4"/>
    <w:p w14:paraId="33BABD79" w14:textId="316AEB07" w:rsidR="00792300" w:rsidRDefault="00792300" w:rsidP="0041252D">
      <w:pPr>
        <w:spacing w:after="60"/>
        <w:jc w:val="center"/>
        <w:rPr>
          <w:rFonts w:ascii="Arial" w:hAnsi="Arial" w:cs="Arial"/>
        </w:rPr>
      </w:pPr>
      <w:r w:rsidRPr="00042ED7">
        <w:rPr>
          <w:noProof/>
        </w:rPr>
        <w:lastRenderedPageBreak/>
        <w:drawing>
          <wp:inline distT="0" distB="0" distL="0" distR="0" wp14:anchorId="55E5D20A" wp14:editId="5918F7F3">
            <wp:extent cx="5177155" cy="2044460"/>
            <wp:effectExtent l="0" t="0" r="4445" b="13335"/>
            <wp:docPr id="1" name="Gráfico 1">
              <a:extLst xmlns:a="http://schemas.openxmlformats.org/drawingml/2006/main">
                <a:ext uri="{FF2B5EF4-FFF2-40B4-BE49-F238E27FC236}">
                  <a16:creationId xmlns:a16="http://schemas.microsoft.com/office/drawing/2014/main" id="{FA527E44-0528-45A5-8E73-683885A4E6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DC72D1A" w14:textId="77777777" w:rsidR="007868C5" w:rsidRPr="00042ED7" w:rsidRDefault="007868C5" w:rsidP="0041252D">
      <w:pPr>
        <w:spacing w:after="60"/>
        <w:jc w:val="center"/>
        <w:rPr>
          <w:rFonts w:ascii="Arial" w:hAnsi="Arial" w:cs="Arial"/>
        </w:rPr>
      </w:pPr>
    </w:p>
    <w:p w14:paraId="5342B8C7" w14:textId="1F897825" w:rsidR="00C26C55" w:rsidRPr="00042ED7" w:rsidRDefault="009F0FB4" w:rsidP="0041252D">
      <w:pPr>
        <w:spacing w:after="120"/>
        <w:jc w:val="center"/>
        <w:rPr>
          <w:rFonts w:ascii="Arial" w:hAnsi="Arial" w:cs="Arial"/>
        </w:rPr>
      </w:pPr>
      <w:r w:rsidRPr="00042ED7">
        <w:rPr>
          <w:noProof/>
        </w:rPr>
        <w:drawing>
          <wp:inline distT="0" distB="0" distL="0" distR="0" wp14:anchorId="77D2DE1B" wp14:editId="7661B8AB">
            <wp:extent cx="5964555" cy="2232000"/>
            <wp:effectExtent l="0" t="0" r="0" b="0"/>
            <wp:docPr id="3" name="Gráfico 3">
              <a:extLst xmlns:a="http://schemas.openxmlformats.org/drawingml/2006/main">
                <a:ext uri="{FF2B5EF4-FFF2-40B4-BE49-F238E27FC236}">
                  <a16:creationId xmlns:a16="http://schemas.microsoft.com/office/drawing/2014/main" id="{00000000-0008-0000-06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0FA4E29" w14:textId="03976E93" w:rsidR="005F40E3" w:rsidRDefault="00792300" w:rsidP="0041252D">
      <w:pPr>
        <w:spacing w:after="120"/>
        <w:jc w:val="both"/>
        <w:rPr>
          <w:rFonts w:ascii="Arial" w:hAnsi="Arial" w:cs="Arial"/>
        </w:rPr>
      </w:pPr>
      <w:r w:rsidRPr="00042ED7">
        <w:rPr>
          <w:rFonts w:ascii="Arial" w:hAnsi="Arial" w:cs="Arial"/>
        </w:rPr>
        <w:t>En los últimos tres años</w:t>
      </w:r>
      <w:r w:rsidR="004434DB" w:rsidRPr="00042ED7">
        <w:rPr>
          <w:rFonts w:ascii="Arial" w:hAnsi="Arial" w:cs="Arial"/>
        </w:rPr>
        <w:t>,</w:t>
      </w:r>
      <w:r w:rsidRPr="00042ED7">
        <w:rPr>
          <w:rFonts w:ascii="Arial" w:hAnsi="Arial" w:cs="Arial"/>
        </w:rPr>
        <w:t xml:space="preserve"> </w:t>
      </w:r>
      <w:r w:rsidR="00A8050F" w:rsidRPr="00042ED7">
        <w:rPr>
          <w:rFonts w:ascii="Arial" w:hAnsi="Arial" w:cs="Arial"/>
        </w:rPr>
        <w:t>el registro</w:t>
      </w:r>
      <w:r w:rsidRPr="00042ED7">
        <w:rPr>
          <w:rFonts w:ascii="Arial" w:hAnsi="Arial" w:cs="Arial"/>
        </w:rPr>
        <w:t xml:space="preserve"> de delito</w:t>
      </w:r>
      <w:r w:rsidR="00DE7459" w:rsidRPr="00042ED7">
        <w:rPr>
          <w:rFonts w:ascii="Arial" w:hAnsi="Arial" w:cs="Arial"/>
        </w:rPr>
        <w:t>s</w:t>
      </w:r>
      <w:r w:rsidRPr="00042ED7">
        <w:rPr>
          <w:rFonts w:ascii="Arial" w:hAnsi="Arial" w:cs="Arial"/>
        </w:rPr>
        <w:t xml:space="preserve"> de narcomenudeo ha sido más marcad</w:t>
      </w:r>
      <w:r w:rsidR="005367BA">
        <w:rPr>
          <w:rFonts w:ascii="Arial" w:hAnsi="Arial" w:cs="Arial"/>
        </w:rPr>
        <w:t>o</w:t>
      </w:r>
      <w:r w:rsidRPr="00042ED7">
        <w:rPr>
          <w:rFonts w:ascii="Arial" w:hAnsi="Arial" w:cs="Arial"/>
        </w:rPr>
        <w:t xml:space="preserve"> en Chihuahua, Baja California, Coahuila de Zaragoza y Guanajuato</w:t>
      </w:r>
      <w:r w:rsidR="00150C64">
        <w:rPr>
          <w:rFonts w:ascii="Arial" w:hAnsi="Arial" w:cs="Arial"/>
        </w:rPr>
        <w:t>,</w:t>
      </w:r>
      <w:r w:rsidRPr="00042ED7">
        <w:rPr>
          <w:rFonts w:ascii="Arial" w:hAnsi="Arial" w:cs="Arial"/>
        </w:rPr>
        <w:t xml:space="preserve"> entidades con las tasas</w:t>
      </w:r>
      <w:r w:rsidR="004434DB" w:rsidRPr="00042ED7">
        <w:rPr>
          <w:rFonts w:ascii="Arial" w:hAnsi="Arial" w:cs="Arial"/>
        </w:rPr>
        <w:t xml:space="preserve"> más altas</w:t>
      </w:r>
      <w:r w:rsidRPr="00042ED7">
        <w:rPr>
          <w:rFonts w:ascii="Arial" w:hAnsi="Arial" w:cs="Arial"/>
        </w:rPr>
        <w:t xml:space="preserve"> de delitos registrados (Cuadro 1).</w:t>
      </w:r>
    </w:p>
    <w:p w14:paraId="119E1BB5" w14:textId="77777777" w:rsidR="007868C5" w:rsidRPr="00042ED7" w:rsidRDefault="007868C5" w:rsidP="007868C5">
      <w:pPr>
        <w:spacing w:before="120" w:after="120" w:line="276" w:lineRule="auto"/>
        <w:jc w:val="both"/>
        <w:rPr>
          <w:rFonts w:ascii="Arial" w:hAnsi="Arial" w:cs="Arial"/>
        </w:rPr>
      </w:pPr>
      <w:r w:rsidRPr="00042ED7">
        <w:rPr>
          <w:rFonts w:ascii="Arial" w:hAnsi="Arial" w:cs="Arial"/>
        </w:rPr>
        <w:t>Con relación a las sustancias psicoactivas involucradas en los delitos de narcomenudeo, se encontró que la mitad de los delitos (50.1%) estuvieron relacionados con la posesión y comercio de cannabis, que</w:t>
      </w:r>
      <w:r>
        <w:rPr>
          <w:rFonts w:ascii="Arial" w:hAnsi="Arial" w:cs="Arial"/>
        </w:rPr>
        <w:t>,</w:t>
      </w:r>
      <w:r w:rsidRPr="00042ED7">
        <w:rPr>
          <w:rFonts w:ascii="Arial" w:hAnsi="Arial" w:cs="Arial"/>
        </w:rPr>
        <w:t xml:space="preserve"> como ocurre en el resto del mundo y pese a las reformas hacia la despenalización</w:t>
      </w:r>
      <w:r>
        <w:rPr>
          <w:rFonts w:ascii="Arial" w:hAnsi="Arial" w:cs="Arial"/>
        </w:rPr>
        <w:t>,</w:t>
      </w:r>
      <w:r w:rsidRPr="00042ED7">
        <w:rPr>
          <w:rFonts w:ascii="Arial" w:hAnsi="Arial" w:cs="Arial"/>
        </w:rPr>
        <w:t xml:space="preserve"> sigue siendo la principal droga por la que las personas entran en conflicto con la Ley</w:t>
      </w:r>
      <w:r>
        <w:rPr>
          <w:rFonts w:ascii="Arial" w:hAnsi="Arial" w:cs="Arial"/>
        </w:rPr>
        <w:t>.</w:t>
      </w:r>
      <w:r w:rsidRPr="00042ED7">
        <w:rPr>
          <w:rStyle w:val="Refdenotaalpie"/>
          <w:rFonts w:ascii="Arial" w:hAnsi="Arial" w:cs="Arial"/>
        </w:rPr>
        <w:footnoteReference w:id="4"/>
      </w:r>
      <w:r w:rsidRPr="00042ED7">
        <w:rPr>
          <w:rFonts w:ascii="Arial" w:hAnsi="Arial" w:cs="Arial"/>
        </w:rPr>
        <w:t xml:space="preserve"> </w:t>
      </w:r>
      <w:r>
        <w:rPr>
          <w:rFonts w:ascii="Arial" w:hAnsi="Arial" w:cs="Arial"/>
        </w:rPr>
        <w:t>P</w:t>
      </w:r>
      <w:r w:rsidRPr="00042ED7">
        <w:rPr>
          <w:rFonts w:ascii="Arial" w:hAnsi="Arial" w:cs="Arial"/>
        </w:rPr>
        <w:t xml:space="preserve">or su parte, 34.1% de los delitos estuvieron relacionados con metanfetaminas y 14.4% con cocaína. Más aun, la mayoría de los delitos de narcomenudeo fueron por la posesión o comercio de pequeñas cantidades, sobre todo de cannabis y cocaína (Cuadro 2). </w:t>
      </w:r>
    </w:p>
    <w:p w14:paraId="2443F558" w14:textId="175E92AF" w:rsidR="007868C5" w:rsidRDefault="007868C5">
      <w:pPr>
        <w:rPr>
          <w:rFonts w:ascii="Arial" w:hAnsi="Arial" w:cs="Arial"/>
        </w:rPr>
      </w:pPr>
      <w:r>
        <w:rPr>
          <w:rFonts w:ascii="Arial" w:hAnsi="Arial" w:cs="Arial"/>
        </w:rPr>
        <w:br w:type="page"/>
      </w:r>
    </w:p>
    <w:tbl>
      <w:tblPr>
        <w:tblW w:w="9820" w:type="dxa"/>
        <w:tblCellMar>
          <w:left w:w="70" w:type="dxa"/>
          <w:right w:w="70" w:type="dxa"/>
        </w:tblCellMar>
        <w:tblLook w:val="04A0" w:firstRow="1" w:lastRow="0" w:firstColumn="1" w:lastColumn="0" w:noHBand="0" w:noVBand="1"/>
      </w:tblPr>
      <w:tblGrid>
        <w:gridCol w:w="2620"/>
        <w:gridCol w:w="1200"/>
        <w:gridCol w:w="1200"/>
        <w:gridCol w:w="1200"/>
        <w:gridCol w:w="1200"/>
        <w:gridCol w:w="1200"/>
        <w:gridCol w:w="1200"/>
      </w:tblGrid>
      <w:tr w:rsidR="009F0FB4" w:rsidRPr="00042ED7" w14:paraId="0D80AA12" w14:textId="77777777" w:rsidTr="0041252D">
        <w:trPr>
          <w:trHeight w:val="20"/>
        </w:trPr>
        <w:tc>
          <w:tcPr>
            <w:tcW w:w="8620" w:type="dxa"/>
            <w:gridSpan w:val="6"/>
            <w:tcBorders>
              <w:top w:val="nil"/>
              <w:left w:val="nil"/>
              <w:bottom w:val="single" w:sz="8" w:space="0" w:color="auto"/>
              <w:right w:val="nil"/>
            </w:tcBorders>
            <w:shd w:val="clear" w:color="auto" w:fill="auto"/>
            <w:hideMark/>
          </w:tcPr>
          <w:p w14:paraId="6182FA82" w14:textId="17F3092E" w:rsidR="009F0FB4" w:rsidRPr="00042ED7" w:rsidRDefault="009F0FB4" w:rsidP="009F0FB4">
            <w:pPr>
              <w:spacing w:after="0" w:line="240" w:lineRule="auto"/>
              <w:rPr>
                <w:rFonts w:ascii="Arial" w:eastAsia="Times New Roman" w:hAnsi="Arial" w:cs="Arial"/>
                <w:b/>
                <w:bCs/>
                <w:color w:val="000000"/>
                <w:sz w:val="20"/>
                <w:szCs w:val="20"/>
                <w:lang w:eastAsia="es-MX"/>
              </w:rPr>
            </w:pPr>
            <w:bookmarkStart w:id="5" w:name="_Hlk70692256"/>
            <w:r w:rsidRPr="00042ED7">
              <w:rPr>
                <w:rFonts w:ascii="Arial" w:eastAsia="Times New Roman" w:hAnsi="Arial" w:cs="Arial"/>
                <w:b/>
                <w:bCs/>
                <w:color w:val="000000"/>
                <w:sz w:val="18"/>
                <w:szCs w:val="18"/>
                <w:lang w:eastAsia="es-MX"/>
              </w:rPr>
              <w:lastRenderedPageBreak/>
              <w:t xml:space="preserve">Tasa de registro de delitos de drogas por cada 100 000 habitantes </w:t>
            </w:r>
            <w:r w:rsidRPr="00042ED7">
              <w:rPr>
                <w:rFonts w:ascii="Arial" w:eastAsia="Times New Roman" w:hAnsi="Arial" w:cs="Arial"/>
                <w:b/>
                <w:bCs/>
                <w:color w:val="000000"/>
                <w:sz w:val="18"/>
                <w:szCs w:val="18"/>
                <w:lang w:eastAsia="es-MX"/>
              </w:rPr>
              <w:br/>
              <w:t>por entidad federativa</w:t>
            </w:r>
            <w:r w:rsidRPr="00042ED7">
              <w:rPr>
                <w:rFonts w:ascii="Arial" w:eastAsia="Times New Roman" w:hAnsi="Arial" w:cs="Arial"/>
                <w:b/>
                <w:bCs/>
                <w:color w:val="000000"/>
                <w:sz w:val="18"/>
                <w:szCs w:val="18"/>
                <w:lang w:eastAsia="es-MX"/>
              </w:rPr>
              <w:br/>
              <w:t>2017-2019</w:t>
            </w:r>
          </w:p>
        </w:tc>
        <w:tc>
          <w:tcPr>
            <w:tcW w:w="1200" w:type="dxa"/>
            <w:tcBorders>
              <w:top w:val="nil"/>
              <w:left w:val="nil"/>
              <w:bottom w:val="nil"/>
              <w:right w:val="nil"/>
            </w:tcBorders>
            <w:shd w:val="clear" w:color="auto" w:fill="auto"/>
            <w:noWrap/>
            <w:hideMark/>
          </w:tcPr>
          <w:p w14:paraId="78D138E5" w14:textId="77777777" w:rsidR="009F0FB4" w:rsidRPr="00042ED7" w:rsidRDefault="009F0FB4" w:rsidP="009F0FB4">
            <w:pPr>
              <w:spacing w:after="0" w:line="240" w:lineRule="auto"/>
              <w:jc w:val="right"/>
              <w:rPr>
                <w:rFonts w:ascii="Arial" w:eastAsia="Times New Roman" w:hAnsi="Arial" w:cs="Arial"/>
                <w:b/>
                <w:bCs/>
                <w:color w:val="000000"/>
                <w:sz w:val="20"/>
                <w:szCs w:val="20"/>
                <w:lang w:eastAsia="es-MX"/>
              </w:rPr>
            </w:pPr>
            <w:r w:rsidRPr="00042ED7">
              <w:rPr>
                <w:rFonts w:ascii="Arial" w:eastAsia="Times New Roman" w:hAnsi="Arial" w:cs="Arial"/>
                <w:b/>
                <w:bCs/>
                <w:color w:val="000000"/>
                <w:sz w:val="18"/>
                <w:szCs w:val="18"/>
                <w:lang w:eastAsia="es-MX"/>
              </w:rPr>
              <w:t>Cuadro 1</w:t>
            </w:r>
          </w:p>
        </w:tc>
      </w:tr>
      <w:tr w:rsidR="009F0FB4" w:rsidRPr="00042ED7" w14:paraId="2D1D4DAB" w14:textId="77777777" w:rsidTr="0041252D">
        <w:trPr>
          <w:trHeight w:val="20"/>
        </w:trPr>
        <w:tc>
          <w:tcPr>
            <w:tcW w:w="2620" w:type="dxa"/>
            <w:vMerge w:val="restart"/>
            <w:tcBorders>
              <w:top w:val="nil"/>
              <w:left w:val="nil"/>
              <w:bottom w:val="single" w:sz="8" w:space="0" w:color="000000"/>
              <w:right w:val="nil"/>
            </w:tcBorders>
            <w:shd w:val="clear" w:color="auto" w:fill="auto"/>
            <w:vAlign w:val="center"/>
            <w:hideMark/>
          </w:tcPr>
          <w:p w14:paraId="1C093834" w14:textId="77777777" w:rsidR="009F0FB4" w:rsidRPr="00042ED7" w:rsidRDefault="009F0FB4" w:rsidP="009F0FB4">
            <w:pPr>
              <w:spacing w:after="0" w:line="240" w:lineRule="auto"/>
              <w:jc w:val="center"/>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Entidad</w:t>
            </w:r>
          </w:p>
        </w:tc>
        <w:tc>
          <w:tcPr>
            <w:tcW w:w="2400" w:type="dxa"/>
            <w:gridSpan w:val="2"/>
            <w:tcBorders>
              <w:top w:val="single" w:sz="8" w:space="0" w:color="auto"/>
              <w:left w:val="nil"/>
              <w:bottom w:val="single" w:sz="8" w:space="0" w:color="000000"/>
              <w:right w:val="nil"/>
            </w:tcBorders>
            <w:shd w:val="clear" w:color="auto" w:fill="auto"/>
            <w:noWrap/>
            <w:vAlign w:val="center"/>
            <w:hideMark/>
          </w:tcPr>
          <w:p w14:paraId="28BDD731" w14:textId="77777777" w:rsidR="009F0FB4" w:rsidRPr="00042ED7" w:rsidRDefault="009F0FB4" w:rsidP="009F0FB4">
            <w:pPr>
              <w:spacing w:after="0" w:line="240" w:lineRule="auto"/>
              <w:jc w:val="center"/>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2017</w:t>
            </w:r>
          </w:p>
        </w:tc>
        <w:tc>
          <w:tcPr>
            <w:tcW w:w="2400" w:type="dxa"/>
            <w:gridSpan w:val="2"/>
            <w:tcBorders>
              <w:top w:val="single" w:sz="8" w:space="0" w:color="auto"/>
              <w:left w:val="nil"/>
              <w:bottom w:val="single" w:sz="8" w:space="0" w:color="000000"/>
              <w:right w:val="nil"/>
            </w:tcBorders>
            <w:shd w:val="clear" w:color="auto" w:fill="auto"/>
            <w:noWrap/>
            <w:vAlign w:val="center"/>
            <w:hideMark/>
          </w:tcPr>
          <w:p w14:paraId="15F54467" w14:textId="77777777" w:rsidR="009F0FB4" w:rsidRPr="00042ED7" w:rsidRDefault="009F0FB4" w:rsidP="009F0FB4">
            <w:pPr>
              <w:spacing w:after="0" w:line="240" w:lineRule="auto"/>
              <w:jc w:val="center"/>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2018</w:t>
            </w:r>
          </w:p>
        </w:tc>
        <w:tc>
          <w:tcPr>
            <w:tcW w:w="2400" w:type="dxa"/>
            <w:gridSpan w:val="2"/>
            <w:tcBorders>
              <w:top w:val="single" w:sz="8" w:space="0" w:color="auto"/>
              <w:left w:val="nil"/>
              <w:bottom w:val="single" w:sz="8" w:space="0" w:color="000000"/>
              <w:right w:val="nil"/>
            </w:tcBorders>
            <w:shd w:val="clear" w:color="auto" w:fill="auto"/>
            <w:noWrap/>
            <w:vAlign w:val="center"/>
            <w:hideMark/>
          </w:tcPr>
          <w:p w14:paraId="7D4DCF79" w14:textId="77777777" w:rsidR="009F0FB4" w:rsidRPr="00042ED7" w:rsidRDefault="009F0FB4" w:rsidP="009F0FB4">
            <w:pPr>
              <w:spacing w:after="0" w:line="240" w:lineRule="auto"/>
              <w:jc w:val="center"/>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2019</w:t>
            </w:r>
          </w:p>
        </w:tc>
      </w:tr>
      <w:tr w:rsidR="009F0FB4" w:rsidRPr="00042ED7" w14:paraId="665ED459" w14:textId="77777777" w:rsidTr="0041252D">
        <w:trPr>
          <w:trHeight w:val="20"/>
        </w:trPr>
        <w:tc>
          <w:tcPr>
            <w:tcW w:w="2620" w:type="dxa"/>
            <w:vMerge/>
            <w:tcBorders>
              <w:top w:val="nil"/>
              <w:left w:val="nil"/>
              <w:bottom w:val="single" w:sz="8" w:space="0" w:color="000000"/>
              <w:right w:val="nil"/>
            </w:tcBorders>
            <w:vAlign w:val="center"/>
            <w:hideMark/>
          </w:tcPr>
          <w:p w14:paraId="58396493" w14:textId="77777777" w:rsidR="009F0FB4" w:rsidRPr="00042ED7" w:rsidRDefault="009F0FB4" w:rsidP="009F0FB4">
            <w:pPr>
              <w:spacing w:after="0" w:line="240" w:lineRule="auto"/>
              <w:rPr>
                <w:rFonts w:ascii="Arial" w:eastAsia="Times New Roman" w:hAnsi="Arial" w:cs="Arial"/>
                <w:color w:val="000000"/>
                <w:sz w:val="16"/>
                <w:szCs w:val="16"/>
                <w:lang w:eastAsia="es-MX"/>
              </w:rPr>
            </w:pPr>
          </w:p>
        </w:tc>
        <w:tc>
          <w:tcPr>
            <w:tcW w:w="1200" w:type="dxa"/>
            <w:tcBorders>
              <w:top w:val="nil"/>
              <w:left w:val="nil"/>
              <w:bottom w:val="single" w:sz="8" w:space="0" w:color="auto"/>
              <w:right w:val="nil"/>
            </w:tcBorders>
            <w:shd w:val="clear" w:color="auto" w:fill="auto"/>
            <w:vAlign w:val="center"/>
            <w:hideMark/>
          </w:tcPr>
          <w:p w14:paraId="2CD431DF" w14:textId="77777777" w:rsidR="009F0FB4" w:rsidRPr="00042ED7" w:rsidRDefault="009F0FB4" w:rsidP="009F0FB4">
            <w:pPr>
              <w:spacing w:after="0" w:line="240" w:lineRule="auto"/>
              <w:jc w:val="center"/>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Adultos</w:t>
            </w:r>
          </w:p>
        </w:tc>
        <w:tc>
          <w:tcPr>
            <w:tcW w:w="1200" w:type="dxa"/>
            <w:tcBorders>
              <w:top w:val="nil"/>
              <w:left w:val="nil"/>
              <w:bottom w:val="single" w:sz="8" w:space="0" w:color="auto"/>
              <w:right w:val="nil"/>
            </w:tcBorders>
            <w:shd w:val="clear" w:color="auto" w:fill="auto"/>
            <w:vAlign w:val="center"/>
            <w:hideMark/>
          </w:tcPr>
          <w:p w14:paraId="638A0303" w14:textId="77777777" w:rsidR="009F0FB4" w:rsidRPr="00042ED7" w:rsidRDefault="009F0FB4" w:rsidP="009F0FB4">
            <w:pPr>
              <w:spacing w:after="0" w:line="240" w:lineRule="auto"/>
              <w:jc w:val="center"/>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Adolescentes</w:t>
            </w:r>
          </w:p>
        </w:tc>
        <w:tc>
          <w:tcPr>
            <w:tcW w:w="1200" w:type="dxa"/>
            <w:tcBorders>
              <w:top w:val="nil"/>
              <w:left w:val="nil"/>
              <w:bottom w:val="single" w:sz="8" w:space="0" w:color="auto"/>
              <w:right w:val="nil"/>
            </w:tcBorders>
            <w:shd w:val="clear" w:color="auto" w:fill="auto"/>
            <w:vAlign w:val="center"/>
            <w:hideMark/>
          </w:tcPr>
          <w:p w14:paraId="40A28379" w14:textId="77777777" w:rsidR="009F0FB4" w:rsidRPr="00042ED7" w:rsidRDefault="009F0FB4" w:rsidP="009F0FB4">
            <w:pPr>
              <w:spacing w:after="0" w:line="240" w:lineRule="auto"/>
              <w:jc w:val="center"/>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Adultos</w:t>
            </w:r>
          </w:p>
        </w:tc>
        <w:tc>
          <w:tcPr>
            <w:tcW w:w="1200" w:type="dxa"/>
            <w:tcBorders>
              <w:top w:val="nil"/>
              <w:left w:val="nil"/>
              <w:bottom w:val="single" w:sz="8" w:space="0" w:color="auto"/>
              <w:right w:val="nil"/>
            </w:tcBorders>
            <w:shd w:val="clear" w:color="auto" w:fill="auto"/>
            <w:vAlign w:val="center"/>
            <w:hideMark/>
          </w:tcPr>
          <w:p w14:paraId="359A9CB0" w14:textId="77777777" w:rsidR="009F0FB4" w:rsidRPr="00042ED7" w:rsidRDefault="009F0FB4" w:rsidP="009F0FB4">
            <w:pPr>
              <w:spacing w:after="0" w:line="240" w:lineRule="auto"/>
              <w:jc w:val="center"/>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Adolescentes</w:t>
            </w:r>
          </w:p>
        </w:tc>
        <w:tc>
          <w:tcPr>
            <w:tcW w:w="1200" w:type="dxa"/>
            <w:tcBorders>
              <w:top w:val="nil"/>
              <w:left w:val="nil"/>
              <w:bottom w:val="single" w:sz="8" w:space="0" w:color="auto"/>
              <w:right w:val="nil"/>
            </w:tcBorders>
            <w:shd w:val="clear" w:color="auto" w:fill="auto"/>
            <w:vAlign w:val="center"/>
            <w:hideMark/>
          </w:tcPr>
          <w:p w14:paraId="0779DCB7" w14:textId="77777777" w:rsidR="009F0FB4" w:rsidRPr="00042ED7" w:rsidRDefault="009F0FB4" w:rsidP="009F0FB4">
            <w:pPr>
              <w:spacing w:after="0" w:line="240" w:lineRule="auto"/>
              <w:jc w:val="center"/>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Adultos</w:t>
            </w:r>
          </w:p>
        </w:tc>
        <w:tc>
          <w:tcPr>
            <w:tcW w:w="1200" w:type="dxa"/>
            <w:tcBorders>
              <w:top w:val="nil"/>
              <w:left w:val="nil"/>
              <w:bottom w:val="single" w:sz="8" w:space="0" w:color="auto"/>
              <w:right w:val="nil"/>
            </w:tcBorders>
            <w:shd w:val="clear" w:color="auto" w:fill="auto"/>
            <w:vAlign w:val="center"/>
            <w:hideMark/>
          </w:tcPr>
          <w:p w14:paraId="6915049C" w14:textId="77777777" w:rsidR="009F0FB4" w:rsidRPr="00042ED7" w:rsidRDefault="009F0FB4" w:rsidP="009F0FB4">
            <w:pPr>
              <w:spacing w:after="0" w:line="240" w:lineRule="auto"/>
              <w:jc w:val="center"/>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Adolescentes</w:t>
            </w:r>
          </w:p>
        </w:tc>
      </w:tr>
      <w:tr w:rsidR="009F0FB4" w:rsidRPr="00042ED7" w14:paraId="4AA15CCA" w14:textId="77777777" w:rsidTr="0041252D">
        <w:trPr>
          <w:trHeight w:val="20"/>
        </w:trPr>
        <w:tc>
          <w:tcPr>
            <w:tcW w:w="2620" w:type="dxa"/>
            <w:tcBorders>
              <w:top w:val="nil"/>
              <w:left w:val="nil"/>
              <w:bottom w:val="nil"/>
              <w:right w:val="nil"/>
            </w:tcBorders>
            <w:shd w:val="clear" w:color="auto" w:fill="auto"/>
            <w:noWrap/>
            <w:vAlign w:val="center"/>
            <w:hideMark/>
          </w:tcPr>
          <w:p w14:paraId="5F0547F3" w14:textId="77777777" w:rsidR="009F0FB4" w:rsidRPr="00042ED7" w:rsidRDefault="009F0FB4" w:rsidP="009F0FB4">
            <w:pPr>
              <w:spacing w:after="0" w:line="240" w:lineRule="auto"/>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Chihuahua</w:t>
            </w:r>
          </w:p>
        </w:tc>
        <w:tc>
          <w:tcPr>
            <w:tcW w:w="1200" w:type="dxa"/>
            <w:tcBorders>
              <w:top w:val="nil"/>
              <w:left w:val="nil"/>
              <w:bottom w:val="nil"/>
              <w:right w:val="nil"/>
            </w:tcBorders>
            <w:shd w:val="clear" w:color="000000" w:fill="7030A0"/>
            <w:noWrap/>
            <w:vAlign w:val="center"/>
            <w:hideMark/>
          </w:tcPr>
          <w:p w14:paraId="68A62B83" w14:textId="77777777" w:rsidR="009F0FB4" w:rsidRPr="00042ED7" w:rsidRDefault="009F0FB4" w:rsidP="009F0FB4">
            <w:pPr>
              <w:spacing w:after="0" w:line="240" w:lineRule="auto"/>
              <w:jc w:val="right"/>
              <w:rPr>
                <w:rFonts w:ascii="Arial" w:eastAsia="Times New Roman" w:hAnsi="Arial" w:cs="Arial"/>
                <w:color w:val="FFFFFF"/>
                <w:sz w:val="16"/>
                <w:szCs w:val="16"/>
                <w:lang w:eastAsia="es-MX"/>
              </w:rPr>
            </w:pPr>
            <w:r w:rsidRPr="00042ED7">
              <w:rPr>
                <w:rFonts w:ascii="Arial" w:eastAsia="Times New Roman" w:hAnsi="Arial" w:cs="Arial"/>
                <w:color w:val="FFFFFF"/>
                <w:sz w:val="16"/>
                <w:szCs w:val="16"/>
                <w:lang w:eastAsia="es-MX"/>
              </w:rPr>
              <w:t>343.0</w:t>
            </w:r>
          </w:p>
        </w:tc>
        <w:tc>
          <w:tcPr>
            <w:tcW w:w="1200" w:type="dxa"/>
            <w:tcBorders>
              <w:top w:val="nil"/>
              <w:left w:val="nil"/>
              <w:bottom w:val="nil"/>
              <w:right w:val="nil"/>
            </w:tcBorders>
            <w:shd w:val="clear" w:color="000000" w:fill="7030A0"/>
            <w:noWrap/>
            <w:vAlign w:val="center"/>
            <w:hideMark/>
          </w:tcPr>
          <w:p w14:paraId="49E0328E" w14:textId="77777777" w:rsidR="009F0FB4" w:rsidRPr="00042ED7" w:rsidRDefault="009F0FB4" w:rsidP="009F0FB4">
            <w:pPr>
              <w:spacing w:after="0" w:line="240" w:lineRule="auto"/>
              <w:jc w:val="right"/>
              <w:rPr>
                <w:rFonts w:ascii="Arial" w:eastAsia="Times New Roman" w:hAnsi="Arial" w:cs="Arial"/>
                <w:color w:val="FFFFFF"/>
                <w:sz w:val="16"/>
                <w:szCs w:val="16"/>
                <w:lang w:eastAsia="es-MX"/>
              </w:rPr>
            </w:pPr>
            <w:r w:rsidRPr="00042ED7">
              <w:rPr>
                <w:rFonts w:ascii="Arial" w:eastAsia="Times New Roman" w:hAnsi="Arial" w:cs="Arial"/>
                <w:color w:val="FFFFFF"/>
                <w:sz w:val="16"/>
                <w:szCs w:val="16"/>
                <w:lang w:eastAsia="es-MX"/>
              </w:rPr>
              <w:t>194.5</w:t>
            </w:r>
          </w:p>
        </w:tc>
        <w:tc>
          <w:tcPr>
            <w:tcW w:w="1200" w:type="dxa"/>
            <w:tcBorders>
              <w:top w:val="nil"/>
              <w:left w:val="nil"/>
              <w:bottom w:val="nil"/>
              <w:right w:val="nil"/>
            </w:tcBorders>
            <w:shd w:val="clear" w:color="000000" w:fill="8246AB"/>
            <w:noWrap/>
            <w:vAlign w:val="center"/>
            <w:hideMark/>
          </w:tcPr>
          <w:p w14:paraId="390055FE" w14:textId="77777777" w:rsidR="009F0FB4" w:rsidRPr="00042ED7" w:rsidRDefault="009F0FB4" w:rsidP="009F0FB4">
            <w:pPr>
              <w:spacing w:after="0" w:line="240" w:lineRule="auto"/>
              <w:jc w:val="right"/>
              <w:rPr>
                <w:rFonts w:ascii="Arial" w:eastAsia="Times New Roman" w:hAnsi="Arial" w:cs="Arial"/>
                <w:color w:val="FFFFFF"/>
                <w:sz w:val="16"/>
                <w:szCs w:val="16"/>
                <w:lang w:eastAsia="es-MX"/>
              </w:rPr>
            </w:pPr>
            <w:r w:rsidRPr="00042ED7">
              <w:rPr>
                <w:rFonts w:ascii="Arial" w:eastAsia="Times New Roman" w:hAnsi="Arial" w:cs="Arial"/>
                <w:color w:val="FFFFFF"/>
                <w:sz w:val="16"/>
                <w:szCs w:val="16"/>
                <w:lang w:eastAsia="es-MX"/>
              </w:rPr>
              <w:t>314.4</w:t>
            </w:r>
          </w:p>
        </w:tc>
        <w:tc>
          <w:tcPr>
            <w:tcW w:w="1200" w:type="dxa"/>
            <w:tcBorders>
              <w:top w:val="nil"/>
              <w:left w:val="nil"/>
              <w:bottom w:val="nil"/>
              <w:right w:val="nil"/>
            </w:tcBorders>
            <w:shd w:val="clear" w:color="000000" w:fill="7030A0"/>
            <w:noWrap/>
            <w:vAlign w:val="center"/>
            <w:hideMark/>
          </w:tcPr>
          <w:p w14:paraId="5CEFB408" w14:textId="77777777" w:rsidR="009F0FB4" w:rsidRPr="00042ED7" w:rsidRDefault="009F0FB4" w:rsidP="009F0FB4">
            <w:pPr>
              <w:spacing w:after="0" w:line="240" w:lineRule="auto"/>
              <w:jc w:val="right"/>
              <w:rPr>
                <w:rFonts w:ascii="Arial" w:eastAsia="Times New Roman" w:hAnsi="Arial" w:cs="Arial"/>
                <w:color w:val="FFFFFF"/>
                <w:sz w:val="16"/>
                <w:szCs w:val="16"/>
                <w:lang w:eastAsia="es-MX"/>
              </w:rPr>
            </w:pPr>
            <w:r w:rsidRPr="00042ED7">
              <w:rPr>
                <w:rFonts w:ascii="Arial" w:eastAsia="Times New Roman" w:hAnsi="Arial" w:cs="Arial"/>
                <w:color w:val="FFFFFF"/>
                <w:sz w:val="16"/>
                <w:szCs w:val="16"/>
                <w:lang w:eastAsia="es-MX"/>
              </w:rPr>
              <w:t>159.1</w:t>
            </w:r>
          </w:p>
        </w:tc>
        <w:tc>
          <w:tcPr>
            <w:tcW w:w="1200" w:type="dxa"/>
            <w:tcBorders>
              <w:top w:val="nil"/>
              <w:left w:val="nil"/>
              <w:bottom w:val="nil"/>
              <w:right w:val="nil"/>
            </w:tcBorders>
            <w:shd w:val="clear" w:color="000000" w:fill="9A64BA"/>
            <w:noWrap/>
            <w:vAlign w:val="center"/>
            <w:hideMark/>
          </w:tcPr>
          <w:p w14:paraId="72DA9109" w14:textId="77777777" w:rsidR="009F0FB4" w:rsidRPr="00042ED7" w:rsidRDefault="009F0FB4" w:rsidP="009F0FB4">
            <w:pPr>
              <w:spacing w:after="0" w:line="240" w:lineRule="auto"/>
              <w:jc w:val="right"/>
              <w:rPr>
                <w:rFonts w:ascii="Arial" w:eastAsia="Times New Roman" w:hAnsi="Arial" w:cs="Arial"/>
                <w:color w:val="FFFFFF"/>
                <w:sz w:val="16"/>
                <w:szCs w:val="16"/>
                <w:lang w:eastAsia="es-MX"/>
              </w:rPr>
            </w:pPr>
            <w:r w:rsidRPr="00042ED7">
              <w:rPr>
                <w:rFonts w:ascii="Arial" w:eastAsia="Times New Roman" w:hAnsi="Arial" w:cs="Arial"/>
                <w:color w:val="FFFFFF"/>
                <w:sz w:val="16"/>
                <w:szCs w:val="16"/>
                <w:lang w:eastAsia="es-MX"/>
              </w:rPr>
              <w:t>318.5</w:t>
            </w:r>
          </w:p>
        </w:tc>
        <w:tc>
          <w:tcPr>
            <w:tcW w:w="1200" w:type="dxa"/>
            <w:tcBorders>
              <w:top w:val="nil"/>
              <w:left w:val="nil"/>
              <w:bottom w:val="nil"/>
              <w:right w:val="nil"/>
            </w:tcBorders>
            <w:shd w:val="clear" w:color="000000" w:fill="7030A0"/>
            <w:noWrap/>
            <w:vAlign w:val="center"/>
            <w:hideMark/>
          </w:tcPr>
          <w:p w14:paraId="45FB0952" w14:textId="77777777" w:rsidR="009F0FB4" w:rsidRPr="00042ED7" w:rsidRDefault="009F0FB4" w:rsidP="009F0FB4">
            <w:pPr>
              <w:spacing w:after="0" w:line="240" w:lineRule="auto"/>
              <w:jc w:val="right"/>
              <w:rPr>
                <w:rFonts w:ascii="Arial" w:eastAsia="Times New Roman" w:hAnsi="Arial" w:cs="Arial"/>
                <w:color w:val="FFFFFF"/>
                <w:sz w:val="16"/>
                <w:szCs w:val="16"/>
                <w:lang w:eastAsia="es-MX"/>
              </w:rPr>
            </w:pPr>
            <w:r w:rsidRPr="00042ED7">
              <w:rPr>
                <w:rFonts w:ascii="Arial" w:eastAsia="Times New Roman" w:hAnsi="Arial" w:cs="Arial"/>
                <w:color w:val="FFFFFF"/>
                <w:sz w:val="16"/>
                <w:szCs w:val="16"/>
                <w:lang w:eastAsia="es-MX"/>
              </w:rPr>
              <w:t>129.3</w:t>
            </w:r>
          </w:p>
        </w:tc>
      </w:tr>
      <w:tr w:rsidR="009F0FB4" w:rsidRPr="00042ED7" w14:paraId="6378959F" w14:textId="77777777" w:rsidTr="0041252D">
        <w:trPr>
          <w:trHeight w:val="20"/>
        </w:trPr>
        <w:tc>
          <w:tcPr>
            <w:tcW w:w="2620" w:type="dxa"/>
            <w:tcBorders>
              <w:top w:val="nil"/>
              <w:left w:val="nil"/>
              <w:bottom w:val="nil"/>
              <w:right w:val="nil"/>
            </w:tcBorders>
            <w:shd w:val="clear" w:color="auto" w:fill="auto"/>
            <w:noWrap/>
            <w:vAlign w:val="center"/>
            <w:hideMark/>
          </w:tcPr>
          <w:p w14:paraId="2B718E98" w14:textId="77777777" w:rsidR="009F0FB4" w:rsidRPr="00042ED7" w:rsidRDefault="009F0FB4" w:rsidP="009F0FB4">
            <w:pPr>
              <w:spacing w:after="0" w:line="240" w:lineRule="auto"/>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Baja California</w:t>
            </w:r>
          </w:p>
        </w:tc>
        <w:tc>
          <w:tcPr>
            <w:tcW w:w="1200" w:type="dxa"/>
            <w:tcBorders>
              <w:top w:val="nil"/>
              <w:left w:val="nil"/>
              <w:bottom w:val="nil"/>
              <w:right w:val="nil"/>
            </w:tcBorders>
            <w:shd w:val="clear" w:color="000000" w:fill="9058B4"/>
            <w:noWrap/>
            <w:vAlign w:val="center"/>
            <w:hideMark/>
          </w:tcPr>
          <w:p w14:paraId="3E78358F" w14:textId="77777777" w:rsidR="009F0FB4" w:rsidRPr="00042ED7" w:rsidRDefault="009F0FB4" w:rsidP="009F0FB4">
            <w:pPr>
              <w:spacing w:after="0" w:line="240" w:lineRule="auto"/>
              <w:jc w:val="right"/>
              <w:rPr>
                <w:rFonts w:ascii="Arial" w:eastAsia="Times New Roman" w:hAnsi="Arial" w:cs="Arial"/>
                <w:color w:val="FFFFFF"/>
                <w:sz w:val="16"/>
                <w:szCs w:val="16"/>
                <w:lang w:eastAsia="es-MX"/>
              </w:rPr>
            </w:pPr>
            <w:r w:rsidRPr="00042ED7">
              <w:rPr>
                <w:rFonts w:ascii="Arial" w:eastAsia="Times New Roman" w:hAnsi="Arial" w:cs="Arial"/>
                <w:color w:val="FFFFFF"/>
                <w:sz w:val="16"/>
                <w:szCs w:val="16"/>
                <w:lang w:eastAsia="es-MX"/>
              </w:rPr>
              <w:t>267.1</w:t>
            </w:r>
          </w:p>
        </w:tc>
        <w:tc>
          <w:tcPr>
            <w:tcW w:w="1200" w:type="dxa"/>
            <w:tcBorders>
              <w:top w:val="nil"/>
              <w:left w:val="nil"/>
              <w:bottom w:val="nil"/>
              <w:right w:val="nil"/>
            </w:tcBorders>
            <w:shd w:val="clear" w:color="000000" w:fill="DDBAE4"/>
            <w:noWrap/>
            <w:vAlign w:val="center"/>
            <w:hideMark/>
          </w:tcPr>
          <w:p w14:paraId="24AB8EB6"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40.9</w:t>
            </w:r>
          </w:p>
        </w:tc>
        <w:tc>
          <w:tcPr>
            <w:tcW w:w="1200" w:type="dxa"/>
            <w:tcBorders>
              <w:top w:val="nil"/>
              <w:left w:val="nil"/>
              <w:bottom w:val="nil"/>
              <w:right w:val="nil"/>
            </w:tcBorders>
            <w:shd w:val="clear" w:color="000000" w:fill="7030A0"/>
            <w:noWrap/>
            <w:vAlign w:val="center"/>
            <w:hideMark/>
          </w:tcPr>
          <w:p w14:paraId="648E94D6" w14:textId="77777777" w:rsidR="009F0FB4" w:rsidRPr="00042ED7" w:rsidRDefault="009F0FB4" w:rsidP="009F0FB4">
            <w:pPr>
              <w:spacing w:after="0" w:line="240" w:lineRule="auto"/>
              <w:jc w:val="right"/>
              <w:rPr>
                <w:rFonts w:ascii="Arial" w:eastAsia="Times New Roman" w:hAnsi="Arial" w:cs="Arial"/>
                <w:color w:val="FFFFFF"/>
                <w:sz w:val="16"/>
                <w:szCs w:val="16"/>
                <w:lang w:eastAsia="es-MX"/>
              </w:rPr>
            </w:pPr>
            <w:r w:rsidRPr="00042ED7">
              <w:rPr>
                <w:rFonts w:ascii="Arial" w:eastAsia="Times New Roman" w:hAnsi="Arial" w:cs="Arial"/>
                <w:color w:val="FFFFFF"/>
                <w:sz w:val="16"/>
                <w:szCs w:val="16"/>
                <w:lang w:eastAsia="es-MX"/>
              </w:rPr>
              <w:t>358.2</w:t>
            </w:r>
          </w:p>
        </w:tc>
        <w:tc>
          <w:tcPr>
            <w:tcW w:w="1200" w:type="dxa"/>
            <w:tcBorders>
              <w:top w:val="nil"/>
              <w:left w:val="nil"/>
              <w:bottom w:val="nil"/>
              <w:right w:val="nil"/>
            </w:tcBorders>
            <w:shd w:val="clear" w:color="000000" w:fill="C399D4"/>
            <w:noWrap/>
            <w:vAlign w:val="center"/>
            <w:hideMark/>
          </w:tcPr>
          <w:p w14:paraId="4CF0C2D6"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64.8</w:t>
            </w:r>
          </w:p>
        </w:tc>
        <w:tc>
          <w:tcPr>
            <w:tcW w:w="1200" w:type="dxa"/>
            <w:tcBorders>
              <w:top w:val="nil"/>
              <w:left w:val="nil"/>
              <w:bottom w:val="nil"/>
              <w:right w:val="nil"/>
            </w:tcBorders>
            <w:shd w:val="clear" w:color="000000" w:fill="7030A0"/>
            <w:noWrap/>
            <w:vAlign w:val="center"/>
            <w:hideMark/>
          </w:tcPr>
          <w:p w14:paraId="4B6F7790" w14:textId="77777777" w:rsidR="009F0FB4" w:rsidRPr="00042ED7" w:rsidRDefault="009F0FB4" w:rsidP="009F0FB4">
            <w:pPr>
              <w:spacing w:after="0" w:line="240" w:lineRule="auto"/>
              <w:jc w:val="right"/>
              <w:rPr>
                <w:rFonts w:ascii="Arial" w:eastAsia="Times New Roman" w:hAnsi="Arial" w:cs="Arial"/>
                <w:color w:val="FFFFFF"/>
                <w:sz w:val="16"/>
                <w:szCs w:val="16"/>
                <w:lang w:eastAsia="es-MX"/>
              </w:rPr>
            </w:pPr>
            <w:r w:rsidRPr="00042ED7">
              <w:rPr>
                <w:rFonts w:ascii="Arial" w:eastAsia="Times New Roman" w:hAnsi="Arial" w:cs="Arial"/>
                <w:color w:val="FFFFFF"/>
                <w:sz w:val="16"/>
                <w:szCs w:val="16"/>
                <w:lang w:eastAsia="es-MX"/>
              </w:rPr>
              <w:t>449.9</w:t>
            </w:r>
          </w:p>
        </w:tc>
        <w:tc>
          <w:tcPr>
            <w:tcW w:w="1200" w:type="dxa"/>
            <w:tcBorders>
              <w:top w:val="nil"/>
              <w:left w:val="nil"/>
              <w:bottom w:val="nil"/>
              <w:right w:val="nil"/>
            </w:tcBorders>
            <w:shd w:val="clear" w:color="000000" w:fill="B88BCD"/>
            <w:noWrap/>
            <w:vAlign w:val="center"/>
            <w:hideMark/>
          </w:tcPr>
          <w:p w14:paraId="0E4AB7C4"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62.3</w:t>
            </w:r>
          </w:p>
        </w:tc>
      </w:tr>
      <w:tr w:rsidR="009F0FB4" w:rsidRPr="00042ED7" w14:paraId="1E5EB54C" w14:textId="77777777" w:rsidTr="0041252D">
        <w:trPr>
          <w:trHeight w:val="20"/>
        </w:trPr>
        <w:tc>
          <w:tcPr>
            <w:tcW w:w="2620" w:type="dxa"/>
            <w:tcBorders>
              <w:top w:val="nil"/>
              <w:left w:val="nil"/>
              <w:bottom w:val="nil"/>
              <w:right w:val="nil"/>
            </w:tcBorders>
            <w:shd w:val="clear" w:color="auto" w:fill="auto"/>
            <w:noWrap/>
            <w:vAlign w:val="center"/>
            <w:hideMark/>
          </w:tcPr>
          <w:p w14:paraId="2410D02D" w14:textId="77777777" w:rsidR="009F0FB4" w:rsidRPr="00042ED7" w:rsidRDefault="009F0FB4" w:rsidP="009F0FB4">
            <w:pPr>
              <w:spacing w:after="0" w:line="240" w:lineRule="auto"/>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Coahuila de Zaragoza</w:t>
            </w:r>
          </w:p>
        </w:tc>
        <w:tc>
          <w:tcPr>
            <w:tcW w:w="1200" w:type="dxa"/>
            <w:tcBorders>
              <w:top w:val="nil"/>
              <w:left w:val="nil"/>
              <w:bottom w:val="nil"/>
              <w:right w:val="nil"/>
            </w:tcBorders>
            <w:shd w:val="clear" w:color="000000" w:fill="BE92D1"/>
            <w:noWrap/>
            <w:vAlign w:val="center"/>
            <w:hideMark/>
          </w:tcPr>
          <w:p w14:paraId="340F18E7" w14:textId="77777777" w:rsidR="009F0FB4" w:rsidRPr="00042ED7" w:rsidRDefault="009F0FB4" w:rsidP="009F0FB4">
            <w:pPr>
              <w:spacing w:after="0" w:line="240" w:lineRule="auto"/>
              <w:jc w:val="right"/>
              <w:rPr>
                <w:rFonts w:ascii="Arial" w:eastAsia="Times New Roman" w:hAnsi="Arial" w:cs="Arial"/>
                <w:color w:val="FFFFFF"/>
                <w:sz w:val="16"/>
                <w:szCs w:val="16"/>
                <w:lang w:eastAsia="es-MX"/>
              </w:rPr>
            </w:pPr>
            <w:r w:rsidRPr="00042ED7">
              <w:rPr>
                <w:rFonts w:ascii="Arial" w:eastAsia="Times New Roman" w:hAnsi="Arial" w:cs="Arial"/>
                <w:color w:val="FFFFFF"/>
                <w:sz w:val="16"/>
                <w:szCs w:val="16"/>
                <w:lang w:eastAsia="es-MX"/>
              </w:rPr>
              <w:t>154.1</w:t>
            </w:r>
          </w:p>
        </w:tc>
        <w:tc>
          <w:tcPr>
            <w:tcW w:w="1200" w:type="dxa"/>
            <w:tcBorders>
              <w:top w:val="nil"/>
              <w:left w:val="nil"/>
              <w:bottom w:val="nil"/>
              <w:right w:val="nil"/>
            </w:tcBorders>
            <w:shd w:val="clear" w:color="000000" w:fill="C69CD6"/>
            <w:noWrap/>
            <w:vAlign w:val="center"/>
            <w:hideMark/>
          </w:tcPr>
          <w:p w14:paraId="423B257E" w14:textId="77777777" w:rsidR="009F0FB4" w:rsidRPr="00042ED7" w:rsidRDefault="009F0FB4" w:rsidP="009F0FB4">
            <w:pPr>
              <w:spacing w:after="0" w:line="240" w:lineRule="auto"/>
              <w:jc w:val="right"/>
              <w:rPr>
                <w:rFonts w:ascii="Arial" w:eastAsia="Times New Roman" w:hAnsi="Arial" w:cs="Arial"/>
                <w:color w:val="FFFFFF"/>
                <w:sz w:val="16"/>
                <w:szCs w:val="16"/>
                <w:lang w:eastAsia="es-MX"/>
              </w:rPr>
            </w:pPr>
            <w:r w:rsidRPr="00042ED7">
              <w:rPr>
                <w:rFonts w:ascii="Arial" w:eastAsia="Times New Roman" w:hAnsi="Arial" w:cs="Arial"/>
                <w:color w:val="FFFFFF"/>
                <w:sz w:val="16"/>
                <w:szCs w:val="16"/>
                <w:lang w:eastAsia="es-MX"/>
              </w:rPr>
              <w:t>74.4</w:t>
            </w:r>
          </w:p>
        </w:tc>
        <w:tc>
          <w:tcPr>
            <w:tcW w:w="1200" w:type="dxa"/>
            <w:tcBorders>
              <w:top w:val="nil"/>
              <w:left w:val="nil"/>
              <w:bottom w:val="nil"/>
              <w:right w:val="nil"/>
            </w:tcBorders>
            <w:shd w:val="clear" w:color="000000" w:fill="884EAF"/>
            <w:noWrap/>
            <w:vAlign w:val="center"/>
            <w:hideMark/>
          </w:tcPr>
          <w:p w14:paraId="721A28DD" w14:textId="77777777" w:rsidR="009F0FB4" w:rsidRPr="00042ED7" w:rsidRDefault="009F0FB4" w:rsidP="009F0FB4">
            <w:pPr>
              <w:spacing w:after="0" w:line="240" w:lineRule="auto"/>
              <w:jc w:val="right"/>
              <w:rPr>
                <w:rFonts w:ascii="Arial" w:eastAsia="Times New Roman" w:hAnsi="Arial" w:cs="Arial"/>
                <w:color w:val="FFFFFF"/>
                <w:sz w:val="16"/>
                <w:szCs w:val="16"/>
                <w:lang w:eastAsia="es-MX"/>
              </w:rPr>
            </w:pPr>
            <w:r w:rsidRPr="00042ED7">
              <w:rPr>
                <w:rFonts w:ascii="Arial" w:eastAsia="Times New Roman" w:hAnsi="Arial" w:cs="Arial"/>
                <w:color w:val="FFFFFF"/>
                <w:sz w:val="16"/>
                <w:szCs w:val="16"/>
                <w:lang w:eastAsia="es-MX"/>
              </w:rPr>
              <w:t>299.2</w:t>
            </w:r>
          </w:p>
        </w:tc>
        <w:tc>
          <w:tcPr>
            <w:tcW w:w="1200" w:type="dxa"/>
            <w:tcBorders>
              <w:top w:val="nil"/>
              <w:left w:val="nil"/>
              <w:bottom w:val="nil"/>
              <w:right w:val="nil"/>
            </w:tcBorders>
            <w:shd w:val="clear" w:color="000000" w:fill="A06CBE"/>
            <w:noWrap/>
            <w:vAlign w:val="center"/>
            <w:hideMark/>
          </w:tcPr>
          <w:p w14:paraId="709E9B2C" w14:textId="77777777" w:rsidR="009F0FB4" w:rsidRPr="00042ED7" w:rsidRDefault="009F0FB4" w:rsidP="009F0FB4">
            <w:pPr>
              <w:spacing w:after="0" w:line="240" w:lineRule="auto"/>
              <w:jc w:val="right"/>
              <w:rPr>
                <w:rFonts w:ascii="Arial" w:eastAsia="Times New Roman" w:hAnsi="Arial" w:cs="Arial"/>
                <w:color w:val="FFFFFF"/>
                <w:sz w:val="16"/>
                <w:szCs w:val="16"/>
                <w:lang w:eastAsia="es-MX"/>
              </w:rPr>
            </w:pPr>
            <w:r w:rsidRPr="00042ED7">
              <w:rPr>
                <w:rFonts w:ascii="Arial" w:eastAsia="Times New Roman" w:hAnsi="Arial" w:cs="Arial"/>
                <w:color w:val="FFFFFF"/>
                <w:sz w:val="16"/>
                <w:szCs w:val="16"/>
                <w:lang w:eastAsia="es-MX"/>
              </w:rPr>
              <w:t>105.2</w:t>
            </w:r>
          </w:p>
        </w:tc>
        <w:tc>
          <w:tcPr>
            <w:tcW w:w="1200" w:type="dxa"/>
            <w:tcBorders>
              <w:top w:val="nil"/>
              <w:left w:val="nil"/>
              <w:bottom w:val="nil"/>
              <w:right w:val="nil"/>
            </w:tcBorders>
            <w:shd w:val="clear" w:color="000000" w:fill="8347AC"/>
            <w:noWrap/>
            <w:vAlign w:val="center"/>
            <w:hideMark/>
          </w:tcPr>
          <w:p w14:paraId="0FB3CE9D" w14:textId="77777777" w:rsidR="009F0FB4" w:rsidRPr="00042ED7" w:rsidRDefault="009F0FB4" w:rsidP="009F0FB4">
            <w:pPr>
              <w:spacing w:after="0" w:line="240" w:lineRule="auto"/>
              <w:jc w:val="right"/>
              <w:rPr>
                <w:rFonts w:ascii="Arial" w:eastAsia="Times New Roman" w:hAnsi="Arial" w:cs="Arial"/>
                <w:color w:val="FFFFFF"/>
                <w:sz w:val="16"/>
                <w:szCs w:val="16"/>
                <w:lang w:eastAsia="es-MX"/>
              </w:rPr>
            </w:pPr>
            <w:r w:rsidRPr="00042ED7">
              <w:rPr>
                <w:rFonts w:ascii="Arial" w:eastAsia="Times New Roman" w:hAnsi="Arial" w:cs="Arial"/>
                <w:color w:val="FFFFFF"/>
                <w:sz w:val="16"/>
                <w:szCs w:val="16"/>
                <w:lang w:eastAsia="es-MX"/>
              </w:rPr>
              <w:t>391.9</w:t>
            </w:r>
          </w:p>
        </w:tc>
        <w:tc>
          <w:tcPr>
            <w:tcW w:w="1200" w:type="dxa"/>
            <w:tcBorders>
              <w:top w:val="nil"/>
              <w:left w:val="nil"/>
              <w:bottom w:val="nil"/>
              <w:right w:val="nil"/>
            </w:tcBorders>
            <w:shd w:val="clear" w:color="000000" w:fill="7537A4"/>
            <w:noWrap/>
            <w:vAlign w:val="center"/>
            <w:hideMark/>
          </w:tcPr>
          <w:p w14:paraId="000A189B" w14:textId="77777777" w:rsidR="009F0FB4" w:rsidRPr="00042ED7" w:rsidRDefault="009F0FB4" w:rsidP="009F0FB4">
            <w:pPr>
              <w:spacing w:after="0" w:line="240" w:lineRule="auto"/>
              <w:jc w:val="right"/>
              <w:rPr>
                <w:rFonts w:ascii="Arial" w:eastAsia="Times New Roman" w:hAnsi="Arial" w:cs="Arial"/>
                <w:color w:val="FFFFFF"/>
                <w:sz w:val="16"/>
                <w:szCs w:val="16"/>
                <w:lang w:eastAsia="es-MX"/>
              </w:rPr>
            </w:pPr>
            <w:r w:rsidRPr="00042ED7">
              <w:rPr>
                <w:rFonts w:ascii="Arial" w:eastAsia="Times New Roman" w:hAnsi="Arial" w:cs="Arial"/>
                <w:color w:val="FFFFFF"/>
                <w:sz w:val="16"/>
                <w:szCs w:val="16"/>
                <w:lang w:eastAsia="es-MX"/>
              </w:rPr>
              <w:t>124.7</w:t>
            </w:r>
          </w:p>
        </w:tc>
      </w:tr>
      <w:tr w:rsidR="009F0FB4" w:rsidRPr="00042ED7" w14:paraId="11320C19" w14:textId="77777777" w:rsidTr="0041252D">
        <w:trPr>
          <w:trHeight w:val="20"/>
        </w:trPr>
        <w:tc>
          <w:tcPr>
            <w:tcW w:w="2620" w:type="dxa"/>
            <w:tcBorders>
              <w:top w:val="nil"/>
              <w:left w:val="nil"/>
              <w:bottom w:val="nil"/>
              <w:right w:val="nil"/>
            </w:tcBorders>
            <w:shd w:val="clear" w:color="auto" w:fill="auto"/>
            <w:noWrap/>
            <w:vAlign w:val="center"/>
            <w:hideMark/>
          </w:tcPr>
          <w:p w14:paraId="325DE6EC" w14:textId="77777777" w:rsidR="009F0FB4" w:rsidRPr="00042ED7" w:rsidRDefault="009F0FB4" w:rsidP="009F0FB4">
            <w:pPr>
              <w:spacing w:after="0" w:line="240" w:lineRule="auto"/>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Guanajuato</w:t>
            </w:r>
          </w:p>
        </w:tc>
        <w:tc>
          <w:tcPr>
            <w:tcW w:w="1200" w:type="dxa"/>
            <w:tcBorders>
              <w:top w:val="nil"/>
              <w:left w:val="nil"/>
              <w:bottom w:val="nil"/>
              <w:right w:val="nil"/>
            </w:tcBorders>
            <w:shd w:val="clear" w:color="000000" w:fill="B88ACD"/>
            <w:noWrap/>
            <w:vAlign w:val="center"/>
            <w:hideMark/>
          </w:tcPr>
          <w:p w14:paraId="5770C9B1" w14:textId="77777777" w:rsidR="009F0FB4" w:rsidRPr="00042ED7" w:rsidRDefault="009F0FB4" w:rsidP="009F0FB4">
            <w:pPr>
              <w:spacing w:after="0" w:line="240" w:lineRule="auto"/>
              <w:jc w:val="right"/>
              <w:rPr>
                <w:rFonts w:ascii="Arial" w:eastAsia="Times New Roman" w:hAnsi="Arial" w:cs="Arial"/>
                <w:color w:val="FFFFFF"/>
                <w:sz w:val="16"/>
                <w:szCs w:val="16"/>
                <w:lang w:eastAsia="es-MX"/>
              </w:rPr>
            </w:pPr>
            <w:r w:rsidRPr="00042ED7">
              <w:rPr>
                <w:rFonts w:ascii="Arial" w:eastAsia="Times New Roman" w:hAnsi="Arial" w:cs="Arial"/>
                <w:color w:val="FFFFFF"/>
                <w:sz w:val="16"/>
                <w:szCs w:val="16"/>
                <w:lang w:eastAsia="es-MX"/>
              </w:rPr>
              <w:t>169.4</w:t>
            </w:r>
          </w:p>
        </w:tc>
        <w:tc>
          <w:tcPr>
            <w:tcW w:w="1200" w:type="dxa"/>
            <w:tcBorders>
              <w:top w:val="nil"/>
              <w:left w:val="nil"/>
              <w:bottom w:val="nil"/>
              <w:right w:val="nil"/>
            </w:tcBorders>
            <w:shd w:val="clear" w:color="000000" w:fill="BA8DCE"/>
            <w:noWrap/>
            <w:vAlign w:val="center"/>
            <w:hideMark/>
          </w:tcPr>
          <w:p w14:paraId="1CF682F7" w14:textId="77777777" w:rsidR="009F0FB4" w:rsidRPr="00042ED7" w:rsidRDefault="009F0FB4" w:rsidP="009F0FB4">
            <w:pPr>
              <w:spacing w:after="0" w:line="240" w:lineRule="auto"/>
              <w:jc w:val="right"/>
              <w:rPr>
                <w:rFonts w:ascii="Arial" w:eastAsia="Times New Roman" w:hAnsi="Arial" w:cs="Arial"/>
                <w:color w:val="FFFFFF"/>
                <w:sz w:val="16"/>
                <w:szCs w:val="16"/>
                <w:lang w:eastAsia="es-MX"/>
              </w:rPr>
            </w:pPr>
            <w:r w:rsidRPr="00042ED7">
              <w:rPr>
                <w:rFonts w:ascii="Arial" w:eastAsia="Times New Roman" w:hAnsi="Arial" w:cs="Arial"/>
                <w:color w:val="FFFFFF"/>
                <w:sz w:val="16"/>
                <w:szCs w:val="16"/>
                <w:lang w:eastAsia="es-MX"/>
              </w:rPr>
              <w:t>90.6</w:t>
            </w:r>
          </w:p>
        </w:tc>
        <w:tc>
          <w:tcPr>
            <w:tcW w:w="1200" w:type="dxa"/>
            <w:tcBorders>
              <w:top w:val="nil"/>
              <w:left w:val="nil"/>
              <w:bottom w:val="nil"/>
              <w:right w:val="nil"/>
            </w:tcBorders>
            <w:shd w:val="clear" w:color="000000" w:fill="A775C2"/>
            <w:noWrap/>
            <w:vAlign w:val="center"/>
            <w:hideMark/>
          </w:tcPr>
          <w:p w14:paraId="380AF447" w14:textId="77777777" w:rsidR="009F0FB4" w:rsidRPr="00042ED7" w:rsidRDefault="009F0FB4" w:rsidP="009F0FB4">
            <w:pPr>
              <w:spacing w:after="0" w:line="240" w:lineRule="auto"/>
              <w:jc w:val="right"/>
              <w:rPr>
                <w:rFonts w:ascii="Arial" w:eastAsia="Times New Roman" w:hAnsi="Arial" w:cs="Arial"/>
                <w:color w:val="FFFFFF"/>
                <w:sz w:val="16"/>
                <w:szCs w:val="16"/>
                <w:lang w:eastAsia="es-MX"/>
              </w:rPr>
            </w:pPr>
            <w:r w:rsidRPr="00042ED7">
              <w:rPr>
                <w:rFonts w:ascii="Arial" w:eastAsia="Times New Roman" w:hAnsi="Arial" w:cs="Arial"/>
                <w:color w:val="FFFFFF"/>
                <w:sz w:val="16"/>
                <w:szCs w:val="16"/>
                <w:lang w:eastAsia="es-MX"/>
              </w:rPr>
              <w:t>220.6</w:t>
            </w:r>
          </w:p>
        </w:tc>
        <w:tc>
          <w:tcPr>
            <w:tcW w:w="1200" w:type="dxa"/>
            <w:tcBorders>
              <w:top w:val="nil"/>
              <w:left w:val="nil"/>
              <w:bottom w:val="nil"/>
              <w:right w:val="nil"/>
            </w:tcBorders>
            <w:shd w:val="clear" w:color="000000" w:fill="955EB7"/>
            <w:noWrap/>
            <w:vAlign w:val="center"/>
            <w:hideMark/>
          </w:tcPr>
          <w:p w14:paraId="174A2AA0" w14:textId="77777777" w:rsidR="009F0FB4" w:rsidRPr="00042ED7" w:rsidRDefault="009F0FB4" w:rsidP="009F0FB4">
            <w:pPr>
              <w:spacing w:after="0" w:line="240" w:lineRule="auto"/>
              <w:jc w:val="right"/>
              <w:rPr>
                <w:rFonts w:ascii="Arial" w:eastAsia="Times New Roman" w:hAnsi="Arial" w:cs="Arial"/>
                <w:color w:val="FFFFFF"/>
                <w:sz w:val="16"/>
                <w:szCs w:val="16"/>
                <w:lang w:eastAsia="es-MX"/>
              </w:rPr>
            </w:pPr>
            <w:r w:rsidRPr="00042ED7">
              <w:rPr>
                <w:rFonts w:ascii="Arial" w:eastAsia="Times New Roman" w:hAnsi="Arial" w:cs="Arial"/>
                <w:color w:val="FFFFFF"/>
                <w:sz w:val="16"/>
                <w:szCs w:val="16"/>
                <w:lang w:eastAsia="es-MX"/>
              </w:rPr>
              <w:t>117.9</w:t>
            </w:r>
          </w:p>
        </w:tc>
        <w:tc>
          <w:tcPr>
            <w:tcW w:w="1200" w:type="dxa"/>
            <w:tcBorders>
              <w:top w:val="nil"/>
              <w:left w:val="nil"/>
              <w:bottom w:val="nil"/>
              <w:right w:val="nil"/>
            </w:tcBorders>
            <w:shd w:val="clear" w:color="000000" w:fill="B486CB"/>
            <w:noWrap/>
            <w:vAlign w:val="center"/>
            <w:hideMark/>
          </w:tcPr>
          <w:p w14:paraId="13520602" w14:textId="77777777" w:rsidR="009F0FB4" w:rsidRPr="00042ED7" w:rsidRDefault="009F0FB4" w:rsidP="009F0FB4">
            <w:pPr>
              <w:spacing w:after="0" w:line="240" w:lineRule="auto"/>
              <w:jc w:val="right"/>
              <w:rPr>
                <w:rFonts w:ascii="Arial" w:eastAsia="Times New Roman" w:hAnsi="Arial" w:cs="Arial"/>
                <w:color w:val="FFFFFF"/>
                <w:sz w:val="16"/>
                <w:szCs w:val="16"/>
                <w:lang w:eastAsia="es-MX"/>
              </w:rPr>
            </w:pPr>
            <w:r w:rsidRPr="00042ED7">
              <w:rPr>
                <w:rFonts w:ascii="Arial" w:eastAsia="Times New Roman" w:hAnsi="Arial" w:cs="Arial"/>
                <w:color w:val="FFFFFF"/>
                <w:sz w:val="16"/>
                <w:szCs w:val="16"/>
                <w:lang w:eastAsia="es-MX"/>
              </w:rPr>
              <w:t>234.1</w:t>
            </w:r>
          </w:p>
        </w:tc>
        <w:tc>
          <w:tcPr>
            <w:tcW w:w="1200" w:type="dxa"/>
            <w:tcBorders>
              <w:top w:val="nil"/>
              <w:left w:val="nil"/>
              <w:bottom w:val="nil"/>
              <w:right w:val="nil"/>
            </w:tcBorders>
            <w:shd w:val="clear" w:color="000000" w:fill="7A3CA6"/>
            <w:noWrap/>
            <w:vAlign w:val="center"/>
            <w:hideMark/>
          </w:tcPr>
          <w:p w14:paraId="4CBD31F3" w14:textId="77777777" w:rsidR="009F0FB4" w:rsidRPr="00042ED7" w:rsidRDefault="009F0FB4" w:rsidP="009F0FB4">
            <w:pPr>
              <w:spacing w:after="0" w:line="240" w:lineRule="auto"/>
              <w:jc w:val="right"/>
              <w:rPr>
                <w:rFonts w:ascii="Arial" w:eastAsia="Times New Roman" w:hAnsi="Arial" w:cs="Arial"/>
                <w:color w:val="FFFFFF"/>
                <w:sz w:val="16"/>
                <w:szCs w:val="16"/>
                <w:lang w:eastAsia="es-MX"/>
              </w:rPr>
            </w:pPr>
            <w:r w:rsidRPr="00042ED7">
              <w:rPr>
                <w:rFonts w:ascii="Arial" w:eastAsia="Times New Roman" w:hAnsi="Arial" w:cs="Arial"/>
                <w:color w:val="FFFFFF"/>
                <w:sz w:val="16"/>
                <w:szCs w:val="16"/>
                <w:lang w:eastAsia="es-MX"/>
              </w:rPr>
              <w:t>120.8</w:t>
            </w:r>
          </w:p>
        </w:tc>
      </w:tr>
      <w:tr w:rsidR="009F0FB4" w:rsidRPr="00042ED7" w14:paraId="3216B3D7" w14:textId="77777777" w:rsidTr="0041252D">
        <w:trPr>
          <w:trHeight w:val="20"/>
        </w:trPr>
        <w:tc>
          <w:tcPr>
            <w:tcW w:w="2620" w:type="dxa"/>
            <w:tcBorders>
              <w:top w:val="nil"/>
              <w:left w:val="nil"/>
              <w:bottom w:val="nil"/>
              <w:right w:val="nil"/>
            </w:tcBorders>
            <w:shd w:val="clear" w:color="auto" w:fill="auto"/>
            <w:noWrap/>
            <w:vAlign w:val="center"/>
            <w:hideMark/>
          </w:tcPr>
          <w:p w14:paraId="4806E63C" w14:textId="77777777" w:rsidR="009F0FB4" w:rsidRPr="00042ED7" w:rsidRDefault="009F0FB4" w:rsidP="009F0FB4">
            <w:pPr>
              <w:spacing w:after="0" w:line="240" w:lineRule="auto"/>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Colima</w:t>
            </w:r>
          </w:p>
        </w:tc>
        <w:tc>
          <w:tcPr>
            <w:tcW w:w="1200" w:type="dxa"/>
            <w:tcBorders>
              <w:top w:val="nil"/>
              <w:left w:val="nil"/>
              <w:bottom w:val="nil"/>
              <w:right w:val="nil"/>
            </w:tcBorders>
            <w:shd w:val="clear" w:color="000000" w:fill="AC7BC5"/>
            <w:noWrap/>
            <w:vAlign w:val="center"/>
            <w:hideMark/>
          </w:tcPr>
          <w:p w14:paraId="4BBB6CC1" w14:textId="77777777" w:rsidR="009F0FB4" w:rsidRPr="00042ED7" w:rsidRDefault="009F0FB4" w:rsidP="009F0FB4">
            <w:pPr>
              <w:spacing w:after="0" w:line="240" w:lineRule="auto"/>
              <w:jc w:val="right"/>
              <w:rPr>
                <w:rFonts w:ascii="Arial" w:eastAsia="Times New Roman" w:hAnsi="Arial" w:cs="Arial"/>
                <w:color w:val="FFFFFF"/>
                <w:sz w:val="16"/>
                <w:szCs w:val="16"/>
                <w:lang w:eastAsia="es-MX"/>
              </w:rPr>
            </w:pPr>
            <w:r w:rsidRPr="00042ED7">
              <w:rPr>
                <w:rFonts w:ascii="Arial" w:eastAsia="Times New Roman" w:hAnsi="Arial" w:cs="Arial"/>
                <w:color w:val="FFFFFF"/>
                <w:sz w:val="16"/>
                <w:szCs w:val="16"/>
                <w:lang w:eastAsia="es-MX"/>
              </w:rPr>
              <w:t>198.2</w:t>
            </w:r>
          </w:p>
        </w:tc>
        <w:tc>
          <w:tcPr>
            <w:tcW w:w="1200" w:type="dxa"/>
            <w:tcBorders>
              <w:top w:val="nil"/>
              <w:left w:val="nil"/>
              <w:bottom w:val="nil"/>
              <w:right w:val="nil"/>
            </w:tcBorders>
            <w:shd w:val="clear" w:color="000000" w:fill="E8C7EB"/>
            <w:noWrap/>
            <w:vAlign w:val="center"/>
            <w:hideMark/>
          </w:tcPr>
          <w:p w14:paraId="70480399"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25.7</w:t>
            </w:r>
          </w:p>
        </w:tc>
        <w:tc>
          <w:tcPr>
            <w:tcW w:w="1200" w:type="dxa"/>
            <w:tcBorders>
              <w:top w:val="nil"/>
              <w:left w:val="nil"/>
              <w:bottom w:val="nil"/>
              <w:right w:val="nil"/>
            </w:tcBorders>
            <w:shd w:val="clear" w:color="000000" w:fill="A370C0"/>
            <w:noWrap/>
            <w:vAlign w:val="center"/>
            <w:hideMark/>
          </w:tcPr>
          <w:p w14:paraId="15BEFC78" w14:textId="77777777" w:rsidR="009F0FB4" w:rsidRPr="00042ED7" w:rsidRDefault="009F0FB4" w:rsidP="009F0FB4">
            <w:pPr>
              <w:spacing w:after="0" w:line="240" w:lineRule="auto"/>
              <w:jc w:val="right"/>
              <w:rPr>
                <w:rFonts w:ascii="Arial" w:eastAsia="Times New Roman" w:hAnsi="Arial" w:cs="Arial"/>
                <w:color w:val="FFFFFF"/>
                <w:sz w:val="16"/>
                <w:szCs w:val="16"/>
                <w:lang w:eastAsia="es-MX"/>
              </w:rPr>
            </w:pPr>
            <w:r w:rsidRPr="00042ED7">
              <w:rPr>
                <w:rFonts w:ascii="Arial" w:eastAsia="Times New Roman" w:hAnsi="Arial" w:cs="Arial"/>
                <w:color w:val="FFFFFF"/>
                <w:sz w:val="16"/>
                <w:szCs w:val="16"/>
                <w:lang w:eastAsia="es-MX"/>
              </w:rPr>
              <w:t>230.6</w:t>
            </w:r>
          </w:p>
        </w:tc>
        <w:tc>
          <w:tcPr>
            <w:tcW w:w="1200" w:type="dxa"/>
            <w:tcBorders>
              <w:top w:val="nil"/>
              <w:left w:val="nil"/>
              <w:bottom w:val="nil"/>
              <w:right w:val="nil"/>
            </w:tcBorders>
            <w:shd w:val="clear" w:color="000000" w:fill="D8B3E1"/>
            <w:noWrap/>
            <w:vAlign w:val="center"/>
            <w:hideMark/>
          </w:tcPr>
          <w:p w14:paraId="5AE8530C"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40.9</w:t>
            </w:r>
          </w:p>
        </w:tc>
        <w:tc>
          <w:tcPr>
            <w:tcW w:w="1200" w:type="dxa"/>
            <w:tcBorders>
              <w:top w:val="nil"/>
              <w:left w:val="nil"/>
              <w:bottom w:val="nil"/>
              <w:right w:val="nil"/>
            </w:tcBorders>
            <w:shd w:val="clear" w:color="000000" w:fill="955EB7"/>
            <w:noWrap/>
            <w:vAlign w:val="center"/>
            <w:hideMark/>
          </w:tcPr>
          <w:p w14:paraId="1DC6C9D4" w14:textId="77777777" w:rsidR="009F0FB4" w:rsidRPr="00042ED7" w:rsidRDefault="009F0FB4" w:rsidP="009F0FB4">
            <w:pPr>
              <w:spacing w:after="0" w:line="240" w:lineRule="auto"/>
              <w:jc w:val="right"/>
              <w:rPr>
                <w:rFonts w:ascii="Arial" w:eastAsia="Times New Roman" w:hAnsi="Arial" w:cs="Arial"/>
                <w:color w:val="FFFFFF"/>
                <w:sz w:val="16"/>
                <w:szCs w:val="16"/>
                <w:lang w:eastAsia="es-MX"/>
              </w:rPr>
            </w:pPr>
            <w:r w:rsidRPr="00042ED7">
              <w:rPr>
                <w:rFonts w:ascii="Arial" w:eastAsia="Times New Roman" w:hAnsi="Arial" w:cs="Arial"/>
                <w:color w:val="FFFFFF"/>
                <w:sz w:val="16"/>
                <w:szCs w:val="16"/>
                <w:lang w:eastAsia="es-MX"/>
              </w:rPr>
              <w:t>335</w:t>
            </w:r>
          </w:p>
        </w:tc>
        <w:tc>
          <w:tcPr>
            <w:tcW w:w="1200" w:type="dxa"/>
            <w:tcBorders>
              <w:top w:val="nil"/>
              <w:left w:val="nil"/>
              <w:bottom w:val="nil"/>
              <w:right w:val="nil"/>
            </w:tcBorders>
            <w:shd w:val="clear" w:color="000000" w:fill="D9B4E1"/>
            <w:noWrap/>
            <w:vAlign w:val="center"/>
            <w:hideMark/>
          </w:tcPr>
          <w:p w14:paraId="6E399504"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31.7</w:t>
            </w:r>
          </w:p>
        </w:tc>
      </w:tr>
      <w:tr w:rsidR="009F0FB4" w:rsidRPr="00042ED7" w14:paraId="2F36387B" w14:textId="77777777" w:rsidTr="0041252D">
        <w:trPr>
          <w:trHeight w:val="20"/>
        </w:trPr>
        <w:tc>
          <w:tcPr>
            <w:tcW w:w="2620" w:type="dxa"/>
            <w:tcBorders>
              <w:top w:val="nil"/>
              <w:left w:val="nil"/>
              <w:bottom w:val="nil"/>
              <w:right w:val="nil"/>
            </w:tcBorders>
            <w:shd w:val="clear" w:color="auto" w:fill="auto"/>
            <w:noWrap/>
            <w:vAlign w:val="center"/>
            <w:hideMark/>
          </w:tcPr>
          <w:p w14:paraId="2BFDFC79" w14:textId="77777777" w:rsidR="009F0FB4" w:rsidRPr="00042ED7" w:rsidRDefault="009F0FB4" w:rsidP="009F0FB4">
            <w:pPr>
              <w:spacing w:after="0" w:line="240" w:lineRule="auto"/>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Aguascalientes</w:t>
            </w:r>
          </w:p>
        </w:tc>
        <w:tc>
          <w:tcPr>
            <w:tcW w:w="1200" w:type="dxa"/>
            <w:tcBorders>
              <w:top w:val="nil"/>
              <w:left w:val="nil"/>
              <w:bottom w:val="nil"/>
              <w:right w:val="nil"/>
            </w:tcBorders>
            <w:shd w:val="clear" w:color="000000" w:fill="D1ABDD"/>
            <w:noWrap/>
            <w:vAlign w:val="center"/>
            <w:hideMark/>
          </w:tcPr>
          <w:p w14:paraId="49CB7EBB" w14:textId="77777777" w:rsidR="009F0FB4" w:rsidRPr="00042ED7" w:rsidRDefault="009F0FB4" w:rsidP="009F0FB4">
            <w:pPr>
              <w:spacing w:after="0" w:line="240" w:lineRule="auto"/>
              <w:jc w:val="right"/>
              <w:rPr>
                <w:rFonts w:ascii="Arial" w:eastAsia="Times New Roman" w:hAnsi="Arial" w:cs="Arial"/>
                <w:color w:val="FFFFFF"/>
                <w:sz w:val="16"/>
                <w:szCs w:val="16"/>
                <w:lang w:eastAsia="es-MX"/>
              </w:rPr>
            </w:pPr>
            <w:r w:rsidRPr="00042ED7">
              <w:rPr>
                <w:rFonts w:ascii="Arial" w:eastAsia="Times New Roman" w:hAnsi="Arial" w:cs="Arial"/>
                <w:color w:val="FFFFFF"/>
                <w:sz w:val="16"/>
                <w:szCs w:val="16"/>
                <w:lang w:eastAsia="es-MX"/>
              </w:rPr>
              <w:t>106.5</w:t>
            </w:r>
          </w:p>
        </w:tc>
        <w:tc>
          <w:tcPr>
            <w:tcW w:w="1200" w:type="dxa"/>
            <w:tcBorders>
              <w:top w:val="nil"/>
              <w:left w:val="nil"/>
              <w:bottom w:val="nil"/>
              <w:right w:val="nil"/>
            </w:tcBorders>
            <w:shd w:val="clear" w:color="000000" w:fill="B485CA"/>
            <w:noWrap/>
            <w:vAlign w:val="center"/>
            <w:hideMark/>
          </w:tcPr>
          <w:p w14:paraId="1EC99E6F" w14:textId="77777777" w:rsidR="009F0FB4" w:rsidRPr="00042ED7" w:rsidRDefault="009F0FB4" w:rsidP="009F0FB4">
            <w:pPr>
              <w:spacing w:after="0" w:line="240" w:lineRule="auto"/>
              <w:jc w:val="right"/>
              <w:rPr>
                <w:rFonts w:ascii="Arial" w:eastAsia="Times New Roman" w:hAnsi="Arial" w:cs="Arial"/>
                <w:color w:val="FFFFFF"/>
                <w:sz w:val="16"/>
                <w:szCs w:val="16"/>
                <w:lang w:eastAsia="es-MX"/>
              </w:rPr>
            </w:pPr>
            <w:r w:rsidRPr="00042ED7">
              <w:rPr>
                <w:rFonts w:ascii="Arial" w:eastAsia="Times New Roman" w:hAnsi="Arial" w:cs="Arial"/>
                <w:color w:val="FFFFFF"/>
                <w:sz w:val="16"/>
                <w:szCs w:val="16"/>
                <w:lang w:eastAsia="es-MX"/>
              </w:rPr>
              <w:t>100</w:t>
            </w:r>
          </w:p>
        </w:tc>
        <w:tc>
          <w:tcPr>
            <w:tcW w:w="1200" w:type="dxa"/>
            <w:tcBorders>
              <w:top w:val="nil"/>
              <w:left w:val="nil"/>
              <w:bottom w:val="nil"/>
              <w:right w:val="nil"/>
            </w:tcBorders>
            <w:shd w:val="clear" w:color="000000" w:fill="AE7FC7"/>
            <w:noWrap/>
            <w:vAlign w:val="center"/>
            <w:hideMark/>
          </w:tcPr>
          <w:p w14:paraId="37CFBB47" w14:textId="77777777" w:rsidR="009F0FB4" w:rsidRPr="00042ED7" w:rsidRDefault="009F0FB4" w:rsidP="009F0FB4">
            <w:pPr>
              <w:spacing w:after="0" w:line="240" w:lineRule="auto"/>
              <w:jc w:val="right"/>
              <w:rPr>
                <w:rFonts w:ascii="Arial" w:eastAsia="Times New Roman" w:hAnsi="Arial" w:cs="Arial"/>
                <w:color w:val="FFFFFF"/>
                <w:sz w:val="16"/>
                <w:szCs w:val="16"/>
                <w:lang w:eastAsia="es-MX"/>
              </w:rPr>
            </w:pPr>
            <w:r w:rsidRPr="00042ED7">
              <w:rPr>
                <w:rFonts w:ascii="Arial" w:eastAsia="Times New Roman" w:hAnsi="Arial" w:cs="Arial"/>
                <w:color w:val="FFFFFF"/>
                <w:sz w:val="16"/>
                <w:szCs w:val="16"/>
                <w:lang w:eastAsia="es-MX"/>
              </w:rPr>
              <w:t>200.5</w:t>
            </w:r>
          </w:p>
        </w:tc>
        <w:tc>
          <w:tcPr>
            <w:tcW w:w="1200" w:type="dxa"/>
            <w:tcBorders>
              <w:top w:val="nil"/>
              <w:left w:val="nil"/>
              <w:bottom w:val="nil"/>
              <w:right w:val="nil"/>
            </w:tcBorders>
            <w:shd w:val="clear" w:color="000000" w:fill="CEA6DA"/>
            <w:noWrap/>
            <w:vAlign w:val="center"/>
            <w:hideMark/>
          </w:tcPr>
          <w:p w14:paraId="37505A0D"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52.9</w:t>
            </w:r>
          </w:p>
        </w:tc>
        <w:tc>
          <w:tcPr>
            <w:tcW w:w="1200" w:type="dxa"/>
            <w:tcBorders>
              <w:top w:val="nil"/>
              <w:left w:val="nil"/>
              <w:bottom w:val="nil"/>
              <w:right w:val="nil"/>
            </w:tcBorders>
            <w:shd w:val="clear" w:color="000000" w:fill="AF80C8"/>
            <w:noWrap/>
            <w:vAlign w:val="center"/>
            <w:hideMark/>
          </w:tcPr>
          <w:p w14:paraId="209B7499" w14:textId="77777777" w:rsidR="009F0FB4" w:rsidRPr="00042ED7" w:rsidRDefault="009F0FB4" w:rsidP="009F0FB4">
            <w:pPr>
              <w:spacing w:after="0" w:line="240" w:lineRule="auto"/>
              <w:jc w:val="right"/>
              <w:rPr>
                <w:rFonts w:ascii="Arial" w:eastAsia="Times New Roman" w:hAnsi="Arial" w:cs="Arial"/>
                <w:color w:val="FFFFFF"/>
                <w:sz w:val="16"/>
                <w:szCs w:val="16"/>
                <w:lang w:eastAsia="es-MX"/>
              </w:rPr>
            </w:pPr>
            <w:r w:rsidRPr="00042ED7">
              <w:rPr>
                <w:rFonts w:ascii="Arial" w:eastAsia="Times New Roman" w:hAnsi="Arial" w:cs="Arial"/>
                <w:color w:val="FFFFFF"/>
                <w:sz w:val="16"/>
                <w:szCs w:val="16"/>
                <w:lang w:eastAsia="es-MX"/>
              </w:rPr>
              <w:t>249.2</w:t>
            </w:r>
          </w:p>
        </w:tc>
        <w:tc>
          <w:tcPr>
            <w:tcW w:w="1200" w:type="dxa"/>
            <w:tcBorders>
              <w:top w:val="nil"/>
              <w:left w:val="nil"/>
              <w:bottom w:val="nil"/>
              <w:right w:val="nil"/>
            </w:tcBorders>
            <w:shd w:val="clear" w:color="000000" w:fill="9F6BBD"/>
            <w:noWrap/>
            <w:vAlign w:val="center"/>
            <w:hideMark/>
          </w:tcPr>
          <w:p w14:paraId="06D4DD30" w14:textId="77777777" w:rsidR="009F0FB4" w:rsidRPr="00042ED7" w:rsidRDefault="009F0FB4" w:rsidP="009F0FB4">
            <w:pPr>
              <w:spacing w:after="0" w:line="240" w:lineRule="auto"/>
              <w:jc w:val="right"/>
              <w:rPr>
                <w:rFonts w:ascii="Arial" w:eastAsia="Times New Roman" w:hAnsi="Arial" w:cs="Arial"/>
                <w:color w:val="FFFFFF"/>
                <w:sz w:val="16"/>
                <w:szCs w:val="16"/>
                <w:lang w:eastAsia="es-MX"/>
              </w:rPr>
            </w:pPr>
            <w:r w:rsidRPr="00042ED7">
              <w:rPr>
                <w:rFonts w:ascii="Arial" w:eastAsia="Times New Roman" w:hAnsi="Arial" w:cs="Arial"/>
                <w:color w:val="FFFFFF"/>
                <w:sz w:val="16"/>
                <w:szCs w:val="16"/>
                <w:lang w:eastAsia="es-MX"/>
              </w:rPr>
              <w:t>85.8</w:t>
            </w:r>
          </w:p>
        </w:tc>
      </w:tr>
      <w:tr w:rsidR="009F0FB4" w:rsidRPr="00042ED7" w14:paraId="14007D74" w14:textId="77777777" w:rsidTr="0041252D">
        <w:trPr>
          <w:trHeight w:val="20"/>
        </w:trPr>
        <w:tc>
          <w:tcPr>
            <w:tcW w:w="2620" w:type="dxa"/>
            <w:tcBorders>
              <w:top w:val="nil"/>
              <w:left w:val="nil"/>
              <w:bottom w:val="nil"/>
              <w:right w:val="nil"/>
            </w:tcBorders>
            <w:shd w:val="clear" w:color="auto" w:fill="auto"/>
            <w:noWrap/>
            <w:vAlign w:val="center"/>
            <w:hideMark/>
          </w:tcPr>
          <w:p w14:paraId="4E218972" w14:textId="77777777" w:rsidR="009F0FB4" w:rsidRPr="00042ED7" w:rsidRDefault="009F0FB4" w:rsidP="009F0FB4">
            <w:pPr>
              <w:spacing w:after="0" w:line="240" w:lineRule="auto"/>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México</w:t>
            </w:r>
          </w:p>
        </w:tc>
        <w:tc>
          <w:tcPr>
            <w:tcW w:w="1200" w:type="dxa"/>
            <w:tcBorders>
              <w:top w:val="nil"/>
              <w:left w:val="nil"/>
              <w:bottom w:val="nil"/>
              <w:right w:val="nil"/>
            </w:tcBorders>
            <w:shd w:val="clear" w:color="000000" w:fill="E4C2E9"/>
            <w:noWrap/>
            <w:vAlign w:val="center"/>
            <w:hideMark/>
          </w:tcPr>
          <w:p w14:paraId="77A2AE2E"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60</w:t>
            </w:r>
          </w:p>
        </w:tc>
        <w:tc>
          <w:tcPr>
            <w:tcW w:w="1200" w:type="dxa"/>
            <w:tcBorders>
              <w:top w:val="nil"/>
              <w:left w:val="nil"/>
              <w:bottom w:val="nil"/>
              <w:right w:val="nil"/>
            </w:tcBorders>
            <w:shd w:val="clear" w:color="000000" w:fill="E2BFE7"/>
            <w:noWrap/>
            <w:vAlign w:val="center"/>
            <w:hideMark/>
          </w:tcPr>
          <w:p w14:paraId="37011DC3"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34.7</w:t>
            </w:r>
          </w:p>
        </w:tc>
        <w:tc>
          <w:tcPr>
            <w:tcW w:w="1200" w:type="dxa"/>
            <w:tcBorders>
              <w:top w:val="nil"/>
              <w:left w:val="nil"/>
              <w:bottom w:val="nil"/>
              <w:right w:val="nil"/>
            </w:tcBorders>
            <w:shd w:val="clear" w:color="000000" w:fill="CBA2D9"/>
            <w:noWrap/>
            <w:vAlign w:val="center"/>
            <w:hideMark/>
          </w:tcPr>
          <w:p w14:paraId="40DF8FD7"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129.1</w:t>
            </w:r>
          </w:p>
        </w:tc>
        <w:tc>
          <w:tcPr>
            <w:tcW w:w="1200" w:type="dxa"/>
            <w:tcBorders>
              <w:top w:val="nil"/>
              <w:left w:val="nil"/>
              <w:bottom w:val="nil"/>
              <w:right w:val="nil"/>
            </w:tcBorders>
            <w:shd w:val="clear" w:color="000000" w:fill="C399D4"/>
            <w:noWrap/>
            <w:vAlign w:val="center"/>
            <w:hideMark/>
          </w:tcPr>
          <w:p w14:paraId="5B9E0851"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64.7</w:t>
            </w:r>
          </w:p>
        </w:tc>
        <w:tc>
          <w:tcPr>
            <w:tcW w:w="1200" w:type="dxa"/>
            <w:tcBorders>
              <w:top w:val="nil"/>
              <w:left w:val="nil"/>
              <w:bottom w:val="nil"/>
              <w:right w:val="nil"/>
            </w:tcBorders>
            <w:shd w:val="clear" w:color="000000" w:fill="BF93D1"/>
            <w:noWrap/>
            <w:vAlign w:val="center"/>
            <w:hideMark/>
          </w:tcPr>
          <w:p w14:paraId="58B1E3C4"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199.9</w:t>
            </w:r>
          </w:p>
        </w:tc>
        <w:tc>
          <w:tcPr>
            <w:tcW w:w="1200" w:type="dxa"/>
            <w:tcBorders>
              <w:top w:val="nil"/>
              <w:left w:val="nil"/>
              <w:bottom w:val="nil"/>
              <w:right w:val="nil"/>
            </w:tcBorders>
            <w:shd w:val="clear" w:color="000000" w:fill="C297D3"/>
            <w:noWrap/>
            <w:vAlign w:val="center"/>
            <w:hideMark/>
          </w:tcPr>
          <w:p w14:paraId="3B7BB5F6"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53.1</w:t>
            </w:r>
          </w:p>
        </w:tc>
      </w:tr>
      <w:tr w:rsidR="009F0FB4" w:rsidRPr="00042ED7" w14:paraId="0EFD2E84" w14:textId="77777777" w:rsidTr="0041252D">
        <w:trPr>
          <w:trHeight w:val="20"/>
        </w:trPr>
        <w:tc>
          <w:tcPr>
            <w:tcW w:w="2620" w:type="dxa"/>
            <w:tcBorders>
              <w:top w:val="nil"/>
              <w:left w:val="nil"/>
              <w:bottom w:val="nil"/>
              <w:right w:val="nil"/>
            </w:tcBorders>
            <w:shd w:val="clear" w:color="auto" w:fill="auto"/>
            <w:noWrap/>
            <w:vAlign w:val="center"/>
            <w:hideMark/>
          </w:tcPr>
          <w:p w14:paraId="71D991DF" w14:textId="77777777" w:rsidR="009F0FB4" w:rsidRPr="00042ED7" w:rsidRDefault="009F0FB4" w:rsidP="009F0FB4">
            <w:pPr>
              <w:spacing w:after="0" w:line="240" w:lineRule="auto"/>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Baja California Sur</w:t>
            </w:r>
          </w:p>
        </w:tc>
        <w:tc>
          <w:tcPr>
            <w:tcW w:w="1200" w:type="dxa"/>
            <w:tcBorders>
              <w:top w:val="nil"/>
              <w:left w:val="nil"/>
              <w:bottom w:val="nil"/>
              <w:right w:val="nil"/>
            </w:tcBorders>
            <w:shd w:val="clear" w:color="000000" w:fill="C59BD5"/>
            <w:noWrap/>
            <w:vAlign w:val="center"/>
            <w:hideMark/>
          </w:tcPr>
          <w:p w14:paraId="42BE03D5"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136.8</w:t>
            </w:r>
          </w:p>
        </w:tc>
        <w:tc>
          <w:tcPr>
            <w:tcW w:w="1200" w:type="dxa"/>
            <w:tcBorders>
              <w:top w:val="nil"/>
              <w:left w:val="nil"/>
              <w:bottom w:val="nil"/>
              <w:right w:val="nil"/>
            </w:tcBorders>
            <w:shd w:val="clear" w:color="000000" w:fill="EECEEF"/>
            <w:noWrap/>
            <w:vAlign w:val="center"/>
            <w:hideMark/>
          </w:tcPr>
          <w:p w14:paraId="0EA5EAE8"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17.9</w:t>
            </w:r>
          </w:p>
        </w:tc>
        <w:tc>
          <w:tcPr>
            <w:tcW w:w="1200" w:type="dxa"/>
            <w:tcBorders>
              <w:top w:val="nil"/>
              <w:left w:val="nil"/>
              <w:bottom w:val="nil"/>
              <w:right w:val="nil"/>
            </w:tcBorders>
            <w:shd w:val="clear" w:color="000000" w:fill="C399D4"/>
            <w:noWrap/>
            <w:vAlign w:val="center"/>
            <w:hideMark/>
          </w:tcPr>
          <w:p w14:paraId="0E3188AC"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147.2</w:t>
            </w:r>
          </w:p>
        </w:tc>
        <w:tc>
          <w:tcPr>
            <w:tcW w:w="1200" w:type="dxa"/>
            <w:tcBorders>
              <w:top w:val="nil"/>
              <w:left w:val="nil"/>
              <w:bottom w:val="nil"/>
              <w:right w:val="nil"/>
            </w:tcBorders>
            <w:shd w:val="clear" w:color="000000" w:fill="EDCEEE"/>
            <w:noWrap/>
            <w:vAlign w:val="center"/>
            <w:hideMark/>
          </w:tcPr>
          <w:p w14:paraId="1D54DF6A"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16.5</w:t>
            </w:r>
          </w:p>
        </w:tc>
        <w:tc>
          <w:tcPr>
            <w:tcW w:w="1200" w:type="dxa"/>
            <w:tcBorders>
              <w:top w:val="nil"/>
              <w:left w:val="nil"/>
              <w:bottom w:val="nil"/>
              <w:right w:val="nil"/>
            </w:tcBorders>
            <w:shd w:val="clear" w:color="000000" w:fill="D9B4E1"/>
            <w:noWrap/>
            <w:vAlign w:val="center"/>
            <w:hideMark/>
          </w:tcPr>
          <w:p w14:paraId="5C0BB06F"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117.9</w:t>
            </w:r>
          </w:p>
        </w:tc>
        <w:tc>
          <w:tcPr>
            <w:tcW w:w="1200" w:type="dxa"/>
            <w:tcBorders>
              <w:top w:val="nil"/>
              <w:left w:val="nil"/>
              <w:bottom w:val="nil"/>
              <w:right w:val="nil"/>
            </w:tcBorders>
            <w:shd w:val="clear" w:color="000000" w:fill="FADEF6"/>
            <w:noWrap/>
            <w:vAlign w:val="center"/>
            <w:hideMark/>
          </w:tcPr>
          <w:p w14:paraId="477C84BD"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0</w:t>
            </w:r>
          </w:p>
        </w:tc>
      </w:tr>
      <w:tr w:rsidR="009F0FB4" w:rsidRPr="00042ED7" w14:paraId="0704111F" w14:textId="77777777" w:rsidTr="0041252D">
        <w:trPr>
          <w:trHeight w:val="20"/>
        </w:trPr>
        <w:tc>
          <w:tcPr>
            <w:tcW w:w="2620" w:type="dxa"/>
            <w:tcBorders>
              <w:top w:val="nil"/>
              <w:left w:val="nil"/>
              <w:bottom w:val="nil"/>
              <w:right w:val="nil"/>
            </w:tcBorders>
            <w:shd w:val="clear" w:color="auto" w:fill="auto"/>
            <w:noWrap/>
            <w:vAlign w:val="center"/>
            <w:hideMark/>
          </w:tcPr>
          <w:p w14:paraId="21EE27FD" w14:textId="77777777" w:rsidR="009F0FB4" w:rsidRPr="00042ED7" w:rsidRDefault="009F0FB4" w:rsidP="009F0FB4">
            <w:pPr>
              <w:spacing w:after="0" w:line="240" w:lineRule="auto"/>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Ciudad de México</w:t>
            </w:r>
          </w:p>
        </w:tc>
        <w:tc>
          <w:tcPr>
            <w:tcW w:w="1200" w:type="dxa"/>
            <w:tcBorders>
              <w:top w:val="nil"/>
              <w:left w:val="nil"/>
              <w:bottom w:val="nil"/>
              <w:right w:val="nil"/>
            </w:tcBorders>
            <w:shd w:val="clear" w:color="000000" w:fill="EBCBED"/>
            <w:noWrap/>
            <w:vAlign w:val="center"/>
            <w:hideMark/>
          </w:tcPr>
          <w:p w14:paraId="4880EAED"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43.6</w:t>
            </w:r>
          </w:p>
        </w:tc>
        <w:tc>
          <w:tcPr>
            <w:tcW w:w="1200" w:type="dxa"/>
            <w:tcBorders>
              <w:top w:val="nil"/>
              <w:left w:val="nil"/>
              <w:bottom w:val="nil"/>
              <w:right w:val="nil"/>
            </w:tcBorders>
            <w:shd w:val="clear" w:color="000000" w:fill="DEBBE5"/>
            <w:noWrap/>
            <w:vAlign w:val="center"/>
            <w:hideMark/>
          </w:tcPr>
          <w:p w14:paraId="14C17405"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39.6</w:t>
            </w:r>
          </w:p>
        </w:tc>
        <w:tc>
          <w:tcPr>
            <w:tcW w:w="1200" w:type="dxa"/>
            <w:tcBorders>
              <w:top w:val="nil"/>
              <w:left w:val="nil"/>
              <w:bottom w:val="nil"/>
              <w:right w:val="nil"/>
            </w:tcBorders>
            <w:shd w:val="clear" w:color="000000" w:fill="D9B4E2"/>
            <w:noWrap/>
            <w:vAlign w:val="center"/>
            <w:hideMark/>
          </w:tcPr>
          <w:p w14:paraId="5C8CA933"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92.2</w:t>
            </w:r>
          </w:p>
        </w:tc>
        <w:tc>
          <w:tcPr>
            <w:tcW w:w="1200" w:type="dxa"/>
            <w:tcBorders>
              <w:top w:val="nil"/>
              <w:left w:val="nil"/>
              <w:bottom w:val="nil"/>
              <w:right w:val="nil"/>
            </w:tcBorders>
            <w:shd w:val="clear" w:color="000000" w:fill="B98CCE"/>
            <w:noWrap/>
            <w:vAlign w:val="center"/>
            <w:hideMark/>
          </w:tcPr>
          <w:p w14:paraId="1B43EB03"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76.1</w:t>
            </w:r>
          </w:p>
        </w:tc>
        <w:tc>
          <w:tcPr>
            <w:tcW w:w="1200" w:type="dxa"/>
            <w:tcBorders>
              <w:top w:val="nil"/>
              <w:left w:val="nil"/>
              <w:bottom w:val="nil"/>
              <w:right w:val="nil"/>
            </w:tcBorders>
            <w:shd w:val="clear" w:color="000000" w:fill="DFBCE6"/>
            <w:noWrap/>
            <w:vAlign w:val="center"/>
            <w:hideMark/>
          </w:tcPr>
          <w:p w14:paraId="179B91A2"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96.5</w:t>
            </w:r>
          </w:p>
        </w:tc>
        <w:tc>
          <w:tcPr>
            <w:tcW w:w="1200" w:type="dxa"/>
            <w:tcBorders>
              <w:top w:val="nil"/>
              <w:left w:val="nil"/>
              <w:bottom w:val="nil"/>
              <w:right w:val="nil"/>
            </w:tcBorders>
            <w:shd w:val="clear" w:color="000000" w:fill="BC90D0"/>
            <w:noWrap/>
            <w:vAlign w:val="center"/>
            <w:hideMark/>
          </w:tcPr>
          <w:p w14:paraId="462EA887"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58.3</w:t>
            </w:r>
          </w:p>
        </w:tc>
      </w:tr>
      <w:tr w:rsidR="009F0FB4" w:rsidRPr="00042ED7" w14:paraId="4798B04C" w14:textId="77777777" w:rsidTr="0041252D">
        <w:trPr>
          <w:trHeight w:val="20"/>
        </w:trPr>
        <w:tc>
          <w:tcPr>
            <w:tcW w:w="2620" w:type="dxa"/>
            <w:tcBorders>
              <w:top w:val="nil"/>
              <w:left w:val="nil"/>
              <w:bottom w:val="nil"/>
              <w:right w:val="nil"/>
            </w:tcBorders>
            <w:shd w:val="clear" w:color="auto" w:fill="auto"/>
            <w:noWrap/>
            <w:vAlign w:val="center"/>
            <w:hideMark/>
          </w:tcPr>
          <w:p w14:paraId="42119014" w14:textId="77777777" w:rsidR="009F0FB4" w:rsidRPr="00042ED7" w:rsidRDefault="009F0FB4" w:rsidP="009F0FB4">
            <w:pPr>
              <w:spacing w:after="0" w:line="240" w:lineRule="auto"/>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Nuevo León</w:t>
            </w:r>
          </w:p>
        </w:tc>
        <w:tc>
          <w:tcPr>
            <w:tcW w:w="1200" w:type="dxa"/>
            <w:tcBorders>
              <w:top w:val="nil"/>
              <w:left w:val="nil"/>
              <w:bottom w:val="nil"/>
              <w:right w:val="nil"/>
            </w:tcBorders>
            <w:shd w:val="clear" w:color="000000" w:fill="DEBBE5"/>
            <w:noWrap/>
            <w:vAlign w:val="center"/>
            <w:hideMark/>
          </w:tcPr>
          <w:p w14:paraId="36D1237C"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74.4</w:t>
            </w:r>
          </w:p>
        </w:tc>
        <w:tc>
          <w:tcPr>
            <w:tcW w:w="1200" w:type="dxa"/>
            <w:tcBorders>
              <w:top w:val="nil"/>
              <w:left w:val="nil"/>
              <w:bottom w:val="nil"/>
              <w:right w:val="nil"/>
            </w:tcBorders>
            <w:shd w:val="clear" w:color="000000" w:fill="DAB6E2"/>
            <w:noWrap/>
            <w:vAlign w:val="center"/>
            <w:hideMark/>
          </w:tcPr>
          <w:p w14:paraId="104B2C2F"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45.8</w:t>
            </w:r>
          </w:p>
        </w:tc>
        <w:tc>
          <w:tcPr>
            <w:tcW w:w="1200" w:type="dxa"/>
            <w:tcBorders>
              <w:top w:val="nil"/>
              <w:left w:val="nil"/>
              <w:bottom w:val="nil"/>
              <w:right w:val="nil"/>
            </w:tcBorders>
            <w:shd w:val="clear" w:color="000000" w:fill="E1BEE6"/>
            <w:noWrap/>
            <w:vAlign w:val="center"/>
            <w:hideMark/>
          </w:tcPr>
          <w:p w14:paraId="2EEABC46"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73.2</w:t>
            </w:r>
          </w:p>
        </w:tc>
        <w:tc>
          <w:tcPr>
            <w:tcW w:w="1200" w:type="dxa"/>
            <w:tcBorders>
              <w:top w:val="nil"/>
              <w:left w:val="nil"/>
              <w:bottom w:val="nil"/>
              <w:right w:val="nil"/>
            </w:tcBorders>
            <w:shd w:val="clear" w:color="000000" w:fill="DEBBE5"/>
            <w:noWrap/>
            <w:vAlign w:val="center"/>
            <w:hideMark/>
          </w:tcPr>
          <w:p w14:paraId="7E45A1EB"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33.6</w:t>
            </w:r>
          </w:p>
        </w:tc>
        <w:tc>
          <w:tcPr>
            <w:tcW w:w="1200" w:type="dxa"/>
            <w:tcBorders>
              <w:top w:val="nil"/>
              <w:left w:val="nil"/>
              <w:bottom w:val="nil"/>
              <w:right w:val="nil"/>
            </w:tcBorders>
            <w:shd w:val="clear" w:color="000000" w:fill="DFBCE5"/>
            <w:noWrap/>
            <w:vAlign w:val="center"/>
            <w:hideMark/>
          </w:tcPr>
          <w:p w14:paraId="5061A211"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97.8</w:t>
            </w:r>
          </w:p>
        </w:tc>
        <w:tc>
          <w:tcPr>
            <w:tcW w:w="1200" w:type="dxa"/>
            <w:tcBorders>
              <w:top w:val="nil"/>
              <w:left w:val="nil"/>
              <w:bottom w:val="nil"/>
              <w:right w:val="nil"/>
            </w:tcBorders>
            <w:shd w:val="clear" w:color="000000" w:fill="D0A9DC"/>
            <w:noWrap/>
            <w:vAlign w:val="center"/>
            <w:hideMark/>
          </w:tcPr>
          <w:p w14:paraId="4C933D04"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40</w:t>
            </w:r>
          </w:p>
        </w:tc>
      </w:tr>
      <w:tr w:rsidR="009F0FB4" w:rsidRPr="00042ED7" w14:paraId="0CDB0F3B" w14:textId="77777777" w:rsidTr="0041252D">
        <w:trPr>
          <w:trHeight w:val="20"/>
        </w:trPr>
        <w:tc>
          <w:tcPr>
            <w:tcW w:w="2620" w:type="dxa"/>
            <w:tcBorders>
              <w:top w:val="nil"/>
              <w:left w:val="nil"/>
              <w:bottom w:val="nil"/>
              <w:right w:val="nil"/>
            </w:tcBorders>
            <w:shd w:val="clear" w:color="auto" w:fill="auto"/>
            <w:noWrap/>
            <w:vAlign w:val="center"/>
            <w:hideMark/>
          </w:tcPr>
          <w:p w14:paraId="47B03863" w14:textId="77777777" w:rsidR="009F0FB4" w:rsidRPr="00042ED7" w:rsidRDefault="009F0FB4" w:rsidP="009F0FB4">
            <w:pPr>
              <w:spacing w:after="0" w:line="240" w:lineRule="auto"/>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Querétaro</w:t>
            </w:r>
          </w:p>
        </w:tc>
        <w:tc>
          <w:tcPr>
            <w:tcW w:w="1200" w:type="dxa"/>
            <w:tcBorders>
              <w:top w:val="nil"/>
              <w:left w:val="nil"/>
              <w:bottom w:val="nil"/>
              <w:right w:val="nil"/>
            </w:tcBorders>
            <w:shd w:val="clear" w:color="000000" w:fill="E3C1E8"/>
            <w:noWrap/>
            <w:vAlign w:val="center"/>
            <w:hideMark/>
          </w:tcPr>
          <w:p w14:paraId="4E701391"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63.4</w:t>
            </w:r>
          </w:p>
        </w:tc>
        <w:tc>
          <w:tcPr>
            <w:tcW w:w="1200" w:type="dxa"/>
            <w:tcBorders>
              <w:top w:val="nil"/>
              <w:left w:val="nil"/>
              <w:bottom w:val="nil"/>
              <w:right w:val="nil"/>
            </w:tcBorders>
            <w:shd w:val="clear" w:color="000000" w:fill="E5C4E9"/>
            <w:noWrap/>
            <w:vAlign w:val="center"/>
            <w:hideMark/>
          </w:tcPr>
          <w:p w14:paraId="3CAB8734"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30</w:t>
            </w:r>
          </w:p>
        </w:tc>
        <w:tc>
          <w:tcPr>
            <w:tcW w:w="1200" w:type="dxa"/>
            <w:tcBorders>
              <w:top w:val="nil"/>
              <w:left w:val="nil"/>
              <w:bottom w:val="nil"/>
              <w:right w:val="nil"/>
            </w:tcBorders>
            <w:shd w:val="clear" w:color="000000" w:fill="E2C0E7"/>
            <w:noWrap/>
            <w:vAlign w:val="center"/>
            <w:hideMark/>
          </w:tcPr>
          <w:p w14:paraId="1B6EB474"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69.1</w:t>
            </w:r>
          </w:p>
        </w:tc>
        <w:tc>
          <w:tcPr>
            <w:tcW w:w="1200" w:type="dxa"/>
            <w:tcBorders>
              <w:top w:val="nil"/>
              <w:left w:val="nil"/>
              <w:bottom w:val="nil"/>
              <w:right w:val="nil"/>
            </w:tcBorders>
            <w:shd w:val="clear" w:color="000000" w:fill="E4C2E8"/>
            <w:noWrap/>
            <w:vAlign w:val="center"/>
            <w:hideMark/>
          </w:tcPr>
          <w:p w14:paraId="010D8276"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27.8</w:t>
            </w:r>
          </w:p>
        </w:tc>
        <w:tc>
          <w:tcPr>
            <w:tcW w:w="1200" w:type="dxa"/>
            <w:tcBorders>
              <w:top w:val="nil"/>
              <w:left w:val="nil"/>
              <w:bottom w:val="nil"/>
              <w:right w:val="nil"/>
            </w:tcBorders>
            <w:shd w:val="clear" w:color="000000" w:fill="D6B1E0"/>
            <w:noWrap/>
            <w:vAlign w:val="center"/>
            <w:hideMark/>
          </w:tcPr>
          <w:p w14:paraId="7E52A4CE"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125.4</w:t>
            </w:r>
          </w:p>
        </w:tc>
        <w:tc>
          <w:tcPr>
            <w:tcW w:w="1200" w:type="dxa"/>
            <w:tcBorders>
              <w:top w:val="nil"/>
              <w:left w:val="nil"/>
              <w:bottom w:val="nil"/>
              <w:right w:val="nil"/>
            </w:tcBorders>
            <w:shd w:val="clear" w:color="000000" w:fill="D2ABDD"/>
            <w:noWrap/>
            <w:vAlign w:val="center"/>
            <w:hideMark/>
          </w:tcPr>
          <w:p w14:paraId="43897F07"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38.2</w:t>
            </w:r>
          </w:p>
        </w:tc>
      </w:tr>
      <w:tr w:rsidR="009F0FB4" w:rsidRPr="00042ED7" w14:paraId="61193F28" w14:textId="77777777" w:rsidTr="0041252D">
        <w:trPr>
          <w:trHeight w:val="20"/>
        </w:trPr>
        <w:tc>
          <w:tcPr>
            <w:tcW w:w="2620" w:type="dxa"/>
            <w:tcBorders>
              <w:top w:val="nil"/>
              <w:left w:val="nil"/>
              <w:bottom w:val="nil"/>
              <w:right w:val="nil"/>
            </w:tcBorders>
            <w:shd w:val="clear" w:color="auto" w:fill="auto"/>
            <w:noWrap/>
            <w:vAlign w:val="center"/>
            <w:hideMark/>
          </w:tcPr>
          <w:p w14:paraId="4AE3FC30" w14:textId="77777777" w:rsidR="009F0FB4" w:rsidRPr="00042ED7" w:rsidRDefault="009F0FB4" w:rsidP="009F0FB4">
            <w:pPr>
              <w:spacing w:after="0" w:line="240" w:lineRule="auto"/>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Sonora</w:t>
            </w:r>
          </w:p>
        </w:tc>
        <w:tc>
          <w:tcPr>
            <w:tcW w:w="1200" w:type="dxa"/>
            <w:tcBorders>
              <w:top w:val="nil"/>
              <w:left w:val="nil"/>
              <w:bottom w:val="nil"/>
              <w:right w:val="nil"/>
            </w:tcBorders>
            <w:shd w:val="clear" w:color="000000" w:fill="D9B5E2"/>
            <w:noWrap/>
            <w:vAlign w:val="center"/>
            <w:hideMark/>
          </w:tcPr>
          <w:p w14:paraId="274E884B"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86.4</w:t>
            </w:r>
          </w:p>
        </w:tc>
        <w:tc>
          <w:tcPr>
            <w:tcW w:w="1200" w:type="dxa"/>
            <w:tcBorders>
              <w:top w:val="nil"/>
              <w:left w:val="nil"/>
              <w:bottom w:val="nil"/>
              <w:right w:val="nil"/>
            </w:tcBorders>
            <w:shd w:val="clear" w:color="000000" w:fill="EAC9EC"/>
            <w:noWrap/>
            <w:vAlign w:val="center"/>
            <w:hideMark/>
          </w:tcPr>
          <w:p w14:paraId="0ACF6A55"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23.8</w:t>
            </w:r>
          </w:p>
        </w:tc>
        <w:tc>
          <w:tcPr>
            <w:tcW w:w="1200" w:type="dxa"/>
            <w:tcBorders>
              <w:top w:val="nil"/>
              <w:left w:val="nil"/>
              <w:bottom w:val="nil"/>
              <w:right w:val="nil"/>
            </w:tcBorders>
            <w:shd w:val="clear" w:color="000000" w:fill="E5C3E9"/>
            <w:noWrap/>
            <w:vAlign w:val="center"/>
            <w:hideMark/>
          </w:tcPr>
          <w:p w14:paraId="522F047D"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62.1</w:t>
            </w:r>
          </w:p>
        </w:tc>
        <w:tc>
          <w:tcPr>
            <w:tcW w:w="1200" w:type="dxa"/>
            <w:tcBorders>
              <w:top w:val="nil"/>
              <w:left w:val="nil"/>
              <w:bottom w:val="nil"/>
              <w:right w:val="nil"/>
            </w:tcBorders>
            <w:shd w:val="clear" w:color="000000" w:fill="EBCCED"/>
            <w:noWrap/>
            <w:vAlign w:val="center"/>
            <w:hideMark/>
          </w:tcPr>
          <w:p w14:paraId="70CBFF6E"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18.8</w:t>
            </w:r>
          </w:p>
        </w:tc>
        <w:tc>
          <w:tcPr>
            <w:tcW w:w="1200" w:type="dxa"/>
            <w:tcBorders>
              <w:top w:val="nil"/>
              <w:left w:val="nil"/>
              <w:bottom w:val="nil"/>
              <w:right w:val="nil"/>
            </w:tcBorders>
            <w:shd w:val="clear" w:color="000000" w:fill="D7B2E1"/>
            <w:noWrap/>
            <w:vAlign w:val="center"/>
            <w:hideMark/>
          </w:tcPr>
          <w:p w14:paraId="5D131EDD"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122.1</w:t>
            </w:r>
          </w:p>
        </w:tc>
        <w:tc>
          <w:tcPr>
            <w:tcW w:w="1200" w:type="dxa"/>
            <w:tcBorders>
              <w:top w:val="nil"/>
              <w:left w:val="nil"/>
              <w:bottom w:val="nil"/>
              <w:right w:val="nil"/>
            </w:tcBorders>
            <w:shd w:val="clear" w:color="000000" w:fill="D3ADDE"/>
            <w:noWrap/>
            <w:vAlign w:val="center"/>
            <w:hideMark/>
          </w:tcPr>
          <w:p w14:paraId="4193E086"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36.8</w:t>
            </w:r>
          </w:p>
        </w:tc>
      </w:tr>
      <w:tr w:rsidR="009F0FB4" w:rsidRPr="00042ED7" w14:paraId="3E0E6521" w14:textId="77777777" w:rsidTr="0041252D">
        <w:trPr>
          <w:trHeight w:val="20"/>
        </w:trPr>
        <w:tc>
          <w:tcPr>
            <w:tcW w:w="2620" w:type="dxa"/>
            <w:tcBorders>
              <w:top w:val="nil"/>
              <w:left w:val="nil"/>
              <w:bottom w:val="nil"/>
              <w:right w:val="nil"/>
            </w:tcBorders>
            <w:shd w:val="clear" w:color="auto" w:fill="auto"/>
            <w:noWrap/>
            <w:vAlign w:val="center"/>
            <w:hideMark/>
          </w:tcPr>
          <w:p w14:paraId="2098D081" w14:textId="77777777" w:rsidR="009F0FB4" w:rsidRPr="00042ED7" w:rsidRDefault="009F0FB4" w:rsidP="009F0FB4">
            <w:pPr>
              <w:spacing w:after="0" w:line="240" w:lineRule="auto"/>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Quintana Roo</w:t>
            </w:r>
          </w:p>
        </w:tc>
        <w:tc>
          <w:tcPr>
            <w:tcW w:w="1200" w:type="dxa"/>
            <w:tcBorders>
              <w:top w:val="nil"/>
              <w:left w:val="nil"/>
              <w:bottom w:val="nil"/>
              <w:right w:val="nil"/>
            </w:tcBorders>
            <w:shd w:val="clear" w:color="000000" w:fill="E9C9EC"/>
            <w:noWrap/>
            <w:vAlign w:val="center"/>
            <w:hideMark/>
          </w:tcPr>
          <w:p w14:paraId="218398B7"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47.9</w:t>
            </w:r>
          </w:p>
        </w:tc>
        <w:tc>
          <w:tcPr>
            <w:tcW w:w="1200" w:type="dxa"/>
            <w:tcBorders>
              <w:top w:val="nil"/>
              <w:left w:val="nil"/>
              <w:bottom w:val="nil"/>
              <w:right w:val="nil"/>
            </w:tcBorders>
            <w:shd w:val="clear" w:color="000000" w:fill="EACAEC"/>
            <w:noWrap/>
            <w:vAlign w:val="center"/>
            <w:hideMark/>
          </w:tcPr>
          <w:p w14:paraId="508672A1"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22.8</w:t>
            </w:r>
          </w:p>
        </w:tc>
        <w:tc>
          <w:tcPr>
            <w:tcW w:w="1200" w:type="dxa"/>
            <w:tcBorders>
              <w:top w:val="nil"/>
              <w:left w:val="nil"/>
              <w:bottom w:val="nil"/>
              <w:right w:val="nil"/>
            </w:tcBorders>
            <w:shd w:val="clear" w:color="000000" w:fill="E7C6EA"/>
            <w:noWrap/>
            <w:vAlign w:val="center"/>
            <w:hideMark/>
          </w:tcPr>
          <w:p w14:paraId="50E875A3"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57</w:t>
            </w:r>
          </w:p>
        </w:tc>
        <w:tc>
          <w:tcPr>
            <w:tcW w:w="1200" w:type="dxa"/>
            <w:tcBorders>
              <w:top w:val="nil"/>
              <w:left w:val="nil"/>
              <w:bottom w:val="nil"/>
              <w:right w:val="nil"/>
            </w:tcBorders>
            <w:shd w:val="clear" w:color="000000" w:fill="E2BFE7"/>
            <w:noWrap/>
            <w:vAlign w:val="center"/>
            <w:hideMark/>
          </w:tcPr>
          <w:p w14:paraId="00F5BE51"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30</w:t>
            </w:r>
          </w:p>
        </w:tc>
        <w:tc>
          <w:tcPr>
            <w:tcW w:w="1200" w:type="dxa"/>
            <w:tcBorders>
              <w:top w:val="nil"/>
              <w:left w:val="nil"/>
              <w:bottom w:val="nil"/>
              <w:right w:val="nil"/>
            </w:tcBorders>
            <w:shd w:val="clear" w:color="000000" w:fill="DDBAE4"/>
            <w:noWrap/>
            <w:vAlign w:val="center"/>
            <w:hideMark/>
          </w:tcPr>
          <w:p w14:paraId="6E92E391"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102.3</w:t>
            </w:r>
          </w:p>
        </w:tc>
        <w:tc>
          <w:tcPr>
            <w:tcW w:w="1200" w:type="dxa"/>
            <w:tcBorders>
              <w:top w:val="nil"/>
              <w:left w:val="nil"/>
              <w:bottom w:val="nil"/>
              <w:right w:val="nil"/>
            </w:tcBorders>
            <w:shd w:val="clear" w:color="000000" w:fill="C9A0D8"/>
            <w:noWrap/>
            <w:vAlign w:val="center"/>
            <w:hideMark/>
          </w:tcPr>
          <w:p w14:paraId="14313016"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46.4</w:t>
            </w:r>
          </w:p>
        </w:tc>
      </w:tr>
      <w:tr w:rsidR="009F0FB4" w:rsidRPr="00042ED7" w14:paraId="49D03ECB" w14:textId="77777777" w:rsidTr="0041252D">
        <w:trPr>
          <w:trHeight w:val="20"/>
        </w:trPr>
        <w:tc>
          <w:tcPr>
            <w:tcW w:w="2620" w:type="dxa"/>
            <w:tcBorders>
              <w:top w:val="nil"/>
              <w:left w:val="nil"/>
              <w:bottom w:val="nil"/>
              <w:right w:val="nil"/>
            </w:tcBorders>
            <w:shd w:val="clear" w:color="auto" w:fill="auto"/>
            <w:noWrap/>
            <w:vAlign w:val="center"/>
            <w:hideMark/>
          </w:tcPr>
          <w:p w14:paraId="494A721D" w14:textId="77777777" w:rsidR="009F0FB4" w:rsidRPr="00042ED7" w:rsidRDefault="009F0FB4" w:rsidP="009F0FB4">
            <w:pPr>
              <w:spacing w:after="0" w:line="240" w:lineRule="auto"/>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Durango</w:t>
            </w:r>
          </w:p>
        </w:tc>
        <w:tc>
          <w:tcPr>
            <w:tcW w:w="1200" w:type="dxa"/>
            <w:tcBorders>
              <w:top w:val="nil"/>
              <w:left w:val="nil"/>
              <w:bottom w:val="nil"/>
              <w:right w:val="nil"/>
            </w:tcBorders>
            <w:shd w:val="clear" w:color="000000" w:fill="DCB8E4"/>
            <w:noWrap/>
            <w:vAlign w:val="center"/>
            <w:hideMark/>
          </w:tcPr>
          <w:p w14:paraId="4808952E"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79.5</w:t>
            </w:r>
          </w:p>
        </w:tc>
        <w:tc>
          <w:tcPr>
            <w:tcW w:w="1200" w:type="dxa"/>
            <w:tcBorders>
              <w:top w:val="nil"/>
              <w:left w:val="nil"/>
              <w:bottom w:val="nil"/>
              <w:right w:val="nil"/>
            </w:tcBorders>
            <w:shd w:val="clear" w:color="000000" w:fill="F1D2F0"/>
            <w:noWrap/>
            <w:vAlign w:val="center"/>
            <w:hideMark/>
          </w:tcPr>
          <w:p w14:paraId="0C4FECF7"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13.6</w:t>
            </w:r>
          </w:p>
        </w:tc>
        <w:tc>
          <w:tcPr>
            <w:tcW w:w="1200" w:type="dxa"/>
            <w:tcBorders>
              <w:top w:val="nil"/>
              <w:left w:val="nil"/>
              <w:bottom w:val="nil"/>
              <w:right w:val="nil"/>
            </w:tcBorders>
            <w:shd w:val="clear" w:color="000000" w:fill="D6B0E0"/>
            <w:noWrap/>
            <w:vAlign w:val="center"/>
            <w:hideMark/>
          </w:tcPr>
          <w:p w14:paraId="71427EBE"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100.2</w:t>
            </w:r>
          </w:p>
        </w:tc>
        <w:tc>
          <w:tcPr>
            <w:tcW w:w="1200" w:type="dxa"/>
            <w:tcBorders>
              <w:top w:val="nil"/>
              <w:left w:val="nil"/>
              <w:bottom w:val="nil"/>
              <w:right w:val="nil"/>
            </w:tcBorders>
            <w:shd w:val="clear" w:color="000000" w:fill="EDCEEE"/>
            <w:noWrap/>
            <w:vAlign w:val="center"/>
            <w:hideMark/>
          </w:tcPr>
          <w:p w14:paraId="1F053603"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16.5</w:t>
            </w:r>
          </w:p>
        </w:tc>
        <w:tc>
          <w:tcPr>
            <w:tcW w:w="1200" w:type="dxa"/>
            <w:tcBorders>
              <w:top w:val="nil"/>
              <w:left w:val="nil"/>
              <w:bottom w:val="nil"/>
              <w:right w:val="nil"/>
            </w:tcBorders>
            <w:shd w:val="clear" w:color="000000" w:fill="E4C2E8"/>
            <w:noWrap/>
            <w:vAlign w:val="center"/>
            <w:hideMark/>
          </w:tcPr>
          <w:p w14:paraId="25F5D5A7"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82.9</w:t>
            </w:r>
          </w:p>
        </w:tc>
        <w:tc>
          <w:tcPr>
            <w:tcW w:w="1200" w:type="dxa"/>
            <w:tcBorders>
              <w:top w:val="nil"/>
              <w:left w:val="nil"/>
              <w:bottom w:val="nil"/>
              <w:right w:val="nil"/>
            </w:tcBorders>
            <w:shd w:val="clear" w:color="000000" w:fill="F0D1F0"/>
            <w:noWrap/>
            <w:vAlign w:val="center"/>
            <w:hideMark/>
          </w:tcPr>
          <w:p w14:paraId="631222DC"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9.7</w:t>
            </w:r>
          </w:p>
        </w:tc>
      </w:tr>
      <w:tr w:rsidR="009F0FB4" w:rsidRPr="00042ED7" w14:paraId="7ED9D2B5" w14:textId="77777777" w:rsidTr="0041252D">
        <w:trPr>
          <w:trHeight w:val="20"/>
        </w:trPr>
        <w:tc>
          <w:tcPr>
            <w:tcW w:w="2620" w:type="dxa"/>
            <w:tcBorders>
              <w:top w:val="nil"/>
              <w:left w:val="nil"/>
              <w:bottom w:val="nil"/>
              <w:right w:val="nil"/>
            </w:tcBorders>
            <w:shd w:val="clear" w:color="auto" w:fill="auto"/>
            <w:noWrap/>
            <w:vAlign w:val="center"/>
            <w:hideMark/>
          </w:tcPr>
          <w:p w14:paraId="5505C8A9" w14:textId="77777777" w:rsidR="009F0FB4" w:rsidRPr="00042ED7" w:rsidRDefault="009F0FB4" w:rsidP="009F0FB4">
            <w:pPr>
              <w:spacing w:after="0" w:line="240" w:lineRule="auto"/>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Michoacán de Ocampo</w:t>
            </w:r>
          </w:p>
        </w:tc>
        <w:tc>
          <w:tcPr>
            <w:tcW w:w="1200" w:type="dxa"/>
            <w:tcBorders>
              <w:top w:val="nil"/>
              <w:left w:val="nil"/>
              <w:bottom w:val="nil"/>
              <w:right w:val="nil"/>
            </w:tcBorders>
            <w:shd w:val="clear" w:color="000000" w:fill="DEBAE5"/>
            <w:noWrap/>
            <w:vAlign w:val="center"/>
            <w:hideMark/>
          </w:tcPr>
          <w:p w14:paraId="59EFF035"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76.3</w:t>
            </w:r>
          </w:p>
        </w:tc>
        <w:tc>
          <w:tcPr>
            <w:tcW w:w="1200" w:type="dxa"/>
            <w:tcBorders>
              <w:top w:val="nil"/>
              <w:left w:val="nil"/>
              <w:bottom w:val="nil"/>
              <w:right w:val="nil"/>
            </w:tcBorders>
            <w:shd w:val="clear" w:color="000000" w:fill="EFD0EF"/>
            <w:noWrap/>
            <w:vAlign w:val="center"/>
            <w:hideMark/>
          </w:tcPr>
          <w:p w14:paraId="64DF01E9"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16.2</w:t>
            </w:r>
          </w:p>
        </w:tc>
        <w:tc>
          <w:tcPr>
            <w:tcW w:w="1200" w:type="dxa"/>
            <w:tcBorders>
              <w:top w:val="nil"/>
              <w:left w:val="nil"/>
              <w:bottom w:val="nil"/>
              <w:right w:val="nil"/>
            </w:tcBorders>
            <w:shd w:val="clear" w:color="000000" w:fill="DDBAE4"/>
            <w:noWrap/>
            <w:vAlign w:val="center"/>
            <w:hideMark/>
          </w:tcPr>
          <w:p w14:paraId="5A592D9F"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81.2</w:t>
            </w:r>
          </w:p>
        </w:tc>
        <w:tc>
          <w:tcPr>
            <w:tcW w:w="1200" w:type="dxa"/>
            <w:tcBorders>
              <w:top w:val="nil"/>
              <w:left w:val="nil"/>
              <w:bottom w:val="nil"/>
              <w:right w:val="nil"/>
            </w:tcBorders>
            <w:shd w:val="clear" w:color="000000" w:fill="F2D4F1"/>
            <w:noWrap/>
            <w:vAlign w:val="center"/>
            <w:hideMark/>
          </w:tcPr>
          <w:p w14:paraId="2A380EC5"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11.3</w:t>
            </w:r>
          </w:p>
        </w:tc>
        <w:tc>
          <w:tcPr>
            <w:tcW w:w="1200" w:type="dxa"/>
            <w:tcBorders>
              <w:top w:val="nil"/>
              <w:left w:val="nil"/>
              <w:bottom w:val="nil"/>
              <w:right w:val="nil"/>
            </w:tcBorders>
            <w:shd w:val="clear" w:color="000000" w:fill="E4C2E8"/>
            <w:noWrap/>
            <w:vAlign w:val="center"/>
            <w:hideMark/>
          </w:tcPr>
          <w:p w14:paraId="439B6585"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82.6</w:t>
            </w:r>
          </w:p>
        </w:tc>
        <w:tc>
          <w:tcPr>
            <w:tcW w:w="1200" w:type="dxa"/>
            <w:tcBorders>
              <w:top w:val="nil"/>
              <w:left w:val="nil"/>
              <w:bottom w:val="nil"/>
              <w:right w:val="nil"/>
            </w:tcBorders>
            <w:shd w:val="clear" w:color="000000" w:fill="EFD0EF"/>
            <w:noWrap/>
            <w:vAlign w:val="center"/>
            <w:hideMark/>
          </w:tcPr>
          <w:p w14:paraId="3B9283DF"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10.9</w:t>
            </w:r>
          </w:p>
        </w:tc>
      </w:tr>
      <w:tr w:rsidR="009F0FB4" w:rsidRPr="00042ED7" w14:paraId="3396A371" w14:textId="77777777" w:rsidTr="0041252D">
        <w:trPr>
          <w:trHeight w:val="20"/>
        </w:trPr>
        <w:tc>
          <w:tcPr>
            <w:tcW w:w="2620" w:type="dxa"/>
            <w:tcBorders>
              <w:top w:val="nil"/>
              <w:left w:val="nil"/>
              <w:bottom w:val="nil"/>
              <w:right w:val="nil"/>
            </w:tcBorders>
            <w:shd w:val="clear" w:color="auto" w:fill="auto"/>
            <w:noWrap/>
            <w:vAlign w:val="center"/>
            <w:hideMark/>
          </w:tcPr>
          <w:p w14:paraId="05755BA6" w14:textId="77777777" w:rsidR="009F0FB4" w:rsidRPr="00042ED7" w:rsidRDefault="009F0FB4" w:rsidP="009F0FB4">
            <w:pPr>
              <w:spacing w:after="0" w:line="240" w:lineRule="auto"/>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Sinaloa</w:t>
            </w:r>
          </w:p>
        </w:tc>
        <w:tc>
          <w:tcPr>
            <w:tcW w:w="1200" w:type="dxa"/>
            <w:tcBorders>
              <w:top w:val="nil"/>
              <w:left w:val="nil"/>
              <w:bottom w:val="nil"/>
              <w:right w:val="nil"/>
            </w:tcBorders>
            <w:shd w:val="clear" w:color="000000" w:fill="E1BFE7"/>
            <w:noWrap/>
            <w:vAlign w:val="center"/>
            <w:hideMark/>
          </w:tcPr>
          <w:p w14:paraId="0249A662"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67.3</w:t>
            </w:r>
          </w:p>
        </w:tc>
        <w:tc>
          <w:tcPr>
            <w:tcW w:w="1200" w:type="dxa"/>
            <w:tcBorders>
              <w:top w:val="nil"/>
              <w:left w:val="nil"/>
              <w:bottom w:val="nil"/>
              <w:right w:val="nil"/>
            </w:tcBorders>
            <w:shd w:val="clear" w:color="000000" w:fill="F8DBF5"/>
            <w:noWrap/>
            <w:vAlign w:val="center"/>
            <w:hideMark/>
          </w:tcPr>
          <w:p w14:paraId="5E809E1E"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3.9</w:t>
            </w:r>
          </w:p>
        </w:tc>
        <w:tc>
          <w:tcPr>
            <w:tcW w:w="1200" w:type="dxa"/>
            <w:tcBorders>
              <w:top w:val="nil"/>
              <w:left w:val="nil"/>
              <w:bottom w:val="nil"/>
              <w:right w:val="nil"/>
            </w:tcBorders>
            <w:shd w:val="clear" w:color="000000" w:fill="E6C4E9"/>
            <w:noWrap/>
            <w:vAlign w:val="center"/>
            <w:hideMark/>
          </w:tcPr>
          <w:p w14:paraId="073EDEAA"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60.4</w:t>
            </w:r>
          </w:p>
        </w:tc>
        <w:tc>
          <w:tcPr>
            <w:tcW w:w="1200" w:type="dxa"/>
            <w:tcBorders>
              <w:top w:val="nil"/>
              <w:left w:val="nil"/>
              <w:bottom w:val="nil"/>
              <w:right w:val="nil"/>
            </w:tcBorders>
            <w:shd w:val="clear" w:color="000000" w:fill="F8DBF5"/>
            <w:noWrap/>
            <w:vAlign w:val="center"/>
            <w:hideMark/>
          </w:tcPr>
          <w:p w14:paraId="11F0CA3F"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4.5</w:t>
            </w:r>
          </w:p>
        </w:tc>
        <w:tc>
          <w:tcPr>
            <w:tcW w:w="1200" w:type="dxa"/>
            <w:tcBorders>
              <w:top w:val="nil"/>
              <w:left w:val="nil"/>
              <w:bottom w:val="nil"/>
              <w:right w:val="nil"/>
            </w:tcBorders>
            <w:shd w:val="clear" w:color="000000" w:fill="EDCDEE"/>
            <w:noWrap/>
            <w:vAlign w:val="center"/>
            <w:hideMark/>
          </w:tcPr>
          <w:p w14:paraId="5D8B85FD"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53.9</w:t>
            </w:r>
          </w:p>
        </w:tc>
        <w:tc>
          <w:tcPr>
            <w:tcW w:w="1200" w:type="dxa"/>
            <w:tcBorders>
              <w:top w:val="nil"/>
              <w:left w:val="nil"/>
              <w:bottom w:val="nil"/>
              <w:right w:val="nil"/>
            </w:tcBorders>
            <w:shd w:val="clear" w:color="000000" w:fill="F7DAF4"/>
            <w:noWrap/>
            <w:vAlign w:val="center"/>
            <w:hideMark/>
          </w:tcPr>
          <w:p w14:paraId="4CA0101A"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3.3</w:t>
            </w:r>
          </w:p>
        </w:tc>
      </w:tr>
      <w:tr w:rsidR="009F0FB4" w:rsidRPr="00042ED7" w14:paraId="299EF107" w14:textId="77777777" w:rsidTr="0041252D">
        <w:trPr>
          <w:trHeight w:val="20"/>
        </w:trPr>
        <w:tc>
          <w:tcPr>
            <w:tcW w:w="2620" w:type="dxa"/>
            <w:tcBorders>
              <w:top w:val="nil"/>
              <w:left w:val="nil"/>
              <w:bottom w:val="nil"/>
              <w:right w:val="nil"/>
            </w:tcBorders>
            <w:shd w:val="clear" w:color="auto" w:fill="auto"/>
            <w:noWrap/>
            <w:vAlign w:val="center"/>
            <w:hideMark/>
          </w:tcPr>
          <w:p w14:paraId="3508F267" w14:textId="77777777" w:rsidR="009F0FB4" w:rsidRPr="00042ED7" w:rsidRDefault="009F0FB4" w:rsidP="009F0FB4">
            <w:pPr>
              <w:spacing w:after="0" w:line="240" w:lineRule="auto"/>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Morelos</w:t>
            </w:r>
          </w:p>
        </w:tc>
        <w:tc>
          <w:tcPr>
            <w:tcW w:w="1200" w:type="dxa"/>
            <w:tcBorders>
              <w:top w:val="nil"/>
              <w:left w:val="nil"/>
              <w:bottom w:val="nil"/>
              <w:right w:val="nil"/>
            </w:tcBorders>
            <w:shd w:val="clear" w:color="000000" w:fill="F5D7F3"/>
            <w:noWrap/>
            <w:vAlign w:val="center"/>
            <w:hideMark/>
          </w:tcPr>
          <w:p w14:paraId="334836C8"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19.8</w:t>
            </w:r>
          </w:p>
        </w:tc>
        <w:tc>
          <w:tcPr>
            <w:tcW w:w="1200" w:type="dxa"/>
            <w:tcBorders>
              <w:top w:val="nil"/>
              <w:left w:val="nil"/>
              <w:bottom w:val="nil"/>
              <w:right w:val="nil"/>
            </w:tcBorders>
            <w:shd w:val="clear" w:color="000000" w:fill="ECCCED"/>
            <w:noWrap/>
            <w:vAlign w:val="center"/>
            <w:hideMark/>
          </w:tcPr>
          <w:p w14:paraId="746A5691"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20.4</w:t>
            </w:r>
          </w:p>
        </w:tc>
        <w:tc>
          <w:tcPr>
            <w:tcW w:w="1200" w:type="dxa"/>
            <w:tcBorders>
              <w:top w:val="nil"/>
              <w:left w:val="nil"/>
              <w:bottom w:val="nil"/>
              <w:right w:val="nil"/>
            </w:tcBorders>
            <w:shd w:val="clear" w:color="000000" w:fill="E9C8EB"/>
            <w:noWrap/>
            <w:vAlign w:val="center"/>
            <w:hideMark/>
          </w:tcPr>
          <w:p w14:paraId="2E87F68F"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52.7</w:t>
            </w:r>
          </w:p>
        </w:tc>
        <w:tc>
          <w:tcPr>
            <w:tcW w:w="1200" w:type="dxa"/>
            <w:tcBorders>
              <w:top w:val="nil"/>
              <w:left w:val="nil"/>
              <w:bottom w:val="nil"/>
              <w:right w:val="nil"/>
            </w:tcBorders>
            <w:shd w:val="clear" w:color="000000" w:fill="EFD0EF"/>
            <w:noWrap/>
            <w:vAlign w:val="center"/>
            <w:hideMark/>
          </w:tcPr>
          <w:p w14:paraId="310A856C"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15.1</w:t>
            </w:r>
          </w:p>
        </w:tc>
        <w:tc>
          <w:tcPr>
            <w:tcW w:w="1200" w:type="dxa"/>
            <w:tcBorders>
              <w:top w:val="nil"/>
              <w:left w:val="nil"/>
              <w:bottom w:val="nil"/>
              <w:right w:val="nil"/>
            </w:tcBorders>
            <w:shd w:val="clear" w:color="000000" w:fill="EACAEC"/>
            <w:noWrap/>
            <w:vAlign w:val="center"/>
            <w:hideMark/>
          </w:tcPr>
          <w:p w14:paraId="7BAD3FEC"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62.5</w:t>
            </w:r>
          </w:p>
        </w:tc>
        <w:tc>
          <w:tcPr>
            <w:tcW w:w="1200" w:type="dxa"/>
            <w:tcBorders>
              <w:top w:val="nil"/>
              <w:left w:val="nil"/>
              <w:bottom w:val="nil"/>
              <w:right w:val="nil"/>
            </w:tcBorders>
            <w:shd w:val="clear" w:color="000000" w:fill="E4C2E8"/>
            <w:noWrap/>
            <w:vAlign w:val="center"/>
            <w:hideMark/>
          </w:tcPr>
          <w:p w14:paraId="407A29B6"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21.4</w:t>
            </w:r>
          </w:p>
        </w:tc>
      </w:tr>
      <w:tr w:rsidR="009F0FB4" w:rsidRPr="00042ED7" w14:paraId="5AE1D448" w14:textId="77777777" w:rsidTr="0041252D">
        <w:trPr>
          <w:trHeight w:val="20"/>
        </w:trPr>
        <w:tc>
          <w:tcPr>
            <w:tcW w:w="2620" w:type="dxa"/>
            <w:tcBorders>
              <w:top w:val="nil"/>
              <w:left w:val="nil"/>
              <w:bottom w:val="nil"/>
              <w:right w:val="nil"/>
            </w:tcBorders>
            <w:shd w:val="clear" w:color="auto" w:fill="auto"/>
            <w:noWrap/>
            <w:vAlign w:val="center"/>
            <w:hideMark/>
          </w:tcPr>
          <w:p w14:paraId="51915F13" w14:textId="77777777" w:rsidR="009F0FB4" w:rsidRPr="00042ED7" w:rsidRDefault="009F0FB4" w:rsidP="009F0FB4">
            <w:pPr>
              <w:spacing w:after="0" w:line="240" w:lineRule="auto"/>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Jalisco</w:t>
            </w:r>
          </w:p>
        </w:tc>
        <w:tc>
          <w:tcPr>
            <w:tcW w:w="1200" w:type="dxa"/>
            <w:tcBorders>
              <w:top w:val="nil"/>
              <w:left w:val="nil"/>
              <w:bottom w:val="nil"/>
              <w:right w:val="nil"/>
            </w:tcBorders>
            <w:shd w:val="clear" w:color="000000" w:fill="EBCAED"/>
            <w:noWrap/>
            <w:vAlign w:val="center"/>
            <w:hideMark/>
          </w:tcPr>
          <w:p w14:paraId="50F94B52"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44.8</w:t>
            </w:r>
          </w:p>
        </w:tc>
        <w:tc>
          <w:tcPr>
            <w:tcW w:w="1200" w:type="dxa"/>
            <w:tcBorders>
              <w:top w:val="nil"/>
              <w:left w:val="nil"/>
              <w:bottom w:val="nil"/>
              <w:right w:val="nil"/>
            </w:tcBorders>
            <w:shd w:val="clear" w:color="000000" w:fill="F5D7F3"/>
            <w:noWrap/>
            <w:vAlign w:val="center"/>
            <w:hideMark/>
          </w:tcPr>
          <w:p w14:paraId="06CB6674"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8.1</w:t>
            </w:r>
          </w:p>
        </w:tc>
        <w:tc>
          <w:tcPr>
            <w:tcW w:w="1200" w:type="dxa"/>
            <w:tcBorders>
              <w:top w:val="nil"/>
              <w:left w:val="nil"/>
              <w:bottom w:val="nil"/>
              <w:right w:val="nil"/>
            </w:tcBorders>
            <w:shd w:val="clear" w:color="000000" w:fill="E7C6EA"/>
            <w:noWrap/>
            <w:vAlign w:val="center"/>
            <w:hideMark/>
          </w:tcPr>
          <w:p w14:paraId="44262591"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57.5</w:t>
            </w:r>
          </w:p>
        </w:tc>
        <w:tc>
          <w:tcPr>
            <w:tcW w:w="1200" w:type="dxa"/>
            <w:tcBorders>
              <w:top w:val="nil"/>
              <w:left w:val="nil"/>
              <w:bottom w:val="nil"/>
              <w:right w:val="nil"/>
            </w:tcBorders>
            <w:shd w:val="clear" w:color="000000" w:fill="F7DAF4"/>
            <w:noWrap/>
            <w:vAlign w:val="center"/>
            <w:hideMark/>
          </w:tcPr>
          <w:p w14:paraId="067BF2B6"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5.9</w:t>
            </w:r>
          </w:p>
        </w:tc>
        <w:tc>
          <w:tcPr>
            <w:tcW w:w="1200" w:type="dxa"/>
            <w:tcBorders>
              <w:top w:val="nil"/>
              <w:left w:val="nil"/>
              <w:bottom w:val="nil"/>
              <w:right w:val="nil"/>
            </w:tcBorders>
            <w:shd w:val="clear" w:color="000000" w:fill="F1D2F0"/>
            <w:noWrap/>
            <w:vAlign w:val="center"/>
            <w:hideMark/>
          </w:tcPr>
          <w:p w14:paraId="5C1AEB16"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41</w:t>
            </w:r>
          </w:p>
        </w:tc>
        <w:tc>
          <w:tcPr>
            <w:tcW w:w="1200" w:type="dxa"/>
            <w:tcBorders>
              <w:top w:val="nil"/>
              <w:left w:val="nil"/>
              <w:bottom w:val="nil"/>
              <w:right w:val="nil"/>
            </w:tcBorders>
            <w:shd w:val="clear" w:color="000000" w:fill="F7DAF4"/>
            <w:noWrap/>
            <w:vAlign w:val="center"/>
            <w:hideMark/>
          </w:tcPr>
          <w:p w14:paraId="0FB982F6"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3.5</w:t>
            </w:r>
          </w:p>
        </w:tc>
      </w:tr>
      <w:tr w:rsidR="009F0FB4" w:rsidRPr="00042ED7" w14:paraId="35956AE4" w14:textId="77777777" w:rsidTr="0041252D">
        <w:trPr>
          <w:trHeight w:val="20"/>
        </w:trPr>
        <w:tc>
          <w:tcPr>
            <w:tcW w:w="2620" w:type="dxa"/>
            <w:tcBorders>
              <w:top w:val="nil"/>
              <w:left w:val="nil"/>
              <w:bottom w:val="nil"/>
              <w:right w:val="nil"/>
            </w:tcBorders>
            <w:shd w:val="clear" w:color="auto" w:fill="auto"/>
            <w:noWrap/>
            <w:vAlign w:val="center"/>
            <w:hideMark/>
          </w:tcPr>
          <w:p w14:paraId="2499C1D9" w14:textId="77777777" w:rsidR="009F0FB4" w:rsidRPr="00042ED7" w:rsidRDefault="009F0FB4" w:rsidP="009F0FB4">
            <w:pPr>
              <w:spacing w:after="0" w:line="240" w:lineRule="auto"/>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Nayarit</w:t>
            </w:r>
          </w:p>
        </w:tc>
        <w:tc>
          <w:tcPr>
            <w:tcW w:w="1200" w:type="dxa"/>
            <w:tcBorders>
              <w:top w:val="nil"/>
              <w:left w:val="nil"/>
              <w:bottom w:val="nil"/>
              <w:right w:val="nil"/>
            </w:tcBorders>
            <w:shd w:val="clear" w:color="000000" w:fill="EECEEE"/>
            <w:noWrap/>
            <w:vAlign w:val="center"/>
            <w:hideMark/>
          </w:tcPr>
          <w:p w14:paraId="39AE66B1"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37.2</w:t>
            </w:r>
          </w:p>
        </w:tc>
        <w:tc>
          <w:tcPr>
            <w:tcW w:w="1200" w:type="dxa"/>
            <w:tcBorders>
              <w:top w:val="nil"/>
              <w:left w:val="nil"/>
              <w:bottom w:val="nil"/>
              <w:right w:val="nil"/>
            </w:tcBorders>
            <w:shd w:val="clear" w:color="000000" w:fill="F7DAF5"/>
            <w:noWrap/>
            <w:vAlign w:val="center"/>
            <w:hideMark/>
          </w:tcPr>
          <w:p w14:paraId="72A66B5D"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4.5</w:t>
            </w:r>
          </w:p>
        </w:tc>
        <w:tc>
          <w:tcPr>
            <w:tcW w:w="1200" w:type="dxa"/>
            <w:tcBorders>
              <w:top w:val="nil"/>
              <w:left w:val="nil"/>
              <w:bottom w:val="nil"/>
              <w:right w:val="nil"/>
            </w:tcBorders>
            <w:shd w:val="clear" w:color="000000" w:fill="EACAEC"/>
            <w:noWrap/>
            <w:vAlign w:val="center"/>
            <w:hideMark/>
          </w:tcPr>
          <w:p w14:paraId="7571D188"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48.1</w:t>
            </w:r>
          </w:p>
        </w:tc>
        <w:tc>
          <w:tcPr>
            <w:tcW w:w="1200" w:type="dxa"/>
            <w:tcBorders>
              <w:top w:val="nil"/>
              <w:left w:val="nil"/>
              <w:bottom w:val="nil"/>
              <w:right w:val="nil"/>
            </w:tcBorders>
            <w:shd w:val="clear" w:color="000000" w:fill="F0D2F0"/>
            <w:noWrap/>
            <w:vAlign w:val="center"/>
            <w:hideMark/>
          </w:tcPr>
          <w:p w14:paraId="2A804D43"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13.3</w:t>
            </w:r>
          </w:p>
        </w:tc>
        <w:tc>
          <w:tcPr>
            <w:tcW w:w="1200" w:type="dxa"/>
            <w:tcBorders>
              <w:top w:val="nil"/>
              <w:left w:val="nil"/>
              <w:bottom w:val="nil"/>
              <w:right w:val="nil"/>
            </w:tcBorders>
            <w:shd w:val="clear" w:color="000000" w:fill="EECEEE"/>
            <w:noWrap/>
            <w:vAlign w:val="center"/>
            <w:hideMark/>
          </w:tcPr>
          <w:p w14:paraId="1720CAC0"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50.6</w:t>
            </w:r>
          </w:p>
        </w:tc>
        <w:tc>
          <w:tcPr>
            <w:tcW w:w="1200" w:type="dxa"/>
            <w:tcBorders>
              <w:top w:val="nil"/>
              <w:left w:val="nil"/>
              <w:bottom w:val="nil"/>
              <w:right w:val="nil"/>
            </w:tcBorders>
            <w:shd w:val="clear" w:color="000000" w:fill="F4D7F3"/>
            <w:noWrap/>
            <w:vAlign w:val="center"/>
            <w:hideMark/>
          </w:tcPr>
          <w:p w14:paraId="600EDF32"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5.9</w:t>
            </w:r>
          </w:p>
        </w:tc>
      </w:tr>
      <w:tr w:rsidR="009F0FB4" w:rsidRPr="00042ED7" w14:paraId="7195F8F9" w14:textId="77777777" w:rsidTr="0041252D">
        <w:trPr>
          <w:trHeight w:val="20"/>
        </w:trPr>
        <w:tc>
          <w:tcPr>
            <w:tcW w:w="2620" w:type="dxa"/>
            <w:tcBorders>
              <w:top w:val="nil"/>
              <w:left w:val="nil"/>
              <w:bottom w:val="nil"/>
              <w:right w:val="nil"/>
            </w:tcBorders>
            <w:shd w:val="clear" w:color="auto" w:fill="auto"/>
            <w:noWrap/>
            <w:vAlign w:val="center"/>
            <w:hideMark/>
          </w:tcPr>
          <w:p w14:paraId="40326B9E" w14:textId="77777777" w:rsidR="009F0FB4" w:rsidRPr="00042ED7" w:rsidRDefault="009F0FB4" w:rsidP="009F0FB4">
            <w:pPr>
              <w:spacing w:after="0" w:line="240" w:lineRule="auto"/>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Zacatecas</w:t>
            </w:r>
          </w:p>
        </w:tc>
        <w:tc>
          <w:tcPr>
            <w:tcW w:w="1200" w:type="dxa"/>
            <w:tcBorders>
              <w:top w:val="nil"/>
              <w:left w:val="nil"/>
              <w:bottom w:val="nil"/>
              <w:right w:val="nil"/>
            </w:tcBorders>
            <w:shd w:val="clear" w:color="000000" w:fill="F2D4F1"/>
            <w:noWrap/>
            <w:vAlign w:val="center"/>
            <w:hideMark/>
          </w:tcPr>
          <w:p w14:paraId="69576E7A"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27</w:t>
            </w:r>
          </w:p>
        </w:tc>
        <w:tc>
          <w:tcPr>
            <w:tcW w:w="1200" w:type="dxa"/>
            <w:tcBorders>
              <w:top w:val="nil"/>
              <w:left w:val="nil"/>
              <w:bottom w:val="nil"/>
              <w:right w:val="nil"/>
            </w:tcBorders>
            <w:shd w:val="clear" w:color="000000" w:fill="F3D5F2"/>
            <w:noWrap/>
            <w:vAlign w:val="center"/>
            <w:hideMark/>
          </w:tcPr>
          <w:p w14:paraId="5A36359B"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11</w:t>
            </w:r>
          </w:p>
        </w:tc>
        <w:tc>
          <w:tcPr>
            <w:tcW w:w="1200" w:type="dxa"/>
            <w:tcBorders>
              <w:top w:val="nil"/>
              <w:left w:val="nil"/>
              <w:bottom w:val="nil"/>
              <w:right w:val="nil"/>
            </w:tcBorders>
            <w:shd w:val="clear" w:color="000000" w:fill="EECFEF"/>
            <w:noWrap/>
            <w:vAlign w:val="center"/>
            <w:hideMark/>
          </w:tcPr>
          <w:p w14:paraId="6CB35BBD"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37.8</w:t>
            </w:r>
          </w:p>
        </w:tc>
        <w:tc>
          <w:tcPr>
            <w:tcW w:w="1200" w:type="dxa"/>
            <w:tcBorders>
              <w:top w:val="nil"/>
              <w:left w:val="nil"/>
              <w:bottom w:val="nil"/>
              <w:right w:val="nil"/>
            </w:tcBorders>
            <w:shd w:val="clear" w:color="000000" w:fill="EDCEEE"/>
            <w:noWrap/>
            <w:vAlign w:val="center"/>
            <w:hideMark/>
          </w:tcPr>
          <w:p w14:paraId="37D35919"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16.4</w:t>
            </w:r>
          </w:p>
        </w:tc>
        <w:tc>
          <w:tcPr>
            <w:tcW w:w="1200" w:type="dxa"/>
            <w:tcBorders>
              <w:top w:val="nil"/>
              <w:left w:val="nil"/>
              <w:bottom w:val="nil"/>
              <w:right w:val="nil"/>
            </w:tcBorders>
            <w:shd w:val="clear" w:color="000000" w:fill="F2D3F1"/>
            <w:noWrap/>
            <w:vAlign w:val="center"/>
            <w:hideMark/>
          </w:tcPr>
          <w:p w14:paraId="420DDC3D"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38</w:t>
            </w:r>
          </w:p>
        </w:tc>
        <w:tc>
          <w:tcPr>
            <w:tcW w:w="1200" w:type="dxa"/>
            <w:tcBorders>
              <w:top w:val="nil"/>
              <w:left w:val="nil"/>
              <w:bottom w:val="nil"/>
              <w:right w:val="nil"/>
            </w:tcBorders>
            <w:shd w:val="clear" w:color="000000" w:fill="EDCDEE"/>
            <w:noWrap/>
            <w:vAlign w:val="center"/>
            <w:hideMark/>
          </w:tcPr>
          <w:p w14:paraId="28C6E6EE"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13.1</w:t>
            </w:r>
          </w:p>
        </w:tc>
      </w:tr>
      <w:tr w:rsidR="009F0FB4" w:rsidRPr="00042ED7" w14:paraId="01FAD730" w14:textId="77777777" w:rsidTr="0041252D">
        <w:trPr>
          <w:trHeight w:val="20"/>
        </w:trPr>
        <w:tc>
          <w:tcPr>
            <w:tcW w:w="2620" w:type="dxa"/>
            <w:tcBorders>
              <w:top w:val="nil"/>
              <w:left w:val="nil"/>
              <w:bottom w:val="nil"/>
              <w:right w:val="nil"/>
            </w:tcBorders>
            <w:shd w:val="clear" w:color="auto" w:fill="auto"/>
            <w:noWrap/>
            <w:vAlign w:val="center"/>
            <w:hideMark/>
          </w:tcPr>
          <w:p w14:paraId="217D515C" w14:textId="77777777" w:rsidR="009F0FB4" w:rsidRPr="00042ED7" w:rsidRDefault="009F0FB4" w:rsidP="009F0FB4">
            <w:pPr>
              <w:spacing w:after="0" w:line="240" w:lineRule="auto"/>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San Luis Potosí</w:t>
            </w:r>
          </w:p>
        </w:tc>
        <w:tc>
          <w:tcPr>
            <w:tcW w:w="1200" w:type="dxa"/>
            <w:tcBorders>
              <w:top w:val="nil"/>
              <w:left w:val="nil"/>
              <w:bottom w:val="nil"/>
              <w:right w:val="nil"/>
            </w:tcBorders>
            <w:shd w:val="clear" w:color="000000" w:fill="F3D5F2"/>
            <w:noWrap/>
            <w:vAlign w:val="center"/>
            <w:hideMark/>
          </w:tcPr>
          <w:p w14:paraId="5FA6F549"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24.4</w:t>
            </w:r>
          </w:p>
        </w:tc>
        <w:tc>
          <w:tcPr>
            <w:tcW w:w="1200" w:type="dxa"/>
            <w:tcBorders>
              <w:top w:val="nil"/>
              <w:left w:val="nil"/>
              <w:bottom w:val="nil"/>
              <w:right w:val="nil"/>
            </w:tcBorders>
            <w:shd w:val="clear" w:color="000000" w:fill="F7DBF5"/>
            <w:noWrap/>
            <w:vAlign w:val="center"/>
            <w:hideMark/>
          </w:tcPr>
          <w:p w14:paraId="231CDA92"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4.4</w:t>
            </w:r>
          </w:p>
        </w:tc>
        <w:tc>
          <w:tcPr>
            <w:tcW w:w="1200" w:type="dxa"/>
            <w:tcBorders>
              <w:top w:val="nil"/>
              <w:left w:val="nil"/>
              <w:bottom w:val="nil"/>
              <w:right w:val="nil"/>
            </w:tcBorders>
            <w:shd w:val="clear" w:color="000000" w:fill="EDCDEE"/>
            <w:noWrap/>
            <w:vAlign w:val="center"/>
            <w:hideMark/>
          </w:tcPr>
          <w:p w14:paraId="24F9DFD8"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41.6</w:t>
            </w:r>
          </w:p>
        </w:tc>
        <w:tc>
          <w:tcPr>
            <w:tcW w:w="1200" w:type="dxa"/>
            <w:tcBorders>
              <w:top w:val="nil"/>
              <w:left w:val="nil"/>
              <w:bottom w:val="nil"/>
              <w:right w:val="nil"/>
            </w:tcBorders>
            <w:shd w:val="clear" w:color="000000" w:fill="FADDF6"/>
            <w:noWrap/>
            <w:vAlign w:val="center"/>
            <w:hideMark/>
          </w:tcPr>
          <w:p w14:paraId="210D1BEA"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2.5</w:t>
            </w:r>
          </w:p>
        </w:tc>
        <w:tc>
          <w:tcPr>
            <w:tcW w:w="1200" w:type="dxa"/>
            <w:tcBorders>
              <w:top w:val="nil"/>
              <w:left w:val="nil"/>
              <w:bottom w:val="nil"/>
              <w:right w:val="nil"/>
            </w:tcBorders>
            <w:shd w:val="clear" w:color="000000" w:fill="EAC9EC"/>
            <w:noWrap/>
            <w:vAlign w:val="center"/>
            <w:hideMark/>
          </w:tcPr>
          <w:p w14:paraId="0EF4AD90"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63</w:t>
            </w:r>
          </w:p>
        </w:tc>
        <w:tc>
          <w:tcPr>
            <w:tcW w:w="1200" w:type="dxa"/>
            <w:tcBorders>
              <w:top w:val="nil"/>
              <w:left w:val="nil"/>
              <w:bottom w:val="nil"/>
              <w:right w:val="nil"/>
            </w:tcBorders>
            <w:shd w:val="clear" w:color="000000" w:fill="F4D6F2"/>
            <w:noWrap/>
            <w:vAlign w:val="center"/>
            <w:hideMark/>
          </w:tcPr>
          <w:p w14:paraId="5BB320B6"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6</w:t>
            </w:r>
          </w:p>
        </w:tc>
      </w:tr>
      <w:tr w:rsidR="009F0FB4" w:rsidRPr="00042ED7" w14:paraId="790776D9" w14:textId="77777777" w:rsidTr="0041252D">
        <w:trPr>
          <w:trHeight w:val="20"/>
        </w:trPr>
        <w:tc>
          <w:tcPr>
            <w:tcW w:w="2620" w:type="dxa"/>
            <w:tcBorders>
              <w:top w:val="nil"/>
              <w:left w:val="nil"/>
              <w:bottom w:val="nil"/>
              <w:right w:val="nil"/>
            </w:tcBorders>
            <w:shd w:val="clear" w:color="auto" w:fill="auto"/>
            <w:noWrap/>
            <w:vAlign w:val="center"/>
            <w:hideMark/>
          </w:tcPr>
          <w:p w14:paraId="0F1E0397" w14:textId="77777777" w:rsidR="009F0FB4" w:rsidRPr="00042ED7" w:rsidRDefault="009F0FB4" w:rsidP="009F0FB4">
            <w:pPr>
              <w:spacing w:after="0" w:line="240" w:lineRule="auto"/>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Campeche</w:t>
            </w:r>
          </w:p>
        </w:tc>
        <w:tc>
          <w:tcPr>
            <w:tcW w:w="1200" w:type="dxa"/>
            <w:tcBorders>
              <w:top w:val="nil"/>
              <w:left w:val="nil"/>
              <w:bottom w:val="nil"/>
              <w:right w:val="nil"/>
            </w:tcBorders>
            <w:shd w:val="clear" w:color="000000" w:fill="F7DAF4"/>
            <w:noWrap/>
            <w:vAlign w:val="center"/>
            <w:hideMark/>
          </w:tcPr>
          <w:p w14:paraId="0D7C5F59"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14.8</w:t>
            </w:r>
          </w:p>
        </w:tc>
        <w:tc>
          <w:tcPr>
            <w:tcW w:w="1200" w:type="dxa"/>
            <w:tcBorders>
              <w:top w:val="nil"/>
              <w:left w:val="nil"/>
              <w:bottom w:val="nil"/>
              <w:right w:val="nil"/>
            </w:tcBorders>
            <w:shd w:val="clear" w:color="000000" w:fill="F1D2F0"/>
            <w:noWrap/>
            <w:vAlign w:val="center"/>
            <w:hideMark/>
          </w:tcPr>
          <w:p w14:paraId="7762993E"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13.9</w:t>
            </w:r>
          </w:p>
        </w:tc>
        <w:tc>
          <w:tcPr>
            <w:tcW w:w="1200" w:type="dxa"/>
            <w:tcBorders>
              <w:top w:val="nil"/>
              <w:left w:val="nil"/>
              <w:bottom w:val="nil"/>
              <w:right w:val="nil"/>
            </w:tcBorders>
            <w:shd w:val="clear" w:color="000000" w:fill="F7DAF4"/>
            <w:noWrap/>
            <w:vAlign w:val="center"/>
            <w:hideMark/>
          </w:tcPr>
          <w:p w14:paraId="1C9DDD68"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17.1</w:t>
            </w:r>
          </w:p>
        </w:tc>
        <w:tc>
          <w:tcPr>
            <w:tcW w:w="1200" w:type="dxa"/>
            <w:tcBorders>
              <w:top w:val="nil"/>
              <w:left w:val="nil"/>
              <w:bottom w:val="nil"/>
              <w:right w:val="nil"/>
            </w:tcBorders>
            <w:shd w:val="clear" w:color="000000" w:fill="F2D4F1"/>
            <w:noWrap/>
            <w:vAlign w:val="center"/>
            <w:hideMark/>
          </w:tcPr>
          <w:p w14:paraId="6F439840"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10.9</w:t>
            </w:r>
          </w:p>
        </w:tc>
        <w:tc>
          <w:tcPr>
            <w:tcW w:w="1200" w:type="dxa"/>
            <w:tcBorders>
              <w:top w:val="nil"/>
              <w:left w:val="nil"/>
              <w:bottom w:val="nil"/>
              <w:right w:val="nil"/>
            </w:tcBorders>
            <w:shd w:val="clear" w:color="000000" w:fill="E8C7EB"/>
            <w:noWrap/>
            <w:vAlign w:val="center"/>
            <w:hideMark/>
          </w:tcPr>
          <w:p w14:paraId="0F34B54E"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69.4</w:t>
            </w:r>
          </w:p>
        </w:tc>
        <w:tc>
          <w:tcPr>
            <w:tcW w:w="1200" w:type="dxa"/>
            <w:tcBorders>
              <w:top w:val="nil"/>
              <w:left w:val="nil"/>
              <w:bottom w:val="nil"/>
              <w:right w:val="nil"/>
            </w:tcBorders>
            <w:shd w:val="clear" w:color="000000" w:fill="F2D4F1"/>
            <w:noWrap/>
            <w:vAlign w:val="center"/>
            <w:hideMark/>
          </w:tcPr>
          <w:p w14:paraId="741C3418"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7.9</w:t>
            </w:r>
          </w:p>
        </w:tc>
      </w:tr>
      <w:tr w:rsidR="009F0FB4" w:rsidRPr="00042ED7" w14:paraId="3E755185" w14:textId="77777777" w:rsidTr="0041252D">
        <w:trPr>
          <w:trHeight w:val="20"/>
        </w:trPr>
        <w:tc>
          <w:tcPr>
            <w:tcW w:w="2620" w:type="dxa"/>
            <w:tcBorders>
              <w:top w:val="nil"/>
              <w:left w:val="nil"/>
              <w:bottom w:val="nil"/>
              <w:right w:val="nil"/>
            </w:tcBorders>
            <w:shd w:val="clear" w:color="auto" w:fill="auto"/>
            <w:noWrap/>
            <w:vAlign w:val="center"/>
            <w:hideMark/>
          </w:tcPr>
          <w:p w14:paraId="2E676608" w14:textId="77777777" w:rsidR="009F0FB4" w:rsidRPr="00042ED7" w:rsidRDefault="009F0FB4" w:rsidP="009F0FB4">
            <w:pPr>
              <w:spacing w:after="0" w:line="240" w:lineRule="auto"/>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Guerrero</w:t>
            </w:r>
          </w:p>
        </w:tc>
        <w:tc>
          <w:tcPr>
            <w:tcW w:w="1200" w:type="dxa"/>
            <w:tcBorders>
              <w:top w:val="nil"/>
              <w:left w:val="nil"/>
              <w:bottom w:val="nil"/>
              <w:right w:val="nil"/>
            </w:tcBorders>
            <w:shd w:val="clear" w:color="000000" w:fill="F0D1F0"/>
            <w:noWrap/>
            <w:vAlign w:val="center"/>
            <w:hideMark/>
          </w:tcPr>
          <w:p w14:paraId="4FC21CD8"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31.5</w:t>
            </w:r>
          </w:p>
        </w:tc>
        <w:tc>
          <w:tcPr>
            <w:tcW w:w="1200" w:type="dxa"/>
            <w:tcBorders>
              <w:top w:val="nil"/>
              <w:left w:val="nil"/>
              <w:bottom w:val="nil"/>
              <w:right w:val="nil"/>
            </w:tcBorders>
            <w:shd w:val="clear" w:color="000000" w:fill="F4D7F3"/>
            <w:noWrap/>
            <w:vAlign w:val="center"/>
            <w:hideMark/>
          </w:tcPr>
          <w:p w14:paraId="64D95F6F"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8.6</w:t>
            </w:r>
          </w:p>
        </w:tc>
        <w:tc>
          <w:tcPr>
            <w:tcW w:w="1200" w:type="dxa"/>
            <w:tcBorders>
              <w:top w:val="nil"/>
              <w:left w:val="nil"/>
              <w:bottom w:val="nil"/>
              <w:right w:val="nil"/>
            </w:tcBorders>
            <w:shd w:val="clear" w:color="000000" w:fill="F4D7F3"/>
            <w:noWrap/>
            <w:vAlign w:val="center"/>
            <w:hideMark/>
          </w:tcPr>
          <w:p w14:paraId="022F24C8"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23.2</w:t>
            </w:r>
          </w:p>
        </w:tc>
        <w:tc>
          <w:tcPr>
            <w:tcW w:w="1200" w:type="dxa"/>
            <w:tcBorders>
              <w:top w:val="nil"/>
              <w:left w:val="nil"/>
              <w:bottom w:val="nil"/>
              <w:right w:val="nil"/>
            </w:tcBorders>
            <w:shd w:val="clear" w:color="000000" w:fill="F3D5F2"/>
            <w:noWrap/>
            <w:vAlign w:val="center"/>
            <w:hideMark/>
          </w:tcPr>
          <w:p w14:paraId="65A2BF02"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10.3</w:t>
            </w:r>
          </w:p>
        </w:tc>
        <w:tc>
          <w:tcPr>
            <w:tcW w:w="1200" w:type="dxa"/>
            <w:tcBorders>
              <w:top w:val="nil"/>
              <w:left w:val="nil"/>
              <w:bottom w:val="nil"/>
              <w:right w:val="nil"/>
            </w:tcBorders>
            <w:shd w:val="clear" w:color="000000" w:fill="F3D5F2"/>
            <w:noWrap/>
            <w:vAlign w:val="center"/>
            <w:hideMark/>
          </w:tcPr>
          <w:p w14:paraId="2F868BF8"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34.3</w:t>
            </w:r>
          </w:p>
        </w:tc>
        <w:tc>
          <w:tcPr>
            <w:tcW w:w="1200" w:type="dxa"/>
            <w:tcBorders>
              <w:top w:val="nil"/>
              <w:left w:val="nil"/>
              <w:bottom w:val="nil"/>
              <w:right w:val="nil"/>
            </w:tcBorders>
            <w:shd w:val="clear" w:color="000000" w:fill="ECCDEE"/>
            <w:noWrap/>
            <w:vAlign w:val="center"/>
            <w:hideMark/>
          </w:tcPr>
          <w:p w14:paraId="57B46436"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13.1</w:t>
            </w:r>
          </w:p>
        </w:tc>
      </w:tr>
      <w:tr w:rsidR="009F0FB4" w:rsidRPr="00042ED7" w14:paraId="4B7FB075" w14:textId="77777777" w:rsidTr="0041252D">
        <w:trPr>
          <w:trHeight w:val="20"/>
        </w:trPr>
        <w:tc>
          <w:tcPr>
            <w:tcW w:w="2620" w:type="dxa"/>
            <w:tcBorders>
              <w:top w:val="nil"/>
              <w:left w:val="nil"/>
              <w:bottom w:val="nil"/>
              <w:right w:val="nil"/>
            </w:tcBorders>
            <w:shd w:val="clear" w:color="auto" w:fill="auto"/>
            <w:noWrap/>
            <w:vAlign w:val="center"/>
            <w:hideMark/>
          </w:tcPr>
          <w:p w14:paraId="35C5365B" w14:textId="77777777" w:rsidR="009F0FB4" w:rsidRPr="00042ED7" w:rsidRDefault="009F0FB4" w:rsidP="009F0FB4">
            <w:pPr>
              <w:spacing w:after="0" w:line="240" w:lineRule="auto"/>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Chiapas</w:t>
            </w:r>
          </w:p>
        </w:tc>
        <w:tc>
          <w:tcPr>
            <w:tcW w:w="1200" w:type="dxa"/>
            <w:tcBorders>
              <w:top w:val="nil"/>
              <w:left w:val="nil"/>
              <w:bottom w:val="nil"/>
              <w:right w:val="nil"/>
            </w:tcBorders>
            <w:shd w:val="clear" w:color="000000" w:fill="F2D4F1"/>
            <w:noWrap/>
            <w:vAlign w:val="center"/>
            <w:hideMark/>
          </w:tcPr>
          <w:p w14:paraId="69C30F22"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26.7</w:t>
            </w:r>
          </w:p>
        </w:tc>
        <w:tc>
          <w:tcPr>
            <w:tcW w:w="1200" w:type="dxa"/>
            <w:tcBorders>
              <w:top w:val="nil"/>
              <w:left w:val="nil"/>
              <w:bottom w:val="nil"/>
              <w:right w:val="nil"/>
            </w:tcBorders>
            <w:shd w:val="clear" w:color="000000" w:fill="F9DCF6"/>
            <w:noWrap/>
            <w:vAlign w:val="center"/>
            <w:hideMark/>
          </w:tcPr>
          <w:p w14:paraId="7B286F87"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2.3</w:t>
            </w:r>
          </w:p>
        </w:tc>
        <w:tc>
          <w:tcPr>
            <w:tcW w:w="1200" w:type="dxa"/>
            <w:tcBorders>
              <w:top w:val="nil"/>
              <w:left w:val="nil"/>
              <w:bottom w:val="nil"/>
              <w:right w:val="nil"/>
            </w:tcBorders>
            <w:shd w:val="clear" w:color="000000" w:fill="F1D3F1"/>
            <w:noWrap/>
            <w:vAlign w:val="center"/>
            <w:hideMark/>
          </w:tcPr>
          <w:p w14:paraId="594B88A0"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31.3</w:t>
            </w:r>
          </w:p>
        </w:tc>
        <w:tc>
          <w:tcPr>
            <w:tcW w:w="1200" w:type="dxa"/>
            <w:tcBorders>
              <w:top w:val="nil"/>
              <w:left w:val="nil"/>
              <w:bottom w:val="nil"/>
              <w:right w:val="nil"/>
            </w:tcBorders>
            <w:shd w:val="clear" w:color="000000" w:fill="F9DDF6"/>
            <w:noWrap/>
            <w:vAlign w:val="center"/>
            <w:hideMark/>
          </w:tcPr>
          <w:p w14:paraId="41C54242"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3.1</w:t>
            </w:r>
          </w:p>
        </w:tc>
        <w:tc>
          <w:tcPr>
            <w:tcW w:w="1200" w:type="dxa"/>
            <w:tcBorders>
              <w:top w:val="nil"/>
              <w:left w:val="nil"/>
              <w:bottom w:val="nil"/>
              <w:right w:val="nil"/>
            </w:tcBorders>
            <w:shd w:val="clear" w:color="000000" w:fill="F3D6F2"/>
            <w:noWrap/>
            <w:vAlign w:val="center"/>
            <w:hideMark/>
          </w:tcPr>
          <w:p w14:paraId="478BB98A"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31.9</w:t>
            </w:r>
          </w:p>
        </w:tc>
        <w:tc>
          <w:tcPr>
            <w:tcW w:w="1200" w:type="dxa"/>
            <w:tcBorders>
              <w:top w:val="nil"/>
              <w:left w:val="nil"/>
              <w:bottom w:val="nil"/>
              <w:right w:val="nil"/>
            </w:tcBorders>
            <w:shd w:val="clear" w:color="000000" w:fill="F8DCF5"/>
            <w:noWrap/>
            <w:vAlign w:val="center"/>
            <w:hideMark/>
          </w:tcPr>
          <w:p w14:paraId="5659BB9F"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2.1</w:t>
            </w:r>
          </w:p>
        </w:tc>
      </w:tr>
      <w:tr w:rsidR="009F0FB4" w:rsidRPr="00042ED7" w14:paraId="75EE9783" w14:textId="77777777" w:rsidTr="0041252D">
        <w:trPr>
          <w:trHeight w:val="20"/>
        </w:trPr>
        <w:tc>
          <w:tcPr>
            <w:tcW w:w="2620" w:type="dxa"/>
            <w:tcBorders>
              <w:top w:val="nil"/>
              <w:left w:val="nil"/>
              <w:bottom w:val="nil"/>
              <w:right w:val="nil"/>
            </w:tcBorders>
            <w:shd w:val="clear" w:color="auto" w:fill="auto"/>
            <w:noWrap/>
            <w:vAlign w:val="center"/>
            <w:hideMark/>
          </w:tcPr>
          <w:p w14:paraId="7CA14F58" w14:textId="77777777" w:rsidR="009F0FB4" w:rsidRPr="00042ED7" w:rsidRDefault="009F0FB4" w:rsidP="009F0FB4">
            <w:pPr>
              <w:spacing w:after="0" w:line="240" w:lineRule="auto"/>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Yucatán</w:t>
            </w:r>
          </w:p>
        </w:tc>
        <w:tc>
          <w:tcPr>
            <w:tcW w:w="1200" w:type="dxa"/>
            <w:tcBorders>
              <w:top w:val="nil"/>
              <w:left w:val="nil"/>
              <w:bottom w:val="nil"/>
              <w:right w:val="nil"/>
            </w:tcBorders>
            <w:shd w:val="clear" w:color="000000" w:fill="F6D9F4"/>
            <w:noWrap/>
            <w:vAlign w:val="center"/>
            <w:hideMark/>
          </w:tcPr>
          <w:p w14:paraId="536DD0D0"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16.1</w:t>
            </w:r>
          </w:p>
        </w:tc>
        <w:tc>
          <w:tcPr>
            <w:tcW w:w="1200" w:type="dxa"/>
            <w:tcBorders>
              <w:top w:val="nil"/>
              <w:left w:val="nil"/>
              <w:bottom w:val="nil"/>
              <w:right w:val="nil"/>
            </w:tcBorders>
            <w:shd w:val="clear" w:color="000000" w:fill="F7DAF4"/>
            <w:noWrap/>
            <w:vAlign w:val="center"/>
            <w:hideMark/>
          </w:tcPr>
          <w:p w14:paraId="36F0A07E"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5.2</w:t>
            </w:r>
          </w:p>
        </w:tc>
        <w:tc>
          <w:tcPr>
            <w:tcW w:w="1200" w:type="dxa"/>
            <w:tcBorders>
              <w:top w:val="nil"/>
              <w:left w:val="nil"/>
              <w:bottom w:val="nil"/>
              <w:right w:val="nil"/>
            </w:tcBorders>
            <w:shd w:val="clear" w:color="000000" w:fill="F6D8F3"/>
            <w:noWrap/>
            <w:vAlign w:val="center"/>
            <w:hideMark/>
          </w:tcPr>
          <w:p w14:paraId="4849CEF3"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19.5</w:t>
            </w:r>
          </w:p>
        </w:tc>
        <w:tc>
          <w:tcPr>
            <w:tcW w:w="1200" w:type="dxa"/>
            <w:tcBorders>
              <w:top w:val="nil"/>
              <w:left w:val="nil"/>
              <w:bottom w:val="nil"/>
              <w:right w:val="nil"/>
            </w:tcBorders>
            <w:shd w:val="clear" w:color="000000" w:fill="F8DBF5"/>
            <w:noWrap/>
            <w:vAlign w:val="center"/>
            <w:hideMark/>
          </w:tcPr>
          <w:p w14:paraId="52951D90"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4.8</w:t>
            </w:r>
          </w:p>
        </w:tc>
        <w:tc>
          <w:tcPr>
            <w:tcW w:w="1200" w:type="dxa"/>
            <w:tcBorders>
              <w:top w:val="nil"/>
              <w:left w:val="nil"/>
              <w:bottom w:val="nil"/>
              <w:right w:val="nil"/>
            </w:tcBorders>
            <w:shd w:val="clear" w:color="000000" w:fill="F4D7F3"/>
            <w:noWrap/>
            <w:vAlign w:val="center"/>
            <w:hideMark/>
          </w:tcPr>
          <w:p w14:paraId="3D9BFC9F"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29.6</w:t>
            </w:r>
          </w:p>
        </w:tc>
        <w:tc>
          <w:tcPr>
            <w:tcW w:w="1200" w:type="dxa"/>
            <w:tcBorders>
              <w:top w:val="nil"/>
              <w:left w:val="nil"/>
              <w:bottom w:val="nil"/>
              <w:right w:val="nil"/>
            </w:tcBorders>
            <w:shd w:val="clear" w:color="000000" w:fill="F2D3F1"/>
            <w:noWrap/>
            <w:vAlign w:val="center"/>
            <w:hideMark/>
          </w:tcPr>
          <w:p w14:paraId="24373B67"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8.3</w:t>
            </w:r>
          </w:p>
        </w:tc>
      </w:tr>
      <w:tr w:rsidR="009F0FB4" w:rsidRPr="00042ED7" w14:paraId="67A98A87" w14:textId="77777777" w:rsidTr="0041252D">
        <w:trPr>
          <w:trHeight w:val="20"/>
        </w:trPr>
        <w:tc>
          <w:tcPr>
            <w:tcW w:w="2620" w:type="dxa"/>
            <w:tcBorders>
              <w:top w:val="nil"/>
              <w:left w:val="nil"/>
              <w:bottom w:val="nil"/>
              <w:right w:val="nil"/>
            </w:tcBorders>
            <w:shd w:val="clear" w:color="auto" w:fill="auto"/>
            <w:noWrap/>
            <w:vAlign w:val="center"/>
            <w:hideMark/>
          </w:tcPr>
          <w:p w14:paraId="5D37662A" w14:textId="77777777" w:rsidR="009F0FB4" w:rsidRPr="00042ED7" w:rsidRDefault="009F0FB4" w:rsidP="009F0FB4">
            <w:pPr>
              <w:spacing w:after="0" w:line="240" w:lineRule="auto"/>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Tamaulipas</w:t>
            </w:r>
          </w:p>
        </w:tc>
        <w:tc>
          <w:tcPr>
            <w:tcW w:w="1200" w:type="dxa"/>
            <w:tcBorders>
              <w:top w:val="nil"/>
              <w:left w:val="nil"/>
              <w:bottom w:val="nil"/>
              <w:right w:val="nil"/>
            </w:tcBorders>
            <w:shd w:val="clear" w:color="000000" w:fill="F3D5F2"/>
            <w:noWrap/>
            <w:vAlign w:val="center"/>
            <w:hideMark/>
          </w:tcPr>
          <w:p w14:paraId="3157308D"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24.8</w:t>
            </w:r>
          </w:p>
        </w:tc>
        <w:tc>
          <w:tcPr>
            <w:tcW w:w="1200" w:type="dxa"/>
            <w:tcBorders>
              <w:top w:val="nil"/>
              <w:left w:val="nil"/>
              <w:bottom w:val="nil"/>
              <w:right w:val="nil"/>
            </w:tcBorders>
            <w:shd w:val="clear" w:color="000000" w:fill="F3D5F2"/>
            <w:noWrap/>
            <w:vAlign w:val="center"/>
            <w:hideMark/>
          </w:tcPr>
          <w:p w14:paraId="78EE5C26"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10.6</w:t>
            </w:r>
          </w:p>
        </w:tc>
        <w:tc>
          <w:tcPr>
            <w:tcW w:w="1200" w:type="dxa"/>
            <w:tcBorders>
              <w:top w:val="nil"/>
              <w:left w:val="nil"/>
              <w:bottom w:val="nil"/>
              <w:right w:val="nil"/>
            </w:tcBorders>
            <w:shd w:val="clear" w:color="000000" w:fill="F6D9F4"/>
            <w:noWrap/>
            <w:vAlign w:val="center"/>
            <w:hideMark/>
          </w:tcPr>
          <w:p w14:paraId="6B521038"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18.4</w:t>
            </w:r>
          </w:p>
        </w:tc>
        <w:tc>
          <w:tcPr>
            <w:tcW w:w="1200" w:type="dxa"/>
            <w:tcBorders>
              <w:top w:val="nil"/>
              <w:left w:val="nil"/>
              <w:bottom w:val="nil"/>
              <w:right w:val="nil"/>
            </w:tcBorders>
            <w:shd w:val="clear" w:color="000000" w:fill="FADEF6"/>
            <w:noWrap/>
            <w:vAlign w:val="center"/>
            <w:hideMark/>
          </w:tcPr>
          <w:p w14:paraId="46451C45"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1.6</w:t>
            </w:r>
          </w:p>
        </w:tc>
        <w:tc>
          <w:tcPr>
            <w:tcW w:w="1200" w:type="dxa"/>
            <w:tcBorders>
              <w:top w:val="nil"/>
              <w:left w:val="nil"/>
              <w:bottom w:val="nil"/>
              <w:right w:val="nil"/>
            </w:tcBorders>
            <w:shd w:val="clear" w:color="000000" w:fill="F9DDF6"/>
            <w:noWrap/>
            <w:vAlign w:val="center"/>
            <w:hideMark/>
          </w:tcPr>
          <w:p w14:paraId="645A5A81"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13.2</w:t>
            </w:r>
          </w:p>
        </w:tc>
        <w:tc>
          <w:tcPr>
            <w:tcW w:w="1200" w:type="dxa"/>
            <w:tcBorders>
              <w:top w:val="nil"/>
              <w:left w:val="nil"/>
              <w:bottom w:val="nil"/>
              <w:right w:val="nil"/>
            </w:tcBorders>
            <w:shd w:val="clear" w:color="000000" w:fill="F7DAF4"/>
            <w:noWrap/>
            <w:vAlign w:val="center"/>
            <w:hideMark/>
          </w:tcPr>
          <w:p w14:paraId="794F0617"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3.2</w:t>
            </w:r>
          </w:p>
        </w:tc>
      </w:tr>
      <w:tr w:rsidR="009F0FB4" w:rsidRPr="00042ED7" w14:paraId="32482AB8" w14:textId="77777777" w:rsidTr="0041252D">
        <w:trPr>
          <w:trHeight w:val="20"/>
        </w:trPr>
        <w:tc>
          <w:tcPr>
            <w:tcW w:w="2620" w:type="dxa"/>
            <w:tcBorders>
              <w:top w:val="nil"/>
              <w:left w:val="nil"/>
              <w:bottom w:val="nil"/>
              <w:right w:val="nil"/>
            </w:tcBorders>
            <w:shd w:val="clear" w:color="auto" w:fill="auto"/>
            <w:noWrap/>
            <w:vAlign w:val="center"/>
            <w:hideMark/>
          </w:tcPr>
          <w:p w14:paraId="6E3445B7" w14:textId="77777777" w:rsidR="009F0FB4" w:rsidRPr="00042ED7" w:rsidRDefault="009F0FB4" w:rsidP="009F0FB4">
            <w:pPr>
              <w:spacing w:after="0" w:line="240" w:lineRule="auto"/>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Hidalgo</w:t>
            </w:r>
          </w:p>
        </w:tc>
        <w:tc>
          <w:tcPr>
            <w:tcW w:w="1200" w:type="dxa"/>
            <w:tcBorders>
              <w:top w:val="nil"/>
              <w:left w:val="nil"/>
              <w:bottom w:val="nil"/>
              <w:right w:val="nil"/>
            </w:tcBorders>
            <w:shd w:val="clear" w:color="000000" w:fill="F7DBF5"/>
            <w:noWrap/>
            <w:vAlign w:val="center"/>
            <w:hideMark/>
          </w:tcPr>
          <w:p w14:paraId="6663742A"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13.3</w:t>
            </w:r>
          </w:p>
        </w:tc>
        <w:tc>
          <w:tcPr>
            <w:tcW w:w="1200" w:type="dxa"/>
            <w:tcBorders>
              <w:top w:val="nil"/>
              <w:left w:val="nil"/>
              <w:bottom w:val="nil"/>
              <w:right w:val="nil"/>
            </w:tcBorders>
            <w:shd w:val="clear" w:color="000000" w:fill="F8DBF5"/>
            <w:noWrap/>
            <w:vAlign w:val="center"/>
            <w:hideMark/>
          </w:tcPr>
          <w:p w14:paraId="106C64AC"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4</w:t>
            </w:r>
          </w:p>
        </w:tc>
        <w:tc>
          <w:tcPr>
            <w:tcW w:w="1200" w:type="dxa"/>
            <w:tcBorders>
              <w:top w:val="nil"/>
              <w:left w:val="nil"/>
              <w:bottom w:val="nil"/>
              <w:right w:val="nil"/>
            </w:tcBorders>
            <w:shd w:val="clear" w:color="000000" w:fill="F7DAF4"/>
            <w:noWrap/>
            <w:vAlign w:val="center"/>
            <w:hideMark/>
          </w:tcPr>
          <w:p w14:paraId="295EE62A"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15.8</w:t>
            </w:r>
          </w:p>
        </w:tc>
        <w:tc>
          <w:tcPr>
            <w:tcW w:w="1200" w:type="dxa"/>
            <w:tcBorders>
              <w:top w:val="nil"/>
              <w:left w:val="nil"/>
              <w:bottom w:val="nil"/>
              <w:right w:val="nil"/>
            </w:tcBorders>
            <w:shd w:val="clear" w:color="000000" w:fill="F9DDF6"/>
            <w:noWrap/>
            <w:vAlign w:val="center"/>
            <w:hideMark/>
          </w:tcPr>
          <w:p w14:paraId="38B09E44"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2.7</w:t>
            </w:r>
          </w:p>
        </w:tc>
        <w:tc>
          <w:tcPr>
            <w:tcW w:w="1200" w:type="dxa"/>
            <w:tcBorders>
              <w:top w:val="nil"/>
              <w:left w:val="nil"/>
              <w:bottom w:val="nil"/>
              <w:right w:val="nil"/>
            </w:tcBorders>
            <w:shd w:val="clear" w:color="000000" w:fill="F6D9F4"/>
            <w:noWrap/>
            <w:vAlign w:val="center"/>
            <w:hideMark/>
          </w:tcPr>
          <w:p w14:paraId="6AB47BB4"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23</w:t>
            </w:r>
          </w:p>
        </w:tc>
        <w:tc>
          <w:tcPr>
            <w:tcW w:w="1200" w:type="dxa"/>
            <w:tcBorders>
              <w:top w:val="nil"/>
              <w:left w:val="nil"/>
              <w:bottom w:val="nil"/>
              <w:right w:val="nil"/>
            </w:tcBorders>
            <w:shd w:val="clear" w:color="000000" w:fill="F7DAF4"/>
            <w:noWrap/>
            <w:vAlign w:val="center"/>
            <w:hideMark/>
          </w:tcPr>
          <w:p w14:paraId="28FAA2E6"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3.6</w:t>
            </w:r>
          </w:p>
        </w:tc>
      </w:tr>
      <w:tr w:rsidR="009F0FB4" w:rsidRPr="00042ED7" w14:paraId="67E449C4" w14:textId="77777777" w:rsidTr="0041252D">
        <w:trPr>
          <w:trHeight w:val="20"/>
        </w:trPr>
        <w:tc>
          <w:tcPr>
            <w:tcW w:w="2620" w:type="dxa"/>
            <w:tcBorders>
              <w:top w:val="nil"/>
              <w:left w:val="nil"/>
              <w:bottom w:val="nil"/>
              <w:right w:val="nil"/>
            </w:tcBorders>
            <w:shd w:val="clear" w:color="auto" w:fill="auto"/>
            <w:noWrap/>
            <w:vAlign w:val="center"/>
            <w:hideMark/>
          </w:tcPr>
          <w:p w14:paraId="159BB488" w14:textId="77777777" w:rsidR="009F0FB4" w:rsidRPr="00042ED7" w:rsidRDefault="009F0FB4" w:rsidP="009F0FB4">
            <w:pPr>
              <w:spacing w:after="0" w:line="240" w:lineRule="auto"/>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Oaxaca</w:t>
            </w:r>
          </w:p>
        </w:tc>
        <w:tc>
          <w:tcPr>
            <w:tcW w:w="1200" w:type="dxa"/>
            <w:tcBorders>
              <w:top w:val="nil"/>
              <w:left w:val="nil"/>
              <w:bottom w:val="nil"/>
              <w:right w:val="nil"/>
            </w:tcBorders>
            <w:shd w:val="clear" w:color="000000" w:fill="F7DAF4"/>
            <w:noWrap/>
            <w:vAlign w:val="center"/>
            <w:hideMark/>
          </w:tcPr>
          <w:p w14:paraId="11697729"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13.9</w:t>
            </w:r>
          </w:p>
        </w:tc>
        <w:tc>
          <w:tcPr>
            <w:tcW w:w="1200" w:type="dxa"/>
            <w:tcBorders>
              <w:top w:val="nil"/>
              <w:left w:val="nil"/>
              <w:bottom w:val="nil"/>
              <w:right w:val="nil"/>
            </w:tcBorders>
            <w:shd w:val="clear" w:color="000000" w:fill="F9DDF6"/>
            <w:noWrap/>
            <w:vAlign w:val="center"/>
            <w:hideMark/>
          </w:tcPr>
          <w:p w14:paraId="160D2AC0"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1.7</w:t>
            </w:r>
          </w:p>
        </w:tc>
        <w:tc>
          <w:tcPr>
            <w:tcW w:w="1200" w:type="dxa"/>
            <w:tcBorders>
              <w:top w:val="nil"/>
              <w:left w:val="nil"/>
              <w:bottom w:val="nil"/>
              <w:right w:val="nil"/>
            </w:tcBorders>
            <w:shd w:val="clear" w:color="000000" w:fill="F7DAF4"/>
            <w:noWrap/>
            <w:vAlign w:val="center"/>
            <w:hideMark/>
          </w:tcPr>
          <w:p w14:paraId="122DCCD6"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15.5</w:t>
            </w:r>
          </w:p>
        </w:tc>
        <w:tc>
          <w:tcPr>
            <w:tcW w:w="1200" w:type="dxa"/>
            <w:tcBorders>
              <w:top w:val="nil"/>
              <w:left w:val="nil"/>
              <w:bottom w:val="nil"/>
              <w:right w:val="nil"/>
            </w:tcBorders>
            <w:shd w:val="clear" w:color="000000" w:fill="F9DCF5"/>
            <w:noWrap/>
            <w:vAlign w:val="center"/>
            <w:hideMark/>
          </w:tcPr>
          <w:p w14:paraId="0217F35B"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3.4</w:t>
            </w:r>
          </w:p>
        </w:tc>
        <w:tc>
          <w:tcPr>
            <w:tcW w:w="1200" w:type="dxa"/>
            <w:tcBorders>
              <w:top w:val="nil"/>
              <w:left w:val="nil"/>
              <w:bottom w:val="nil"/>
              <w:right w:val="nil"/>
            </w:tcBorders>
            <w:shd w:val="clear" w:color="000000" w:fill="F8DCF5"/>
            <w:noWrap/>
            <w:vAlign w:val="center"/>
            <w:hideMark/>
          </w:tcPr>
          <w:p w14:paraId="6BDF93B7"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16.7</w:t>
            </w:r>
          </w:p>
        </w:tc>
        <w:tc>
          <w:tcPr>
            <w:tcW w:w="1200" w:type="dxa"/>
            <w:tcBorders>
              <w:top w:val="nil"/>
              <w:left w:val="nil"/>
              <w:bottom w:val="nil"/>
              <w:right w:val="nil"/>
            </w:tcBorders>
            <w:shd w:val="clear" w:color="000000" w:fill="F8DCF5"/>
            <w:noWrap/>
            <w:vAlign w:val="center"/>
            <w:hideMark/>
          </w:tcPr>
          <w:p w14:paraId="7B32D362"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2.2</w:t>
            </w:r>
          </w:p>
        </w:tc>
      </w:tr>
      <w:tr w:rsidR="009F0FB4" w:rsidRPr="00042ED7" w14:paraId="496CA814" w14:textId="77777777" w:rsidTr="0041252D">
        <w:trPr>
          <w:trHeight w:val="20"/>
        </w:trPr>
        <w:tc>
          <w:tcPr>
            <w:tcW w:w="2620" w:type="dxa"/>
            <w:tcBorders>
              <w:top w:val="nil"/>
              <w:left w:val="nil"/>
              <w:bottom w:val="nil"/>
              <w:right w:val="nil"/>
            </w:tcBorders>
            <w:shd w:val="clear" w:color="auto" w:fill="auto"/>
            <w:noWrap/>
            <w:vAlign w:val="center"/>
            <w:hideMark/>
          </w:tcPr>
          <w:p w14:paraId="3BEEC516" w14:textId="77777777" w:rsidR="009F0FB4" w:rsidRPr="00042ED7" w:rsidRDefault="009F0FB4" w:rsidP="009F0FB4">
            <w:pPr>
              <w:spacing w:after="0" w:line="240" w:lineRule="auto"/>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Tlaxcala</w:t>
            </w:r>
          </w:p>
        </w:tc>
        <w:tc>
          <w:tcPr>
            <w:tcW w:w="1200" w:type="dxa"/>
            <w:tcBorders>
              <w:top w:val="nil"/>
              <w:left w:val="nil"/>
              <w:bottom w:val="nil"/>
              <w:right w:val="nil"/>
            </w:tcBorders>
            <w:shd w:val="clear" w:color="000000" w:fill="FADEF6"/>
            <w:noWrap/>
            <w:vAlign w:val="center"/>
            <w:hideMark/>
          </w:tcPr>
          <w:p w14:paraId="520BB183"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6.6</w:t>
            </w:r>
          </w:p>
        </w:tc>
        <w:tc>
          <w:tcPr>
            <w:tcW w:w="1200" w:type="dxa"/>
            <w:tcBorders>
              <w:top w:val="nil"/>
              <w:left w:val="nil"/>
              <w:bottom w:val="nil"/>
              <w:right w:val="nil"/>
            </w:tcBorders>
            <w:shd w:val="clear" w:color="000000" w:fill="F9DDF6"/>
            <w:noWrap/>
            <w:vAlign w:val="center"/>
            <w:hideMark/>
          </w:tcPr>
          <w:p w14:paraId="25A5C43C"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2</w:t>
            </w:r>
          </w:p>
        </w:tc>
        <w:tc>
          <w:tcPr>
            <w:tcW w:w="1200" w:type="dxa"/>
            <w:tcBorders>
              <w:top w:val="nil"/>
              <w:left w:val="nil"/>
              <w:bottom w:val="nil"/>
              <w:right w:val="nil"/>
            </w:tcBorders>
            <w:shd w:val="clear" w:color="000000" w:fill="F8DCF5"/>
            <w:noWrap/>
            <w:vAlign w:val="center"/>
            <w:hideMark/>
          </w:tcPr>
          <w:p w14:paraId="6365FCE0"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12.6</w:t>
            </w:r>
          </w:p>
        </w:tc>
        <w:tc>
          <w:tcPr>
            <w:tcW w:w="1200" w:type="dxa"/>
            <w:tcBorders>
              <w:top w:val="nil"/>
              <w:left w:val="nil"/>
              <w:bottom w:val="nil"/>
              <w:right w:val="nil"/>
            </w:tcBorders>
            <w:shd w:val="clear" w:color="000000" w:fill="F8DCF5"/>
            <w:noWrap/>
            <w:vAlign w:val="center"/>
            <w:hideMark/>
          </w:tcPr>
          <w:p w14:paraId="5AA2F75D"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4</w:t>
            </w:r>
          </w:p>
        </w:tc>
        <w:tc>
          <w:tcPr>
            <w:tcW w:w="1200" w:type="dxa"/>
            <w:tcBorders>
              <w:top w:val="nil"/>
              <w:left w:val="nil"/>
              <w:bottom w:val="nil"/>
              <w:right w:val="nil"/>
            </w:tcBorders>
            <w:shd w:val="clear" w:color="000000" w:fill="F7DBF5"/>
            <w:noWrap/>
            <w:vAlign w:val="center"/>
            <w:hideMark/>
          </w:tcPr>
          <w:p w14:paraId="38F88A65"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19.2</w:t>
            </w:r>
          </w:p>
        </w:tc>
        <w:tc>
          <w:tcPr>
            <w:tcW w:w="1200" w:type="dxa"/>
            <w:tcBorders>
              <w:top w:val="nil"/>
              <w:left w:val="nil"/>
              <w:bottom w:val="nil"/>
              <w:right w:val="nil"/>
            </w:tcBorders>
            <w:shd w:val="clear" w:color="000000" w:fill="F7DAF4"/>
            <w:noWrap/>
            <w:vAlign w:val="center"/>
            <w:hideMark/>
          </w:tcPr>
          <w:p w14:paraId="31E215D7"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3.3</w:t>
            </w:r>
          </w:p>
        </w:tc>
      </w:tr>
      <w:tr w:rsidR="009F0FB4" w:rsidRPr="00042ED7" w14:paraId="7E6B842E" w14:textId="77777777" w:rsidTr="0041252D">
        <w:trPr>
          <w:trHeight w:val="20"/>
        </w:trPr>
        <w:tc>
          <w:tcPr>
            <w:tcW w:w="2620" w:type="dxa"/>
            <w:tcBorders>
              <w:top w:val="nil"/>
              <w:left w:val="nil"/>
              <w:bottom w:val="nil"/>
              <w:right w:val="nil"/>
            </w:tcBorders>
            <w:shd w:val="clear" w:color="auto" w:fill="auto"/>
            <w:noWrap/>
            <w:vAlign w:val="center"/>
            <w:hideMark/>
          </w:tcPr>
          <w:p w14:paraId="6878F256" w14:textId="77777777" w:rsidR="009F0FB4" w:rsidRPr="00042ED7" w:rsidRDefault="009F0FB4" w:rsidP="009F0FB4">
            <w:pPr>
              <w:spacing w:after="0" w:line="240" w:lineRule="auto"/>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Puebla</w:t>
            </w:r>
          </w:p>
        </w:tc>
        <w:tc>
          <w:tcPr>
            <w:tcW w:w="1200" w:type="dxa"/>
            <w:tcBorders>
              <w:top w:val="nil"/>
              <w:left w:val="nil"/>
              <w:bottom w:val="nil"/>
              <w:right w:val="nil"/>
            </w:tcBorders>
            <w:shd w:val="clear" w:color="000000" w:fill="F8DCF5"/>
            <w:noWrap/>
            <w:vAlign w:val="center"/>
            <w:hideMark/>
          </w:tcPr>
          <w:p w14:paraId="02F5BCBD"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11.5</w:t>
            </w:r>
          </w:p>
        </w:tc>
        <w:tc>
          <w:tcPr>
            <w:tcW w:w="1200" w:type="dxa"/>
            <w:tcBorders>
              <w:top w:val="nil"/>
              <w:left w:val="nil"/>
              <w:bottom w:val="nil"/>
              <w:right w:val="nil"/>
            </w:tcBorders>
            <w:shd w:val="clear" w:color="000000" w:fill="FADEF6"/>
            <w:noWrap/>
            <w:vAlign w:val="center"/>
            <w:hideMark/>
          </w:tcPr>
          <w:p w14:paraId="28565CED"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0</w:t>
            </w:r>
          </w:p>
        </w:tc>
        <w:tc>
          <w:tcPr>
            <w:tcW w:w="1200" w:type="dxa"/>
            <w:tcBorders>
              <w:top w:val="nil"/>
              <w:left w:val="nil"/>
              <w:bottom w:val="nil"/>
              <w:right w:val="nil"/>
            </w:tcBorders>
            <w:shd w:val="clear" w:color="000000" w:fill="FADEF6"/>
            <w:noWrap/>
            <w:vAlign w:val="center"/>
            <w:hideMark/>
          </w:tcPr>
          <w:p w14:paraId="1437C7C5"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8.8</w:t>
            </w:r>
          </w:p>
        </w:tc>
        <w:tc>
          <w:tcPr>
            <w:tcW w:w="1200" w:type="dxa"/>
            <w:tcBorders>
              <w:top w:val="nil"/>
              <w:left w:val="nil"/>
              <w:bottom w:val="nil"/>
              <w:right w:val="nil"/>
            </w:tcBorders>
            <w:shd w:val="clear" w:color="000000" w:fill="FADDF6"/>
            <w:noWrap/>
            <w:vAlign w:val="center"/>
            <w:hideMark/>
          </w:tcPr>
          <w:p w14:paraId="3AF7889D"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2.7</w:t>
            </w:r>
          </w:p>
        </w:tc>
        <w:tc>
          <w:tcPr>
            <w:tcW w:w="1200" w:type="dxa"/>
            <w:tcBorders>
              <w:top w:val="nil"/>
              <w:left w:val="nil"/>
              <w:bottom w:val="nil"/>
              <w:right w:val="nil"/>
            </w:tcBorders>
            <w:shd w:val="clear" w:color="000000" w:fill="F9DDF6"/>
            <w:noWrap/>
            <w:vAlign w:val="center"/>
            <w:hideMark/>
          </w:tcPr>
          <w:p w14:paraId="4540C3C7"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13.3</w:t>
            </w:r>
          </w:p>
        </w:tc>
        <w:tc>
          <w:tcPr>
            <w:tcW w:w="1200" w:type="dxa"/>
            <w:tcBorders>
              <w:top w:val="nil"/>
              <w:left w:val="nil"/>
              <w:bottom w:val="nil"/>
              <w:right w:val="nil"/>
            </w:tcBorders>
            <w:shd w:val="clear" w:color="000000" w:fill="F7DBF5"/>
            <w:noWrap/>
            <w:vAlign w:val="center"/>
            <w:hideMark/>
          </w:tcPr>
          <w:p w14:paraId="60A393D7"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2.8</w:t>
            </w:r>
          </w:p>
        </w:tc>
      </w:tr>
      <w:tr w:rsidR="009F0FB4" w:rsidRPr="00042ED7" w14:paraId="06A4ED34" w14:textId="77777777" w:rsidTr="0041252D">
        <w:trPr>
          <w:trHeight w:val="20"/>
        </w:trPr>
        <w:tc>
          <w:tcPr>
            <w:tcW w:w="2620" w:type="dxa"/>
            <w:tcBorders>
              <w:top w:val="nil"/>
              <w:left w:val="nil"/>
              <w:bottom w:val="nil"/>
              <w:right w:val="nil"/>
            </w:tcBorders>
            <w:shd w:val="clear" w:color="auto" w:fill="auto"/>
            <w:noWrap/>
            <w:vAlign w:val="center"/>
            <w:hideMark/>
          </w:tcPr>
          <w:p w14:paraId="7DBADA2F" w14:textId="77777777" w:rsidR="009F0FB4" w:rsidRPr="00042ED7" w:rsidRDefault="009F0FB4" w:rsidP="009F0FB4">
            <w:pPr>
              <w:spacing w:after="0" w:line="240" w:lineRule="auto"/>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Tabasco</w:t>
            </w:r>
          </w:p>
        </w:tc>
        <w:tc>
          <w:tcPr>
            <w:tcW w:w="1200" w:type="dxa"/>
            <w:tcBorders>
              <w:top w:val="nil"/>
              <w:left w:val="nil"/>
              <w:bottom w:val="nil"/>
              <w:right w:val="nil"/>
            </w:tcBorders>
            <w:shd w:val="clear" w:color="000000" w:fill="FADEF6"/>
            <w:noWrap/>
            <w:vAlign w:val="center"/>
            <w:hideMark/>
          </w:tcPr>
          <w:p w14:paraId="0451387C"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6.4</w:t>
            </w:r>
          </w:p>
        </w:tc>
        <w:tc>
          <w:tcPr>
            <w:tcW w:w="1200" w:type="dxa"/>
            <w:tcBorders>
              <w:top w:val="nil"/>
              <w:left w:val="nil"/>
              <w:bottom w:val="nil"/>
              <w:right w:val="nil"/>
            </w:tcBorders>
            <w:shd w:val="clear" w:color="000000" w:fill="F8DBF5"/>
            <w:noWrap/>
            <w:vAlign w:val="center"/>
            <w:hideMark/>
          </w:tcPr>
          <w:p w14:paraId="3AF0A6D1"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3.4</w:t>
            </w:r>
          </w:p>
        </w:tc>
        <w:tc>
          <w:tcPr>
            <w:tcW w:w="1200" w:type="dxa"/>
            <w:tcBorders>
              <w:top w:val="nil"/>
              <w:left w:val="nil"/>
              <w:bottom w:val="nil"/>
              <w:right w:val="nil"/>
            </w:tcBorders>
            <w:shd w:val="clear" w:color="000000" w:fill="F9DDF6"/>
            <w:noWrap/>
            <w:vAlign w:val="center"/>
            <w:hideMark/>
          </w:tcPr>
          <w:p w14:paraId="3D3C7B7D"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10.3</w:t>
            </w:r>
          </w:p>
        </w:tc>
        <w:tc>
          <w:tcPr>
            <w:tcW w:w="1200" w:type="dxa"/>
            <w:tcBorders>
              <w:top w:val="nil"/>
              <w:left w:val="nil"/>
              <w:bottom w:val="nil"/>
              <w:right w:val="nil"/>
            </w:tcBorders>
            <w:shd w:val="clear" w:color="000000" w:fill="FADEF6"/>
            <w:noWrap/>
            <w:vAlign w:val="center"/>
            <w:hideMark/>
          </w:tcPr>
          <w:p w14:paraId="545A42E6"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1.9</w:t>
            </w:r>
          </w:p>
        </w:tc>
        <w:tc>
          <w:tcPr>
            <w:tcW w:w="1200" w:type="dxa"/>
            <w:tcBorders>
              <w:top w:val="nil"/>
              <w:left w:val="nil"/>
              <w:bottom w:val="nil"/>
              <w:right w:val="nil"/>
            </w:tcBorders>
            <w:shd w:val="clear" w:color="000000" w:fill="FADEF6"/>
            <w:noWrap/>
            <w:vAlign w:val="center"/>
            <w:hideMark/>
          </w:tcPr>
          <w:p w14:paraId="25C55F40"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9.5</w:t>
            </w:r>
          </w:p>
        </w:tc>
        <w:tc>
          <w:tcPr>
            <w:tcW w:w="1200" w:type="dxa"/>
            <w:tcBorders>
              <w:top w:val="nil"/>
              <w:left w:val="nil"/>
              <w:bottom w:val="nil"/>
              <w:right w:val="nil"/>
            </w:tcBorders>
            <w:shd w:val="clear" w:color="000000" w:fill="FADEF6"/>
            <w:noWrap/>
            <w:vAlign w:val="center"/>
            <w:hideMark/>
          </w:tcPr>
          <w:p w14:paraId="1FE3F118"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0.4</w:t>
            </w:r>
          </w:p>
        </w:tc>
      </w:tr>
      <w:tr w:rsidR="009F0FB4" w:rsidRPr="00042ED7" w14:paraId="24E0BFBD" w14:textId="77777777" w:rsidTr="0041252D">
        <w:trPr>
          <w:trHeight w:val="20"/>
        </w:trPr>
        <w:tc>
          <w:tcPr>
            <w:tcW w:w="2620" w:type="dxa"/>
            <w:tcBorders>
              <w:top w:val="nil"/>
              <w:left w:val="nil"/>
              <w:bottom w:val="single" w:sz="8" w:space="0" w:color="auto"/>
              <w:right w:val="nil"/>
            </w:tcBorders>
            <w:shd w:val="clear" w:color="auto" w:fill="auto"/>
            <w:noWrap/>
            <w:vAlign w:val="center"/>
            <w:hideMark/>
          </w:tcPr>
          <w:p w14:paraId="002CA24F" w14:textId="77777777" w:rsidR="009F0FB4" w:rsidRPr="00042ED7" w:rsidRDefault="009F0FB4" w:rsidP="009F0FB4">
            <w:pPr>
              <w:spacing w:after="0" w:line="240" w:lineRule="auto"/>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Veracruz de Ignacio de la Llave</w:t>
            </w:r>
          </w:p>
        </w:tc>
        <w:tc>
          <w:tcPr>
            <w:tcW w:w="1200" w:type="dxa"/>
            <w:tcBorders>
              <w:top w:val="nil"/>
              <w:left w:val="nil"/>
              <w:bottom w:val="single" w:sz="8" w:space="0" w:color="auto"/>
              <w:right w:val="nil"/>
            </w:tcBorders>
            <w:shd w:val="clear" w:color="000000" w:fill="FADEF6"/>
            <w:noWrap/>
            <w:vAlign w:val="center"/>
            <w:hideMark/>
          </w:tcPr>
          <w:p w14:paraId="4B5B6FF0"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5.8</w:t>
            </w:r>
          </w:p>
        </w:tc>
        <w:tc>
          <w:tcPr>
            <w:tcW w:w="1200" w:type="dxa"/>
            <w:tcBorders>
              <w:top w:val="nil"/>
              <w:left w:val="nil"/>
              <w:bottom w:val="single" w:sz="8" w:space="0" w:color="auto"/>
              <w:right w:val="nil"/>
            </w:tcBorders>
            <w:shd w:val="clear" w:color="000000" w:fill="FADEF6"/>
            <w:noWrap/>
            <w:vAlign w:val="center"/>
            <w:hideMark/>
          </w:tcPr>
          <w:p w14:paraId="0DE22FB8"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0.2</w:t>
            </w:r>
          </w:p>
        </w:tc>
        <w:tc>
          <w:tcPr>
            <w:tcW w:w="1200" w:type="dxa"/>
            <w:tcBorders>
              <w:top w:val="nil"/>
              <w:left w:val="nil"/>
              <w:bottom w:val="single" w:sz="8" w:space="0" w:color="auto"/>
              <w:right w:val="nil"/>
            </w:tcBorders>
            <w:shd w:val="clear" w:color="000000" w:fill="FADEF6"/>
            <w:noWrap/>
            <w:vAlign w:val="center"/>
            <w:hideMark/>
          </w:tcPr>
          <w:p w14:paraId="394D6C6D"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7.1</w:t>
            </w:r>
          </w:p>
        </w:tc>
        <w:tc>
          <w:tcPr>
            <w:tcW w:w="1200" w:type="dxa"/>
            <w:tcBorders>
              <w:top w:val="nil"/>
              <w:left w:val="nil"/>
              <w:bottom w:val="single" w:sz="8" w:space="0" w:color="auto"/>
              <w:right w:val="nil"/>
            </w:tcBorders>
            <w:shd w:val="clear" w:color="000000" w:fill="FADEF6"/>
            <w:noWrap/>
            <w:vAlign w:val="center"/>
            <w:hideMark/>
          </w:tcPr>
          <w:p w14:paraId="6A456F7B"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1.6</w:t>
            </w:r>
          </w:p>
        </w:tc>
        <w:tc>
          <w:tcPr>
            <w:tcW w:w="1200" w:type="dxa"/>
            <w:tcBorders>
              <w:top w:val="nil"/>
              <w:left w:val="nil"/>
              <w:bottom w:val="single" w:sz="8" w:space="0" w:color="auto"/>
              <w:right w:val="nil"/>
            </w:tcBorders>
            <w:shd w:val="clear" w:color="000000" w:fill="FADEF6"/>
            <w:noWrap/>
            <w:vAlign w:val="center"/>
            <w:hideMark/>
          </w:tcPr>
          <w:p w14:paraId="04D2B261"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10</w:t>
            </w:r>
          </w:p>
        </w:tc>
        <w:tc>
          <w:tcPr>
            <w:tcW w:w="1200" w:type="dxa"/>
            <w:tcBorders>
              <w:top w:val="nil"/>
              <w:left w:val="nil"/>
              <w:bottom w:val="single" w:sz="8" w:space="0" w:color="auto"/>
              <w:right w:val="nil"/>
            </w:tcBorders>
            <w:shd w:val="clear" w:color="000000" w:fill="F9DCF6"/>
            <w:noWrap/>
            <w:vAlign w:val="center"/>
            <w:hideMark/>
          </w:tcPr>
          <w:p w14:paraId="2211EDE9" w14:textId="77777777" w:rsidR="009F0FB4" w:rsidRPr="00042ED7" w:rsidRDefault="009F0FB4" w:rsidP="009F0FB4">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1.5</w:t>
            </w:r>
          </w:p>
        </w:tc>
      </w:tr>
      <w:tr w:rsidR="009F0FB4" w:rsidRPr="00042ED7" w14:paraId="7638C8A3" w14:textId="77777777" w:rsidTr="0041252D">
        <w:trPr>
          <w:trHeight w:val="20"/>
        </w:trPr>
        <w:tc>
          <w:tcPr>
            <w:tcW w:w="9820" w:type="dxa"/>
            <w:gridSpan w:val="7"/>
            <w:tcBorders>
              <w:top w:val="single" w:sz="8" w:space="0" w:color="auto"/>
              <w:left w:val="nil"/>
              <w:bottom w:val="nil"/>
              <w:right w:val="nil"/>
            </w:tcBorders>
            <w:shd w:val="clear" w:color="auto" w:fill="auto"/>
            <w:vAlign w:val="center"/>
            <w:hideMark/>
          </w:tcPr>
          <w:p w14:paraId="5D28830F" w14:textId="77777777" w:rsidR="009F0FB4" w:rsidRPr="00042ED7" w:rsidRDefault="009F0FB4" w:rsidP="009F0FB4">
            <w:pPr>
              <w:spacing w:after="0" w:line="240" w:lineRule="auto"/>
              <w:rPr>
                <w:rFonts w:ascii="Arial" w:eastAsia="Times New Roman" w:hAnsi="Arial" w:cs="Arial"/>
                <w:color w:val="000000"/>
                <w:sz w:val="14"/>
                <w:szCs w:val="14"/>
                <w:lang w:eastAsia="es-MX"/>
              </w:rPr>
            </w:pPr>
            <w:r w:rsidRPr="00042ED7">
              <w:rPr>
                <w:rFonts w:ascii="Arial" w:eastAsia="Times New Roman" w:hAnsi="Arial" w:cs="Arial"/>
                <w:color w:val="000000"/>
                <w:sz w:val="14"/>
                <w:szCs w:val="14"/>
                <w:lang w:eastAsia="es-MX"/>
              </w:rPr>
              <w:t>Nota: Incluye los delitos registrados en averiguaciones previas y delitos contra la salud registrados en las sedes y subsedes de la Fiscalía General de la República.</w:t>
            </w:r>
          </w:p>
        </w:tc>
      </w:tr>
      <w:tr w:rsidR="009F0FB4" w:rsidRPr="00042ED7" w14:paraId="7B180783" w14:textId="77777777" w:rsidTr="0041252D">
        <w:trPr>
          <w:trHeight w:val="20"/>
        </w:trPr>
        <w:tc>
          <w:tcPr>
            <w:tcW w:w="9820" w:type="dxa"/>
            <w:gridSpan w:val="7"/>
            <w:tcBorders>
              <w:top w:val="nil"/>
              <w:left w:val="nil"/>
              <w:bottom w:val="nil"/>
              <w:right w:val="nil"/>
            </w:tcBorders>
            <w:shd w:val="clear" w:color="auto" w:fill="auto"/>
            <w:vAlign w:val="center"/>
            <w:hideMark/>
          </w:tcPr>
          <w:p w14:paraId="7B760E85" w14:textId="77777777" w:rsidR="009F0FB4" w:rsidRPr="00042ED7" w:rsidRDefault="009F0FB4" w:rsidP="009F0FB4">
            <w:pPr>
              <w:spacing w:after="0" w:line="240" w:lineRule="auto"/>
              <w:rPr>
                <w:rFonts w:ascii="Arial" w:eastAsia="Times New Roman" w:hAnsi="Arial" w:cs="Arial"/>
                <w:color w:val="000000"/>
                <w:sz w:val="14"/>
                <w:szCs w:val="14"/>
                <w:lang w:eastAsia="es-MX"/>
              </w:rPr>
            </w:pPr>
            <w:r w:rsidRPr="00042ED7">
              <w:rPr>
                <w:rFonts w:ascii="Arial" w:eastAsia="Times New Roman" w:hAnsi="Arial" w:cs="Arial"/>
                <w:color w:val="000000"/>
                <w:sz w:val="14"/>
                <w:szCs w:val="14"/>
                <w:lang w:eastAsia="es-MX"/>
              </w:rPr>
              <w:t>Fuente: INEGI. Censo Nacional de Procuración de Justicia Estatal 2018-2020 y Censo Nacional de Procuración de Justicia Federal 2018-2020. CONAPO. Proyecciones de población 2015-2030.</w:t>
            </w:r>
          </w:p>
        </w:tc>
      </w:tr>
      <w:bookmarkEnd w:id="5"/>
    </w:tbl>
    <w:p w14:paraId="06CCB87A" w14:textId="77777777" w:rsidR="007868C5" w:rsidRPr="00042ED7" w:rsidRDefault="007868C5" w:rsidP="00873970">
      <w:pPr>
        <w:spacing w:before="120" w:after="120" w:line="276" w:lineRule="auto"/>
        <w:jc w:val="both"/>
        <w:rPr>
          <w:rFonts w:ascii="Arial" w:hAnsi="Arial" w:cs="Arial"/>
        </w:rPr>
      </w:pPr>
    </w:p>
    <w:tbl>
      <w:tblPr>
        <w:tblW w:w="4993" w:type="pct"/>
        <w:tblCellMar>
          <w:left w:w="70" w:type="dxa"/>
          <w:right w:w="70" w:type="dxa"/>
        </w:tblCellMar>
        <w:tblLook w:val="04A0" w:firstRow="1" w:lastRow="0" w:firstColumn="1" w:lastColumn="0" w:noHBand="0" w:noVBand="1"/>
      </w:tblPr>
      <w:tblGrid>
        <w:gridCol w:w="1414"/>
        <w:gridCol w:w="1440"/>
        <w:gridCol w:w="155"/>
        <w:gridCol w:w="2014"/>
        <w:gridCol w:w="1440"/>
        <w:gridCol w:w="201"/>
        <w:gridCol w:w="2067"/>
        <w:gridCol w:w="1227"/>
      </w:tblGrid>
      <w:tr w:rsidR="00792300" w:rsidRPr="00042ED7" w14:paraId="40B93648" w14:textId="77777777" w:rsidTr="00873970">
        <w:trPr>
          <w:cantSplit/>
          <w:trHeight w:val="20"/>
        </w:trPr>
        <w:tc>
          <w:tcPr>
            <w:tcW w:w="4383" w:type="pct"/>
            <w:gridSpan w:val="7"/>
            <w:tcBorders>
              <w:bottom w:val="single" w:sz="4" w:space="0" w:color="auto"/>
            </w:tcBorders>
            <w:shd w:val="clear" w:color="auto" w:fill="auto"/>
            <w:hideMark/>
          </w:tcPr>
          <w:p w14:paraId="1D80B11E" w14:textId="77777777" w:rsidR="00792300" w:rsidRPr="00042ED7" w:rsidRDefault="00792300" w:rsidP="00974250">
            <w:pPr>
              <w:spacing w:after="0" w:line="240" w:lineRule="auto"/>
              <w:rPr>
                <w:rFonts w:ascii="Arial" w:eastAsia="Times New Roman" w:hAnsi="Arial" w:cs="Arial"/>
                <w:b/>
                <w:bCs/>
                <w:color w:val="000000"/>
                <w:sz w:val="18"/>
                <w:szCs w:val="18"/>
                <w:lang w:eastAsia="es-MX"/>
              </w:rPr>
            </w:pPr>
            <w:r w:rsidRPr="00042ED7">
              <w:rPr>
                <w:rFonts w:ascii="Arial" w:eastAsia="Times New Roman" w:hAnsi="Arial" w:cs="Arial"/>
                <w:b/>
                <w:bCs/>
                <w:color w:val="000000"/>
                <w:sz w:val="18"/>
                <w:szCs w:val="18"/>
                <w:lang w:eastAsia="es-MX"/>
              </w:rPr>
              <w:t xml:space="preserve">Delitos de narcomenudeo registrados en averiguaciones previas iniciadas </w:t>
            </w:r>
          </w:p>
          <w:p w14:paraId="6D1786F1" w14:textId="77777777" w:rsidR="00792300" w:rsidRPr="00042ED7" w:rsidRDefault="00792300" w:rsidP="00974250">
            <w:pPr>
              <w:spacing w:after="0" w:line="240" w:lineRule="auto"/>
              <w:rPr>
                <w:rFonts w:ascii="Arial" w:eastAsia="Times New Roman" w:hAnsi="Arial" w:cs="Arial"/>
                <w:b/>
                <w:bCs/>
                <w:color w:val="000000"/>
                <w:sz w:val="18"/>
                <w:szCs w:val="18"/>
                <w:lang w:eastAsia="es-MX"/>
              </w:rPr>
            </w:pPr>
            <w:r w:rsidRPr="00042ED7">
              <w:rPr>
                <w:rFonts w:ascii="Arial" w:eastAsia="Times New Roman" w:hAnsi="Arial" w:cs="Arial"/>
                <w:b/>
                <w:bCs/>
                <w:color w:val="000000"/>
                <w:sz w:val="18"/>
                <w:szCs w:val="18"/>
                <w:lang w:eastAsia="es-MX"/>
              </w:rPr>
              <w:t xml:space="preserve">y en carpetas de investigación abiertas </w:t>
            </w:r>
            <w:r w:rsidRPr="00042ED7">
              <w:rPr>
                <w:rFonts w:ascii="Arial" w:eastAsia="Times New Roman" w:hAnsi="Arial" w:cs="Arial"/>
                <w:b/>
                <w:bCs/>
                <w:color w:val="000000"/>
                <w:sz w:val="18"/>
                <w:szCs w:val="18"/>
                <w:lang w:eastAsia="es-MX"/>
              </w:rPr>
              <w:br/>
              <w:t>2019</w:t>
            </w:r>
            <w:r w:rsidRPr="00042ED7">
              <w:rPr>
                <w:rFonts w:ascii="Arial" w:eastAsia="Times New Roman" w:hAnsi="Arial" w:cs="Arial"/>
                <w:b/>
                <w:bCs/>
                <w:color w:val="000000"/>
                <w:sz w:val="18"/>
                <w:szCs w:val="18"/>
                <w:lang w:eastAsia="es-MX"/>
              </w:rPr>
              <w:br/>
            </w:r>
            <w:r w:rsidRPr="00042ED7">
              <w:rPr>
                <w:rFonts w:ascii="Arial" w:eastAsia="Times New Roman" w:hAnsi="Arial" w:cs="Arial"/>
                <w:color w:val="000000"/>
                <w:sz w:val="18"/>
                <w:szCs w:val="18"/>
                <w:lang w:eastAsia="es-MX"/>
              </w:rPr>
              <w:t>Porcentaje</w:t>
            </w:r>
          </w:p>
        </w:tc>
        <w:tc>
          <w:tcPr>
            <w:tcW w:w="617" w:type="pct"/>
            <w:tcBorders>
              <w:bottom w:val="single" w:sz="4" w:space="0" w:color="auto"/>
            </w:tcBorders>
            <w:shd w:val="clear" w:color="auto" w:fill="auto"/>
            <w:noWrap/>
            <w:hideMark/>
          </w:tcPr>
          <w:p w14:paraId="3AA0AA7C" w14:textId="77777777" w:rsidR="00792300" w:rsidRPr="00042ED7" w:rsidRDefault="00792300" w:rsidP="00974250">
            <w:pPr>
              <w:spacing w:after="0" w:line="240" w:lineRule="auto"/>
              <w:jc w:val="center"/>
              <w:rPr>
                <w:rFonts w:ascii="Arial" w:eastAsia="Times New Roman" w:hAnsi="Arial" w:cs="Arial"/>
                <w:b/>
                <w:bCs/>
                <w:color w:val="000000"/>
                <w:sz w:val="18"/>
                <w:szCs w:val="18"/>
                <w:lang w:eastAsia="es-MX"/>
              </w:rPr>
            </w:pPr>
            <w:r w:rsidRPr="00042ED7">
              <w:rPr>
                <w:rFonts w:ascii="Arial" w:eastAsia="Times New Roman" w:hAnsi="Arial" w:cs="Arial"/>
                <w:b/>
                <w:bCs/>
                <w:color w:val="000000"/>
                <w:sz w:val="18"/>
                <w:szCs w:val="18"/>
                <w:lang w:eastAsia="es-MX"/>
              </w:rPr>
              <w:t>Cuadro 2</w:t>
            </w:r>
          </w:p>
        </w:tc>
      </w:tr>
      <w:tr w:rsidR="00792300" w:rsidRPr="00042ED7" w14:paraId="381FDF7E" w14:textId="77777777" w:rsidTr="00873970">
        <w:trPr>
          <w:cantSplit/>
          <w:trHeight w:val="20"/>
        </w:trPr>
        <w:tc>
          <w:tcPr>
            <w:tcW w:w="1433" w:type="pct"/>
            <w:gridSpan w:val="2"/>
            <w:tcBorders>
              <w:top w:val="single" w:sz="4" w:space="0" w:color="auto"/>
              <w:bottom w:val="single" w:sz="4" w:space="0" w:color="auto"/>
            </w:tcBorders>
            <w:shd w:val="clear" w:color="auto" w:fill="auto"/>
            <w:noWrap/>
            <w:hideMark/>
          </w:tcPr>
          <w:p w14:paraId="1C643CD4" w14:textId="77777777" w:rsidR="00792300" w:rsidRPr="00042ED7" w:rsidRDefault="00792300" w:rsidP="00974250">
            <w:pPr>
              <w:spacing w:after="0" w:line="240" w:lineRule="auto"/>
              <w:jc w:val="center"/>
              <w:rPr>
                <w:rFonts w:ascii="Arial" w:eastAsia="Times New Roman" w:hAnsi="Arial" w:cs="Arial"/>
                <w:b/>
                <w:bCs/>
                <w:color w:val="000000"/>
                <w:sz w:val="16"/>
                <w:szCs w:val="16"/>
                <w:lang w:eastAsia="es-MX"/>
              </w:rPr>
            </w:pPr>
            <w:r w:rsidRPr="00042ED7">
              <w:rPr>
                <w:rFonts w:ascii="Arial" w:eastAsia="Times New Roman" w:hAnsi="Arial" w:cs="Arial"/>
                <w:b/>
                <w:bCs/>
                <w:color w:val="000000"/>
                <w:sz w:val="16"/>
                <w:szCs w:val="16"/>
                <w:lang w:eastAsia="es-MX"/>
              </w:rPr>
              <w:t>Cannabis</w:t>
            </w:r>
          </w:p>
        </w:tc>
        <w:tc>
          <w:tcPr>
            <w:tcW w:w="78" w:type="pct"/>
            <w:tcBorders>
              <w:top w:val="single" w:sz="4" w:space="0" w:color="auto"/>
              <w:bottom w:val="single" w:sz="4" w:space="0" w:color="auto"/>
            </w:tcBorders>
            <w:shd w:val="clear" w:color="auto" w:fill="auto"/>
            <w:noWrap/>
            <w:hideMark/>
          </w:tcPr>
          <w:p w14:paraId="4C7E4E3B" w14:textId="77777777" w:rsidR="00792300" w:rsidRPr="00042ED7" w:rsidRDefault="00792300" w:rsidP="00974250">
            <w:pPr>
              <w:spacing w:after="0" w:line="240" w:lineRule="auto"/>
              <w:jc w:val="center"/>
              <w:rPr>
                <w:rFonts w:ascii="Arial" w:eastAsia="Times New Roman" w:hAnsi="Arial" w:cs="Arial"/>
                <w:b/>
                <w:bCs/>
                <w:color w:val="000000"/>
                <w:sz w:val="16"/>
                <w:szCs w:val="16"/>
                <w:lang w:eastAsia="es-MX"/>
              </w:rPr>
            </w:pPr>
          </w:p>
        </w:tc>
        <w:tc>
          <w:tcPr>
            <w:tcW w:w="1734" w:type="pct"/>
            <w:gridSpan w:val="2"/>
            <w:tcBorders>
              <w:top w:val="single" w:sz="4" w:space="0" w:color="auto"/>
              <w:bottom w:val="single" w:sz="4" w:space="0" w:color="auto"/>
            </w:tcBorders>
            <w:shd w:val="clear" w:color="auto" w:fill="auto"/>
            <w:noWrap/>
            <w:hideMark/>
          </w:tcPr>
          <w:p w14:paraId="248C16A3" w14:textId="77777777" w:rsidR="00792300" w:rsidRPr="00042ED7" w:rsidRDefault="00792300" w:rsidP="00974250">
            <w:pPr>
              <w:spacing w:after="0" w:line="240" w:lineRule="auto"/>
              <w:jc w:val="center"/>
              <w:rPr>
                <w:rFonts w:ascii="Arial" w:eastAsia="Times New Roman" w:hAnsi="Arial" w:cs="Arial"/>
                <w:b/>
                <w:bCs/>
                <w:color w:val="000000"/>
                <w:sz w:val="16"/>
                <w:szCs w:val="16"/>
                <w:lang w:eastAsia="es-MX"/>
              </w:rPr>
            </w:pPr>
            <w:r w:rsidRPr="00042ED7">
              <w:rPr>
                <w:rFonts w:ascii="Arial" w:eastAsia="Times New Roman" w:hAnsi="Arial" w:cs="Arial"/>
                <w:b/>
                <w:bCs/>
                <w:color w:val="000000"/>
                <w:sz w:val="16"/>
                <w:szCs w:val="16"/>
                <w:lang w:eastAsia="es-MX"/>
              </w:rPr>
              <w:t>Cocaína</w:t>
            </w:r>
          </w:p>
        </w:tc>
        <w:tc>
          <w:tcPr>
            <w:tcW w:w="101" w:type="pct"/>
            <w:tcBorders>
              <w:top w:val="single" w:sz="4" w:space="0" w:color="auto"/>
              <w:bottom w:val="single" w:sz="4" w:space="0" w:color="auto"/>
            </w:tcBorders>
            <w:shd w:val="clear" w:color="auto" w:fill="auto"/>
            <w:noWrap/>
            <w:hideMark/>
          </w:tcPr>
          <w:p w14:paraId="2D4D1F97" w14:textId="77777777" w:rsidR="00792300" w:rsidRPr="00042ED7" w:rsidRDefault="00792300" w:rsidP="00974250">
            <w:pPr>
              <w:spacing w:after="0" w:line="240" w:lineRule="auto"/>
              <w:jc w:val="center"/>
              <w:rPr>
                <w:rFonts w:ascii="Arial" w:eastAsia="Times New Roman" w:hAnsi="Arial" w:cs="Arial"/>
                <w:b/>
                <w:bCs/>
                <w:color w:val="000000"/>
                <w:sz w:val="16"/>
                <w:szCs w:val="16"/>
                <w:lang w:eastAsia="es-MX"/>
              </w:rPr>
            </w:pPr>
          </w:p>
        </w:tc>
        <w:tc>
          <w:tcPr>
            <w:tcW w:w="1655" w:type="pct"/>
            <w:gridSpan w:val="2"/>
            <w:tcBorders>
              <w:top w:val="single" w:sz="4" w:space="0" w:color="auto"/>
              <w:bottom w:val="single" w:sz="4" w:space="0" w:color="auto"/>
            </w:tcBorders>
            <w:shd w:val="clear" w:color="auto" w:fill="auto"/>
            <w:noWrap/>
            <w:hideMark/>
          </w:tcPr>
          <w:p w14:paraId="02C1BC6D" w14:textId="77777777" w:rsidR="00792300" w:rsidRPr="00042ED7" w:rsidRDefault="00792300" w:rsidP="00974250">
            <w:pPr>
              <w:spacing w:after="0" w:line="240" w:lineRule="auto"/>
              <w:jc w:val="center"/>
              <w:rPr>
                <w:rFonts w:ascii="Arial" w:eastAsia="Times New Roman" w:hAnsi="Arial" w:cs="Arial"/>
                <w:b/>
                <w:bCs/>
                <w:color w:val="000000"/>
                <w:sz w:val="16"/>
                <w:szCs w:val="16"/>
                <w:lang w:eastAsia="es-MX"/>
              </w:rPr>
            </w:pPr>
            <w:r w:rsidRPr="00042ED7">
              <w:rPr>
                <w:rFonts w:ascii="Arial" w:eastAsia="Times New Roman" w:hAnsi="Arial" w:cs="Arial"/>
                <w:b/>
                <w:bCs/>
                <w:color w:val="000000"/>
                <w:sz w:val="16"/>
                <w:szCs w:val="16"/>
                <w:lang w:eastAsia="es-MX"/>
              </w:rPr>
              <w:t>Metanfetamina</w:t>
            </w:r>
          </w:p>
          <w:p w14:paraId="5D664988" w14:textId="77777777" w:rsidR="00792300" w:rsidRPr="00042ED7" w:rsidRDefault="00792300" w:rsidP="00974250">
            <w:pPr>
              <w:spacing w:after="0" w:line="240" w:lineRule="auto"/>
              <w:jc w:val="center"/>
              <w:rPr>
                <w:rFonts w:ascii="Arial" w:eastAsia="Times New Roman" w:hAnsi="Arial" w:cs="Arial"/>
                <w:b/>
                <w:bCs/>
                <w:color w:val="000000"/>
                <w:sz w:val="16"/>
                <w:szCs w:val="16"/>
                <w:lang w:eastAsia="es-MX"/>
              </w:rPr>
            </w:pPr>
          </w:p>
        </w:tc>
      </w:tr>
      <w:tr w:rsidR="00792300" w:rsidRPr="00042ED7" w14:paraId="0929419F" w14:textId="77777777" w:rsidTr="00873970">
        <w:trPr>
          <w:cantSplit/>
          <w:trHeight w:val="20"/>
        </w:trPr>
        <w:tc>
          <w:tcPr>
            <w:tcW w:w="710" w:type="pct"/>
            <w:tcBorders>
              <w:top w:val="single" w:sz="4" w:space="0" w:color="auto"/>
              <w:bottom w:val="single" w:sz="4" w:space="0" w:color="auto"/>
            </w:tcBorders>
            <w:shd w:val="clear" w:color="auto" w:fill="auto"/>
            <w:noWrap/>
            <w:vAlign w:val="center"/>
            <w:hideMark/>
          </w:tcPr>
          <w:p w14:paraId="39CDC3A2" w14:textId="77777777" w:rsidR="00792300" w:rsidRPr="00042ED7" w:rsidRDefault="00792300" w:rsidP="00974250">
            <w:pPr>
              <w:spacing w:after="0" w:line="240" w:lineRule="auto"/>
              <w:rPr>
                <w:rFonts w:ascii="Arial" w:eastAsia="Times New Roman" w:hAnsi="Arial" w:cs="Arial"/>
                <w:b/>
                <w:bCs/>
                <w:color w:val="000000"/>
                <w:sz w:val="16"/>
                <w:szCs w:val="16"/>
                <w:lang w:eastAsia="es-MX"/>
              </w:rPr>
            </w:pPr>
            <w:r w:rsidRPr="00042ED7">
              <w:rPr>
                <w:rFonts w:ascii="Arial" w:eastAsia="Times New Roman" w:hAnsi="Arial" w:cs="Arial"/>
                <w:b/>
                <w:bCs/>
                <w:color w:val="000000"/>
                <w:sz w:val="16"/>
                <w:szCs w:val="16"/>
                <w:lang w:eastAsia="es-MX"/>
              </w:rPr>
              <w:t>Gramaje</w:t>
            </w:r>
          </w:p>
        </w:tc>
        <w:tc>
          <w:tcPr>
            <w:tcW w:w="722" w:type="pct"/>
            <w:tcBorders>
              <w:top w:val="single" w:sz="4" w:space="0" w:color="auto"/>
              <w:bottom w:val="single" w:sz="4" w:space="0" w:color="auto"/>
            </w:tcBorders>
            <w:shd w:val="clear" w:color="auto" w:fill="auto"/>
            <w:vAlign w:val="center"/>
            <w:hideMark/>
          </w:tcPr>
          <w:p w14:paraId="25D6F60B" w14:textId="77777777" w:rsidR="00792300" w:rsidRPr="00042ED7" w:rsidRDefault="00792300" w:rsidP="00974250">
            <w:pPr>
              <w:spacing w:after="0" w:line="240" w:lineRule="auto"/>
              <w:jc w:val="right"/>
              <w:rPr>
                <w:rFonts w:ascii="Arial" w:eastAsia="Times New Roman" w:hAnsi="Arial" w:cs="Arial"/>
                <w:b/>
                <w:bCs/>
                <w:color w:val="000000"/>
                <w:sz w:val="16"/>
                <w:szCs w:val="16"/>
                <w:lang w:eastAsia="es-MX"/>
              </w:rPr>
            </w:pPr>
            <w:r w:rsidRPr="00042ED7">
              <w:rPr>
                <w:rFonts w:ascii="Arial" w:eastAsia="Times New Roman" w:hAnsi="Arial" w:cs="Arial"/>
                <w:b/>
                <w:bCs/>
                <w:color w:val="000000"/>
                <w:sz w:val="16"/>
                <w:szCs w:val="16"/>
                <w:lang w:eastAsia="es-MX"/>
              </w:rPr>
              <w:t>Delitos</w:t>
            </w:r>
          </w:p>
        </w:tc>
        <w:tc>
          <w:tcPr>
            <w:tcW w:w="78" w:type="pct"/>
            <w:tcBorders>
              <w:top w:val="single" w:sz="4" w:space="0" w:color="auto"/>
              <w:bottom w:val="single" w:sz="4" w:space="0" w:color="auto"/>
            </w:tcBorders>
            <w:shd w:val="clear" w:color="auto" w:fill="auto"/>
            <w:noWrap/>
            <w:vAlign w:val="center"/>
            <w:hideMark/>
          </w:tcPr>
          <w:p w14:paraId="42A9D5D1" w14:textId="77777777" w:rsidR="00792300" w:rsidRPr="00042ED7" w:rsidRDefault="00792300" w:rsidP="00974250">
            <w:pPr>
              <w:spacing w:after="0" w:line="240" w:lineRule="auto"/>
              <w:jc w:val="right"/>
              <w:rPr>
                <w:rFonts w:ascii="Arial" w:eastAsia="Times New Roman" w:hAnsi="Arial" w:cs="Arial"/>
                <w:b/>
                <w:bCs/>
                <w:color w:val="000000"/>
                <w:sz w:val="16"/>
                <w:szCs w:val="16"/>
                <w:lang w:eastAsia="es-MX"/>
              </w:rPr>
            </w:pPr>
          </w:p>
        </w:tc>
        <w:tc>
          <w:tcPr>
            <w:tcW w:w="1011" w:type="pct"/>
            <w:tcBorders>
              <w:top w:val="single" w:sz="4" w:space="0" w:color="auto"/>
              <w:bottom w:val="single" w:sz="4" w:space="0" w:color="auto"/>
            </w:tcBorders>
            <w:shd w:val="clear" w:color="auto" w:fill="auto"/>
            <w:noWrap/>
            <w:vAlign w:val="center"/>
            <w:hideMark/>
          </w:tcPr>
          <w:p w14:paraId="087C9A41" w14:textId="77777777" w:rsidR="00792300" w:rsidRPr="00042ED7" w:rsidRDefault="00792300" w:rsidP="00974250">
            <w:pPr>
              <w:spacing w:after="0" w:line="240" w:lineRule="auto"/>
              <w:rPr>
                <w:rFonts w:ascii="Arial" w:eastAsia="Times New Roman" w:hAnsi="Arial" w:cs="Arial"/>
                <w:b/>
                <w:bCs/>
                <w:color w:val="000000"/>
                <w:sz w:val="16"/>
                <w:szCs w:val="16"/>
                <w:lang w:eastAsia="es-MX"/>
              </w:rPr>
            </w:pPr>
            <w:r w:rsidRPr="00042ED7">
              <w:rPr>
                <w:rFonts w:ascii="Arial" w:eastAsia="Times New Roman" w:hAnsi="Arial" w:cs="Arial"/>
                <w:b/>
                <w:bCs/>
                <w:color w:val="000000"/>
                <w:sz w:val="16"/>
                <w:szCs w:val="16"/>
                <w:lang w:eastAsia="es-MX"/>
              </w:rPr>
              <w:t>Gramaje</w:t>
            </w:r>
          </w:p>
        </w:tc>
        <w:tc>
          <w:tcPr>
            <w:tcW w:w="723" w:type="pct"/>
            <w:tcBorders>
              <w:top w:val="single" w:sz="4" w:space="0" w:color="auto"/>
              <w:bottom w:val="single" w:sz="4" w:space="0" w:color="auto"/>
            </w:tcBorders>
            <w:shd w:val="clear" w:color="auto" w:fill="auto"/>
            <w:vAlign w:val="center"/>
            <w:hideMark/>
          </w:tcPr>
          <w:p w14:paraId="2F367599" w14:textId="77777777" w:rsidR="00792300" w:rsidRPr="00042ED7" w:rsidRDefault="00792300" w:rsidP="00974250">
            <w:pPr>
              <w:spacing w:after="0" w:line="240" w:lineRule="auto"/>
              <w:jc w:val="right"/>
              <w:rPr>
                <w:rFonts w:ascii="Arial" w:eastAsia="Times New Roman" w:hAnsi="Arial" w:cs="Arial"/>
                <w:b/>
                <w:bCs/>
                <w:color w:val="000000"/>
                <w:sz w:val="16"/>
                <w:szCs w:val="16"/>
                <w:lang w:eastAsia="es-MX"/>
              </w:rPr>
            </w:pPr>
            <w:r w:rsidRPr="00042ED7">
              <w:rPr>
                <w:rFonts w:ascii="Arial" w:eastAsia="Times New Roman" w:hAnsi="Arial" w:cs="Arial"/>
                <w:b/>
                <w:bCs/>
                <w:color w:val="000000"/>
                <w:sz w:val="16"/>
                <w:szCs w:val="16"/>
                <w:lang w:eastAsia="es-MX"/>
              </w:rPr>
              <w:t>Delitos</w:t>
            </w:r>
          </w:p>
        </w:tc>
        <w:tc>
          <w:tcPr>
            <w:tcW w:w="101" w:type="pct"/>
            <w:tcBorders>
              <w:top w:val="single" w:sz="4" w:space="0" w:color="auto"/>
              <w:bottom w:val="single" w:sz="4" w:space="0" w:color="auto"/>
            </w:tcBorders>
            <w:shd w:val="clear" w:color="auto" w:fill="auto"/>
            <w:noWrap/>
            <w:vAlign w:val="center"/>
            <w:hideMark/>
          </w:tcPr>
          <w:p w14:paraId="574A3B15" w14:textId="77777777" w:rsidR="00792300" w:rsidRPr="00042ED7" w:rsidRDefault="00792300" w:rsidP="00974250">
            <w:pPr>
              <w:spacing w:after="0" w:line="240" w:lineRule="auto"/>
              <w:jc w:val="right"/>
              <w:rPr>
                <w:rFonts w:ascii="Arial" w:eastAsia="Times New Roman" w:hAnsi="Arial" w:cs="Arial"/>
                <w:b/>
                <w:bCs/>
                <w:color w:val="000000"/>
                <w:sz w:val="16"/>
                <w:szCs w:val="16"/>
                <w:lang w:eastAsia="es-MX"/>
              </w:rPr>
            </w:pPr>
          </w:p>
        </w:tc>
        <w:tc>
          <w:tcPr>
            <w:tcW w:w="1038" w:type="pct"/>
            <w:tcBorders>
              <w:top w:val="single" w:sz="4" w:space="0" w:color="auto"/>
              <w:bottom w:val="single" w:sz="4" w:space="0" w:color="auto"/>
            </w:tcBorders>
            <w:shd w:val="clear" w:color="auto" w:fill="auto"/>
            <w:noWrap/>
            <w:vAlign w:val="center"/>
            <w:hideMark/>
          </w:tcPr>
          <w:p w14:paraId="55C97FED" w14:textId="77777777" w:rsidR="00792300" w:rsidRPr="00042ED7" w:rsidRDefault="00792300" w:rsidP="00974250">
            <w:pPr>
              <w:spacing w:after="0" w:line="240" w:lineRule="auto"/>
              <w:rPr>
                <w:rFonts w:ascii="Arial" w:eastAsia="Times New Roman" w:hAnsi="Arial" w:cs="Arial"/>
                <w:b/>
                <w:bCs/>
                <w:color w:val="000000"/>
                <w:sz w:val="16"/>
                <w:szCs w:val="16"/>
                <w:lang w:eastAsia="es-MX"/>
              </w:rPr>
            </w:pPr>
            <w:r w:rsidRPr="00042ED7">
              <w:rPr>
                <w:rFonts w:ascii="Arial" w:eastAsia="Times New Roman" w:hAnsi="Arial" w:cs="Arial"/>
                <w:b/>
                <w:bCs/>
                <w:color w:val="000000"/>
                <w:sz w:val="16"/>
                <w:szCs w:val="16"/>
                <w:lang w:eastAsia="es-MX"/>
              </w:rPr>
              <w:t>Gramaje</w:t>
            </w:r>
          </w:p>
        </w:tc>
        <w:tc>
          <w:tcPr>
            <w:tcW w:w="617" w:type="pct"/>
            <w:tcBorders>
              <w:top w:val="single" w:sz="4" w:space="0" w:color="auto"/>
              <w:bottom w:val="single" w:sz="4" w:space="0" w:color="auto"/>
            </w:tcBorders>
            <w:shd w:val="clear" w:color="auto" w:fill="auto"/>
            <w:vAlign w:val="center"/>
            <w:hideMark/>
          </w:tcPr>
          <w:p w14:paraId="2E3D8522" w14:textId="77777777" w:rsidR="00792300" w:rsidRPr="00042ED7" w:rsidRDefault="00792300" w:rsidP="00974250">
            <w:pPr>
              <w:spacing w:after="0" w:line="240" w:lineRule="auto"/>
              <w:jc w:val="right"/>
              <w:rPr>
                <w:rFonts w:ascii="Arial" w:eastAsia="Times New Roman" w:hAnsi="Arial" w:cs="Arial"/>
                <w:b/>
                <w:bCs/>
                <w:color w:val="000000"/>
                <w:sz w:val="16"/>
                <w:szCs w:val="16"/>
                <w:lang w:eastAsia="es-MX"/>
              </w:rPr>
            </w:pPr>
            <w:r w:rsidRPr="00042ED7">
              <w:rPr>
                <w:rFonts w:ascii="Arial" w:eastAsia="Times New Roman" w:hAnsi="Arial" w:cs="Arial"/>
                <w:b/>
                <w:bCs/>
                <w:color w:val="000000"/>
                <w:sz w:val="16"/>
                <w:szCs w:val="16"/>
                <w:lang w:eastAsia="es-MX"/>
              </w:rPr>
              <w:t>Delitos</w:t>
            </w:r>
          </w:p>
        </w:tc>
      </w:tr>
      <w:tr w:rsidR="00792300" w:rsidRPr="00042ED7" w14:paraId="66FF557D" w14:textId="77777777" w:rsidTr="00873970">
        <w:trPr>
          <w:cantSplit/>
          <w:trHeight w:val="20"/>
        </w:trPr>
        <w:tc>
          <w:tcPr>
            <w:tcW w:w="710" w:type="pct"/>
            <w:tcBorders>
              <w:top w:val="single" w:sz="4" w:space="0" w:color="auto"/>
            </w:tcBorders>
            <w:shd w:val="clear" w:color="auto" w:fill="auto"/>
            <w:noWrap/>
            <w:vAlign w:val="center"/>
            <w:hideMark/>
          </w:tcPr>
          <w:p w14:paraId="0EC72331" w14:textId="77777777" w:rsidR="00792300" w:rsidRPr="00042ED7" w:rsidRDefault="00792300" w:rsidP="00974250">
            <w:pPr>
              <w:spacing w:after="0" w:line="240" w:lineRule="auto"/>
              <w:rPr>
                <w:rFonts w:ascii="Arial" w:eastAsia="Times New Roman" w:hAnsi="Arial" w:cs="Arial"/>
                <w:b/>
                <w:bCs/>
                <w:color w:val="000000"/>
                <w:sz w:val="16"/>
                <w:szCs w:val="16"/>
                <w:lang w:eastAsia="es-MX"/>
              </w:rPr>
            </w:pPr>
            <w:r w:rsidRPr="00042ED7">
              <w:rPr>
                <w:rFonts w:ascii="Arial" w:eastAsia="Times New Roman" w:hAnsi="Arial" w:cs="Arial"/>
                <w:b/>
                <w:bCs/>
                <w:color w:val="000000"/>
                <w:sz w:val="16"/>
                <w:szCs w:val="16"/>
                <w:lang w:eastAsia="es-MX"/>
              </w:rPr>
              <w:t>Total</w:t>
            </w:r>
          </w:p>
        </w:tc>
        <w:tc>
          <w:tcPr>
            <w:tcW w:w="722" w:type="pct"/>
            <w:tcBorders>
              <w:top w:val="single" w:sz="4" w:space="0" w:color="auto"/>
            </w:tcBorders>
            <w:shd w:val="clear" w:color="auto" w:fill="auto"/>
            <w:noWrap/>
            <w:vAlign w:val="center"/>
            <w:hideMark/>
          </w:tcPr>
          <w:p w14:paraId="089DCBA5" w14:textId="77777777" w:rsidR="00792300" w:rsidRPr="00042ED7" w:rsidRDefault="00792300" w:rsidP="00974250">
            <w:pPr>
              <w:spacing w:after="0" w:line="240" w:lineRule="auto"/>
              <w:jc w:val="right"/>
              <w:rPr>
                <w:rFonts w:ascii="Arial" w:eastAsia="Times New Roman" w:hAnsi="Arial" w:cs="Arial"/>
                <w:b/>
                <w:bCs/>
                <w:color w:val="000000"/>
                <w:sz w:val="16"/>
                <w:szCs w:val="16"/>
                <w:lang w:eastAsia="es-MX"/>
              </w:rPr>
            </w:pPr>
            <w:r w:rsidRPr="00042ED7">
              <w:rPr>
                <w:rFonts w:ascii="Arial" w:eastAsia="Times New Roman" w:hAnsi="Arial" w:cs="Arial"/>
                <w:b/>
                <w:bCs/>
                <w:color w:val="000000"/>
                <w:sz w:val="16"/>
                <w:szCs w:val="16"/>
                <w:lang w:eastAsia="es-MX"/>
              </w:rPr>
              <w:t>18 143</w:t>
            </w:r>
          </w:p>
        </w:tc>
        <w:tc>
          <w:tcPr>
            <w:tcW w:w="78" w:type="pct"/>
            <w:tcBorders>
              <w:top w:val="single" w:sz="4" w:space="0" w:color="auto"/>
            </w:tcBorders>
            <w:shd w:val="clear" w:color="auto" w:fill="auto"/>
            <w:noWrap/>
            <w:vAlign w:val="bottom"/>
            <w:hideMark/>
          </w:tcPr>
          <w:p w14:paraId="289A3F4D" w14:textId="77777777" w:rsidR="00792300" w:rsidRPr="00042ED7" w:rsidRDefault="00792300" w:rsidP="00974250">
            <w:pPr>
              <w:spacing w:after="0" w:line="240" w:lineRule="auto"/>
              <w:jc w:val="right"/>
              <w:rPr>
                <w:rFonts w:ascii="Arial" w:eastAsia="Times New Roman" w:hAnsi="Arial" w:cs="Arial"/>
                <w:b/>
                <w:bCs/>
                <w:color w:val="000000"/>
                <w:sz w:val="16"/>
                <w:szCs w:val="16"/>
                <w:lang w:eastAsia="es-MX"/>
              </w:rPr>
            </w:pPr>
          </w:p>
        </w:tc>
        <w:tc>
          <w:tcPr>
            <w:tcW w:w="1011" w:type="pct"/>
            <w:tcBorders>
              <w:top w:val="single" w:sz="4" w:space="0" w:color="auto"/>
            </w:tcBorders>
            <w:shd w:val="clear" w:color="auto" w:fill="auto"/>
            <w:noWrap/>
            <w:vAlign w:val="center"/>
            <w:hideMark/>
          </w:tcPr>
          <w:p w14:paraId="407B35F4" w14:textId="77777777" w:rsidR="00792300" w:rsidRPr="00042ED7" w:rsidRDefault="00792300" w:rsidP="00974250">
            <w:pPr>
              <w:spacing w:after="0" w:line="240" w:lineRule="auto"/>
              <w:rPr>
                <w:rFonts w:ascii="Arial" w:eastAsia="Times New Roman" w:hAnsi="Arial" w:cs="Arial"/>
                <w:b/>
                <w:bCs/>
                <w:color w:val="000000"/>
                <w:sz w:val="16"/>
                <w:szCs w:val="16"/>
                <w:lang w:eastAsia="es-MX"/>
              </w:rPr>
            </w:pPr>
            <w:r w:rsidRPr="00042ED7">
              <w:rPr>
                <w:rFonts w:ascii="Arial" w:eastAsia="Times New Roman" w:hAnsi="Arial" w:cs="Arial"/>
                <w:b/>
                <w:bCs/>
                <w:color w:val="000000"/>
                <w:sz w:val="16"/>
                <w:szCs w:val="16"/>
                <w:lang w:eastAsia="es-MX"/>
              </w:rPr>
              <w:t>Total</w:t>
            </w:r>
          </w:p>
        </w:tc>
        <w:tc>
          <w:tcPr>
            <w:tcW w:w="723" w:type="pct"/>
            <w:tcBorders>
              <w:top w:val="single" w:sz="4" w:space="0" w:color="auto"/>
            </w:tcBorders>
            <w:shd w:val="clear" w:color="auto" w:fill="auto"/>
            <w:noWrap/>
            <w:vAlign w:val="center"/>
            <w:hideMark/>
          </w:tcPr>
          <w:p w14:paraId="51D1A855" w14:textId="77777777" w:rsidR="00792300" w:rsidRPr="00042ED7" w:rsidRDefault="00792300" w:rsidP="00974250">
            <w:pPr>
              <w:spacing w:after="0" w:line="240" w:lineRule="auto"/>
              <w:jc w:val="right"/>
              <w:rPr>
                <w:rFonts w:ascii="Arial" w:eastAsia="Times New Roman" w:hAnsi="Arial" w:cs="Arial"/>
                <w:b/>
                <w:bCs/>
                <w:color w:val="000000"/>
                <w:sz w:val="16"/>
                <w:szCs w:val="16"/>
                <w:lang w:eastAsia="es-MX"/>
              </w:rPr>
            </w:pPr>
            <w:r w:rsidRPr="00042ED7">
              <w:rPr>
                <w:rFonts w:ascii="Arial" w:eastAsia="Times New Roman" w:hAnsi="Arial" w:cs="Arial"/>
                <w:b/>
                <w:bCs/>
                <w:color w:val="000000"/>
                <w:sz w:val="16"/>
                <w:szCs w:val="16"/>
                <w:lang w:eastAsia="es-MX"/>
              </w:rPr>
              <w:t>5 200</w:t>
            </w:r>
          </w:p>
        </w:tc>
        <w:tc>
          <w:tcPr>
            <w:tcW w:w="101" w:type="pct"/>
            <w:tcBorders>
              <w:top w:val="single" w:sz="4" w:space="0" w:color="auto"/>
            </w:tcBorders>
            <w:shd w:val="clear" w:color="auto" w:fill="auto"/>
            <w:noWrap/>
            <w:vAlign w:val="bottom"/>
            <w:hideMark/>
          </w:tcPr>
          <w:p w14:paraId="7333A4C9" w14:textId="77777777" w:rsidR="00792300" w:rsidRPr="00042ED7" w:rsidRDefault="00792300" w:rsidP="00974250">
            <w:pPr>
              <w:spacing w:after="0" w:line="240" w:lineRule="auto"/>
              <w:jc w:val="right"/>
              <w:rPr>
                <w:rFonts w:ascii="Arial" w:eastAsia="Times New Roman" w:hAnsi="Arial" w:cs="Arial"/>
                <w:b/>
                <w:bCs/>
                <w:color w:val="000000"/>
                <w:sz w:val="16"/>
                <w:szCs w:val="16"/>
                <w:lang w:eastAsia="es-MX"/>
              </w:rPr>
            </w:pPr>
          </w:p>
        </w:tc>
        <w:tc>
          <w:tcPr>
            <w:tcW w:w="1038" w:type="pct"/>
            <w:tcBorders>
              <w:top w:val="single" w:sz="4" w:space="0" w:color="auto"/>
            </w:tcBorders>
            <w:shd w:val="clear" w:color="auto" w:fill="auto"/>
            <w:vAlign w:val="center"/>
            <w:hideMark/>
          </w:tcPr>
          <w:p w14:paraId="1F45A00B" w14:textId="65A0B616" w:rsidR="00792300" w:rsidRPr="00042ED7" w:rsidRDefault="00FC5DA6" w:rsidP="00974250">
            <w:pPr>
              <w:spacing w:after="0" w:line="240" w:lineRule="auto"/>
              <w:jc w:val="both"/>
              <w:rPr>
                <w:rFonts w:ascii="Arial" w:eastAsia="Times New Roman" w:hAnsi="Arial" w:cs="Arial"/>
                <w:b/>
                <w:bCs/>
                <w:color w:val="000000"/>
                <w:sz w:val="16"/>
                <w:szCs w:val="16"/>
                <w:lang w:eastAsia="es-MX"/>
              </w:rPr>
            </w:pPr>
            <w:r w:rsidRPr="00042ED7">
              <w:rPr>
                <w:rFonts w:ascii="Arial" w:eastAsia="Times New Roman" w:hAnsi="Arial" w:cs="Arial"/>
                <w:b/>
                <w:bCs/>
                <w:color w:val="000000"/>
                <w:sz w:val="16"/>
                <w:szCs w:val="16"/>
                <w:lang w:eastAsia="es-MX"/>
              </w:rPr>
              <w:t>Total</w:t>
            </w:r>
            <w:r w:rsidR="00792300" w:rsidRPr="00042ED7">
              <w:rPr>
                <w:rFonts w:ascii="Arial" w:eastAsia="Times New Roman" w:hAnsi="Arial" w:cs="Arial"/>
                <w:b/>
                <w:bCs/>
                <w:color w:val="000000"/>
                <w:sz w:val="16"/>
                <w:szCs w:val="16"/>
                <w:lang w:eastAsia="es-MX"/>
              </w:rPr>
              <w:t>¹</w:t>
            </w:r>
          </w:p>
        </w:tc>
        <w:tc>
          <w:tcPr>
            <w:tcW w:w="617" w:type="pct"/>
            <w:tcBorders>
              <w:top w:val="single" w:sz="4" w:space="0" w:color="auto"/>
            </w:tcBorders>
            <w:shd w:val="clear" w:color="auto" w:fill="auto"/>
            <w:noWrap/>
            <w:vAlign w:val="center"/>
            <w:hideMark/>
          </w:tcPr>
          <w:p w14:paraId="4D198490" w14:textId="77777777" w:rsidR="00792300" w:rsidRPr="00042ED7" w:rsidRDefault="00792300" w:rsidP="00974250">
            <w:pPr>
              <w:spacing w:after="0" w:line="240" w:lineRule="auto"/>
              <w:jc w:val="right"/>
              <w:rPr>
                <w:rFonts w:ascii="Arial" w:eastAsia="Times New Roman" w:hAnsi="Arial" w:cs="Arial"/>
                <w:b/>
                <w:bCs/>
                <w:color w:val="000000"/>
                <w:sz w:val="16"/>
                <w:szCs w:val="16"/>
                <w:lang w:eastAsia="es-MX"/>
              </w:rPr>
            </w:pPr>
            <w:r w:rsidRPr="00042ED7">
              <w:rPr>
                <w:rFonts w:ascii="Arial" w:eastAsia="Times New Roman" w:hAnsi="Arial" w:cs="Arial"/>
                <w:b/>
                <w:bCs/>
                <w:color w:val="000000"/>
                <w:sz w:val="16"/>
                <w:szCs w:val="16"/>
                <w:lang w:eastAsia="es-MX"/>
              </w:rPr>
              <w:t>12 163</w:t>
            </w:r>
          </w:p>
        </w:tc>
      </w:tr>
      <w:tr w:rsidR="00792300" w:rsidRPr="00042ED7" w14:paraId="3B51B048" w14:textId="77777777" w:rsidTr="00873970">
        <w:trPr>
          <w:cantSplit/>
          <w:trHeight w:val="20"/>
        </w:trPr>
        <w:tc>
          <w:tcPr>
            <w:tcW w:w="710" w:type="pct"/>
            <w:shd w:val="clear" w:color="auto" w:fill="auto"/>
            <w:noWrap/>
            <w:vAlign w:val="center"/>
            <w:hideMark/>
          </w:tcPr>
          <w:p w14:paraId="6C7F79B2" w14:textId="77777777" w:rsidR="00792300" w:rsidRPr="00042ED7" w:rsidRDefault="00792300" w:rsidP="00974250">
            <w:pPr>
              <w:spacing w:after="0" w:line="240" w:lineRule="auto"/>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De 5 a 30 gr.</w:t>
            </w:r>
          </w:p>
        </w:tc>
        <w:tc>
          <w:tcPr>
            <w:tcW w:w="722" w:type="pct"/>
            <w:shd w:val="clear" w:color="auto" w:fill="auto"/>
            <w:noWrap/>
            <w:vAlign w:val="bottom"/>
            <w:hideMark/>
          </w:tcPr>
          <w:p w14:paraId="716C80F8" w14:textId="77777777" w:rsidR="00792300" w:rsidRPr="00042ED7" w:rsidRDefault="00792300" w:rsidP="00974250">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44.6</w:t>
            </w:r>
          </w:p>
        </w:tc>
        <w:tc>
          <w:tcPr>
            <w:tcW w:w="78" w:type="pct"/>
            <w:shd w:val="clear" w:color="auto" w:fill="auto"/>
            <w:noWrap/>
            <w:vAlign w:val="bottom"/>
            <w:hideMark/>
          </w:tcPr>
          <w:p w14:paraId="6A9CAC18" w14:textId="77777777" w:rsidR="00792300" w:rsidRPr="00042ED7" w:rsidRDefault="00792300" w:rsidP="00974250">
            <w:pPr>
              <w:spacing w:after="0" w:line="240" w:lineRule="auto"/>
              <w:jc w:val="right"/>
              <w:rPr>
                <w:rFonts w:ascii="Arial" w:eastAsia="Times New Roman" w:hAnsi="Arial" w:cs="Arial"/>
                <w:color w:val="000000"/>
                <w:sz w:val="16"/>
                <w:szCs w:val="16"/>
                <w:lang w:eastAsia="es-MX"/>
              </w:rPr>
            </w:pPr>
          </w:p>
        </w:tc>
        <w:tc>
          <w:tcPr>
            <w:tcW w:w="1011" w:type="pct"/>
            <w:shd w:val="clear" w:color="auto" w:fill="auto"/>
            <w:noWrap/>
            <w:vAlign w:val="center"/>
            <w:hideMark/>
          </w:tcPr>
          <w:p w14:paraId="1782F441" w14:textId="77777777" w:rsidR="00792300" w:rsidRPr="00042ED7" w:rsidRDefault="00792300" w:rsidP="00974250">
            <w:pPr>
              <w:spacing w:after="0" w:line="240" w:lineRule="auto"/>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De 500 a 5 000 mg.</w:t>
            </w:r>
          </w:p>
        </w:tc>
        <w:tc>
          <w:tcPr>
            <w:tcW w:w="723" w:type="pct"/>
            <w:shd w:val="clear" w:color="auto" w:fill="auto"/>
            <w:noWrap/>
            <w:vAlign w:val="bottom"/>
            <w:hideMark/>
          </w:tcPr>
          <w:p w14:paraId="15E12BCC" w14:textId="77777777" w:rsidR="00792300" w:rsidRPr="00042ED7" w:rsidRDefault="00792300" w:rsidP="00974250">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74.3</w:t>
            </w:r>
          </w:p>
        </w:tc>
        <w:tc>
          <w:tcPr>
            <w:tcW w:w="101" w:type="pct"/>
            <w:shd w:val="clear" w:color="auto" w:fill="auto"/>
            <w:noWrap/>
            <w:vAlign w:val="bottom"/>
            <w:hideMark/>
          </w:tcPr>
          <w:p w14:paraId="7A59DDD7" w14:textId="77777777" w:rsidR="00792300" w:rsidRPr="00042ED7" w:rsidRDefault="00792300" w:rsidP="00974250">
            <w:pPr>
              <w:spacing w:after="0" w:line="240" w:lineRule="auto"/>
              <w:jc w:val="right"/>
              <w:rPr>
                <w:rFonts w:ascii="Arial" w:eastAsia="Times New Roman" w:hAnsi="Arial" w:cs="Arial"/>
                <w:color w:val="000000"/>
                <w:sz w:val="16"/>
                <w:szCs w:val="16"/>
                <w:lang w:eastAsia="es-MX"/>
              </w:rPr>
            </w:pPr>
          </w:p>
        </w:tc>
        <w:tc>
          <w:tcPr>
            <w:tcW w:w="1038" w:type="pct"/>
            <w:shd w:val="clear" w:color="auto" w:fill="auto"/>
            <w:noWrap/>
            <w:vAlign w:val="center"/>
            <w:hideMark/>
          </w:tcPr>
          <w:p w14:paraId="64A06BCD" w14:textId="77777777" w:rsidR="00792300" w:rsidRPr="00042ED7" w:rsidRDefault="00792300" w:rsidP="00974250">
            <w:pPr>
              <w:spacing w:after="0" w:line="240" w:lineRule="auto"/>
              <w:jc w:val="both"/>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De 40 a 400 mg.</w:t>
            </w:r>
          </w:p>
        </w:tc>
        <w:tc>
          <w:tcPr>
            <w:tcW w:w="617" w:type="pct"/>
            <w:shd w:val="clear" w:color="auto" w:fill="auto"/>
            <w:noWrap/>
            <w:vAlign w:val="bottom"/>
            <w:hideMark/>
          </w:tcPr>
          <w:p w14:paraId="79548A7C" w14:textId="77777777" w:rsidR="00792300" w:rsidRPr="00042ED7" w:rsidRDefault="00792300" w:rsidP="00974250">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32.9</w:t>
            </w:r>
          </w:p>
        </w:tc>
      </w:tr>
      <w:tr w:rsidR="00792300" w:rsidRPr="00042ED7" w14:paraId="6373524F" w14:textId="77777777" w:rsidTr="00873970">
        <w:trPr>
          <w:cantSplit/>
          <w:trHeight w:val="20"/>
        </w:trPr>
        <w:tc>
          <w:tcPr>
            <w:tcW w:w="710" w:type="pct"/>
            <w:shd w:val="clear" w:color="auto" w:fill="auto"/>
            <w:noWrap/>
            <w:vAlign w:val="center"/>
            <w:hideMark/>
          </w:tcPr>
          <w:p w14:paraId="47E49019" w14:textId="77777777" w:rsidR="00792300" w:rsidRPr="00042ED7" w:rsidRDefault="00792300" w:rsidP="00974250">
            <w:pPr>
              <w:spacing w:after="0" w:line="240" w:lineRule="auto"/>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De 31 a 50 gr.</w:t>
            </w:r>
          </w:p>
        </w:tc>
        <w:tc>
          <w:tcPr>
            <w:tcW w:w="722" w:type="pct"/>
            <w:shd w:val="clear" w:color="auto" w:fill="auto"/>
            <w:noWrap/>
            <w:vAlign w:val="bottom"/>
            <w:hideMark/>
          </w:tcPr>
          <w:p w14:paraId="2678F609" w14:textId="77777777" w:rsidR="00792300" w:rsidRPr="00042ED7" w:rsidRDefault="00792300" w:rsidP="00974250">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10.3</w:t>
            </w:r>
          </w:p>
        </w:tc>
        <w:tc>
          <w:tcPr>
            <w:tcW w:w="78" w:type="pct"/>
            <w:shd w:val="clear" w:color="auto" w:fill="auto"/>
            <w:noWrap/>
            <w:vAlign w:val="bottom"/>
            <w:hideMark/>
          </w:tcPr>
          <w:p w14:paraId="098380C7" w14:textId="77777777" w:rsidR="00792300" w:rsidRPr="00042ED7" w:rsidRDefault="00792300" w:rsidP="00974250">
            <w:pPr>
              <w:spacing w:after="0" w:line="240" w:lineRule="auto"/>
              <w:jc w:val="right"/>
              <w:rPr>
                <w:rFonts w:ascii="Arial" w:eastAsia="Times New Roman" w:hAnsi="Arial" w:cs="Arial"/>
                <w:color w:val="000000"/>
                <w:sz w:val="16"/>
                <w:szCs w:val="16"/>
                <w:lang w:eastAsia="es-MX"/>
              </w:rPr>
            </w:pPr>
          </w:p>
        </w:tc>
        <w:tc>
          <w:tcPr>
            <w:tcW w:w="1011" w:type="pct"/>
            <w:shd w:val="clear" w:color="auto" w:fill="auto"/>
            <w:noWrap/>
            <w:vAlign w:val="center"/>
            <w:hideMark/>
          </w:tcPr>
          <w:p w14:paraId="14F00D0A" w14:textId="77777777" w:rsidR="00792300" w:rsidRPr="00042ED7" w:rsidRDefault="00792300" w:rsidP="00974250">
            <w:pPr>
              <w:spacing w:after="0" w:line="240" w:lineRule="auto"/>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De 5 001 a 10 000 mg.</w:t>
            </w:r>
          </w:p>
        </w:tc>
        <w:tc>
          <w:tcPr>
            <w:tcW w:w="723" w:type="pct"/>
            <w:shd w:val="clear" w:color="auto" w:fill="auto"/>
            <w:noWrap/>
            <w:vAlign w:val="bottom"/>
            <w:hideMark/>
          </w:tcPr>
          <w:p w14:paraId="5830FBB1" w14:textId="77777777" w:rsidR="00792300" w:rsidRPr="00042ED7" w:rsidRDefault="00792300" w:rsidP="00974250">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13.5</w:t>
            </w:r>
          </w:p>
        </w:tc>
        <w:tc>
          <w:tcPr>
            <w:tcW w:w="101" w:type="pct"/>
            <w:shd w:val="clear" w:color="auto" w:fill="auto"/>
            <w:noWrap/>
            <w:vAlign w:val="bottom"/>
            <w:hideMark/>
          </w:tcPr>
          <w:p w14:paraId="6A34A4F1" w14:textId="77777777" w:rsidR="00792300" w:rsidRPr="00042ED7" w:rsidRDefault="00792300" w:rsidP="00974250">
            <w:pPr>
              <w:spacing w:after="0" w:line="240" w:lineRule="auto"/>
              <w:jc w:val="right"/>
              <w:rPr>
                <w:rFonts w:ascii="Arial" w:eastAsia="Times New Roman" w:hAnsi="Arial" w:cs="Arial"/>
                <w:color w:val="000000"/>
                <w:sz w:val="16"/>
                <w:szCs w:val="16"/>
                <w:lang w:eastAsia="es-MX"/>
              </w:rPr>
            </w:pPr>
          </w:p>
        </w:tc>
        <w:tc>
          <w:tcPr>
            <w:tcW w:w="1038" w:type="pct"/>
            <w:shd w:val="clear" w:color="auto" w:fill="auto"/>
            <w:noWrap/>
            <w:vAlign w:val="center"/>
            <w:hideMark/>
          </w:tcPr>
          <w:p w14:paraId="00A8A41F" w14:textId="77777777" w:rsidR="00792300" w:rsidRPr="00042ED7" w:rsidRDefault="00792300" w:rsidP="00974250">
            <w:pPr>
              <w:spacing w:after="0" w:line="240" w:lineRule="auto"/>
              <w:jc w:val="both"/>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De 401 a 800 mg.</w:t>
            </w:r>
          </w:p>
        </w:tc>
        <w:tc>
          <w:tcPr>
            <w:tcW w:w="617" w:type="pct"/>
            <w:shd w:val="clear" w:color="auto" w:fill="auto"/>
            <w:noWrap/>
            <w:vAlign w:val="bottom"/>
            <w:hideMark/>
          </w:tcPr>
          <w:p w14:paraId="60ACE252" w14:textId="77777777" w:rsidR="00792300" w:rsidRPr="00042ED7" w:rsidRDefault="00792300" w:rsidP="00974250">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7.4</w:t>
            </w:r>
          </w:p>
        </w:tc>
      </w:tr>
      <w:tr w:rsidR="00792300" w:rsidRPr="00042ED7" w14:paraId="1A23CE93" w14:textId="77777777" w:rsidTr="00873970">
        <w:trPr>
          <w:cantSplit/>
          <w:trHeight w:val="20"/>
        </w:trPr>
        <w:tc>
          <w:tcPr>
            <w:tcW w:w="710" w:type="pct"/>
            <w:shd w:val="clear" w:color="auto" w:fill="auto"/>
            <w:noWrap/>
            <w:vAlign w:val="center"/>
            <w:hideMark/>
          </w:tcPr>
          <w:p w14:paraId="5A2982EE" w14:textId="77777777" w:rsidR="00792300" w:rsidRPr="00042ED7" w:rsidRDefault="00792300" w:rsidP="00974250">
            <w:pPr>
              <w:spacing w:after="0" w:line="240" w:lineRule="auto"/>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De 51 a 100 gr.</w:t>
            </w:r>
          </w:p>
        </w:tc>
        <w:tc>
          <w:tcPr>
            <w:tcW w:w="722" w:type="pct"/>
            <w:shd w:val="clear" w:color="auto" w:fill="auto"/>
            <w:noWrap/>
            <w:vAlign w:val="bottom"/>
            <w:hideMark/>
          </w:tcPr>
          <w:p w14:paraId="0590C353" w14:textId="77777777" w:rsidR="00792300" w:rsidRPr="00042ED7" w:rsidRDefault="00792300" w:rsidP="00974250">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8.8</w:t>
            </w:r>
          </w:p>
        </w:tc>
        <w:tc>
          <w:tcPr>
            <w:tcW w:w="78" w:type="pct"/>
            <w:shd w:val="clear" w:color="auto" w:fill="auto"/>
            <w:noWrap/>
            <w:vAlign w:val="bottom"/>
            <w:hideMark/>
          </w:tcPr>
          <w:p w14:paraId="1DA1F8FB" w14:textId="77777777" w:rsidR="00792300" w:rsidRPr="00042ED7" w:rsidRDefault="00792300" w:rsidP="00974250">
            <w:pPr>
              <w:spacing w:after="0" w:line="240" w:lineRule="auto"/>
              <w:jc w:val="right"/>
              <w:rPr>
                <w:rFonts w:ascii="Arial" w:eastAsia="Times New Roman" w:hAnsi="Arial" w:cs="Arial"/>
                <w:color w:val="000000"/>
                <w:sz w:val="16"/>
                <w:szCs w:val="16"/>
                <w:lang w:eastAsia="es-MX"/>
              </w:rPr>
            </w:pPr>
          </w:p>
        </w:tc>
        <w:tc>
          <w:tcPr>
            <w:tcW w:w="1011" w:type="pct"/>
            <w:shd w:val="clear" w:color="auto" w:fill="auto"/>
            <w:noWrap/>
            <w:vAlign w:val="center"/>
            <w:hideMark/>
          </w:tcPr>
          <w:p w14:paraId="69D98701" w14:textId="77777777" w:rsidR="00792300" w:rsidRPr="00042ED7" w:rsidRDefault="00792300" w:rsidP="00974250">
            <w:pPr>
              <w:spacing w:after="0" w:line="240" w:lineRule="auto"/>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De 10 001 a 25 000 mg.</w:t>
            </w:r>
          </w:p>
        </w:tc>
        <w:tc>
          <w:tcPr>
            <w:tcW w:w="723" w:type="pct"/>
            <w:shd w:val="clear" w:color="auto" w:fill="auto"/>
            <w:noWrap/>
            <w:vAlign w:val="bottom"/>
            <w:hideMark/>
          </w:tcPr>
          <w:p w14:paraId="591D18B0" w14:textId="77777777" w:rsidR="00792300" w:rsidRPr="00042ED7" w:rsidRDefault="00792300" w:rsidP="00974250">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7.3</w:t>
            </w:r>
          </w:p>
        </w:tc>
        <w:tc>
          <w:tcPr>
            <w:tcW w:w="101" w:type="pct"/>
            <w:shd w:val="clear" w:color="auto" w:fill="auto"/>
            <w:noWrap/>
            <w:vAlign w:val="bottom"/>
            <w:hideMark/>
          </w:tcPr>
          <w:p w14:paraId="4C490449" w14:textId="77777777" w:rsidR="00792300" w:rsidRPr="00042ED7" w:rsidRDefault="00792300" w:rsidP="00974250">
            <w:pPr>
              <w:spacing w:after="0" w:line="240" w:lineRule="auto"/>
              <w:jc w:val="right"/>
              <w:rPr>
                <w:rFonts w:ascii="Arial" w:eastAsia="Times New Roman" w:hAnsi="Arial" w:cs="Arial"/>
                <w:color w:val="000000"/>
                <w:sz w:val="16"/>
                <w:szCs w:val="16"/>
                <w:lang w:eastAsia="es-MX"/>
              </w:rPr>
            </w:pPr>
          </w:p>
        </w:tc>
        <w:tc>
          <w:tcPr>
            <w:tcW w:w="1038" w:type="pct"/>
            <w:shd w:val="clear" w:color="auto" w:fill="auto"/>
            <w:noWrap/>
            <w:vAlign w:val="center"/>
            <w:hideMark/>
          </w:tcPr>
          <w:p w14:paraId="28363106" w14:textId="77777777" w:rsidR="00792300" w:rsidRPr="00042ED7" w:rsidRDefault="00792300" w:rsidP="00974250">
            <w:pPr>
              <w:spacing w:after="0" w:line="240" w:lineRule="auto"/>
              <w:jc w:val="both"/>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De 801 a 2 000 mg.</w:t>
            </w:r>
          </w:p>
        </w:tc>
        <w:tc>
          <w:tcPr>
            <w:tcW w:w="617" w:type="pct"/>
            <w:shd w:val="clear" w:color="auto" w:fill="auto"/>
            <w:noWrap/>
            <w:vAlign w:val="bottom"/>
            <w:hideMark/>
          </w:tcPr>
          <w:p w14:paraId="4203781D" w14:textId="77777777" w:rsidR="00792300" w:rsidRPr="00042ED7" w:rsidRDefault="00792300" w:rsidP="00974250">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15.6</w:t>
            </w:r>
          </w:p>
        </w:tc>
      </w:tr>
      <w:tr w:rsidR="00792300" w:rsidRPr="00042ED7" w14:paraId="63F5E02C" w14:textId="77777777" w:rsidTr="00873970">
        <w:trPr>
          <w:cantSplit/>
          <w:trHeight w:val="20"/>
        </w:trPr>
        <w:tc>
          <w:tcPr>
            <w:tcW w:w="710" w:type="pct"/>
            <w:shd w:val="clear" w:color="auto" w:fill="auto"/>
            <w:noWrap/>
            <w:vAlign w:val="center"/>
            <w:hideMark/>
          </w:tcPr>
          <w:p w14:paraId="6AB88F4D" w14:textId="77777777" w:rsidR="00792300" w:rsidRPr="00042ED7" w:rsidRDefault="00792300" w:rsidP="00974250">
            <w:pPr>
              <w:spacing w:after="0" w:line="240" w:lineRule="auto"/>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De 101 a 250 gr.</w:t>
            </w:r>
          </w:p>
        </w:tc>
        <w:tc>
          <w:tcPr>
            <w:tcW w:w="722" w:type="pct"/>
            <w:shd w:val="clear" w:color="auto" w:fill="auto"/>
            <w:noWrap/>
            <w:vAlign w:val="bottom"/>
            <w:hideMark/>
          </w:tcPr>
          <w:p w14:paraId="455E7C20" w14:textId="77777777" w:rsidR="00792300" w:rsidRPr="00042ED7" w:rsidRDefault="00792300" w:rsidP="00974250">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16.3</w:t>
            </w:r>
          </w:p>
        </w:tc>
        <w:tc>
          <w:tcPr>
            <w:tcW w:w="78" w:type="pct"/>
            <w:shd w:val="clear" w:color="auto" w:fill="auto"/>
            <w:noWrap/>
            <w:vAlign w:val="bottom"/>
            <w:hideMark/>
          </w:tcPr>
          <w:p w14:paraId="54CCBAD4" w14:textId="77777777" w:rsidR="00792300" w:rsidRPr="00042ED7" w:rsidRDefault="00792300" w:rsidP="00974250">
            <w:pPr>
              <w:spacing w:after="0" w:line="240" w:lineRule="auto"/>
              <w:jc w:val="right"/>
              <w:rPr>
                <w:rFonts w:ascii="Arial" w:eastAsia="Times New Roman" w:hAnsi="Arial" w:cs="Arial"/>
                <w:color w:val="000000"/>
                <w:sz w:val="16"/>
                <w:szCs w:val="16"/>
                <w:lang w:eastAsia="es-MX"/>
              </w:rPr>
            </w:pPr>
          </w:p>
        </w:tc>
        <w:tc>
          <w:tcPr>
            <w:tcW w:w="1011" w:type="pct"/>
            <w:shd w:val="clear" w:color="auto" w:fill="auto"/>
            <w:noWrap/>
            <w:vAlign w:val="center"/>
            <w:hideMark/>
          </w:tcPr>
          <w:p w14:paraId="4D2843BC" w14:textId="77777777" w:rsidR="00792300" w:rsidRPr="00042ED7" w:rsidRDefault="00792300" w:rsidP="00974250">
            <w:pPr>
              <w:spacing w:after="0" w:line="240" w:lineRule="auto"/>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De 25 001 a 50 000 mg.</w:t>
            </w:r>
          </w:p>
        </w:tc>
        <w:tc>
          <w:tcPr>
            <w:tcW w:w="723" w:type="pct"/>
            <w:shd w:val="clear" w:color="auto" w:fill="auto"/>
            <w:noWrap/>
            <w:vAlign w:val="bottom"/>
            <w:hideMark/>
          </w:tcPr>
          <w:p w14:paraId="1CBB72A5" w14:textId="77777777" w:rsidR="00792300" w:rsidRPr="00042ED7" w:rsidRDefault="00792300" w:rsidP="00974250">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3.0</w:t>
            </w:r>
          </w:p>
        </w:tc>
        <w:tc>
          <w:tcPr>
            <w:tcW w:w="101" w:type="pct"/>
            <w:shd w:val="clear" w:color="auto" w:fill="auto"/>
            <w:noWrap/>
            <w:vAlign w:val="bottom"/>
            <w:hideMark/>
          </w:tcPr>
          <w:p w14:paraId="5E29D445" w14:textId="77777777" w:rsidR="00792300" w:rsidRPr="00042ED7" w:rsidRDefault="00792300" w:rsidP="00974250">
            <w:pPr>
              <w:spacing w:after="0" w:line="240" w:lineRule="auto"/>
              <w:jc w:val="right"/>
              <w:rPr>
                <w:rFonts w:ascii="Arial" w:eastAsia="Times New Roman" w:hAnsi="Arial" w:cs="Arial"/>
                <w:color w:val="000000"/>
                <w:sz w:val="16"/>
                <w:szCs w:val="16"/>
                <w:lang w:eastAsia="es-MX"/>
              </w:rPr>
            </w:pPr>
          </w:p>
        </w:tc>
        <w:tc>
          <w:tcPr>
            <w:tcW w:w="1038" w:type="pct"/>
            <w:shd w:val="clear" w:color="auto" w:fill="auto"/>
            <w:noWrap/>
            <w:vAlign w:val="center"/>
            <w:hideMark/>
          </w:tcPr>
          <w:p w14:paraId="05C13AFA" w14:textId="77777777" w:rsidR="00792300" w:rsidRPr="00042ED7" w:rsidRDefault="00792300" w:rsidP="00974250">
            <w:pPr>
              <w:spacing w:after="0" w:line="240" w:lineRule="auto"/>
              <w:jc w:val="both"/>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De 2 001 a 4 000 mg.</w:t>
            </w:r>
          </w:p>
        </w:tc>
        <w:tc>
          <w:tcPr>
            <w:tcW w:w="617" w:type="pct"/>
            <w:shd w:val="clear" w:color="auto" w:fill="auto"/>
            <w:noWrap/>
            <w:vAlign w:val="bottom"/>
            <w:hideMark/>
          </w:tcPr>
          <w:p w14:paraId="61004F7A" w14:textId="77777777" w:rsidR="00792300" w:rsidRPr="00042ED7" w:rsidRDefault="00792300" w:rsidP="00974250">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10.7</w:t>
            </w:r>
          </w:p>
        </w:tc>
      </w:tr>
      <w:tr w:rsidR="00792300" w:rsidRPr="00042ED7" w14:paraId="7BD76E7C" w14:textId="77777777" w:rsidTr="00873970">
        <w:trPr>
          <w:cantSplit/>
          <w:trHeight w:val="20"/>
        </w:trPr>
        <w:tc>
          <w:tcPr>
            <w:tcW w:w="710" w:type="pct"/>
            <w:shd w:val="clear" w:color="auto" w:fill="auto"/>
            <w:noWrap/>
            <w:vAlign w:val="center"/>
            <w:hideMark/>
          </w:tcPr>
          <w:p w14:paraId="6AA5E48E" w14:textId="77777777" w:rsidR="00792300" w:rsidRPr="00042ED7" w:rsidRDefault="00792300" w:rsidP="00974250">
            <w:pPr>
              <w:spacing w:after="0" w:line="240" w:lineRule="auto"/>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De 201 a 500 gr.</w:t>
            </w:r>
          </w:p>
        </w:tc>
        <w:tc>
          <w:tcPr>
            <w:tcW w:w="722" w:type="pct"/>
            <w:shd w:val="clear" w:color="auto" w:fill="auto"/>
            <w:noWrap/>
            <w:vAlign w:val="bottom"/>
            <w:hideMark/>
          </w:tcPr>
          <w:p w14:paraId="793DFCFD" w14:textId="77777777" w:rsidR="00792300" w:rsidRPr="00042ED7" w:rsidRDefault="00792300" w:rsidP="00974250">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8.6</w:t>
            </w:r>
          </w:p>
        </w:tc>
        <w:tc>
          <w:tcPr>
            <w:tcW w:w="78" w:type="pct"/>
            <w:shd w:val="clear" w:color="auto" w:fill="auto"/>
            <w:noWrap/>
            <w:vAlign w:val="bottom"/>
            <w:hideMark/>
          </w:tcPr>
          <w:p w14:paraId="5A1F7B35" w14:textId="77777777" w:rsidR="00792300" w:rsidRPr="00042ED7" w:rsidRDefault="00792300" w:rsidP="00974250">
            <w:pPr>
              <w:spacing w:after="0" w:line="240" w:lineRule="auto"/>
              <w:jc w:val="right"/>
              <w:rPr>
                <w:rFonts w:ascii="Arial" w:eastAsia="Times New Roman" w:hAnsi="Arial" w:cs="Arial"/>
                <w:color w:val="000000"/>
                <w:sz w:val="16"/>
                <w:szCs w:val="16"/>
                <w:lang w:eastAsia="es-MX"/>
              </w:rPr>
            </w:pPr>
          </w:p>
        </w:tc>
        <w:tc>
          <w:tcPr>
            <w:tcW w:w="1011" w:type="pct"/>
            <w:shd w:val="clear" w:color="auto" w:fill="auto"/>
            <w:noWrap/>
            <w:vAlign w:val="center"/>
            <w:hideMark/>
          </w:tcPr>
          <w:p w14:paraId="04C67F7E" w14:textId="77777777" w:rsidR="00792300" w:rsidRPr="00042ED7" w:rsidRDefault="00792300" w:rsidP="00974250">
            <w:pPr>
              <w:spacing w:after="0" w:line="240" w:lineRule="auto"/>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De 50 001 a 75 000 mg.</w:t>
            </w:r>
          </w:p>
        </w:tc>
        <w:tc>
          <w:tcPr>
            <w:tcW w:w="723" w:type="pct"/>
            <w:shd w:val="clear" w:color="auto" w:fill="auto"/>
            <w:noWrap/>
            <w:vAlign w:val="bottom"/>
            <w:hideMark/>
          </w:tcPr>
          <w:p w14:paraId="4E15B314" w14:textId="77777777" w:rsidR="00792300" w:rsidRPr="00042ED7" w:rsidRDefault="00792300" w:rsidP="00974250">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0.6</w:t>
            </w:r>
          </w:p>
        </w:tc>
        <w:tc>
          <w:tcPr>
            <w:tcW w:w="101" w:type="pct"/>
            <w:shd w:val="clear" w:color="auto" w:fill="auto"/>
            <w:noWrap/>
            <w:vAlign w:val="bottom"/>
            <w:hideMark/>
          </w:tcPr>
          <w:p w14:paraId="3183E9D9" w14:textId="77777777" w:rsidR="00792300" w:rsidRPr="00042ED7" w:rsidRDefault="00792300" w:rsidP="00974250">
            <w:pPr>
              <w:spacing w:after="0" w:line="240" w:lineRule="auto"/>
              <w:jc w:val="right"/>
              <w:rPr>
                <w:rFonts w:ascii="Arial" w:eastAsia="Times New Roman" w:hAnsi="Arial" w:cs="Arial"/>
                <w:color w:val="000000"/>
                <w:sz w:val="16"/>
                <w:szCs w:val="16"/>
                <w:lang w:eastAsia="es-MX"/>
              </w:rPr>
            </w:pPr>
          </w:p>
        </w:tc>
        <w:tc>
          <w:tcPr>
            <w:tcW w:w="1038" w:type="pct"/>
            <w:shd w:val="clear" w:color="auto" w:fill="auto"/>
            <w:noWrap/>
            <w:vAlign w:val="center"/>
            <w:hideMark/>
          </w:tcPr>
          <w:p w14:paraId="2CAEECAB" w14:textId="77777777" w:rsidR="00792300" w:rsidRPr="00042ED7" w:rsidRDefault="00792300" w:rsidP="00974250">
            <w:pPr>
              <w:spacing w:after="0" w:line="240" w:lineRule="auto"/>
              <w:jc w:val="both"/>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De 4 001 a 6 000 mg.</w:t>
            </w:r>
          </w:p>
        </w:tc>
        <w:tc>
          <w:tcPr>
            <w:tcW w:w="617" w:type="pct"/>
            <w:shd w:val="clear" w:color="auto" w:fill="auto"/>
            <w:noWrap/>
            <w:vAlign w:val="bottom"/>
            <w:hideMark/>
          </w:tcPr>
          <w:p w14:paraId="4DBA36DC" w14:textId="77777777" w:rsidR="00792300" w:rsidRPr="00042ED7" w:rsidRDefault="00792300" w:rsidP="00974250">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8.6</w:t>
            </w:r>
          </w:p>
        </w:tc>
      </w:tr>
      <w:tr w:rsidR="00792300" w:rsidRPr="00042ED7" w14:paraId="04C3C7BC" w14:textId="77777777" w:rsidTr="00873970">
        <w:trPr>
          <w:cantSplit/>
          <w:trHeight w:val="20"/>
        </w:trPr>
        <w:tc>
          <w:tcPr>
            <w:tcW w:w="710" w:type="pct"/>
            <w:tcBorders>
              <w:bottom w:val="single" w:sz="4" w:space="0" w:color="auto"/>
            </w:tcBorders>
            <w:shd w:val="clear" w:color="auto" w:fill="auto"/>
            <w:noWrap/>
            <w:vAlign w:val="center"/>
            <w:hideMark/>
          </w:tcPr>
          <w:p w14:paraId="12B67FB7" w14:textId="77777777" w:rsidR="00792300" w:rsidRPr="00042ED7" w:rsidRDefault="00792300" w:rsidP="00974250">
            <w:pPr>
              <w:spacing w:after="0" w:line="240" w:lineRule="auto"/>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Más de 501 gr.</w:t>
            </w:r>
          </w:p>
        </w:tc>
        <w:tc>
          <w:tcPr>
            <w:tcW w:w="722" w:type="pct"/>
            <w:tcBorders>
              <w:bottom w:val="single" w:sz="4" w:space="0" w:color="auto"/>
            </w:tcBorders>
            <w:shd w:val="clear" w:color="auto" w:fill="auto"/>
            <w:noWrap/>
            <w:vAlign w:val="bottom"/>
            <w:hideMark/>
          </w:tcPr>
          <w:p w14:paraId="7E4E3BE9" w14:textId="77777777" w:rsidR="00792300" w:rsidRPr="00042ED7" w:rsidRDefault="00792300" w:rsidP="00974250">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11.4</w:t>
            </w:r>
          </w:p>
        </w:tc>
        <w:tc>
          <w:tcPr>
            <w:tcW w:w="78" w:type="pct"/>
            <w:tcBorders>
              <w:bottom w:val="single" w:sz="4" w:space="0" w:color="auto"/>
            </w:tcBorders>
            <w:shd w:val="clear" w:color="auto" w:fill="auto"/>
            <w:noWrap/>
            <w:vAlign w:val="bottom"/>
            <w:hideMark/>
          </w:tcPr>
          <w:p w14:paraId="1A5D4ED6" w14:textId="77777777" w:rsidR="00792300" w:rsidRPr="00042ED7" w:rsidRDefault="00792300" w:rsidP="00974250">
            <w:pPr>
              <w:spacing w:after="0" w:line="240" w:lineRule="auto"/>
              <w:jc w:val="right"/>
              <w:rPr>
                <w:rFonts w:ascii="Arial" w:eastAsia="Times New Roman" w:hAnsi="Arial" w:cs="Arial"/>
                <w:color w:val="000000"/>
                <w:sz w:val="16"/>
                <w:szCs w:val="16"/>
                <w:lang w:eastAsia="es-MX"/>
              </w:rPr>
            </w:pPr>
          </w:p>
        </w:tc>
        <w:tc>
          <w:tcPr>
            <w:tcW w:w="1011" w:type="pct"/>
            <w:tcBorders>
              <w:bottom w:val="single" w:sz="4" w:space="0" w:color="auto"/>
            </w:tcBorders>
            <w:shd w:val="clear" w:color="auto" w:fill="auto"/>
            <w:noWrap/>
            <w:vAlign w:val="center"/>
            <w:hideMark/>
          </w:tcPr>
          <w:p w14:paraId="08A61E85" w14:textId="77777777" w:rsidR="00792300" w:rsidRPr="00042ED7" w:rsidRDefault="00792300" w:rsidP="00974250">
            <w:pPr>
              <w:spacing w:after="0" w:line="240" w:lineRule="auto"/>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Más de 75 001 mg.</w:t>
            </w:r>
          </w:p>
        </w:tc>
        <w:tc>
          <w:tcPr>
            <w:tcW w:w="723" w:type="pct"/>
            <w:tcBorders>
              <w:bottom w:val="single" w:sz="4" w:space="0" w:color="auto"/>
            </w:tcBorders>
            <w:shd w:val="clear" w:color="auto" w:fill="auto"/>
            <w:noWrap/>
            <w:vAlign w:val="bottom"/>
            <w:hideMark/>
          </w:tcPr>
          <w:p w14:paraId="67ED7F53" w14:textId="77777777" w:rsidR="00792300" w:rsidRPr="00042ED7" w:rsidRDefault="00792300" w:rsidP="00974250">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1.3</w:t>
            </w:r>
          </w:p>
        </w:tc>
        <w:tc>
          <w:tcPr>
            <w:tcW w:w="101" w:type="pct"/>
            <w:tcBorders>
              <w:bottom w:val="single" w:sz="4" w:space="0" w:color="auto"/>
            </w:tcBorders>
            <w:shd w:val="clear" w:color="auto" w:fill="auto"/>
            <w:noWrap/>
            <w:vAlign w:val="bottom"/>
            <w:hideMark/>
          </w:tcPr>
          <w:p w14:paraId="1D3A7709" w14:textId="77777777" w:rsidR="00792300" w:rsidRPr="00042ED7" w:rsidRDefault="00792300" w:rsidP="00974250">
            <w:pPr>
              <w:spacing w:after="0" w:line="240" w:lineRule="auto"/>
              <w:jc w:val="right"/>
              <w:rPr>
                <w:rFonts w:ascii="Arial" w:eastAsia="Times New Roman" w:hAnsi="Arial" w:cs="Arial"/>
                <w:color w:val="000000"/>
                <w:sz w:val="16"/>
                <w:szCs w:val="16"/>
                <w:lang w:eastAsia="es-MX"/>
              </w:rPr>
            </w:pPr>
          </w:p>
        </w:tc>
        <w:tc>
          <w:tcPr>
            <w:tcW w:w="1038" w:type="pct"/>
            <w:tcBorders>
              <w:bottom w:val="single" w:sz="4" w:space="0" w:color="auto"/>
            </w:tcBorders>
            <w:shd w:val="clear" w:color="auto" w:fill="auto"/>
            <w:noWrap/>
            <w:vAlign w:val="center"/>
            <w:hideMark/>
          </w:tcPr>
          <w:p w14:paraId="66F54C9D" w14:textId="77777777" w:rsidR="00792300" w:rsidRPr="00042ED7" w:rsidRDefault="00792300" w:rsidP="00974250">
            <w:pPr>
              <w:spacing w:after="0" w:line="240" w:lineRule="auto"/>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Más de 6 001 mg.</w:t>
            </w:r>
          </w:p>
        </w:tc>
        <w:tc>
          <w:tcPr>
            <w:tcW w:w="617" w:type="pct"/>
            <w:tcBorders>
              <w:bottom w:val="single" w:sz="4" w:space="0" w:color="auto"/>
            </w:tcBorders>
            <w:shd w:val="clear" w:color="auto" w:fill="auto"/>
            <w:noWrap/>
            <w:vAlign w:val="bottom"/>
            <w:hideMark/>
          </w:tcPr>
          <w:p w14:paraId="6B8913A6" w14:textId="77777777" w:rsidR="00792300" w:rsidRPr="00042ED7" w:rsidRDefault="00792300" w:rsidP="00974250">
            <w:pPr>
              <w:spacing w:after="0" w:line="240" w:lineRule="auto"/>
              <w:jc w:val="right"/>
              <w:rPr>
                <w:rFonts w:ascii="Arial" w:eastAsia="Times New Roman" w:hAnsi="Arial" w:cs="Arial"/>
                <w:color w:val="000000"/>
                <w:sz w:val="16"/>
                <w:szCs w:val="16"/>
                <w:lang w:eastAsia="es-MX"/>
              </w:rPr>
            </w:pPr>
            <w:r w:rsidRPr="00042ED7">
              <w:rPr>
                <w:rFonts w:ascii="Arial" w:eastAsia="Times New Roman" w:hAnsi="Arial" w:cs="Arial"/>
                <w:color w:val="000000"/>
                <w:sz w:val="16"/>
                <w:szCs w:val="16"/>
                <w:lang w:eastAsia="es-MX"/>
              </w:rPr>
              <w:t>23.0</w:t>
            </w:r>
          </w:p>
        </w:tc>
      </w:tr>
    </w:tbl>
    <w:p w14:paraId="4CAE295B" w14:textId="760785E9" w:rsidR="00792300" w:rsidRPr="00042ED7" w:rsidRDefault="00792300" w:rsidP="00792300">
      <w:pPr>
        <w:spacing w:after="0" w:line="240" w:lineRule="auto"/>
        <w:jc w:val="both"/>
        <w:rPr>
          <w:rFonts w:ascii="Arial" w:hAnsi="Arial" w:cs="Arial"/>
          <w:sz w:val="14"/>
          <w:szCs w:val="14"/>
        </w:rPr>
      </w:pPr>
      <w:r w:rsidRPr="00042ED7">
        <w:rPr>
          <w:rFonts w:ascii="Arial" w:hAnsi="Arial" w:cs="Arial"/>
          <w:sz w:val="14"/>
          <w:szCs w:val="14"/>
        </w:rPr>
        <w:t xml:space="preserve">¹La información corresponde al gramaje de polvo de metanfetaminas registrado en las averiguaciones previas e investigaciones iniciadas y en las carpetas de investigación. </w:t>
      </w:r>
      <w:r w:rsidR="009F0FB4" w:rsidRPr="00042ED7">
        <w:rPr>
          <w:rFonts w:ascii="Arial" w:hAnsi="Arial" w:cs="Arial"/>
          <w:sz w:val="14"/>
          <w:szCs w:val="14"/>
        </w:rPr>
        <w:t>Durante 2019, se registraron 208 delitos de narcomenudeo asociados con metanfetaminas (tabletas de 200 mg a 260 000 mg) que no se presenta en el Cuadro ya que representa 1.7% del total de delitos (12 163). Los datos incluyen el sistema penal para adultos y para adolescentes.</w:t>
      </w:r>
    </w:p>
    <w:p w14:paraId="50757587" w14:textId="77777777" w:rsidR="00792300" w:rsidRPr="00042ED7" w:rsidRDefault="00792300" w:rsidP="00792300">
      <w:pPr>
        <w:spacing w:after="0" w:line="240" w:lineRule="auto"/>
        <w:jc w:val="both"/>
        <w:rPr>
          <w:rFonts w:ascii="Arial" w:hAnsi="Arial" w:cs="Arial"/>
          <w:sz w:val="14"/>
          <w:szCs w:val="14"/>
        </w:rPr>
      </w:pPr>
      <w:r w:rsidRPr="00042ED7">
        <w:rPr>
          <w:rFonts w:ascii="Arial" w:hAnsi="Arial" w:cs="Arial"/>
          <w:sz w:val="14"/>
          <w:szCs w:val="14"/>
        </w:rPr>
        <w:t>Fuente: INEGI, Censo Nacional de Procuración de Justicia Estatal, 2020.</w:t>
      </w:r>
    </w:p>
    <w:p w14:paraId="557DB077" w14:textId="77777777" w:rsidR="005367BA" w:rsidRDefault="005367BA" w:rsidP="00792300">
      <w:pPr>
        <w:spacing w:before="120" w:after="120" w:line="276" w:lineRule="auto"/>
        <w:jc w:val="both"/>
        <w:rPr>
          <w:rFonts w:ascii="Arial" w:hAnsi="Arial" w:cs="Arial"/>
          <w:lang w:val="es-ES"/>
        </w:rPr>
      </w:pPr>
      <w:r>
        <w:rPr>
          <w:rFonts w:ascii="Arial" w:hAnsi="Arial" w:cs="Arial"/>
        </w:rPr>
        <w:t>A</w:t>
      </w:r>
      <w:r w:rsidR="00792300" w:rsidRPr="00042ED7">
        <w:rPr>
          <w:rFonts w:ascii="Arial" w:hAnsi="Arial" w:cs="Arial"/>
          <w:lang w:val="es-ES"/>
        </w:rPr>
        <w:t xml:space="preserve"> finales de 2019 se encontraban recluidas 197 373 personas en los centros penitenciarios federales y estatales del país. </w:t>
      </w:r>
      <w:r>
        <w:rPr>
          <w:rFonts w:ascii="Arial" w:hAnsi="Arial" w:cs="Arial"/>
          <w:lang w:val="es-ES"/>
        </w:rPr>
        <w:t>En</w:t>
      </w:r>
      <w:r w:rsidR="00792300" w:rsidRPr="00042ED7">
        <w:rPr>
          <w:rFonts w:ascii="Arial" w:hAnsi="Arial" w:cs="Arial"/>
          <w:lang w:val="es-ES"/>
        </w:rPr>
        <w:t xml:space="preserve"> 7.6% de los casos </w:t>
      </w:r>
      <w:r>
        <w:rPr>
          <w:rFonts w:ascii="Arial" w:hAnsi="Arial" w:cs="Arial"/>
          <w:lang w:val="es-ES"/>
        </w:rPr>
        <w:t xml:space="preserve">la reclusión </w:t>
      </w:r>
      <w:r w:rsidR="00792300" w:rsidRPr="00042ED7">
        <w:rPr>
          <w:rFonts w:ascii="Arial" w:hAnsi="Arial" w:cs="Arial"/>
          <w:lang w:val="es-ES"/>
        </w:rPr>
        <w:t xml:space="preserve">fue por un delito relacionado con drogas. </w:t>
      </w:r>
      <w:r w:rsidR="003930FC" w:rsidRPr="00042ED7">
        <w:rPr>
          <w:rFonts w:ascii="Arial" w:hAnsi="Arial" w:cs="Arial"/>
          <w:lang w:val="es-ES"/>
        </w:rPr>
        <w:t xml:space="preserve">En los centros penitenciarios federales casi la mitad de las </w:t>
      </w:r>
      <w:r w:rsidR="00792300" w:rsidRPr="00042ED7">
        <w:rPr>
          <w:rFonts w:ascii="Arial" w:hAnsi="Arial" w:cs="Arial"/>
          <w:lang w:val="es-ES"/>
        </w:rPr>
        <w:t>mujeres</w:t>
      </w:r>
      <w:r w:rsidR="003930FC" w:rsidRPr="00042ED7">
        <w:rPr>
          <w:rFonts w:ascii="Arial" w:hAnsi="Arial" w:cs="Arial"/>
          <w:lang w:val="es-ES"/>
        </w:rPr>
        <w:t xml:space="preserve"> fueron privadas de la libertad por participar </w:t>
      </w:r>
      <w:r w:rsidR="00792300" w:rsidRPr="00042ED7">
        <w:rPr>
          <w:rFonts w:ascii="Arial" w:hAnsi="Arial" w:cs="Arial"/>
          <w:lang w:val="es-ES"/>
        </w:rPr>
        <w:t>en actividades relacionadas con el transporte de drogas</w:t>
      </w:r>
      <w:r w:rsidR="009F3D23">
        <w:rPr>
          <w:rFonts w:ascii="Arial" w:hAnsi="Arial" w:cs="Arial"/>
          <w:lang w:val="es-ES"/>
        </w:rPr>
        <w:t xml:space="preserve"> </w:t>
      </w:r>
      <w:r w:rsidR="009F3D23" w:rsidRPr="00042ED7">
        <w:rPr>
          <w:rFonts w:ascii="Arial" w:hAnsi="Arial" w:cs="Arial"/>
          <w:lang w:val="es-ES"/>
        </w:rPr>
        <w:t>(Gráfica 2)</w:t>
      </w:r>
      <w:r w:rsidR="00B36F30" w:rsidRPr="00042ED7">
        <w:rPr>
          <w:rFonts w:ascii="Arial" w:hAnsi="Arial" w:cs="Arial"/>
          <w:lang w:val="es-ES"/>
        </w:rPr>
        <w:t xml:space="preserve">. </w:t>
      </w:r>
    </w:p>
    <w:p w14:paraId="3DC2C7BB" w14:textId="77777777" w:rsidR="005367BA" w:rsidRDefault="005367BA" w:rsidP="00792300">
      <w:pPr>
        <w:spacing w:before="120" w:after="120" w:line="276" w:lineRule="auto"/>
        <w:jc w:val="both"/>
        <w:rPr>
          <w:rFonts w:ascii="Arial" w:hAnsi="Arial" w:cs="Arial"/>
          <w:lang w:val="es-ES"/>
        </w:rPr>
      </w:pPr>
    </w:p>
    <w:p w14:paraId="16E8F880" w14:textId="51E79EC5" w:rsidR="00792300" w:rsidRPr="00042ED7" w:rsidRDefault="00B36F30" w:rsidP="00792300">
      <w:pPr>
        <w:spacing w:before="120" w:after="120" w:line="276" w:lineRule="auto"/>
        <w:jc w:val="both"/>
        <w:rPr>
          <w:rFonts w:ascii="Arial" w:hAnsi="Arial" w:cs="Arial"/>
          <w:lang w:val="es-ES"/>
        </w:rPr>
      </w:pPr>
      <w:r w:rsidRPr="00042ED7">
        <w:rPr>
          <w:rFonts w:ascii="Arial" w:hAnsi="Arial" w:cs="Arial"/>
          <w:lang w:val="es-ES"/>
        </w:rPr>
        <w:lastRenderedPageBreak/>
        <w:t>La participación de las mujeres en el mercado de las drogas es un tema que merece atención</w:t>
      </w:r>
      <w:r w:rsidR="00792300" w:rsidRPr="00042ED7">
        <w:rPr>
          <w:rFonts w:ascii="Arial" w:hAnsi="Arial" w:cs="Arial"/>
          <w:lang w:val="es-ES"/>
        </w:rPr>
        <w:t xml:space="preserve">, </w:t>
      </w:r>
      <w:r w:rsidR="009F3D23">
        <w:rPr>
          <w:rFonts w:ascii="Arial" w:hAnsi="Arial" w:cs="Arial"/>
          <w:lang w:val="es-ES"/>
        </w:rPr>
        <w:t>hay</w:t>
      </w:r>
      <w:r w:rsidR="00DE7459" w:rsidRPr="00042ED7">
        <w:rPr>
          <w:rFonts w:ascii="Arial" w:hAnsi="Arial" w:cs="Arial"/>
          <w:lang w:val="es-ES"/>
        </w:rPr>
        <w:t xml:space="preserve"> análisis</w:t>
      </w:r>
      <w:r w:rsidR="009F3D23">
        <w:rPr>
          <w:rFonts w:ascii="Arial" w:hAnsi="Arial" w:cs="Arial"/>
          <w:lang w:val="es-ES"/>
        </w:rPr>
        <w:t xml:space="preserve"> que</w:t>
      </w:r>
      <w:r w:rsidR="00DE7459" w:rsidRPr="00042ED7">
        <w:rPr>
          <w:rFonts w:ascii="Arial" w:hAnsi="Arial" w:cs="Arial"/>
          <w:lang w:val="es-ES"/>
        </w:rPr>
        <w:t xml:space="preserve"> </w:t>
      </w:r>
      <w:r w:rsidR="00150C64">
        <w:rPr>
          <w:rFonts w:ascii="Arial" w:hAnsi="Arial" w:cs="Arial"/>
          <w:lang w:val="es-ES"/>
        </w:rPr>
        <w:t xml:space="preserve">sugieren </w:t>
      </w:r>
      <w:r w:rsidR="00DE7459" w:rsidRPr="00042ED7">
        <w:rPr>
          <w:rFonts w:ascii="Arial" w:hAnsi="Arial" w:cs="Arial"/>
          <w:lang w:val="es-ES"/>
        </w:rPr>
        <w:t xml:space="preserve">que </w:t>
      </w:r>
      <w:r w:rsidR="00150C64">
        <w:rPr>
          <w:rFonts w:ascii="Arial" w:hAnsi="Arial" w:cs="Arial"/>
          <w:lang w:val="es-ES"/>
        </w:rPr>
        <w:t xml:space="preserve">las mujeres </w:t>
      </w:r>
      <w:r w:rsidRPr="00042ED7">
        <w:rPr>
          <w:rFonts w:ascii="Arial" w:hAnsi="Arial" w:cs="Arial"/>
          <w:lang w:val="es-ES"/>
        </w:rPr>
        <w:t xml:space="preserve">suelen ser </w:t>
      </w:r>
      <w:r w:rsidR="00DE7459" w:rsidRPr="00042ED7">
        <w:rPr>
          <w:rFonts w:ascii="Arial" w:hAnsi="Arial" w:cs="Arial"/>
          <w:lang w:val="es-ES"/>
        </w:rPr>
        <w:t xml:space="preserve">utilizadas </w:t>
      </w:r>
      <w:r w:rsidR="00792300" w:rsidRPr="00042ED7">
        <w:rPr>
          <w:rFonts w:ascii="Arial" w:hAnsi="Arial" w:cs="Arial"/>
          <w:lang w:val="es-ES"/>
        </w:rPr>
        <w:t>como “correos humanos”</w:t>
      </w:r>
      <w:r w:rsidR="00792300" w:rsidRPr="00042ED7">
        <w:rPr>
          <w:rStyle w:val="Refdenotaalpie"/>
          <w:rFonts w:ascii="Arial" w:hAnsi="Arial" w:cs="Arial"/>
          <w:lang w:val="es-ES"/>
        </w:rPr>
        <w:footnoteReference w:id="5"/>
      </w:r>
      <w:r w:rsidRPr="00042ED7">
        <w:rPr>
          <w:rFonts w:ascii="Arial" w:hAnsi="Arial" w:cs="Arial"/>
          <w:lang w:val="es-ES"/>
        </w:rPr>
        <w:t>, es decir, desempeña</w:t>
      </w:r>
      <w:r w:rsidR="00042ED7" w:rsidRPr="00042ED7">
        <w:rPr>
          <w:rFonts w:ascii="Arial" w:hAnsi="Arial" w:cs="Arial"/>
          <w:lang w:val="es-ES"/>
        </w:rPr>
        <w:t>n</w:t>
      </w:r>
      <w:r w:rsidRPr="00042ED7">
        <w:rPr>
          <w:rFonts w:ascii="Arial" w:hAnsi="Arial" w:cs="Arial"/>
          <w:lang w:val="es-ES"/>
        </w:rPr>
        <w:t xml:space="preserve"> </w:t>
      </w:r>
      <w:r w:rsidR="00792300" w:rsidRPr="00042ED7">
        <w:rPr>
          <w:rFonts w:ascii="Arial" w:hAnsi="Arial" w:cs="Arial"/>
          <w:lang w:val="es-ES"/>
        </w:rPr>
        <w:t xml:space="preserve">tareas de bajo </w:t>
      </w:r>
      <w:r w:rsidR="00873970" w:rsidRPr="00042ED7">
        <w:rPr>
          <w:rFonts w:ascii="Arial" w:hAnsi="Arial" w:cs="Arial"/>
          <w:lang w:val="es-ES"/>
        </w:rPr>
        <w:t>rango</w:t>
      </w:r>
      <w:r w:rsidR="00150C64">
        <w:rPr>
          <w:rFonts w:ascii="Arial" w:hAnsi="Arial" w:cs="Arial"/>
          <w:lang w:val="es-ES"/>
        </w:rPr>
        <w:t>,</w:t>
      </w:r>
      <w:r w:rsidR="00792300" w:rsidRPr="00042ED7">
        <w:rPr>
          <w:rFonts w:ascii="Arial" w:hAnsi="Arial" w:cs="Arial"/>
          <w:lang w:val="es-ES"/>
        </w:rPr>
        <w:t xml:space="preserve"> pero de</w:t>
      </w:r>
      <w:r w:rsidR="00D60EA6" w:rsidRPr="00042ED7">
        <w:rPr>
          <w:rFonts w:ascii="Arial" w:hAnsi="Arial" w:cs="Arial"/>
          <w:lang w:val="es-ES"/>
        </w:rPr>
        <w:t xml:space="preserve"> </w:t>
      </w:r>
      <w:r w:rsidR="00792300" w:rsidRPr="00042ED7">
        <w:rPr>
          <w:rFonts w:ascii="Arial" w:hAnsi="Arial" w:cs="Arial"/>
          <w:lang w:val="es-ES"/>
        </w:rPr>
        <w:t>alto riesgo.</w:t>
      </w:r>
      <w:r w:rsidR="00792300" w:rsidRPr="00042ED7">
        <w:rPr>
          <w:rStyle w:val="Refdenotaalpie"/>
          <w:rFonts w:ascii="Arial" w:hAnsi="Arial" w:cs="Arial"/>
          <w:lang w:val="es-ES"/>
        </w:rPr>
        <w:footnoteReference w:id="6"/>
      </w:r>
      <w:r w:rsidR="00792300" w:rsidRPr="00042ED7">
        <w:rPr>
          <w:rFonts w:ascii="Arial" w:hAnsi="Arial" w:cs="Arial"/>
          <w:vertAlign w:val="superscript"/>
          <w:lang w:val="es-ES"/>
        </w:rPr>
        <w:t xml:space="preserve"> </w:t>
      </w:r>
      <w:bookmarkStart w:id="6" w:name="_Hlk70692296"/>
    </w:p>
    <w:p w14:paraId="0292000D" w14:textId="77777777" w:rsidR="00792300" w:rsidRPr="00042ED7" w:rsidRDefault="00792300" w:rsidP="004D69B2">
      <w:pPr>
        <w:spacing w:before="120" w:after="120" w:line="276" w:lineRule="auto"/>
        <w:jc w:val="center"/>
        <w:rPr>
          <w:rFonts w:ascii="Arial" w:hAnsi="Arial" w:cs="Arial"/>
          <w:vertAlign w:val="superscript"/>
          <w:lang w:val="es-ES"/>
        </w:rPr>
      </w:pPr>
      <w:r w:rsidRPr="00042ED7">
        <w:rPr>
          <w:noProof/>
        </w:rPr>
        <w:drawing>
          <wp:inline distT="0" distB="0" distL="0" distR="0" wp14:anchorId="64FA8012" wp14:editId="23E32102">
            <wp:extent cx="6029325" cy="2600325"/>
            <wp:effectExtent l="0" t="0" r="9525" b="0"/>
            <wp:docPr id="23" name="Gráfico 23">
              <a:extLst xmlns:a="http://schemas.openxmlformats.org/drawingml/2006/main">
                <a:ext uri="{FF2B5EF4-FFF2-40B4-BE49-F238E27FC236}">
                  <a16:creationId xmlns:a16="http://schemas.microsoft.com/office/drawing/2014/main" id="{438AEA59-ABDF-417A-9E7D-A4AE4E8203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1BD9F21" w14:textId="3DEF56F7" w:rsidR="00B60FDB" w:rsidRPr="00042ED7" w:rsidRDefault="00792300" w:rsidP="00792300">
      <w:pPr>
        <w:spacing w:before="120" w:after="120" w:line="276" w:lineRule="auto"/>
        <w:jc w:val="both"/>
        <w:rPr>
          <w:rFonts w:ascii="Arial" w:hAnsi="Arial" w:cs="Arial"/>
          <w:lang w:val="es-ES"/>
        </w:rPr>
      </w:pPr>
      <w:r w:rsidRPr="00042ED7">
        <w:rPr>
          <w:rFonts w:ascii="Arial" w:hAnsi="Arial" w:cs="Arial"/>
          <w:lang w:val="es-ES"/>
        </w:rPr>
        <w:t xml:space="preserve">Además, </w:t>
      </w:r>
      <w:r w:rsidR="008643B5" w:rsidRPr="00042ED7">
        <w:rPr>
          <w:rFonts w:ascii="Arial" w:hAnsi="Arial" w:cs="Arial"/>
          <w:lang w:val="es-ES"/>
        </w:rPr>
        <w:t xml:space="preserve">en comparación con los hombres, </w:t>
      </w:r>
      <w:r w:rsidRPr="00042ED7">
        <w:rPr>
          <w:rFonts w:ascii="Arial" w:hAnsi="Arial" w:cs="Arial"/>
          <w:lang w:val="es-ES"/>
        </w:rPr>
        <w:t>las mujeres</w:t>
      </w:r>
      <w:r w:rsidR="008444A3" w:rsidRPr="00042ED7">
        <w:rPr>
          <w:rFonts w:ascii="Arial" w:hAnsi="Arial" w:cs="Arial"/>
          <w:lang w:val="es-ES"/>
        </w:rPr>
        <w:t xml:space="preserve"> </w:t>
      </w:r>
      <w:r w:rsidRPr="00042ED7">
        <w:rPr>
          <w:rFonts w:ascii="Arial" w:hAnsi="Arial" w:cs="Arial"/>
          <w:lang w:val="es-ES"/>
        </w:rPr>
        <w:t>enfrentan mayor incertidumbre respecto de su situación jurídica</w:t>
      </w:r>
      <w:r w:rsidR="008444A3" w:rsidRPr="00042ED7">
        <w:rPr>
          <w:rFonts w:ascii="Arial" w:hAnsi="Arial" w:cs="Arial"/>
          <w:lang w:val="es-ES"/>
        </w:rPr>
        <w:t xml:space="preserve">. Una de cada </w:t>
      </w:r>
      <w:r w:rsidR="005367BA">
        <w:rPr>
          <w:rFonts w:ascii="Arial" w:hAnsi="Arial" w:cs="Arial"/>
          <w:lang w:val="es-ES"/>
        </w:rPr>
        <w:t>dos</w:t>
      </w:r>
      <w:r w:rsidR="008444A3" w:rsidRPr="00042ED7">
        <w:rPr>
          <w:rFonts w:ascii="Arial" w:hAnsi="Arial" w:cs="Arial"/>
          <w:lang w:val="es-ES"/>
        </w:rPr>
        <w:t xml:space="preserve"> mujeres que se encontraban en 2019 privadas de la libertad por el delito de narcomenudeo no había recibido sentencia </w:t>
      </w:r>
      <w:r w:rsidR="00B60FDB" w:rsidRPr="00042ED7">
        <w:rPr>
          <w:rFonts w:ascii="Arial" w:hAnsi="Arial" w:cs="Arial"/>
          <w:lang w:val="es-ES"/>
        </w:rPr>
        <w:t>y</w:t>
      </w:r>
      <w:r w:rsidR="005367BA">
        <w:rPr>
          <w:rFonts w:ascii="Arial" w:hAnsi="Arial" w:cs="Arial"/>
          <w:lang w:val="es-ES"/>
        </w:rPr>
        <w:t>,</w:t>
      </w:r>
      <w:r w:rsidR="00B60FDB" w:rsidRPr="00042ED7">
        <w:rPr>
          <w:rFonts w:ascii="Arial" w:hAnsi="Arial" w:cs="Arial"/>
          <w:lang w:val="es-ES"/>
        </w:rPr>
        <w:t xml:space="preserve"> en el caso de los</w:t>
      </w:r>
      <w:r w:rsidR="008444A3" w:rsidRPr="00042ED7">
        <w:rPr>
          <w:rFonts w:ascii="Arial" w:hAnsi="Arial" w:cs="Arial"/>
          <w:lang w:val="es-ES"/>
        </w:rPr>
        <w:t xml:space="preserve"> </w:t>
      </w:r>
      <w:r w:rsidR="00B60FDB" w:rsidRPr="00042ED7">
        <w:rPr>
          <w:rFonts w:ascii="Arial" w:hAnsi="Arial" w:cs="Arial"/>
          <w:lang w:val="es-ES"/>
        </w:rPr>
        <w:t>delitos federales relacionados con narcóticos</w:t>
      </w:r>
      <w:r w:rsidR="005367BA">
        <w:rPr>
          <w:rFonts w:ascii="Arial" w:hAnsi="Arial" w:cs="Arial"/>
          <w:lang w:val="es-ES"/>
        </w:rPr>
        <w:t>,</w:t>
      </w:r>
      <w:r w:rsidR="00B60FDB" w:rsidRPr="00042ED7">
        <w:rPr>
          <w:rFonts w:ascii="Arial" w:hAnsi="Arial" w:cs="Arial"/>
          <w:lang w:val="es-ES"/>
        </w:rPr>
        <w:t xml:space="preserve"> </w:t>
      </w:r>
      <w:r w:rsidR="008444A3" w:rsidRPr="00042ED7">
        <w:rPr>
          <w:rFonts w:ascii="Arial" w:hAnsi="Arial" w:cs="Arial"/>
          <w:lang w:val="es-ES"/>
        </w:rPr>
        <w:t xml:space="preserve">33.8% </w:t>
      </w:r>
      <w:r w:rsidR="00B60FDB" w:rsidRPr="00042ED7">
        <w:rPr>
          <w:rFonts w:ascii="Arial" w:hAnsi="Arial" w:cs="Arial"/>
          <w:lang w:val="es-ES"/>
        </w:rPr>
        <w:t>de las mujeres recluidas estaba en la misma situación.</w:t>
      </w:r>
      <w:r w:rsidR="008444A3" w:rsidRPr="00042ED7">
        <w:rPr>
          <w:rFonts w:ascii="Arial" w:hAnsi="Arial" w:cs="Arial"/>
          <w:lang w:val="es-ES"/>
        </w:rPr>
        <w:t xml:space="preserve"> </w:t>
      </w:r>
      <w:r w:rsidR="00B60FDB" w:rsidRPr="00042ED7">
        <w:rPr>
          <w:rFonts w:ascii="Arial" w:hAnsi="Arial" w:cs="Arial"/>
          <w:lang w:val="es-ES"/>
        </w:rPr>
        <w:t>Esto contrasta respecto a la situación de los hombres, cuyas tasas de no sentencia fueron menores para ambos tipos de delitos</w:t>
      </w:r>
      <w:r w:rsidR="005367BA">
        <w:rPr>
          <w:rFonts w:ascii="Arial" w:hAnsi="Arial" w:cs="Arial"/>
          <w:lang w:val="es-ES"/>
        </w:rPr>
        <w:t>.</w:t>
      </w:r>
    </w:p>
    <w:p w14:paraId="67CCE54F" w14:textId="77777777" w:rsidR="00792300" w:rsidRPr="00042ED7" w:rsidRDefault="00792300" w:rsidP="00792300">
      <w:pPr>
        <w:spacing w:before="120" w:after="120" w:line="276" w:lineRule="auto"/>
        <w:jc w:val="center"/>
        <w:rPr>
          <w:rFonts w:ascii="Arial" w:hAnsi="Arial" w:cs="Arial"/>
          <w:lang w:val="es-ES"/>
        </w:rPr>
      </w:pPr>
      <w:r w:rsidRPr="00042ED7">
        <w:rPr>
          <w:noProof/>
        </w:rPr>
        <w:drawing>
          <wp:inline distT="0" distB="0" distL="0" distR="0" wp14:anchorId="79BD1FA1" wp14:editId="16B80072">
            <wp:extent cx="4676775" cy="3467100"/>
            <wp:effectExtent l="0" t="0" r="9525" b="0"/>
            <wp:docPr id="25" name="Gráfico 25">
              <a:extLst xmlns:a="http://schemas.openxmlformats.org/drawingml/2006/main">
                <a:ext uri="{FF2B5EF4-FFF2-40B4-BE49-F238E27FC236}">
                  <a16:creationId xmlns:a16="http://schemas.microsoft.com/office/drawing/2014/main" id="{F4C5444D-AA2D-4CF3-8F85-6014C91A6A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63808FC" w14:textId="3FB60CA1" w:rsidR="00BF359C" w:rsidRPr="00042ED7" w:rsidRDefault="00487796" w:rsidP="0041252D">
      <w:pPr>
        <w:spacing w:before="240" w:after="120" w:line="276" w:lineRule="auto"/>
        <w:jc w:val="both"/>
        <w:rPr>
          <w:rFonts w:ascii="Arial" w:hAnsi="Arial" w:cs="Arial"/>
        </w:rPr>
      </w:pPr>
      <w:r>
        <w:rPr>
          <w:rFonts w:ascii="Arial" w:hAnsi="Arial" w:cs="Arial"/>
        </w:rPr>
        <w:lastRenderedPageBreak/>
        <w:t>En</w:t>
      </w:r>
      <w:r w:rsidR="0041252D" w:rsidRPr="00042ED7">
        <w:rPr>
          <w:rFonts w:ascii="Arial" w:hAnsi="Arial" w:cs="Arial"/>
        </w:rPr>
        <w:t xml:space="preserve"> México se observa una tendencia decreciente en el aseguramiento de drogas desde 2011, particularmente en </w:t>
      </w:r>
      <w:r>
        <w:rPr>
          <w:rFonts w:ascii="Arial" w:hAnsi="Arial" w:cs="Arial"/>
        </w:rPr>
        <w:t xml:space="preserve">los casos </w:t>
      </w:r>
      <w:r w:rsidR="0041252D" w:rsidRPr="00042ED7">
        <w:rPr>
          <w:rFonts w:ascii="Arial" w:hAnsi="Arial" w:cs="Arial"/>
        </w:rPr>
        <w:t>de marihuana y amapola</w:t>
      </w:r>
      <w:r w:rsidR="00BD42EE" w:rsidRPr="00042ED7">
        <w:rPr>
          <w:rFonts w:ascii="Arial" w:hAnsi="Arial" w:cs="Arial"/>
        </w:rPr>
        <w:t xml:space="preserve"> que </w:t>
      </w:r>
      <w:r w:rsidR="00D60EA6" w:rsidRPr="00042ED7">
        <w:rPr>
          <w:rFonts w:ascii="Arial" w:hAnsi="Arial" w:cs="Arial"/>
        </w:rPr>
        <w:t>en</w:t>
      </w:r>
      <w:r w:rsidR="00BD42EE" w:rsidRPr="00042ED7">
        <w:rPr>
          <w:rFonts w:ascii="Arial" w:hAnsi="Arial" w:cs="Arial"/>
        </w:rPr>
        <w:t xml:space="preserve"> </w:t>
      </w:r>
      <w:r w:rsidR="0041252D" w:rsidRPr="00042ED7">
        <w:rPr>
          <w:rFonts w:ascii="Arial" w:hAnsi="Arial" w:cs="Arial"/>
        </w:rPr>
        <w:t>2018 y 2019 alcanz</w:t>
      </w:r>
      <w:r w:rsidR="00D60EA6" w:rsidRPr="00042ED7">
        <w:rPr>
          <w:rFonts w:ascii="Arial" w:hAnsi="Arial" w:cs="Arial"/>
        </w:rPr>
        <w:t>aron</w:t>
      </w:r>
      <w:r w:rsidR="00BD42EE" w:rsidRPr="00042ED7">
        <w:rPr>
          <w:rFonts w:ascii="Arial" w:hAnsi="Arial" w:cs="Arial"/>
        </w:rPr>
        <w:t xml:space="preserve"> los</w:t>
      </w:r>
      <w:r w:rsidR="0041252D" w:rsidRPr="00042ED7">
        <w:rPr>
          <w:rFonts w:ascii="Arial" w:hAnsi="Arial" w:cs="Arial"/>
        </w:rPr>
        <w:t xml:space="preserve"> niveles más bajos </w:t>
      </w:r>
      <w:r w:rsidR="00BD42EE" w:rsidRPr="00042ED7">
        <w:rPr>
          <w:rFonts w:ascii="Arial" w:hAnsi="Arial" w:cs="Arial"/>
        </w:rPr>
        <w:t xml:space="preserve">desde </w:t>
      </w:r>
      <w:r w:rsidR="00D60EA6" w:rsidRPr="00042ED7">
        <w:rPr>
          <w:rFonts w:ascii="Arial" w:hAnsi="Arial" w:cs="Arial"/>
        </w:rPr>
        <w:t>que se tiene re</w:t>
      </w:r>
      <w:r w:rsidR="00BD42EE" w:rsidRPr="00042ED7">
        <w:rPr>
          <w:rFonts w:ascii="Arial" w:hAnsi="Arial" w:cs="Arial"/>
        </w:rPr>
        <w:t>gistro</w:t>
      </w:r>
      <w:r w:rsidR="00526B7B" w:rsidRPr="00042ED7">
        <w:rPr>
          <w:rFonts w:ascii="Arial" w:hAnsi="Arial" w:cs="Arial"/>
        </w:rPr>
        <w:t xml:space="preserve">, </w:t>
      </w:r>
      <w:r>
        <w:rPr>
          <w:rFonts w:ascii="Arial" w:hAnsi="Arial" w:cs="Arial"/>
        </w:rPr>
        <w:t>aunque con el aseguramiento de</w:t>
      </w:r>
      <w:r w:rsidR="00526B7B" w:rsidRPr="00042ED7">
        <w:rPr>
          <w:rFonts w:ascii="Arial" w:hAnsi="Arial" w:cs="Arial"/>
        </w:rPr>
        <w:t xml:space="preserve"> coc</w:t>
      </w:r>
      <w:r w:rsidR="00C65603" w:rsidRPr="00042ED7">
        <w:rPr>
          <w:rFonts w:ascii="Arial" w:hAnsi="Arial" w:cs="Arial"/>
        </w:rPr>
        <w:t>aína</w:t>
      </w:r>
      <w:r w:rsidR="00526B7B" w:rsidRPr="00042ED7">
        <w:rPr>
          <w:rFonts w:ascii="Arial" w:hAnsi="Arial" w:cs="Arial"/>
        </w:rPr>
        <w:t xml:space="preserve"> la tendencia se revierte </w:t>
      </w:r>
      <w:r w:rsidR="00BF359C" w:rsidRPr="00042ED7">
        <w:rPr>
          <w:rFonts w:ascii="Arial" w:hAnsi="Arial" w:cs="Arial"/>
        </w:rPr>
        <w:t xml:space="preserve">(Gráfica </w:t>
      </w:r>
      <w:r w:rsidR="00AD3540" w:rsidRPr="00042ED7">
        <w:rPr>
          <w:rFonts w:ascii="Arial" w:hAnsi="Arial" w:cs="Arial"/>
        </w:rPr>
        <w:t>4</w:t>
      </w:r>
      <w:r w:rsidR="00BF359C" w:rsidRPr="00042ED7">
        <w:rPr>
          <w:rFonts w:ascii="Arial" w:hAnsi="Arial" w:cs="Arial"/>
        </w:rPr>
        <w:t>).</w:t>
      </w:r>
      <w:r w:rsidR="009D2E9B">
        <w:rPr>
          <w:rFonts w:ascii="Arial" w:hAnsi="Arial" w:cs="Arial"/>
        </w:rPr>
        <w:t xml:space="preserve"> Esta situación contrasta con la tendencia internacional, </w:t>
      </w:r>
      <w:r w:rsidR="009D2E9B" w:rsidRPr="00042ED7">
        <w:rPr>
          <w:rFonts w:ascii="Arial" w:hAnsi="Arial" w:cs="Arial"/>
        </w:rPr>
        <w:t xml:space="preserve">donde los aseguramientos de drogas han registrado niveles históricos en </w:t>
      </w:r>
      <w:r w:rsidR="009D2E9B">
        <w:rPr>
          <w:rFonts w:ascii="Arial" w:hAnsi="Arial" w:cs="Arial"/>
        </w:rPr>
        <w:t>los mismos años.</w:t>
      </w:r>
      <w:r w:rsidR="009D2E9B" w:rsidRPr="00042ED7">
        <w:rPr>
          <w:rStyle w:val="Refdenotaalpie"/>
          <w:rFonts w:ascii="Arial" w:hAnsi="Arial" w:cs="Arial"/>
        </w:rPr>
        <w:footnoteReference w:id="7"/>
      </w:r>
    </w:p>
    <w:p w14:paraId="6EBD7E7D" w14:textId="4147A11A" w:rsidR="00BF359C" w:rsidRPr="00042ED7" w:rsidRDefault="00BF359C" w:rsidP="00BF359C">
      <w:pPr>
        <w:spacing w:after="120" w:line="276" w:lineRule="auto"/>
        <w:jc w:val="both"/>
        <w:rPr>
          <w:noProof/>
        </w:rPr>
      </w:pPr>
      <w:r w:rsidRPr="00042ED7">
        <w:rPr>
          <w:rFonts w:ascii="Arial" w:hAnsi="Arial" w:cs="Arial"/>
        </w:rPr>
        <w:t>En el caso de las sustancias incorporadas recientemente al mercado de drogas</w:t>
      </w:r>
      <w:r w:rsidR="009D2E9B">
        <w:rPr>
          <w:rFonts w:ascii="Arial" w:hAnsi="Arial" w:cs="Arial"/>
        </w:rPr>
        <w:t>,</w:t>
      </w:r>
      <w:r w:rsidRPr="00042ED7">
        <w:rPr>
          <w:rFonts w:ascii="Arial" w:hAnsi="Arial" w:cs="Arial"/>
        </w:rPr>
        <w:t xml:space="preserve"> se encuentra el fentanilo, cuyo uso indebido representa un grave riesgo para la salud, pues sus efectos son hasta 100 veces más potentes que la morfina</w:t>
      </w:r>
      <w:r w:rsidRPr="00042ED7">
        <w:rPr>
          <w:rStyle w:val="Refdenotaalpie"/>
          <w:rFonts w:ascii="Arial" w:hAnsi="Arial" w:cs="Arial"/>
        </w:rPr>
        <w:footnoteReference w:id="8"/>
      </w:r>
      <w:r w:rsidR="009D2E9B">
        <w:rPr>
          <w:rFonts w:ascii="Arial" w:hAnsi="Arial" w:cs="Arial"/>
        </w:rPr>
        <w:t>.</w:t>
      </w:r>
      <w:r w:rsidRPr="00042ED7">
        <w:rPr>
          <w:rFonts w:ascii="Arial" w:hAnsi="Arial" w:cs="Arial"/>
        </w:rPr>
        <w:t xml:space="preserve"> </w:t>
      </w:r>
      <w:r w:rsidR="009D2E9B">
        <w:rPr>
          <w:rFonts w:ascii="Arial" w:hAnsi="Arial" w:cs="Arial"/>
        </w:rPr>
        <w:t>D</w:t>
      </w:r>
      <w:r w:rsidR="009D2E9B" w:rsidRPr="00042ED7">
        <w:rPr>
          <w:rFonts w:ascii="Arial" w:hAnsi="Arial" w:cs="Arial"/>
        </w:rPr>
        <w:t xml:space="preserve">e </w:t>
      </w:r>
      <w:r w:rsidRPr="00042ED7">
        <w:rPr>
          <w:rFonts w:ascii="Arial" w:hAnsi="Arial" w:cs="Arial"/>
        </w:rPr>
        <w:t>ahí la urgencia de las acciones de aseguramiento de esta droga para evitar que continúe la tendencia creciente de su comercialización alrededor del mundo.</w:t>
      </w:r>
      <w:r w:rsidRPr="00042ED7">
        <w:rPr>
          <w:rStyle w:val="Refdenotaalpie"/>
          <w:rFonts w:ascii="Arial" w:hAnsi="Arial" w:cs="Arial"/>
        </w:rPr>
        <w:footnoteReference w:id="9"/>
      </w:r>
      <w:r w:rsidRPr="00042ED7">
        <w:rPr>
          <w:rFonts w:ascii="Arial" w:hAnsi="Arial" w:cs="Arial"/>
        </w:rPr>
        <w:t xml:space="preserve"> En </w:t>
      </w:r>
      <w:r w:rsidR="009D2E9B">
        <w:rPr>
          <w:rFonts w:ascii="Arial" w:hAnsi="Arial" w:cs="Arial"/>
        </w:rPr>
        <w:t xml:space="preserve">2019, se registró en </w:t>
      </w:r>
      <w:r w:rsidRPr="00042ED7">
        <w:rPr>
          <w:rFonts w:ascii="Arial" w:hAnsi="Arial" w:cs="Arial"/>
        </w:rPr>
        <w:t>México</w:t>
      </w:r>
      <w:r w:rsidR="009D2E9B">
        <w:rPr>
          <w:rFonts w:ascii="Arial" w:hAnsi="Arial" w:cs="Arial"/>
        </w:rPr>
        <w:t xml:space="preserve"> </w:t>
      </w:r>
      <w:r w:rsidRPr="00042ED7">
        <w:rPr>
          <w:rFonts w:ascii="Arial" w:hAnsi="Arial" w:cs="Arial"/>
        </w:rPr>
        <w:t>la incautación de 179.1 kilogramos de esta sustancia</w:t>
      </w:r>
      <w:r w:rsidR="009D2E9B">
        <w:rPr>
          <w:rFonts w:ascii="Arial" w:hAnsi="Arial" w:cs="Arial"/>
        </w:rPr>
        <w:t xml:space="preserve">, </w:t>
      </w:r>
      <w:r w:rsidRPr="00042ED7">
        <w:rPr>
          <w:rFonts w:ascii="Arial" w:hAnsi="Arial" w:cs="Arial"/>
        </w:rPr>
        <w:t>cantidad que es comparativamente alta respecto de las incautaciones en otras partes del mundo</w:t>
      </w:r>
      <w:r w:rsidR="009D2E9B">
        <w:rPr>
          <w:rFonts w:ascii="Arial" w:hAnsi="Arial" w:cs="Arial"/>
        </w:rPr>
        <w:t>; p</w:t>
      </w:r>
      <w:r w:rsidRPr="00042ED7">
        <w:rPr>
          <w:rFonts w:ascii="Arial" w:hAnsi="Arial" w:cs="Arial"/>
        </w:rPr>
        <w:t>or ejemplo, en Europa Occidental y Central alcanzaron 5 kg en 2016 y 17 kg en 2017,</w:t>
      </w:r>
      <w:r w:rsidRPr="00042ED7">
        <w:rPr>
          <w:rStyle w:val="Refdenotaalpie"/>
          <w:rFonts w:ascii="Arial" w:hAnsi="Arial" w:cs="Arial"/>
        </w:rPr>
        <w:footnoteReference w:id="10"/>
      </w:r>
      <w:r w:rsidRPr="00042ED7">
        <w:rPr>
          <w:rFonts w:ascii="Arial" w:hAnsi="Arial" w:cs="Arial"/>
        </w:rPr>
        <w:t xml:space="preserve"> mientras que en la India se incaut</w:t>
      </w:r>
      <w:r w:rsidR="00FC5DA6" w:rsidRPr="00042ED7">
        <w:rPr>
          <w:rFonts w:ascii="Arial" w:hAnsi="Arial" w:cs="Arial"/>
        </w:rPr>
        <w:t>aron</w:t>
      </w:r>
      <w:r w:rsidRPr="00042ED7">
        <w:rPr>
          <w:rFonts w:ascii="Arial" w:hAnsi="Arial" w:cs="Arial"/>
        </w:rPr>
        <w:t xml:space="preserve"> 100 kilogramos en 2018.</w:t>
      </w:r>
      <w:r w:rsidRPr="00042ED7">
        <w:rPr>
          <w:rStyle w:val="Refdenotaalpie"/>
          <w:rFonts w:ascii="Arial" w:hAnsi="Arial" w:cs="Arial"/>
        </w:rPr>
        <w:footnoteReference w:id="11"/>
      </w:r>
      <w:r w:rsidRPr="00042ED7">
        <w:rPr>
          <w:rFonts w:ascii="Arial" w:hAnsi="Arial" w:cs="Arial"/>
        </w:rPr>
        <w:t xml:space="preserve"> </w:t>
      </w:r>
    </w:p>
    <w:p w14:paraId="5C550F47" w14:textId="7DF452C3" w:rsidR="00BF359C" w:rsidRPr="00042ED7" w:rsidRDefault="00AD3540" w:rsidP="008643B5">
      <w:pPr>
        <w:spacing w:after="120" w:line="276" w:lineRule="auto"/>
        <w:jc w:val="center"/>
        <w:rPr>
          <w:rFonts w:ascii="Arial" w:hAnsi="Arial" w:cs="Arial"/>
        </w:rPr>
      </w:pPr>
      <w:r w:rsidRPr="00042ED7">
        <w:rPr>
          <w:rFonts w:ascii="Arial" w:hAnsi="Arial" w:cs="Arial"/>
          <w:noProof/>
        </w:rPr>
        <w:drawing>
          <wp:inline distT="0" distB="0" distL="0" distR="0" wp14:anchorId="7FA441CA" wp14:editId="4A6219A8">
            <wp:extent cx="5674269" cy="3331391"/>
            <wp:effectExtent l="0" t="0" r="3175"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82584" cy="3336273"/>
                    </a:xfrm>
                    <a:prstGeom prst="rect">
                      <a:avLst/>
                    </a:prstGeom>
                    <a:noFill/>
                  </pic:spPr>
                </pic:pic>
              </a:graphicData>
            </a:graphic>
          </wp:inline>
        </w:drawing>
      </w:r>
    </w:p>
    <w:p w14:paraId="36C90B26" w14:textId="59BD86BF" w:rsidR="00487796" w:rsidRDefault="00695D28" w:rsidP="00487796">
      <w:pPr>
        <w:ind w:right="-516"/>
        <w:contextualSpacing/>
        <w:jc w:val="both"/>
        <w:rPr>
          <w:rFonts w:ascii="Arial" w:hAnsi="Arial" w:cs="Arial"/>
          <w:lang w:val="es-ES"/>
        </w:rPr>
      </w:pPr>
      <w:r>
        <w:rPr>
          <w:rFonts w:ascii="Arial" w:hAnsi="Arial" w:cs="Arial"/>
          <w:lang w:val="es-ES"/>
        </w:rPr>
        <w:t xml:space="preserve">El </w:t>
      </w:r>
      <w:r w:rsidR="00792300" w:rsidRPr="00042ED7">
        <w:rPr>
          <w:rFonts w:ascii="Arial" w:hAnsi="Arial" w:cs="Arial"/>
          <w:lang w:val="es-ES"/>
        </w:rPr>
        <w:t xml:space="preserve">INEGI aporta información para dimensionar el fenómeno de las drogas desde la arista del sistema de justicia que, junto con el enfoque de salud, es uno </w:t>
      </w:r>
      <w:r w:rsidR="00B60FDB" w:rsidRPr="00042ED7">
        <w:rPr>
          <w:rFonts w:ascii="Arial" w:hAnsi="Arial" w:cs="Arial"/>
          <w:lang w:val="es-ES"/>
        </w:rPr>
        <w:t xml:space="preserve">de los </w:t>
      </w:r>
      <w:r w:rsidR="00792300" w:rsidRPr="00042ED7">
        <w:rPr>
          <w:rFonts w:ascii="Arial" w:hAnsi="Arial" w:cs="Arial"/>
          <w:lang w:val="es-ES"/>
        </w:rPr>
        <w:t xml:space="preserve">pilares en la estrategia de control de la oferta y consumo de </w:t>
      </w:r>
      <w:r w:rsidR="00B60FDB" w:rsidRPr="00042ED7">
        <w:rPr>
          <w:rFonts w:ascii="Arial" w:hAnsi="Arial" w:cs="Arial"/>
          <w:lang w:val="es-ES"/>
        </w:rPr>
        <w:t xml:space="preserve">estupefacientes </w:t>
      </w:r>
      <w:r w:rsidR="00792300" w:rsidRPr="00042ED7">
        <w:rPr>
          <w:rFonts w:ascii="Arial" w:hAnsi="Arial" w:cs="Arial"/>
          <w:lang w:val="es-ES"/>
        </w:rPr>
        <w:t xml:space="preserve">en el país. Se invita a las personas usuarias a consultar los distintos proyectos en materia de gobierno, seguridad pública y justicia que genera el </w:t>
      </w:r>
      <w:r>
        <w:rPr>
          <w:rFonts w:ascii="Arial" w:hAnsi="Arial" w:cs="Arial"/>
          <w:lang w:val="es-ES"/>
        </w:rPr>
        <w:t>INEGI</w:t>
      </w:r>
      <w:r w:rsidR="00792300" w:rsidRPr="00042ED7">
        <w:rPr>
          <w:rFonts w:ascii="Arial" w:hAnsi="Arial" w:cs="Arial"/>
          <w:lang w:val="es-ES"/>
        </w:rPr>
        <w:t>.</w:t>
      </w:r>
      <w:bookmarkEnd w:id="6"/>
    </w:p>
    <w:p w14:paraId="56E73456" w14:textId="77777777" w:rsidR="00487796" w:rsidRDefault="00487796" w:rsidP="00487796">
      <w:pPr>
        <w:ind w:right="-516"/>
        <w:contextualSpacing/>
        <w:jc w:val="center"/>
        <w:rPr>
          <w:rFonts w:ascii="Arial" w:hAnsi="Arial" w:cs="Arial"/>
          <w:lang w:val="es-ES"/>
        </w:rPr>
      </w:pPr>
    </w:p>
    <w:p w14:paraId="7165D224" w14:textId="50025C83" w:rsidR="0063783E" w:rsidRPr="00792300" w:rsidRDefault="00487796" w:rsidP="00487796">
      <w:pPr>
        <w:ind w:right="-516"/>
        <w:contextualSpacing/>
        <w:jc w:val="center"/>
        <w:rPr>
          <w:rFonts w:ascii="Arial" w:hAnsi="Arial" w:cs="Arial"/>
          <w:u w:color="2E74B5" w:themeColor="accent5" w:themeShade="BF"/>
          <w:lang w:val="es-ES"/>
        </w:rPr>
      </w:pPr>
      <w:r w:rsidRPr="00487796">
        <w:rPr>
          <w:noProof/>
          <w:sz w:val="20"/>
          <w:lang w:eastAsia="es-MX"/>
        </w:rPr>
        <w:t xml:space="preserve"> </w:t>
      </w:r>
      <w:r w:rsidRPr="001D2B8D">
        <w:rPr>
          <w:noProof/>
          <w:sz w:val="20"/>
          <w:lang w:eastAsia="es-MX"/>
        </w:rPr>
        <w:drawing>
          <wp:inline distT="0" distB="0" distL="0" distR="0" wp14:anchorId="2A06B312" wp14:editId="4E633C05">
            <wp:extent cx="235210" cy="238125"/>
            <wp:effectExtent l="0" t="0" r="0" b="0"/>
            <wp:docPr id="6" name="Imagen 6" descr="C:\Users\saladeprensa\Desktop\NVOS LOGOS\F.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4241" cy="247268"/>
                    </a:xfrm>
                    <a:prstGeom prst="rect">
                      <a:avLst/>
                    </a:prstGeom>
                    <a:noFill/>
                    <a:ln>
                      <a:noFill/>
                    </a:ln>
                  </pic:spPr>
                </pic:pic>
              </a:graphicData>
            </a:graphic>
          </wp:inline>
        </w:drawing>
      </w:r>
      <w:r w:rsidRPr="001D2B8D">
        <w:rPr>
          <w:noProof/>
          <w:sz w:val="20"/>
          <w:lang w:eastAsia="es-MX"/>
        </w:rPr>
        <w:t xml:space="preserve"> </w:t>
      </w:r>
      <w:r w:rsidRPr="001D2B8D">
        <w:rPr>
          <w:noProof/>
          <w:sz w:val="20"/>
          <w:lang w:eastAsia="es-MX"/>
        </w:rPr>
        <w:drawing>
          <wp:inline distT="0" distB="0" distL="0" distR="0" wp14:anchorId="3B159761" wp14:editId="79E6A7D2">
            <wp:extent cx="238125" cy="236500"/>
            <wp:effectExtent l="0" t="0" r="0" b="0"/>
            <wp:docPr id="7" name="Imagen 7" descr="C:\Users\saladeprensa\Desktop\NVOS LOGOS\I.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5139" cy="322920"/>
                    </a:xfrm>
                    <a:prstGeom prst="rect">
                      <a:avLst/>
                    </a:prstGeom>
                    <a:noFill/>
                    <a:ln>
                      <a:noFill/>
                    </a:ln>
                  </pic:spPr>
                </pic:pic>
              </a:graphicData>
            </a:graphic>
          </wp:inline>
        </w:drawing>
      </w:r>
      <w:r w:rsidRPr="001D2B8D">
        <w:rPr>
          <w:noProof/>
          <w:sz w:val="20"/>
          <w:lang w:eastAsia="es-MX"/>
        </w:rPr>
        <w:t xml:space="preserve"> </w:t>
      </w:r>
      <w:r w:rsidRPr="001D2B8D">
        <w:rPr>
          <w:noProof/>
          <w:sz w:val="20"/>
          <w:lang w:eastAsia="es-MX"/>
        </w:rPr>
        <w:drawing>
          <wp:inline distT="0" distB="0" distL="0" distR="0" wp14:anchorId="011AE2D7" wp14:editId="5D9EE3C9">
            <wp:extent cx="232359" cy="234396"/>
            <wp:effectExtent l="0" t="0" r="0" b="0"/>
            <wp:docPr id="8" name="Imagen 8" descr="C:\Users\saladeprensa\Desktop\NVOS LOGOS\T.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2944" cy="255161"/>
                    </a:xfrm>
                    <a:prstGeom prst="rect">
                      <a:avLst/>
                    </a:prstGeom>
                    <a:noFill/>
                    <a:ln>
                      <a:noFill/>
                    </a:ln>
                  </pic:spPr>
                </pic:pic>
              </a:graphicData>
            </a:graphic>
          </wp:inline>
        </w:drawing>
      </w:r>
      <w:r w:rsidRPr="001D2B8D">
        <w:rPr>
          <w:noProof/>
          <w:sz w:val="20"/>
          <w:lang w:eastAsia="es-MX"/>
        </w:rPr>
        <w:t xml:space="preserve"> </w:t>
      </w:r>
      <w:r w:rsidRPr="001D2B8D">
        <w:rPr>
          <w:noProof/>
          <w:sz w:val="20"/>
          <w:lang w:eastAsia="es-MX"/>
        </w:rPr>
        <w:drawing>
          <wp:inline distT="0" distB="0" distL="0" distR="0" wp14:anchorId="798E3F56" wp14:editId="5D708488">
            <wp:extent cx="233126" cy="236971"/>
            <wp:effectExtent l="0" t="0" r="0" b="0"/>
            <wp:docPr id="9" name="Imagen 9" descr="C:\Users\saladeprensa\Desktop\NVOS LOGOS\Y.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2343" cy="286999"/>
                    </a:xfrm>
                    <a:prstGeom prst="rect">
                      <a:avLst/>
                    </a:prstGeom>
                    <a:noFill/>
                    <a:ln>
                      <a:noFill/>
                    </a:ln>
                  </pic:spPr>
                </pic:pic>
              </a:graphicData>
            </a:graphic>
          </wp:inline>
        </w:drawing>
      </w:r>
      <w:r w:rsidRPr="001D2B8D">
        <w:rPr>
          <w:noProof/>
          <w:sz w:val="20"/>
          <w:lang w:eastAsia="es-MX"/>
        </w:rPr>
        <w:t xml:space="preserve">  </w:t>
      </w:r>
      <w:r w:rsidRPr="001D2B8D">
        <w:rPr>
          <w:noProof/>
          <w:sz w:val="14"/>
          <w:szCs w:val="18"/>
          <w:lang w:eastAsia="es-MX"/>
        </w:rPr>
        <w:drawing>
          <wp:inline distT="0" distB="0" distL="0" distR="0" wp14:anchorId="3DD7BE49" wp14:editId="7CB9B947">
            <wp:extent cx="1964453" cy="270353"/>
            <wp:effectExtent l="0" t="0" r="0" b="0"/>
            <wp:docPr id="10" name="Imagen 10">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68800" cy="312238"/>
                    </a:xfrm>
                    <a:prstGeom prst="rect">
                      <a:avLst/>
                    </a:prstGeom>
                    <a:noFill/>
                    <a:ln>
                      <a:noFill/>
                    </a:ln>
                  </pic:spPr>
                </pic:pic>
              </a:graphicData>
            </a:graphic>
          </wp:inline>
        </w:drawing>
      </w:r>
    </w:p>
    <w:sectPr w:rsidR="0063783E" w:rsidRPr="00792300" w:rsidSect="005367BA">
      <w:headerReference w:type="default" r:id="rId26"/>
      <w:footerReference w:type="default" r:id="rId27"/>
      <w:pgSz w:w="12240" w:h="15840"/>
      <w:pgMar w:top="1418" w:right="1134" w:bottom="851" w:left="1134" w:header="567" w:footer="3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48B32" w14:textId="77777777" w:rsidR="00087A9F" w:rsidRDefault="00087A9F" w:rsidP="00DA3890">
      <w:pPr>
        <w:spacing w:after="0" w:line="240" w:lineRule="auto"/>
      </w:pPr>
      <w:r>
        <w:separator/>
      </w:r>
    </w:p>
  </w:endnote>
  <w:endnote w:type="continuationSeparator" w:id="0">
    <w:p w14:paraId="73303B62" w14:textId="77777777" w:rsidR="00087A9F" w:rsidRDefault="00087A9F" w:rsidP="00DA3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99E11" w14:textId="77777777" w:rsidR="00EE5A37" w:rsidRPr="004B64BD" w:rsidRDefault="00EE5A37" w:rsidP="00DA3890">
    <w:pPr>
      <w:pStyle w:val="Piedepgina"/>
      <w:jc w:val="center"/>
      <w:rPr>
        <w:rFonts w:ascii="Arial" w:hAnsi="Arial" w:cs="Arial"/>
        <w:b/>
        <w:color w:val="002060"/>
        <w:sz w:val="20"/>
        <w:szCs w:val="20"/>
      </w:rPr>
    </w:pPr>
    <w:r w:rsidRPr="00AD2A33">
      <w:rPr>
        <w:rFonts w:ascii="Arial" w:hAnsi="Arial" w:cs="Arial"/>
        <w:b/>
        <w:noProof/>
        <w:color w:val="002060"/>
        <w:sz w:val="20"/>
        <w:szCs w:val="20"/>
        <w:lang w:eastAsia="es-MX"/>
      </w:rPr>
      <w:t>COMUNICACIÓN SOCIAL</w:t>
    </w:r>
  </w:p>
  <w:p w14:paraId="4661D42F" w14:textId="77777777" w:rsidR="00EE5A37" w:rsidRDefault="00EE5A37" w:rsidP="00DA3890">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C70AB" w14:textId="77777777" w:rsidR="00087A9F" w:rsidRDefault="00087A9F" w:rsidP="00DA3890">
      <w:pPr>
        <w:spacing w:after="0" w:line="240" w:lineRule="auto"/>
      </w:pPr>
      <w:r>
        <w:separator/>
      </w:r>
    </w:p>
  </w:footnote>
  <w:footnote w:type="continuationSeparator" w:id="0">
    <w:p w14:paraId="29690B3F" w14:textId="77777777" w:rsidR="00087A9F" w:rsidRDefault="00087A9F" w:rsidP="00DA3890">
      <w:pPr>
        <w:spacing w:after="0" w:line="240" w:lineRule="auto"/>
      </w:pPr>
      <w:r>
        <w:continuationSeparator/>
      </w:r>
    </w:p>
  </w:footnote>
  <w:footnote w:id="1">
    <w:p w14:paraId="26E973D5" w14:textId="6FE903DD" w:rsidR="004E07CE" w:rsidRPr="005367BA" w:rsidRDefault="004E07CE">
      <w:pPr>
        <w:pStyle w:val="Textonotapie"/>
        <w:rPr>
          <w:sz w:val="14"/>
          <w:szCs w:val="14"/>
        </w:rPr>
      </w:pPr>
      <w:r w:rsidRPr="005367BA">
        <w:rPr>
          <w:rStyle w:val="Refdenotaalpie"/>
          <w:sz w:val="14"/>
          <w:szCs w:val="14"/>
        </w:rPr>
        <w:footnoteRef/>
      </w:r>
      <w:r w:rsidRPr="005367BA">
        <w:rPr>
          <w:sz w:val="14"/>
          <w:szCs w:val="14"/>
        </w:rPr>
        <w:t xml:space="preserve"> </w:t>
      </w:r>
      <w:r w:rsidRPr="005367BA">
        <w:rPr>
          <w:rFonts w:ascii="Arial" w:hAnsi="Arial" w:cs="Arial"/>
          <w:sz w:val="14"/>
          <w:szCs w:val="14"/>
        </w:rPr>
        <w:t>La información empleada proviene del Censo Nacional de Procuración de Justicia Estatal (CNPJE), el Censo Nacional de Procuración de Justicia Federal (CNPJF), el Censo Nacional de Impartición de Justicia Estatal (CNIJE), el Censo Nacional de Impartición de Justicia Federal (CNIJF), el Censo Nacional de Gobierno, Seguridad Pública y Sistema Penitenciario Estatales (CNGSPSPE) y en el Censo Nacional de Sistema Penitenciario Federal (CNSPF), en el periodo 2017 a 2019, así como de los Anuarios estadísticos y geográficos de los Estados Unidos Mexicanos y por entidad federativa 2020.</w:t>
      </w:r>
    </w:p>
  </w:footnote>
  <w:footnote w:id="2">
    <w:p w14:paraId="4ECA65CF" w14:textId="1C979889" w:rsidR="00792300" w:rsidRPr="005367BA" w:rsidRDefault="00792300" w:rsidP="0092401D">
      <w:pPr>
        <w:pStyle w:val="Textonotapie"/>
        <w:rPr>
          <w:rFonts w:ascii="Arial" w:hAnsi="Arial" w:cs="Arial"/>
          <w:sz w:val="14"/>
          <w:szCs w:val="14"/>
        </w:rPr>
      </w:pPr>
      <w:r w:rsidRPr="005367BA">
        <w:rPr>
          <w:rStyle w:val="Refdenotaalpie"/>
          <w:rFonts w:ascii="Arial" w:hAnsi="Arial" w:cs="Arial"/>
          <w:sz w:val="14"/>
          <w:szCs w:val="14"/>
        </w:rPr>
        <w:footnoteRef/>
      </w:r>
      <w:r w:rsidRPr="005367BA">
        <w:rPr>
          <w:rFonts w:ascii="Arial" w:hAnsi="Arial" w:cs="Arial"/>
          <w:sz w:val="14"/>
          <w:szCs w:val="14"/>
        </w:rPr>
        <w:t xml:space="preserve"> </w:t>
      </w:r>
      <w:r w:rsidRPr="005367BA">
        <w:rPr>
          <w:rFonts w:ascii="Arial" w:hAnsi="Arial" w:cs="Arial"/>
          <w:sz w:val="14"/>
          <w:szCs w:val="14"/>
          <w:lang w:val="es-ES"/>
        </w:rPr>
        <w:t xml:space="preserve">Los datos utilizados pueden ser consultados en los siguientes enlaces: </w:t>
      </w:r>
      <w:r w:rsidRPr="005367BA">
        <w:rPr>
          <w:rFonts w:ascii="Arial" w:hAnsi="Arial" w:cs="Arial"/>
          <w:sz w:val="14"/>
          <w:szCs w:val="14"/>
        </w:rPr>
        <w:t>Censo Nacional de Procuración de Justicia Estatal</w:t>
      </w:r>
      <w:r w:rsidRPr="005367BA">
        <w:rPr>
          <w:rFonts w:ascii="Arial" w:hAnsi="Arial" w:cs="Arial"/>
          <w:sz w:val="14"/>
          <w:szCs w:val="14"/>
          <w:lang w:val="es-ES"/>
        </w:rPr>
        <w:t>:</w:t>
      </w:r>
      <w:hyperlink r:id="rId1" w:history="1">
        <w:r w:rsidRPr="005367BA">
          <w:rPr>
            <w:rStyle w:val="Hipervnculo"/>
            <w:rFonts w:ascii="Arial" w:hAnsi="Arial" w:cs="Arial"/>
            <w:sz w:val="14"/>
            <w:szCs w:val="14"/>
            <w:lang w:val="es-ES"/>
          </w:rPr>
          <w:t>https://www.inegi.org.mx/programas/cnpje/2020/</w:t>
        </w:r>
      </w:hyperlink>
      <w:r w:rsidRPr="005367BA">
        <w:rPr>
          <w:rFonts w:ascii="Arial" w:hAnsi="Arial" w:cs="Arial"/>
          <w:sz w:val="14"/>
          <w:szCs w:val="14"/>
          <w:lang w:val="es-ES"/>
        </w:rPr>
        <w:t xml:space="preserve">; </w:t>
      </w:r>
      <w:r w:rsidRPr="005367BA">
        <w:rPr>
          <w:rFonts w:ascii="Arial" w:hAnsi="Arial" w:cs="Arial"/>
          <w:sz w:val="14"/>
          <w:szCs w:val="14"/>
        </w:rPr>
        <w:t>Censo Nacional de Procuración de Justicia Federal</w:t>
      </w:r>
      <w:r w:rsidRPr="005367BA">
        <w:rPr>
          <w:rFonts w:ascii="Arial" w:hAnsi="Arial" w:cs="Arial"/>
          <w:sz w:val="14"/>
          <w:szCs w:val="14"/>
          <w:lang w:val="es-ES"/>
        </w:rPr>
        <w:t xml:space="preserve">: </w:t>
      </w:r>
      <w:hyperlink r:id="rId2" w:history="1">
        <w:r w:rsidRPr="005367BA">
          <w:rPr>
            <w:rStyle w:val="Hipervnculo"/>
            <w:rFonts w:ascii="Arial" w:hAnsi="Arial" w:cs="Arial"/>
            <w:sz w:val="14"/>
            <w:szCs w:val="14"/>
            <w:lang w:val="es-ES"/>
          </w:rPr>
          <w:t>https://www.inegi.org.mx/programas/cnpj/2020/</w:t>
        </w:r>
      </w:hyperlink>
      <w:r w:rsidRPr="005367BA">
        <w:rPr>
          <w:rStyle w:val="Hipervnculo"/>
          <w:rFonts w:ascii="Arial" w:hAnsi="Arial" w:cs="Arial"/>
          <w:sz w:val="14"/>
          <w:szCs w:val="14"/>
          <w:lang w:val="es-ES"/>
        </w:rPr>
        <w:t xml:space="preserve">; </w:t>
      </w:r>
      <w:r w:rsidRPr="005367BA">
        <w:rPr>
          <w:rFonts w:ascii="Arial" w:hAnsi="Arial" w:cs="Arial"/>
          <w:sz w:val="14"/>
          <w:szCs w:val="14"/>
        </w:rPr>
        <w:t>Censo Nacional de Impartición de Justicia Estatal</w:t>
      </w:r>
      <w:r w:rsidRPr="005367BA">
        <w:rPr>
          <w:rFonts w:ascii="Arial" w:hAnsi="Arial" w:cs="Arial"/>
          <w:sz w:val="14"/>
          <w:szCs w:val="14"/>
          <w:lang w:val="es-ES"/>
        </w:rPr>
        <w:t xml:space="preserve">: </w:t>
      </w:r>
      <w:hyperlink r:id="rId3" w:history="1">
        <w:r w:rsidRPr="005367BA">
          <w:rPr>
            <w:rStyle w:val="Hipervnculo"/>
            <w:rFonts w:ascii="Arial" w:hAnsi="Arial" w:cs="Arial"/>
            <w:sz w:val="14"/>
            <w:szCs w:val="14"/>
            <w:lang w:val="es-ES"/>
          </w:rPr>
          <w:t>https://www.inegi.org.mx/programas/cnije/2020/</w:t>
        </w:r>
      </w:hyperlink>
      <w:r w:rsidRPr="005367BA">
        <w:rPr>
          <w:rFonts w:ascii="Arial" w:hAnsi="Arial" w:cs="Arial"/>
          <w:sz w:val="14"/>
          <w:szCs w:val="14"/>
          <w:lang w:val="es-ES"/>
        </w:rPr>
        <w:t xml:space="preserve">; </w:t>
      </w:r>
      <w:r w:rsidRPr="005367BA">
        <w:rPr>
          <w:rFonts w:ascii="Arial" w:hAnsi="Arial" w:cs="Arial"/>
          <w:sz w:val="14"/>
          <w:szCs w:val="14"/>
        </w:rPr>
        <w:t>Censo Nacional de Impartición de Justicia Federal</w:t>
      </w:r>
      <w:r w:rsidRPr="005367BA">
        <w:rPr>
          <w:rFonts w:ascii="Arial" w:hAnsi="Arial" w:cs="Arial"/>
          <w:sz w:val="14"/>
          <w:szCs w:val="14"/>
          <w:lang w:val="es-ES"/>
        </w:rPr>
        <w:t xml:space="preserve">: </w:t>
      </w:r>
      <w:hyperlink r:id="rId4" w:history="1">
        <w:r w:rsidRPr="005367BA">
          <w:rPr>
            <w:rStyle w:val="Hipervnculo"/>
            <w:rFonts w:ascii="Arial" w:hAnsi="Arial" w:cs="Arial"/>
            <w:sz w:val="14"/>
            <w:szCs w:val="14"/>
            <w:lang w:val="es-ES"/>
          </w:rPr>
          <w:t>https://www.inegi.org.mx/programas/cnijf/2020/</w:t>
        </w:r>
      </w:hyperlink>
      <w:r w:rsidRPr="005367BA">
        <w:rPr>
          <w:rFonts w:ascii="Arial" w:hAnsi="Arial" w:cs="Arial"/>
          <w:sz w:val="14"/>
          <w:szCs w:val="14"/>
          <w:lang w:val="es-ES"/>
        </w:rPr>
        <w:t>; Censo Nacional de Gobierno, Seguridad Pública y Sistema Penitenciario Estatales:</w:t>
      </w:r>
      <w:r w:rsidR="00FC5DA6" w:rsidRPr="005367BA">
        <w:rPr>
          <w:rFonts w:ascii="Arial" w:hAnsi="Arial" w:cs="Arial"/>
          <w:sz w:val="14"/>
          <w:szCs w:val="14"/>
          <w:lang w:val="es-ES"/>
        </w:rPr>
        <w:t xml:space="preserve"> </w:t>
      </w:r>
      <w:hyperlink r:id="rId5" w:history="1">
        <w:r w:rsidR="00FC5DA6" w:rsidRPr="005367BA">
          <w:rPr>
            <w:rStyle w:val="Hipervnculo"/>
            <w:rFonts w:ascii="Arial" w:hAnsi="Arial" w:cs="Arial"/>
            <w:sz w:val="14"/>
            <w:szCs w:val="14"/>
            <w:lang w:val="es-ES"/>
          </w:rPr>
          <w:t>https://www.inegi.org.mx/programas/cngspspe/2020/</w:t>
        </w:r>
      </w:hyperlink>
      <w:r w:rsidRPr="005367BA">
        <w:rPr>
          <w:rFonts w:ascii="Arial" w:hAnsi="Arial" w:cs="Arial"/>
          <w:sz w:val="14"/>
          <w:szCs w:val="14"/>
          <w:lang w:val="es-ES"/>
        </w:rPr>
        <w:t xml:space="preserve">; Censo Nacional de Sistema Penitenciario Federal: </w:t>
      </w:r>
      <w:hyperlink r:id="rId6" w:history="1">
        <w:r w:rsidRPr="005367BA">
          <w:rPr>
            <w:rStyle w:val="Hipervnculo"/>
            <w:rFonts w:ascii="Arial" w:hAnsi="Arial" w:cs="Arial"/>
            <w:sz w:val="14"/>
            <w:szCs w:val="14"/>
            <w:lang w:val="es-ES"/>
          </w:rPr>
          <w:t>https://www.inegi.org.mx/programas/cnspef/2020/</w:t>
        </w:r>
      </w:hyperlink>
      <w:r w:rsidRPr="005367BA">
        <w:rPr>
          <w:rFonts w:ascii="Arial" w:hAnsi="Arial" w:cs="Arial"/>
          <w:sz w:val="14"/>
          <w:szCs w:val="14"/>
          <w:lang w:val="es-ES"/>
        </w:rPr>
        <w:t>; Anuario estadístico y geográfico de los Estados Unidos Mexicanos 2020.</w:t>
      </w:r>
      <w:hyperlink r:id="rId7" w:history="1">
        <w:r w:rsidRPr="005367BA">
          <w:rPr>
            <w:rStyle w:val="Hipervnculo"/>
            <w:rFonts w:ascii="Arial" w:hAnsi="Arial" w:cs="Arial"/>
            <w:sz w:val="14"/>
            <w:szCs w:val="14"/>
            <w:lang w:val="es-ES"/>
          </w:rPr>
          <w:t>https://www.inegi.org.mx/app/biblioteca/ficha.html?upc=702825197506</w:t>
        </w:r>
      </w:hyperlink>
      <w:r w:rsidRPr="005367BA">
        <w:rPr>
          <w:rStyle w:val="Hipervnculo"/>
          <w:rFonts w:ascii="Arial" w:hAnsi="Arial" w:cs="Arial"/>
          <w:color w:val="auto"/>
          <w:sz w:val="14"/>
          <w:szCs w:val="14"/>
          <w:u w:val="none"/>
          <w:lang w:val="es-ES"/>
        </w:rPr>
        <w:t xml:space="preserve">; </w:t>
      </w:r>
      <w:r w:rsidRPr="005367BA">
        <w:rPr>
          <w:rFonts w:ascii="Arial" w:hAnsi="Arial" w:cs="Arial"/>
          <w:sz w:val="14"/>
          <w:szCs w:val="14"/>
          <w:lang w:val="es-ES"/>
        </w:rPr>
        <w:t xml:space="preserve">Anuario estadístico y geográfico por entidad federativa 2020. </w:t>
      </w:r>
      <w:hyperlink r:id="rId8" w:history="1">
        <w:r w:rsidRPr="005367BA">
          <w:rPr>
            <w:rStyle w:val="Hipervnculo"/>
            <w:rFonts w:ascii="Arial" w:hAnsi="Arial" w:cs="Arial"/>
            <w:sz w:val="14"/>
            <w:szCs w:val="14"/>
            <w:lang w:val="es-ES"/>
          </w:rPr>
          <w:t>https://www.inegi.org.mx/app/biblioteca/ficha.html?upc=702825197513</w:t>
        </w:r>
      </w:hyperlink>
    </w:p>
  </w:footnote>
  <w:footnote w:id="3">
    <w:p w14:paraId="3790EB83" w14:textId="77777777" w:rsidR="007868C5" w:rsidRPr="00CC0895" w:rsidRDefault="007868C5" w:rsidP="007868C5">
      <w:pPr>
        <w:pStyle w:val="Textonotapie"/>
        <w:rPr>
          <w:rFonts w:ascii="Arial" w:hAnsi="Arial" w:cs="Arial"/>
          <w:sz w:val="12"/>
          <w:szCs w:val="12"/>
        </w:rPr>
      </w:pPr>
      <w:r w:rsidRPr="005367BA">
        <w:rPr>
          <w:rStyle w:val="Refdenotaalpie"/>
          <w:rFonts w:ascii="Arial" w:hAnsi="Arial" w:cs="Arial"/>
          <w:sz w:val="14"/>
          <w:szCs w:val="14"/>
        </w:rPr>
        <w:footnoteRef/>
      </w:r>
      <w:r w:rsidRPr="005367BA">
        <w:rPr>
          <w:rFonts w:ascii="Arial" w:hAnsi="Arial" w:cs="Arial"/>
          <w:sz w:val="14"/>
          <w:szCs w:val="14"/>
        </w:rPr>
        <w:t xml:space="preserve"> Se refiere como delitos de narcomenudeo a los delitos contra la salud de poseer, comercializar o suministrar en cantidades inferiores a las que resulte de multiplicar por mil la dosis máxima para consumo personal de los narcóticos señalados en la Ley General de Salud. Por su parte, se refiere como delitos federales contra la salud relacionados con narcóticos a los que, conforme a la Norma, consisten en producir, transportar, traficar, comercializar, suministrar o poseer algún narcótico sin la autorización correspondiente de la señalada Ley.</w:t>
      </w:r>
    </w:p>
  </w:footnote>
  <w:footnote w:id="4">
    <w:p w14:paraId="7999ABBE" w14:textId="77777777" w:rsidR="007868C5" w:rsidRPr="005367BA" w:rsidRDefault="007868C5" w:rsidP="007868C5">
      <w:pPr>
        <w:pStyle w:val="Textonotapie"/>
        <w:rPr>
          <w:rFonts w:ascii="Arial" w:hAnsi="Arial" w:cs="Arial"/>
          <w:sz w:val="14"/>
          <w:szCs w:val="14"/>
        </w:rPr>
      </w:pPr>
      <w:r w:rsidRPr="005367BA">
        <w:rPr>
          <w:rStyle w:val="Refdenotaalpie"/>
          <w:rFonts w:ascii="Arial" w:hAnsi="Arial" w:cs="Arial"/>
          <w:sz w:val="14"/>
          <w:szCs w:val="14"/>
        </w:rPr>
        <w:footnoteRef/>
      </w:r>
      <w:r w:rsidRPr="005367BA">
        <w:rPr>
          <w:rFonts w:ascii="Arial" w:hAnsi="Arial" w:cs="Arial"/>
          <w:sz w:val="14"/>
          <w:szCs w:val="14"/>
          <w:lang w:val="en-US"/>
        </w:rPr>
        <w:t xml:space="preserve"> UNODC.(2020). World Drug Report 2020. Booklet 6. </w:t>
      </w:r>
      <w:proofErr w:type="spellStart"/>
      <w:r w:rsidRPr="005367BA">
        <w:rPr>
          <w:rFonts w:ascii="Arial" w:hAnsi="Arial" w:cs="Arial"/>
          <w:sz w:val="14"/>
          <w:szCs w:val="14"/>
        </w:rPr>
        <w:t>Other</w:t>
      </w:r>
      <w:proofErr w:type="spellEnd"/>
      <w:r w:rsidRPr="005367BA">
        <w:rPr>
          <w:rFonts w:ascii="Arial" w:hAnsi="Arial" w:cs="Arial"/>
          <w:sz w:val="14"/>
          <w:szCs w:val="14"/>
        </w:rPr>
        <w:t xml:space="preserve"> </w:t>
      </w:r>
      <w:proofErr w:type="spellStart"/>
      <w:r w:rsidRPr="005367BA">
        <w:rPr>
          <w:rFonts w:ascii="Arial" w:hAnsi="Arial" w:cs="Arial"/>
          <w:sz w:val="14"/>
          <w:szCs w:val="14"/>
        </w:rPr>
        <w:t>drug</w:t>
      </w:r>
      <w:proofErr w:type="spellEnd"/>
      <w:r w:rsidRPr="005367BA">
        <w:rPr>
          <w:rFonts w:ascii="Arial" w:hAnsi="Arial" w:cs="Arial"/>
          <w:sz w:val="14"/>
          <w:szCs w:val="14"/>
        </w:rPr>
        <w:t xml:space="preserve"> </w:t>
      </w:r>
      <w:proofErr w:type="spellStart"/>
      <w:r w:rsidRPr="005367BA">
        <w:rPr>
          <w:rFonts w:ascii="Arial" w:hAnsi="Arial" w:cs="Arial"/>
          <w:sz w:val="14"/>
          <w:szCs w:val="14"/>
        </w:rPr>
        <w:t>policy</w:t>
      </w:r>
      <w:proofErr w:type="spellEnd"/>
      <w:r w:rsidRPr="005367BA">
        <w:rPr>
          <w:rFonts w:ascii="Arial" w:hAnsi="Arial" w:cs="Arial"/>
          <w:sz w:val="14"/>
          <w:szCs w:val="14"/>
        </w:rPr>
        <w:t xml:space="preserve"> </w:t>
      </w:r>
      <w:proofErr w:type="spellStart"/>
      <w:r w:rsidRPr="005367BA">
        <w:rPr>
          <w:rFonts w:ascii="Arial" w:hAnsi="Arial" w:cs="Arial"/>
          <w:sz w:val="14"/>
          <w:szCs w:val="14"/>
        </w:rPr>
        <w:t>issues</w:t>
      </w:r>
      <w:proofErr w:type="spellEnd"/>
      <w:r w:rsidRPr="005367BA">
        <w:rPr>
          <w:rFonts w:ascii="Arial" w:hAnsi="Arial" w:cs="Arial"/>
          <w:sz w:val="14"/>
          <w:szCs w:val="14"/>
        </w:rPr>
        <w:t xml:space="preserve"> </w:t>
      </w:r>
      <w:hyperlink r:id="rId9" w:history="1">
        <w:r w:rsidRPr="005367BA">
          <w:rPr>
            <w:rStyle w:val="Hipervnculo"/>
            <w:rFonts w:ascii="Arial" w:hAnsi="Arial" w:cs="Arial"/>
            <w:sz w:val="14"/>
            <w:szCs w:val="14"/>
          </w:rPr>
          <w:t>https://wdr.unodc.org/uploads/wdr2020/documents/WDR20_BOOKLET_6.pdf</w:t>
        </w:r>
      </w:hyperlink>
      <w:r w:rsidRPr="005367BA">
        <w:rPr>
          <w:rFonts w:ascii="Arial" w:hAnsi="Arial" w:cs="Arial"/>
          <w:sz w:val="14"/>
          <w:szCs w:val="14"/>
        </w:rPr>
        <w:t xml:space="preserve"> (Fecha de consulta 19 de mayo de 2021).</w:t>
      </w:r>
    </w:p>
  </w:footnote>
  <w:footnote w:id="5">
    <w:p w14:paraId="3B3ECCE7" w14:textId="77777777" w:rsidR="00792300" w:rsidRPr="004E07CE" w:rsidRDefault="00792300" w:rsidP="0092401D">
      <w:pPr>
        <w:pStyle w:val="Textonotapie"/>
        <w:rPr>
          <w:rFonts w:ascii="Arial" w:hAnsi="Arial" w:cs="Arial"/>
          <w:sz w:val="12"/>
          <w:szCs w:val="12"/>
        </w:rPr>
      </w:pPr>
      <w:r w:rsidRPr="004E07CE">
        <w:rPr>
          <w:rStyle w:val="Refdenotaalpie"/>
          <w:rFonts w:ascii="Arial" w:hAnsi="Arial" w:cs="Arial"/>
          <w:sz w:val="12"/>
          <w:szCs w:val="12"/>
        </w:rPr>
        <w:footnoteRef/>
      </w:r>
      <w:r w:rsidRPr="004E07CE">
        <w:rPr>
          <w:rFonts w:ascii="Arial" w:hAnsi="Arial" w:cs="Arial"/>
          <w:sz w:val="12"/>
          <w:szCs w:val="12"/>
        </w:rPr>
        <w:t xml:space="preserve"> Corina </w:t>
      </w:r>
      <w:proofErr w:type="spellStart"/>
      <w:r w:rsidRPr="004E07CE">
        <w:rPr>
          <w:rFonts w:ascii="Arial" w:hAnsi="Arial" w:cs="Arial"/>
          <w:sz w:val="12"/>
          <w:szCs w:val="12"/>
        </w:rPr>
        <w:t>Giacomello</w:t>
      </w:r>
      <w:proofErr w:type="spellEnd"/>
      <w:r w:rsidRPr="004E07CE">
        <w:rPr>
          <w:rFonts w:ascii="Arial" w:hAnsi="Arial" w:cs="Arial"/>
          <w:sz w:val="12"/>
          <w:szCs w:val="12"/>
        </w:rPr>
        <w:t xml:space="preserve"> (2013). Mujeres, delitos de drogas y sistemas penitenciarios en América Latina. Documento informativo del IDPC. </w:t>
      </w:r>
      <w:hyperlink r:id="rId10" w:history="1">
        <w:r w:rsidRPr="00CC0895">
          <w:rPr>
            <w:rStyle w:val="Hipervnculo"/>
            <w:rFonts w:ascii="Arial" w:hAnsi="Arial" w:cs="Arial"/>
            <w:sz w:val="12"/>
            <w:szCs w:val="12"/>
          </w:rPr>
          <w:t>https://www.unodc.org/documents/congress/background-information/NGO/IDPC/IDPC-Briefing-Paper_Women-in-Latin-America_SPANISH.pdf</w:t>
        </w:r>
      </w:hyperlink>
      <w:r w:rsidRPr="004E07CE">
        <w:rPr>
          <w:rFonts w:ascii="Arial" w:hAnsi="Arial" w:cs="Arial"/>
          <w:sz w:val="12"/>
          <w:szCs w:val="12"/>
        </w:rPr>
        <w:t xml:space="preserve"> (Fecha de consulta 14 de abril de 2021).</w:t>
      </w:r>
    </w:p>
  </w:footnote>
  <w:footnote w:id="6">
    <w:p w14:paraId="73479FF8" w14:textId="0841D888" w:rsidR="00792300" w:rsidRPr="004E07CE" w:rsidRDefault="00792300" w:rsidP="0092401D">
      <w:pPr>
        <w:pStyle w:val="Textonotapie"/>
        <w:rPr>
          <w:rFonts w:ascii="Arial" w:hAnsi="Arial" w:cs="Arial"/>
          <w:sz w:val="12"/>
          <w:szCs w:val="12"/>
        </w:rPr>
      </w:pPr>
      <w:r w:rsidRPr="004E07CE">
        <w:rPr>
          <w:rStyle w:val="Refdenotaalpie"/>
          <w:rFonts w:ascii="Arial" w:hAnsi="Arial" w:cs="Arial"/>
          <w:sz w:val="12"/>
          <w:szCs w:val="12"/>
        </w:rPr>
        <w:footnoteRef/>
      </w:r>
      <w:r w:rsidRPr="004E07CE">
        <w:rPr>
          <w:rFonts w:ascii="Arial" w:hAnsi="Arial" w:cs="Arial"/>
          <w:sz w:val="12"/>
          <w:szCs w:val="12"/>
        </w:rPr>
        <w:t xml:space="preserve"> Rodrigo Uprimny et. </w:t>
      </w:r>
      <w:proofErr w:type="spellStart"/>
      <w:r w:rsidRPr="004E07CE">
        <w:rPr>
          <w:rFonts w:ascii="Arial" w:hAnsi="Arial" w:cs="Arial"/>
          <w:sz w:val="12"/>
          <w:szCs w:val="12"/>
        </w:rPr>
        <w:t>al</w:t>
      </w:r>
      <w:proofErr w:type="spellEnd"/>
      <w:r w:rsidRPr="004E07CE">
        <w:rPr>
          <w:rFonts w:ascii="Arial" w:hAnsi="Arial" w:cs="Arial"/>
          <w:sz w:val="12"/>
          <w:szCs w:val="12"/>
        </w:rPr>
        <w:t xml:space="preserve">., (2016). Mujeres, política de drogas y encarcelamiento. Una guía para la reforma política de Colombia. Bogotá: WOLA – Washington Office </w:t>
      </w:r>
      <w:proofErr w:type="spellStart"/>
      <w:r w:rsidRPr="004E07CE">
        <w:rPr>
          <w:rFonts w:ascii="Arial" w:hAnsi="Arial" w:cs="Arial"/>
          <w:sz w:val="12"/>
          <w:szCs w:val="12"/>
        </w:rPr>
        <w:t>for</w:t>
      </w:r>
      <w:proofErr w:type="spellEnd"/>
      <w:r w:rsidRPr="004E07CE">
        <w:rPr>
          <w:rFonts w:ascii="Arial" w:hAnsi="Arial" w:cs="Arial"/>
          <w:sz w:val="12"/>
          <w:szCs w:val="12"/>
        </w:rPr>
        <w:t xml:space="preserve"> </w:t>
      </w:r>
      <w:proofErr w:type="spellStart"/>
      <w:r w:rsidRPr="004E07CE">
        <w:rPr>
          <w:rFonts w:ascii="Arial" w:hAnsi="Arial" w:cs="Arial"/>
          <w:sz w:val="12"/>
          <w:szCs w:val="12"/>
        </w:rPr>
        <w:t>Latin</w:t>
      </w:r>
      <w:proofErr w:type="spellEnd"/>
      <w:r w:rsidRPr="004E07CE">
        <w:rPr>
          <w:rFonts w:ascii="Arial" w:hAnsi="Arial" w:cs="Arial"/>
          <w:sz w:val="12"/>
          <w:szCs w:val="12"/>
        </w:rPr>
        <w:t xml:space="preserve"> </w:t>
      </w:r>
      <w:proofErr w:type="spellStart"/>
      <w:r w:rsidRPr="004E07CE">
        <w:rPr>
          <w:rFonts w:ascii="Arial" w:hAnsi="Arial" w:cs="Arial"/>
          <w:sz w:val="12"/>
          <w:szCs w:val="12"/>
        </w:rPr>
        <w:t>America</w:t>
      </w:r>
      <w:proofErr w:type="spellEnd"/>
      <w:r w:rsidRPr="004E07CE">
        <w:rPr>
          <w:rFonts w:ascii="Arial" w:hAnsi="Arial" w:cs="Arial"/>
          <w:sz w:val="12"/>
          <w:szCs w:val="12"/>
        </w:rPr>
        <w:t xml:space="preserve"> y Open </w:t>
      </w:r>
      <w:proofErr w:type="spellStart"/>
      <w:r w:rsidRPr="004E07CE">
        <w:rPr>
          <w:rFonts w:ascii="Arial" w:hAnsi="Arial" w:cs="Arial"/>
          <w:sz w:val="12"/>
          <w:szCs w:val="12"/>
        </w:rPr>
        <w:t>Society</w:t>
      </w:r>
      <w:proofErr w:type="spellEnd"/>
      <w:r w:rsidRPr="004E07CE">
        <w:rPr>
          <w:rFonts w:ascii="Arial" w:hAnsi="Arial" w:cs="Arial"/>
          <w:sz w:val="12"/>
          <w:szCs w:val="12"/>
        </w:rPr>
        <w:t xml:space="preserve"> </w:t>
      </w:r>
      <w:proofErr w:type="spellStart"/>
      <w:r w:rsidRPr="004E07CE">
        <w:rPr>
          <w:rFonts w:ascii="Arial" w:hAnsi="Arial" w:cs="Arial"/>
          <w:sz w:val="12"/>
          <w:szCs w:val="12"/>
        </w:rPr>
        <w:t>Foundations</w:t>
      </w:r>
      <w:proofErr w:type="spellEnd"/>
      <w:r w:rsidRPr="004E07CE">
        <w:rPr>
          <w:rFonts w:ascii="Arial" w:hAnsi="Arial" w:cs="Arial"/>
          <w:sz w:val="12"/>
          <w:szCs w:val="12"/>
        </w:rPr>
        <w:t xml:space="preserve">. </w:t>
      </w:r>
      <w:hyperlink r:id="rId11" w:history="1">
        <w:r w:rsidRPr="00CC0895">
          <w:rPr>
            <w:rStyle w:val="Hipervnculo"/>
            <w:rFonts w:ascii="Arial" w:hAnsi="Arial" w:cs="Arial"/>
            <w:sz w:val="12"/>
            <w:szCs w:val="12"/>
          </w:rPr>
          <w:t>https://www.dejusticia.org/wp-content/uploads/2017/04/fi_name_recurso_834.pdf</w:t>
        </w:r>
      </w:hyperlink>
      <w:r w:rsidRPr="004E07CE">
        <w:rPr>
          <w:rFonts w:ascii="Arial" w:hAnsi="Arial" w:cs="Arial"/>
          <w:sz w:val="12"/>
          <w:szCs w:val="12"/>
        </w:rPr>
        <w:t>. (Fecha de consulta 14 de abril de 2021).</w:t>
      </w:r>
    </w:p>
  </w:footnote>
  <w:footnote w:id="7">
    <w:p w14:paraId="7C32CE27" w14:textId="77777777" w:rsidR="009D2E9B" w:rsidRPr="00487796" w:rsidRDefault="009D2E9B" w:rsidP="00487796">
      <w:pPr>
        <w:pStyle w:val="Textonotapie"/>
        <w:ind w:right="-234"/>
        <w:rPr>
          <w:rFonts w:ascii="Arial" w:hAnsi="Arial" w:cs="Arial"/>
          <w:sz w:val="14"/>
          <w:szCs w:val="14"/>
        </w:rPr>
      </w:pPr>
      <w:r w:rsidRPr="00487796">
        <w:rPr>
          <w:rStyle w:val="Refdenotaalpie"/>
          <w:rFonts w:ascii="Arial" w:hAnsi="Arial" w:cs="Arial"/>
          <w:sz w:val="14"/>
          <w:szCs w:val="14"/>
        </w:rPr>
        <w:footnoteRef/>
      </w:r>
      <w:r w:rsidRPr="00487796">
        <w:rPr>
          <w:rFonts w:ascii="Arial" w:hAnsi="Arial" w:cs="Arial"/>
          <w:sz w:val="14"/>
          <w:szCs w:val="14"/>
        </w:rPr>
        <w:t xml:space="preserve"> La tendencia se observa para los opioides, cocaína, metanfetamina y algunos precursores. En cuanto a cannabis el aumento se observa si se considera el aumento relativo de resina y hierba. UNODC.(2020). </w:t>
      </w:r>
      <w:proofErr w:type="spellStart"/>
      <w:r w:rsidRPr="00487796">
        <w:rPr>
          <w:rFonts w:ascii="Arial" w:hAnsi="Arial" w:cs="Arial"/>
          <w:sz w:val="14"/>
          <w:szCs w:val="14"/>
        </w:rPr>
        <w:t>World</w:t>
      </w:r>
      <w:proofErr w:type="spellEnd"/>
      <w:r w:rsidRPr="00487796">
        <w:rPr>
          <w:rFonts w:ascii="Arial" w:hAnsi="Arial" w:cs="Arial"/>
          <w:sz w:val="14"/>
          <w:szCs w:val="14"/>
        </w:rPr>
        <w:t xml:space="preserve"> </w:t>
      </w:r>
      <w:proofErr w:type="spellStart"/>
      <w:r w:rsidRPr="00487796">
        <w:rPr>
          <w:rFonts w:ascii="Arial" w:hAnsi="Arial" w:cs="Arial"/>
          <w:sz w:val="14"/>
          <w:szCs w:val="14"/>
        </w:rPr>
        <w:t>Drug</w:t>
      </w:r>
      <w:proofErr w:type="spellEnd"/>
      <w:r w:rsidRPr="00487796">
        <w:rPr>
          <w:rFonts w:ascii="Arial" w:hAnsi="Arial" w:cs="Arial"/>
          <w:sz w:val="14"/>
          <w:szCs w:val="14"/>
        </w:rPr>
        <w:t xml:space="preserve"> </w:t>
      </w:r>
      <w:proofErr w:type="spellStart"/>
      <w:r w:rsidRPr="00487796">
        <w:rPr>
          <w:rFonts w:ascii="Arial" w:hAnsi="Arial" w:cs="Arial"/>
          <w:sz w:val="14"/>
          <w:szCs w:val="14"/>
        </w:rPr>
        <w:t>Report</w:t>
      </w:r>
      <w:proofErr w:type="spellEnd"/>
      <w:r w:rsidRPr="00487796">
        <w:rPr>
          <w:rFonts w:ascii="Arial" w:hAnsi="Arial" w:cs="Arial"/>
          <w:sz w:val="14"/>
          <w:szCs w:val="14"/>
        </w:rPr>
        <w:t xml:space="preserve"> 2020. </w:t>
      </w:r>
      <w:proofErr w:type="spellStart"/>
      <w:r w:rsidRPr="00487796">
        <w:rPr>
          <w:rFonts w:ascii="Arial" w:hAnsi="Arial" w:cs="Arial"/>
          <w:sz w:val="14"/>
          <w:szCs w:val="14"/>
        </w:rPr>
        <w:t>Booklet</w:t>
      </w:r>
      <w:proofErr w:type="spellEnd"/>
      <w:r w:rsidRPr="00487796">
        <w:rPr>
          <w:rFonts w:ascii="Arial" w:hAnsi="Arial" w:cs="Arial"/>
          <w:sz w:val="14"/>
          <w:szCs w:val="14"/>
        </w:rPr>
        <w:t xml:space="preserve"> 3. </w:t>
      </w:r>
      <w:proofErr w:type="spellStart"/>
      <w:r w:rsidRPr="00487796">
        <w:rPr>
          <w:rFonts w:ascii="Arial" w:hAnsi="Arial" w:cs="Arial"/>
          <w:sz w:val="14"/>
          <w:szCs w:val="14"/>
        </w:rPr>
        <w:t>Drug</w:t>
      </w:r>
      <w:proofErr w:type="spellEnd"/>
      <w:r w:rsidRPr="00487796">
        <w:rPr>
          <w:rFonts w:ascii="Arial" w:hAnsi="Arial" w:cs="Arial"/>
          <w:sz w:val="14"/>
          <w:szCs w:val="14"/>
        </w:rPr>
        <w:t xml:space="preserve"> </w:t>
      </w:r>
      <w:proofErr w:type="spellStart"/>
      <w:r w:rsidRPr="00487796">
        <w:rPr>
          <w:rFonts w:ascii="Arial" w:hAnsi="Arial" w:cs="Arial"/>
          <w:sz w:val="14"/>
          <w:szCs w:val="14"/>
        </w:rPr>
        <w:t>Supply</w:t>
      </w:r>
      <w:proofErr w:type="spellEnd"/>
      <w:r w:rsidRPr="00487796">
        <w:rPr>
          <w:rFonts w:ascii="Arial" w:hAnsi="Arial" w:cs="Arial"/>
          <w:sz w:val="14"/>
          <w:szCs w:val="14"/>
        </w:rPr>
        <w:t xml:space="preserve"> Disponible en: https://wdr.unodc.org/uploads/wdr2020/documents/WDR20_Booklet_3.pdf (Fecha de consulta 19 de mayo de 2021).</w:t>
      </w:r>
    </w:p>
  </w:footnote>
  <w:footnote w:id="8">
    <w:p w14:paraId="4D2E24B6" w14:textId="77777777" w:rsidR="00BF359C" w:rsidRPr="00487796" w:rsidRDefault="00BF359C" w:rsidP="00487796">
      <w:pPr>
        <w:pStyle w:val="Textonotapie"/>
        <w:ind w:right="-234"/>
        <w:rPr>
          <w:rFonts w:ascii="Arial" w:hAnsi="Arial" w:cs="Arial"/>
          <w:sz w:val="14"/>
          <w:szCs w:val="14"/>
        </w:rPr>
      </w:pPr>
      <w:r w:rsidRPr="00487796">
        <w:rPr>
          <w:rStyle w:val="Refdenotaalpie"/>
          <w:rFonts w:ascii="Arial" w:hAnsi="Arial" w:cs="Arial"/>
          <w:sz w:val="14"/>
          <w:szCs w:val="14"/>
        </w:rPr>
        <w:footnoteRef/>
      </w:r>
      <w:r w:rsidRPr="00487796">
        <w:rPr>
          <w:rFonts w:ascii="Arial" w:hAnsi="Arial" w:cs="Arial"/>
          <w:sz w:val="14"/>
          <w:szCs w:val="14"/>
        </w:rPr>
        <w:t xml:space="preserve"> UNODC. El fentanilo y sus análogos 50 años después. 2017. Global Smart </w:t>
      </w:r>
      <w:proofErr w:type="spellStart"/>
      <w:r w:rsidRPr="00487796">
        <w:rPr>
          <w:rFonts w:ascii="Arial" w:hAnsi="Arial" w:cs="Arial"/>
          <w:sz w:val="14"/>
          <w:szCs w:val="14"/>
        </w:rPr>
        <w:t>Update</w:t>
      </w:r>
      <w:proofErr w:type="spellEnd"/>
      <w:r w:rsidRPr="00487796">
        <w:rPr>
          <w:rFonts w:ascii="Arial" w:hAnsi="Arial" w:cs="Arial"/>
          <w:sz w:val="14"/>
          <w:szCs w:val="14"/>
        </w:rPr>
        <w:t xml:space="preserve"> volumen 17. </w:t>
      </w:r>
      <w:hyperlink r:id="rId12" w:history="1">
        <w:r w:rsidRPr="00487796">
          <w:rPr>
            <w:rStyle w:val="Hipervnculo"/>
            <w:rFonts w:ascii="Arial" w:hAnsi="Arial" w:cs="Arial"/>
            <w:sz w:val="14"/>
            <w:szCs w:val="14"/>
          </w:rPr>
          <w:t>https://www.unodc.org/documents/scientific/Global_SMART_Update_17_spanish_for_web.pdf</w:t>
        </w:r>
      </w:hyperlink>
      <w:r w:rsidRPr="00487796">
        <w:rPr>
          <w:rFonts w:ascii="Arial" w:hAnsi="Arial" w:cs="Arial"/>
          <w:sz w:val="14"/>
          <w:szCs w:val="14"/>
        </w:rPr>
        <w:t xml:space="preserve"> (Fecha de consulta 07 de mayo de 2021).</w:t>
      </w:r>
    </w:p>
  </w:footnote>
  <w:footnote w:id="9">
    <w:p w14:paraId="727DB790" w14:textId="77777777" w:rsidR="00BF359C" w:rsidRPr="00487796" w:rsidRDefault="00BF359C" w:rsidP="00487796">
      <w:pPr>
        <w:pStyle w:val="Textonotapie"/>
        <w:ind w:right="-234"/>
        <w:rPr>
          <w:rFonts w:ascii="Arial" w:hAnsi="Arial" w:cs="Arial"/>
          <w:sz w:val="14"/>
          <w:szCs w:val="14"/>
        </w:rPr>
      </w:pPr>
      <w:r w:rsidRPr="00487796">
        <w:rPr>
          <w:rStyle w:val="Refdenotaalpie"/>
          <w:rFonts w:ascii="Arial" w:hAnsi="Arial" w:cs="Arial"/>
          <w:sz w:val="14"/>
          <w:szCs w:val="14"/>
        </w:rPr>
        <w:footnoteRef/>
      </w:r>
      <w:r w:rsidRPr="00487796">
        <w:rPr>
          <w:rFonts w:ascii="Arial" w:hAnsi="Arial" w:cs="Arial"/>
          <w:sz w:val="14"/>
          <w:szCs w:val="14"/>
        </w:rPr>
        <w:t xml:space="preserve"> UNODC. </w:t>
      </w:r>
      <w:proofErr w:type="spellStart"/>
      <w:r w:rsidRPr="00487796">
        <w:rPr>
          <w:rFonts w:ascii="Arial" w:hAnsi="Arial" w:cs="Arial"/>
          <w:sz w:val="14"/>
          <w:szCs w:val="14"/>
        </w:rPr>
        <w:t>Research</w:t>
      </w:r>
      <w:proofErr w:type="spellEnd"/>
      <w:r w:rsidRPr="00487796">
        <w:rPr>
          <w:rFonts w:ascii="Arial" w:hAnsi="Arial" w:cs="Arial"/>
          <w:sz w:val="14"/>
          <w:szCs w:val="14"/>
        </w:rPr>
        <w:t xml:space="preserve">. 2019. Claves para entender la crisis mundial de los opioides. Global Smart </w:t>
      </w:r>
      <w:proofErr w:type="spellStart"/>
      <w:r w:rsidRPr="00487796">
        <w:rPr>
          <w:rFonts w:ascii="Arial" w:hAnsi="Arial" w:cs="Arial"/>
          <w:sz w:val="14"/>
          <w:szCs w:val="14"/>
        </w:rPr>
        <w:t>Update</w:t>
      </w:r>
      <w:proofErr w:type="spellEnd"/>
      <w:r w:rsidRPr="00487796">
        <w:rPr>
          <w:rFonts w:ascii="Arial" w:hAnsi="Arial" w:cs="Arial"/>
          <w:sz w:val="14"/>
          <w:szCs w:val="14"/>
        </w:rPr>
        <w:t xml:space="preserve">. Volumen 21. Marzo. </w:t>
      </w:r>
      <w:hyperlink r:id="rId13" w:history="1">
        <w:r w:rsidRPr="00487796">
          <w:rPr>
            <w:rStyle w:val="Hipervnculo"/>
            <w:rFonts w:ascii="Arial" w:hAnsi="Arial" w:cs="Arial"/>
            <w:sz w:val="14"/>
            <w:szCs w:val="14"/>
          </w:rPr>
          <w:t>https://www.unodc.org/documents/scientific/Global_SMART_21_spanish_web.pdf</w:t>
        </w:r>
      </w:hyperlink>
      <w:r w:rsidRPr="00487796">
        <w:rPr>
          <w:rFonts w:ascii="Arial" w:hAnsi="Arial" w:cs="Arial"/>
          <w:sz w:val="14"/>
          <w:szCs w:val="14"/>
        </w:rPr>
        <w:t xml:space="preserve"> (Fecha de consulta 04 de mayo de 2021).</w:t>
      </w:r>
    </w:p>
  </w:footnote>
  <w:footnote w:id="10">
    <w:p w14:paraId="5BF7FDFB" w14:textId="77777777" w:rsidR="00BF359C" w:rsidRPr="00487796" w:rsidRDefault="00BF359C" w:rsidP="00487796">
      <w:pPr>
        <w:pStyle w:val="Textonotapie"/>
        <w:ind w:right="-234"/>
        <w:rPr>
          <w:rFonts w:ascii="Arial" w:hAnsi="Arial" w:cs="Arial"/>
          <w:sz w:val="14"/>
          <w:szCs w:val="14"/>
          <w:lang w:val="en-US"/>
        </w:rPr>
      </w:pPr>
      <w:r w:rsidRPr="00487796">
        <w:rPr>
          <w:rStyle w:val="Refdenotaalpie"/>
          <w:rFonts w:ascii="Arial" w:hAnsi="Arial" w:cs="Arial"/>
          <w:sz w:val="14"/>
          <w:szCs w:val="14"/>
        </w:rPr>
        <w:footnoteRef/>
      </w:r>
      <w:r w:rsidRPr="00487796">
        <w:rPr>
          <w:rFonts w:ascii="Arial" w:hAnsi="Arial" w:cs="Arial"/>
          <w:sz w:val="14"/>
          <w:szCs w:val="14"/>
        </w:rPr>
        <w:t xml:space="preserve"> Ángela Me y Chloé Carpentier (</w:t>
      </w:r>
      <w:proofErr w:type="spellStart"/>
      <w:r w:rsidRPr="00487796">
        <w:rPr>
          <w:rFonts w:ascii="Arial" w:hAnsi="Arial" w:cs="Arial"/>
          <w:sz w:val="14"/>
          <w:szCs w:val="14"/>
        </w:rPr>
        <w:t>coords</w:t>
      </w:r>
      <w:proofErr w:type="spellEnd"/>
      <w:r w:rsidRPr="00487796">
        <w:rPr>
          <w:rFonts w:ascii="Arial" w:hAnsi="Arial" w:cs="Arial"/>
          <w:sz w:val="14"/>
          <w:szCs w:val="14"/>
        </w:rPr>
        <w:t xml:space="preserve">.) </w:t>
      </w:r>
      <w:r w:rsidRPr="00487796">
        <w:rPr>
          <w:rFonts w:ascii="Arial" w:hAnsi="Arial" w:cs="Arial"/>
          <w:sz w:val="14"/>
          <w:szCs w:val="14"/>
          <w:lang w:val="en-US"/>
        </w:rPr>
        <w:t xml:space="preserve">1° op. </w:t>
      </w:r>
      <w:proofErr w:type="spellStart"/>
      <w:r w:rsidRPr="00487796">
        <w:rPr>
          <w:rFonts w:ascii="Arial" w:hAnsi="Arial" w:cs="Arial"/>
          <w:sz w:val="14"/>
          <w:szCs w:val="14"/>
          <w:lang w:val="en-US"/>
        </w:rPr>
        <w:t>cit</w:t>
      </w:r>
      <w:proofErr w:type="spellEnd"/>
    </w:p>
  </w:footnote>
  <w:footnote w:id="11">
    <w:p w14:paraId="53D76AF6" w14:textId="77777777" w:rsidR="00BF359C" w:rsidRPr="00D674DA" w:rsidRDefault="00BF359C" w:rsidP="00487796">
      <w:pPr>
        <w:pStyle w:val="Textonotapie"/>
        <w:ind w:right="-234"/>
        <w:rPr>
          <w:rFonts w:ascii="Arial" w:hAnsi="Arial" w:cs="Arial"/>
          <w:sz w:val="12"/>
          <w:szCs w:val="12"/>
        </w:rPr>
      </w:pPr>
      <w:r w:rsidRPr="00487796">
        <w:rPr>
          <w:rStyle w:val="Refdenotaalpie"/>
          <w:rFonts w:ascii="Arial" w:hAnsi="Arial" w:cs="Arial"/>
          <w:sz w:val="14"/>
          <w:szCs w:val="14"/>
        </w:rPr>
        <w:footnoteRef/>
      </w:r>
      <w:r w:rsidRPr="00487796">
        <w:rPr>
          <w:rFonts w:ascii="Arial" w:hAnsi="Arial" w:cs="Arial"/>
          <w:sz w:val="14"/>
          <w:szCs w:val="14"/>
          <w:lang w:val="en-US"/>
        </w:rPr>
        <w:t xml:space="preserve"> UNODC, Understanding the global opioid crisis, Vol. 21. </w:t>
      </w:r>
      <w:r w:rsidRPr="00487796">
        <w:rPr>
          <w:rFonts w:ascii="Arial" w:hAnsi="Arial" w:cs="Arial"/>
          <w:sz w:val="14"/>
          <w:szCs w:val="14"/>
        </w:rPr>
        <w:t xml:space="preserve">(Viena: UNODC, 2019), 8. </w:t>
      </w:r>
      <w:hyperlink r:id="rId14" w:history="1">
        <w:r w:rsidRPr="00487796">
          <w:rPr>
            <w:rStyle w:val="Hipervnculo"/>
            <w:rFonts w:ascii="Arial" w:hAnsi="Arial" w:cs="Arial"/>
            <w:sz w:val="14"/>
            <w:szCs w:val="14"/>
          </w:rPr>
          <w:t>https://www.unodc.org/documents/scientific/Global_SMART_21_web_new.pdf</w:t>
        </w:r>
      </w:hyperlink>
      <w:r w:rsidRPr="00487796">
        <w:rPr>
          <w:rFonts w:ascii="Arial" w:hAnsi="Arial" w:cs="Arial"/>
          <w:sz w:val="14"/>
          <w:szCs w:val="14"/>
        </w:rPr>
        <w:t xml:space="preserve"> (Fecha de consulta 07 de mayo de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383BF" w14:textId="71E02FD7" w:rsidR="00EE5A37" w:rsidRPr="005367BA" w:rsidRDefault="004D69B2" w:rsidP="00972E65">
    <w:pPr>
      <w:pStyle w:val="Encabezado"/>
      <w:tabs>
        <w:tab w:val="clear" w:pos="4419"/>
        <w:tab w:val="clear" w:pos="8838"/>
      </w:tabs>
      <w:ind w:left="-567" w:right="49"/>
      <w:jc w:val="right"/>
      <w:rPr>
        <w:rFonts w:ascii="Arial" w:hAnsi="Arial"/>
        <w:b/>
        <w:color w:val="002060"/>
        <w:sz w:val="26"/>
        <w:lang w:val="pt-BR"/>
      </w:rPr>
    </w:pPr>
    <w:r>
      <w:rPr>
        <w:noProof/>
        <w:lang w:eastAsia="es-MX"/>
      </w:rPr>
      <w:drawing>
        <wp:anchor distT="0" distB="0" distL="114300" distR="114300" simplePos="0" relativeHeight="251659264" behindDoc="0" locked="0" layoutInCell="1" allowOverlap="1" wp14:anchorId="5C437DC7" wp14:editId="0F3E73DF">
          <wp:simplePos x="0" y="0"/>
          <wp:positionH relativeFrom="margin">
            <wp:posOffset>70485</wp:posOffset>
          </wp:positionH>
          <wp:positionV relativeFrom="margin">
            <wp:posOffset>-824865</wp:posOffset>
          </wp:positionV>
          <wp:extent cx="628650" cy="65278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52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5A37" w:rsidRPr="00C33139">
      <w:rPr>
        <w:rFonts w:ascii="Arial" w:hAnsi="Arial"/>
        <w:b/>
        <w:color w:val="002060"/>
        <w:sz w:val="24"/>
      </w:rPr>
      <w:t xml:space="preserve"> </w:t>
    </w:r>
    <w:r w:rsidR="00EE5A37">
      <w:rPr>
        <w:rFonts w:ascii="Arial" w:hAnsi="Arial"/>
        <w:b/>
        <w:color w:val="002060"/>
        <w:sz w:val="24"/>
      </w:rPr>
      <w:t>C</w:t>
    </w:r>
    <w:r w:rsidR="00EE5A37" w:rsidRPr="00FE1C98">
      <w:rPr>
        <w:rFonts w:ascii="Arial" w:hAnsi="Arial"/>
        <w:b/>
        <w:color w:val="002060"/>
        <w:sz w:val="24"/>
      </w:rPr>
      <w:t>OMUNICADO DE PRENSA NÚM</w:t>
    </w:r>
    <w:r w:rsidR="00EE5A37" w:rsidRPr="005367BA">
      <w:rPr>
        <w:rFonts w:ascii="Arial" w:hAnsi="Arial"/>
        <w:b/>
        <w:color w:val="002060"/>
        <w:sz w:val="24"/>
      </w:rPr>
      <w:t xml:space="preserve">. </w:t>
    </w:r>
    <w:r w:rsidR="00BB53A6" w:rsidRPr="005367BA">
      <w:rPr>
        <w:rFonts w:ascii="Arial" w:hAnsi="Arial"/>
        <w:b/>
        <w:color w:val="002060"/>
        <w:sz w:val="24"/>
      </w:rPr>
      <w:t>358</w:t>
    </w:r>
    <w:r w:rsidR="00EE5A37" w:rsidRPr="005367BA">
      <w:rPr>
        <w:rFonts w:ascii="Arial" w:hAnsi="Arial"/>
        <w:b/>
        <w:color w:val="002060"/>
        <w:sz w:val="24"/>
      </w:rPr>
      <w:t>/</w:t>
    </w:r>
    <w:r w:rsidR="00BB53A6" w:rsidRPr="005367BA">
      <w:rPr>
        <w:rFonts w:ascii="Arial" w:hAnsi="Arial"/>
        <w:b/>
        <w:color w:val="002060"/>
        <w:sz w:val="24"/>
      </w:rPr>
      <w:t>21</w:t>
    </w:r>
  </w:p>
  <w:p w14:paraId="46B2164B" w14:textId="1ACF1269" w:rsidR="00EE5A37" w:rsidRPr="005367BA" w:rsidRDefault="00BB53A6" w:rsidP="00972E65">
    <w:pPr>
      <w:pStyle w:val="Encabezado"/>
      <w:tabs>
        <w:tab w:val="clear" w:pos="4419"/>
        <w:tab w:val="clear" w:pos="8838"/>
      </w:tabs>
      <w:ind w:left="-567" w:right="49"/>
      <w:jc w:val="right"/>
      <w:rPr>
        <w:rFonts w:ascii="Arial" w:hAnsi="Arial"/>
        <w:b/>
        <w:color w:val="002060"/>
        <w:sz w:val="26"/>
        <w:lang w:val="pt-BR"/>
      </w:rPr>
    </w:pPr>
    <w:r w:rsidRPr="005367BA">
      <w:rPr>
        <w:rFonts w:ascii="Arial" w:hAnsi="Arial"/>
        <w:b/>
        <w:color w:val="002060"/>
        <w:sz w:val="24"/>
        <w:lang w:val="pt-BR"/>
      </w:rPr>
      <w:t>25</w:t>
    </w:r>
    <w:r w:rsidR="00EE5A37" w:rsidRPr="005367BA">
      <w:rPr>
        <w:rFonts w:ascii="Arial" w:hAnsi="Arial"/>
        <w:b/>
        <w:color w:val="002060"/>
        <w:sz w:val="24"/>
        <w:lang w:val="pt-BR"/>
      </w:rPr>
      <w:t xml:space="preserve"> DE JUNIO DE 2021</w:t>
    </w:r>
  </w:p>
  <w:p w14:paraId="390E2844" w14:textId="1ABC2D37" w:rsidR="00EE5A37" w:rsidRPr="005367BA" w:rsidRDefault="00EE5A37" w:rsidP="00972E65">
    <w:pPr>
      <w:pStyle w:val="Encabezado"/>
      <w:tabs>
        <w:tab w:val="clear" w:pos="4419"/>
        <w:tab w:val="clear" w:pos="8838"/>
      </w:tabs>
      <w:ind w:left="-567" w:right="49"/>
      <w:jc w:val="right"/>
      <w:rPr>
        <w:rFonts w:ascii="Arial" w:hAnsi="Arial"/>
        <w:b/>
        <w:color w:val="002060"/>
        <w:sz w:val="24"/>
      </w:rPr>
    </w:pPr>
    <w:r w:rsidRPr="005367BA">
      <w:rPr>
        <w:rFonts w:ascii="Arial" w:hAnsi="Arial"/>
        <w:b/>
        <w:color w:val="002060"/>
        <w:sz w:val="24"/>
      </w:rPr>
      <w:t xml:space="preserve">PÁGINA </w:t>
    </w:r>
    <w:r w:rsidRPr="005367BA">
      <w:rPr>
        <w:rFonts w:ascii="Arial" w:hAnsi="Arial"/>
        <w:b/>
        <w:color w:val="002060"/>
        <w:sz w:val="24"/>
      </w:rPr>
      <w:fldChar w:fldCharType="begin"/>
    </w:r>
    <w:r w:rsidRPr="005367BA">
      <w:rPr>
        <w:rFonts w:ascii="Arial" w:hAnsi="Arial"/>
        <w:b/>
        <w:color w:val="002060"/>
        <w:sz w:val="24"/>
      </w:rPr>
      <w:instrText xml:space="preserve"> PAGE  \* Arabic </w:instrText>
    </w:r>
    <w:r w:rsidRPr="005367BA">
      <w:rPr>
        <w:rFonts w:ascii="Arial" w:hAnsi="Arial"/>
        <w:b/>
        <w:color w:val="002060"/>
        <w:sz w:val="24"/>
      </w:rPr>
      <w:fldChar w:fldCharType="separate"/>
    </w:r>
    <w:r w:rsidRPr="005367BA">
      <w:rPr>
        <w:rFonts w:ascii="Arial" w:hAnsi="Arial"/>
        <w:b/>
        <w:noProof/>
        <w:color w:val="002060"/>
        <w:sz w:val="24"/>
      </w:rPr>
      <w:t>2</w:t>
    </w:r>
    <w:r w:rsidRPr="005367BA">
      <w:rPr>
        <w:rFonts w:ascii="Arial" w:hAnsi="Arial"/>
        <w:b/>
        <w:color w:val="002060"/>
        <w:sz w:val="24"/>
      </w:rPr>
      <w:fldChar w:fldCharType="end"/>
    </w:r>
    <w:r w:rsidRPr="005367BA">
      <w:rPr>
        <w:rFonts w:ascii="Arial" w:hAnsi="Arial"/>
        <w:b/>
        <w:color w:val="002060"/>
        <w:sz w:val="24"/>
      </w:rPr>
      <w:t>/</w:t>
    </w:r>
    <w:r w:rsidR="004D69B2" w:rsidRPr="005367BA">
      <w:rPr>
        <w:rFonts w:ascii="Arial" w:hAnsi="Arial"/>
        <w:b/>
        <w:color w:val="002060"/>
        <w:sz w:val="24"/>
      </w:rPr>
      <w:t>5</w:t>
    </w:r>
  </w:p>
  <w:p w14:paraId="77483D27" w14:textId="77777777" w:rsidR="00EE5A37" w:rsidRDefault="00EE5A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E284C"/>
    <w:multiLevelType w:val="hybridMultilevel"/>
    <w:tmpl w:val="F850D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30BA8"/>
    <w:multiLevelType w:val="hybridMultilevel"/>
    <w:tmpl w:val="960CBCF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734269"/>
    <w:multiLevelType w:val="hybridMultilevel"/>
    <w:tmpl w:val="FB92B8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8443CA"/>
    <w:multiLevelType w:val="hybridMultilevel"/>
    <w:tmpl w:val="4C8C0B0C"/>
    <w:lvl w:ilvl="0" w:tplc="C3169492">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33C7A2C"/>
    <w:multiLevelType w:val="hybridMultilevel"/>
    <w:tmpl w:val="B114CA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802AA1"/>
    <w:multiLevelType w:val="hybridMultilevel"/>
    <w:tmpl w:val="578E43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7296275"/>
    <w:multiLevelType w:val="hybridMultilevel"/>
    <w:tmpl w:val="933044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F532520"/>
    <w:multiLevelType w:val="hybridMultilevel"/>
    <w:tmpl w:val="237A6E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18373ED"/>
    <w:multiLevelType w:val="hybridMultilevel"/>
    <w:tmpl w:val="3A2636D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9" w15:restartNumberingAfterBreak="0">
    <w:nsid w:val="44E25BAA"/>
    <w:multiLevelType w:val="hybridMultilevel"/>
    <w:tmpl w:val="AD80B2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BEB0071"/>
    <w:multiLevelType w:val="hybridMultilevel"/>
    <w:tmpl w:val="85EAF9E0"/>
    <w:lvl w:ilvl="0" w:tplc="556210E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F657608"/>
    <w:multiLevelType w:val="hybridMultilevel"/>
    <w:tmpl w:val="C726A2B6"/>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12" w15:restartNumberingAfterBreak="0">
    <w:nsid w:val="698267AC"/>
    <w:multiLevelType w:val="hybridMultilevel"/>
    <w:tmpl w:val="2D047B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CD56A61"/>
    <w:multiLevelType w:val="hybridMultilevel"/>
    <w:tmpl w:val="64769B86"/>
    <w:lvl w:ilvl="0" w:tplc="0680BE6A">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D605707"/>
    <w:multiLevelType w:val="hybridMultilevel"/>
    <w:tmpl w:val="FB5EE4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1D60136"/>
    <w:multiLevelType w:val="hybridMultilevel"/>
    <w:tmpl w:val="25E082C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7B9F6466"/>
    <w:multiLevelType w:val="hybridMultilevel"/>
    <w:tmpl w:val="D99E1392"/>
    <w:lvl w:ilvl="0" w:tplc="21EC9E5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DE04CEE"/>
    <w:multiLevelType w:val="hybridMultilevel"/>
    <w:tmpl w:val="1FFA14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12"/>
  </w:num>
  <w:num w:numId="4">
    <w:abstractNumId w:val="11"/>
  </w:num>
  <w:num w:numId="5">
    <w:abstractNumId w:val="13"/>
  </w:num>
  <w:num w:numId="6">
    <w:abstractNumId w:val="4"/>
  </w:num>
  <w:num w:numId="7">
    <w:abstractNumId w:val="6"/>
  </w:num>
  <w:num w:numId="8">
    <w:abstractNumId w:val="1"/>
  </w:num>
  <w:num w:numId="9">
    <w:abstractNumId w:val="10"/>
  </w:num>
  <w:num w:numId="10">
    <w:abstractNumId w:val="8"/>
  </w:num>
  <w:num w:numId="11">
    <w:abstractNumId w:val="7"/>
  </w:num>
  <w:num w:numId="12">
    <w:abstractNumId w:val="9"/>
  </w:num>
  <w:num w:numId="13">
    <w:abstractNumId w:val="5"/>
  </w:num>
  <w:num w:numId="14">
    <w:abstractNumId w:val="14"/>
  </w:num>
  <w:num w:numId="15">
    <w:abstractNumId w:val="2"/>
  </w:num>
  <w:num w:numId="16">
    <w:abstractNumId w:val="0"/>
  </w:num>
  <w:num w:numId="17">
    <w:abstractNumId w:val="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890"/>
    <w:rsid w:val="0000003D"/>
    <w:rsid w:val="00000704"/>
    <w:rsid w:val="000014C6"/>
    <w:rsid w:val="00001D72"/>
    <w:rsid w:val="000035D8"/>
    <w:rsid w:val="00003AE2"/>
    <w:rsid w:val="00003AF0"/>
    <w:rsid w:val="00003FC3"/>
    <w:rsid w:val="000046C3"/>
    <w:rsid w:val="00006407"/>
    <w:rsid w:val="000064B2"/>
    <w:rsid w:val="0000667B"/>
    <w:rsid w:val="00007B7F"/>
    <w:rsid w:val="00010A9B"/>
    <w:rsid w:val="00010D4B"/>
    <w:rsid w:val="00010F1A"/>
    <w:rsid w:val="000111C4"/>
    <w:rsid w:val="000138DF"/>
    <w:rsid w:val="000152F3"/>
    <w:rsid w:val="00015D46"/>
    <w:rsid w:val="00016B3E"/>
    <w:rsid w:val="0001781D"/>
    <w:rsid w:val="00017CE1"/>
    <w:rsid w:val="00022556"/>
    <w:rsid w:val="000230D0"/>
    <w:rsid w:val="0002315C"/>
    <w:rsid w:val="0002360C"/>
    <w:rsid w:val="00023BD6"/>
    <w:rsid w:val="00024084"/>
    <w:rsid w:val="00024726"/>
    <w:rsid w:val="000251C4"/>
    <w:rsid w:val="000264E1"/>
    <w:rsid w:val="00026562"/>
    <w:rsid w:val="00026608"/>
    <w:rsid w:val="00026A89"/>
    <w:rsid w:val="000272C0"/>
    <w:rsid w:val="00027974"/>
    <w:rsid w:val="00027E99"/>
    <w:rsid w:val="0003030C"/>
    <w:rsid w:val="00031002"/>
    <w:rsid w:val="0003181A"/>
    <w:rsid w:val="00031C5C"/>
    <w:rsid w:val="00031C8D"/>
    <w:rsid w:val="000324C9"/>
    <w:rsid w:val="00032AF3"/>
    <w:rsid w:val="00035370"/>
    <w:rsid w:val="0003539F"/>
    <w:rsid w:val="000359F4"/>
    <w:rsid w:val="000369D1"/>
    <w:rsid w:val="000375B3"/>
    <w:rsid w:val="00040C97"/>
    <w:rsid w:val="000415FA"/>
    <w:rsid w:val="000424AC"/>
    <w:rsid w:val="00042ED7"/>
    <w:rsid w:val="00043966"/>
    <w:rsid w:val="00044535"/>
    <w:rsid w:val="00044A78"/>
    <w:rsid w:val="00044E9F"/>
    <w:rsid w:val="000460D9"/>
    <w:rsid w:val="0004673C"/>
    <w:rsid w:val="00046BF1"/>
    <w:rsid w:val="000476A9"/>
    <w:rsid w:val="00047737"/>
    <w:rsid w:val="000509E7"/>
    <w:rsid w:val="00051F8F"/>
    <w:rsid w:val="000522DD"/>
    <w:rsid w:val="00053E60"/>
    <w:rsid w:val="00057045"/>
    <w:rsid w:val="00057BB2"/>
    <w:rsid w:val="00057D08"/>
    <w:rsid w:val="00060265"/>
    <w:rsid w:val="0006150D"/>
    <w:rsid w:val="00062C6A"/>
    <w:rsid w:val="00063DA1"/>
    <w:rsid w:val="000657D4"/>
    <w:rsid w:val="00065889"/>
    <w:rsid w:val="00065D9E"/>
    <w:rsid w:val="00066144"/>
    <w:rsid w:val="00066FD5"/>
    <w:rsid w:val="000704CB"/>
    <w:rsid w:val="00070927"/>
    <w:rsid w:val="00073188"/>
    <w:rsid w:val="00073626"/>
    <w:rsid w:val="00073F22"/>
    <w:rsid w:val="0007455A"/>
    <w:rsid w:val="000750E0"/>
    <w:rsid w:val="00076C0D"/>
    <w:rsid w:val="00076D47"/>
    <w:rsid w:val="00076F70"/>
    <w:rsid w:val="000772E2"/>
    <w:rsid w:val="000777DD"/>
    <w:rsid w:val="00077AA3"/>
    <w:rsid w:val="00080808"/>
    <w:rsid w:val="00083575"/>
    <w:rsid w:val="000844F0"/>
    <w:rsid w:val="00085EE7"/>
    <w:rsid w:val="00086D07"/>
    <w:rsid w:val="000875EA"/>
    <w:rsid w:val="00087A9F"/>
    <w:rsid w:val="00090AC9"/>
    <w:rsid w:val="00090D25"/>
    <w:rsid w:val="00090D86"/>
    <w:rsid w:val="00092AD4"/>
    <w:rsid w:val="00092F41"/>
    <w:rsid w:val="00093223"/>
    <w:rsid w:val="00093230"/>
    <w:rsid w:val="0009351F"/>
    <w:rsid w:val="00093A7F"/>
    <w:rsid w:val="000941E1"/>
    <w:rsid w:val="000958F4"/>
    <w:rsid w:val="00096D00"/>
    <w:rsid w:val="000A0871"/>
    <w:rsid w:val="000A0C6E"/>
    <w:rsid w:val="000A1474"/>
    <w:rsid w:val="000A22BF"/>
    <w:rsid w:val="000A2D65"/>
    <w:rsid w:val="000A2DFC"/>
    <w:rsid w:val="000A32CC"/>
    <w:rsid w:val="000A3C4F"/>
    <w:rsid w:val="000A3E28"/>
    <w:rsid w:val="000A431F"/>
    <w:rsid w:val="000A491A"/>
    <w:rsid w:val="000A50CE"/>
    <w:rsid w:val="000A5A9F"/>
    <w:rsid w:val="000A5EEF"/>
    <w:rsid w:val="000A789C"/>
    <w:rsid w:val="000B0375"/>
    <w:rsid w:val="000B0DA8"/>
    <w:rsid w:val="000B3C7F"/>
    <w:rsid w:val="000B3FD8"/>
    <w:rsid w:val="000B4569"/>
    <w:rsid w:val="000B5569"/>
    <w:rsid w:val="000B5875"/>
    <w:rsid w:val="000B5904"/>
    <w:rsid w:val="000B5E6A"/>
    <w:rsid w:val="000B64AA"/>
    <w:rsid w:val="000B78D1"/>
    <w:rsid w:val="000B7D5C"/>
    <w:rsid w:val="000C0748"/>
    <w:rsid w:val="000C10BD"/>
    <w:rsid w:val="000C2343"/>
    <w:rsid w:val="000C339C"/>
    <w:rsid w:val="000C3A86"/>
    <w:rsid w:val="000C4087"/>
    <w:rsid w:val="000C4C7E"/>
    <w:rsid w:val="000C5590"/>
    <w:rsid w:val="000C611E"/>
    <w:rsid w:val="000C7EFA"/>
    <w:rsid w:val="000D08FB"/>
    <w:rsid w:val="000D1734"/>
    <w:rsid w:val="000D1F0D"/>
    <w:rsid w:val="000D2ECB"/>
    <w:rsid w:val="000D3133"/>
    <w:rsid w:val="000D33D4"/>
    <w:rsid w:val="000D403D"/>
    <w:rsid w:val="000D4AED"/>
    <w:rsid w:val="000D5CAD"/>
    <w:rsid w:val="000D7B7A"/>
    <w:rsid w:val="000E0D16"/>
    <w:rsid w:val="000E17FF"/>
    <w:rsid w:val="000E1B58"/>
    <w:rsid w:val="000E303D"/>
    <w:rsid w:val="000E372B"/>
    <w:rsid w:val="000E4D3B"/>
    <w:rsid w:val="000E5253"/>
    <w:rsid w:val="000E5961"/>
    <w:rsid w:val="000E5DFC"/>
    <w:rsid w:val="000E5FC4"/>
    <w:rsid w:val="000E6845"/>
    <w:rsid w:val="000E76C0"/>
    <w:rsid w:val="000E7863"/>
    <w:rsid w:val="000F05AB"/>
    <w:rsid w:val="000F2467"/>
    <w:rsid w:val="000F3A24"/>
    <w:rsid w:val="000F3C31"/>
    <w:rsid w:val="000F482A"/>
    <w:rsid w:val="000F5B64"/>
    <w:rsid w:val="000F6900"/>
    <w:rsid w:val="000F6F8C"/>
    <w:rsid w:val="0010008B"/>
    <w:rsid w:val="0010162A"/>
    <w:rsid w:val="001019D5"/>
    <w:rsid w:val="00102192"/>
    <w:rsid w:val="0010221C"/>
    <w:rsid w:val="001024A5"/>
    <w:rsid w:val="001025B3"/>
    <w:rsid w:val="00103387"/>
    <w:rsid w:val="001034C3"/>
    <w:rsid w:val="00103D23"/>
    <w:rsid w:val="00105D1C"/>
    <w:rsid w:val="00107916"/>
    <w:rsid w:val="00107C07"/>
    <w:rsid w:val="00110D43"/>
    <w:rsid w:val="00111F35"/>
    <w:rsid w:val="001121DD"/>
    <w:rsid w:val="00112430"/>
    <w:rsid w:val="00112CD7"/>
    <w:rsid w:val="001135DA"/>
    <w:rsid w:val="00116556"/>
    <w:rsid w:val="001174B9"/>
    <w:rsid w:val="0012015E"/>
    <w:rsid w:val="0012023A"/>
    <w:rsid w:val="00120349"/>
    <w:rsid w:val="0012072D"/>
    <w:rsid w:val="00120F28"/>
    <w:rsid w:val="00122AFD"/>
    <w:rsid w:val="00122B6C"/>
    <w:rsid w:val="00122EF9"/>
    <w:rsid w:val="00123D77"/>
    <w:rsid w:val="0012534A"/>
    <w:rsid w:val="0012739F"/>
    <w:rsid w:val="00127776"/>
    <w:rsid w:val="00130586"/>
    <w:rsid w:val="00130D9C"/>
    <w:rsid w:val="00130F51"/>
    <w:rsid w:val="001318CA"/>
    <w:rsid w:val="001318DA"/>
    <w:rsid w:val="00132917"/>
    <w:rsid w:val="001332F3"/>
    <w:rsid w:val="00134867"/>
    <w:rsid w:val="001350B3"/>
    <w:rsid w:val="00135F58"/>
    <w:rsid w:val="00136D4D"/>
    <w:rsid w:val="00140295"/>
    <w:rsid w:val="00141973"/>
    <w:rsid w:val="00141B2C"/>
    <w:rsid w:val="00141F5D"/>
    <w:rsid w:val="0014276D"/>
    <w:rsid w:val="001431F4"/>
    <w:rsid w:val="0014374E"/>
    <w:rsid w:val="00146BFE"/>
    <w:rsid w:val="001472BC"/>
    <w:rsid w:val="00147D5B"/>
    <w:rsid w:val="00147E61"/>
    <w:rsid w:val="00150C64"/>
    <w:rsid w:val="00150EE7"/>
    <w:rsid w:val="00150F90"/>
    <w:rsid w:val="001511F7"/>
    <w:rsid w:val="0015228C"/>
    <w:rsid w:val="00152620"/>
    <w:rsid w:val="001529A4"/>
    <w:rsid w:val="00152B44"/>
    <w:rsid w:val="00153096"/>
    <w:rsid w:val="001542DE"/>
    <w:rsid w:val="00154542"/>
    <w:rsid w:val="00154BBA"/>
    <w:rsid w:val="00154E2D"/>
    <w:rsid w:val="001552D7"/>
    <w:rsid w:val="00155512"/>
    <w:rsid w:val="00155C60"/>
    <w:rsid w:val="00155F95"/>
    <w:rsid w:val="00157910"/>
    <w:rsid w:val="00157A17"/>
    <w:rsid w:val="00157D0C"/>
    <w:rsid w:val="001603BF"/>
    <w:rsid w:val="001622E5"/>
    <w:rsid w:val="00163BE9"/>
    <w:rsid w:val="00163C83"/>
    <w:rsid w:val="001644FD"/>
    <w:rsid w:val="0016486F"/>
    <w:rsid w:val="00164C3C"/>
    <w:rsid w:val="00164CBE"/>
    <w:rsid w:val="001654D0"/>
    <w:rsid w:val="00165CD9"/>
    <w:rsid w:val="001660E2"/>
    <w:rsid w:val="001669D7"/>
    <w:rsid w:val="0017045D"/>
    <w:rsid w:val="00172075"/>
    <w:rsid w:val="00172912"/>
    <w:rsid w:val="00172BB6"/>
    <w:rsid w:val="00172DC1"/>
    <w:rsid w:val="00172DD5"/>
    <w:rsid w:val="00173470"/>
    <w:rsid w:val="00174171"/>
    <w:rsid w:val="00174A58"/>
    <w:rsid w:val="0017579B"/>
    <w:rsid w:val="0017588A"/>
    <w:rsid w:val="00175C63"/>
    <w:rsid w:val="00177359"/>
    <w:rsid w:val="00177BA2"/>
    <w:rsid w:val="00180D5C"/>
    <w:rsid w:val="001816A4"/>
    <w:rsid w:val="00181B30"/>
    <w:rsid w:val="001832F4"/>
    <w:rsid w:val="001849F8"/>
    <w:rsid w:val="00184F34"/>
    <w:rsid w:val="00185026"/>
    <w:rsid w:val="0018666D"/>
    <w:rsid w:val="00186729"/>
    <w:rsid w:val="00190B8A"/>
    <w:rsid w:val="0019109B"/>
    <w:rsid w:val="001919CD"/>
    <w:rsid w:val="00193129"/>
    <w:rsid w:val="00193EB0"/>
    <w:rsid w:val="0019413C"/>
    <w:rsid w:val="00196AC5"/>
    <w:rsid w:val="001972B5"/>
    <w:rsid w:val="00197C03"/>
    <w:rsid w:val="001A0618"/>
    <w:rsid w:val="001A1162"/>
    <w:rsid w:val="001A1A77"/>
    <w:rsid w:val="001A1BE1"/>
    <w:rsid w:val="001A2D73"/>
    <w:rsid w:val="001A312F"/>
    <w:rsid w:val="001A3535"/>
    <w:rsid w:val="001A3F4D"/>
    <w:rsid w:val="001A62D7"/>
    <w:rsid w:val="001A655E"/>
    <w:rsid w:val="001A6A2C"/>
    <w:rsid w:val="001A7299"/>
    <w:rsid w:val="001A7379"/>
    <w:rsid w:val="001B00DB"/>
    <w:rsid w:val="001B0360"/>
    <w:rsid w:val="001B0626"/>
    <w:rsid w:val="001B0D12"/>
    <w:rsid w:val="001B1B18"/>
    <w:rsid w:val="001B1D11"/>
    <w:rsid w:val="001B2C09"/>
    <w:rsid w:val="001B30B4"/>
    <w:rsid w:val="001B3919"/>
    <w:rsid w:val="001B3B3F"/>
    <w:rsid w:val="001B3BC9"/>
    <w:rsid w:val="001B49DC"/>
    <w:rsid w:val="001B5796"/>
    <w:rsid w:val="001B59AB"/>
    <w:rsid w:val="001B5C8C"/>
    <w:rsid w:val="001B63CB"/>
    <w:rsid w:val="001B6771"/>
    <w:rsid w:val="001C077B"/>
    <w:rsid w:val="001C0AEF"/>
    <w:rsid w:val="001C12E3"/>
    <w:rsid w:val="001C254D"/>
    <w:rsid w:val="001C3139"/>
    <w:rsid w:val="001C3463"/>
    <w:rsid w:val="001C3D9F"/>
    <w:rsid w:val="001C5E8C"/>
    <w:rsid w:val="001C5F2A"/>
    <w:rsid w:val="001C685F"/>
    <w:rsid w:val="001D0380"/>
    <w:rsid w:val="001D06A1"/>
    <w:rsid w:val="001D32BF"/>
    <w:rsid w:val="001D3AB1"/>
    <w:rsid w:val="001D490B"/>
    <w:rsid w:val="001D4D49"/>
    <w:rsid w:val="001D5F0A"/>
    <w:rsid w:val="001D6877"/>
    <w:rsid w:val="001D6999"/>
    <w:rsid w:val="001D6B18"/>
    <w:rsid w:val="001D79D0"/>
    <w:rsid w:val="001E064D"/>
    <w:rsid w:val="001E0919"/>
    <w:rsid w:val="001E1C75"/>
    <w:rsid w:val="001E23FD"/>
    <w:rsid w:val="001E29DA"/>
    <w:rsid w:val="001E2F46"/>
    <w:rsid w:val="001E31C9"/>
    <w:rsid w:val="001E443B"/>
    <w:rsid w:val="001E579D"/>
    <w:rsid w:val="001E5C50"/>
    <w:rsid w:val="001E690C"/>
    <w:rsid w:val="001F14D3"/>
    <w:rsid w:val="001F19DD"/>
    <w:rsid w:val="001F19F2"/>
    <w:rsid w:val="001F2204"/>
    <w:rsid w:val="001F28A6"/>
    <w:rsid w:val="001F37ED"/>
    <w:rsid w:val="001F3A0A"/>
    <w:rsid w:val="001F482F"/>
    <w:rsid w:val="001F4F42"/>
    <w:rsid w:val="001F5230"/>
    <w:rsid w:val="001F5A2E"/>
    <w:rsid w:val="001F690C"/>
    <w:rsid w:val="001F69AC"/>
    <w:rsid w:val="001F6C2D"/>
    <w:rsid w:val="001F7FCD"/>
    <w:rsid w:val="002006B0"/>
    <w:rsid w:val="00201D47"/>
    <w:rsid w:val="00201EC3"/>
    <w:rsid w:val="0020210E"/>
    <w:rsid w:val="0020532A"/>
    <w:rsid w:val="00205FB7"/>
    <w:rsid w:val="00206436"/>
    <w:rsid w:val="00206CE6"/>
    <w:rsid w:val="00210575"/>
    <w:rsid w:val="002114C7"/>
    <w:rsid w:val="00211773"/>
    <w:rsid w:val="00211CA3"/>
    <w:rsid w:val="00212894"/>
    <w:rsid w:val="00213191"/>
    <w:rsid w:val="00213363"/>
    <w:rsid w:val="0021355F"/>
    <w:rsid w:val="00213790"/>
    <w:rsid w:val="00213DF2"/>
    <w:rsid w:val="00214CE6"/>
    <w:rsid w:val="002159CA"/>
    <w:rsid w:val="00216DE0"/>
    <w:rsid w:val="00217630"/>
    <w:rsid w:val="00220589"/>
    <w:rsid w:val="00220794"/>
    <w:rsid w:val="0022219A"/>
    <w:rsid w:val="002224E0"/>
    <w:rsid w:val="00222A58"/>
    <w:rsid w:val="00224A77"/>
    <w:rsid w:val="00224B8D"/>
    <w:rsid w:val="002257E1"/>
    <w:rsid w:val="00225BA1"/>
    <w:rsid w:val="0023050F"/>
    <w:rsid w:val="0023066B"/>
    <w:rsid w:val="00230F25"/>
    <w:rsid w:val="0023136D"/>
    <w:rsid w:val="002325CC"/>
    <w:rsid w:val="002325F8"/>
    <w:rsid w:val="002328C2"/>
    <w:rsid w:val="00232B4A"/>
    <w:rsid w:val="00232B7D"/>
    <w:rsid w:val="00232F09"/>
    <w:rsid w:val="002333FB"/>
    <w:rsid w:val="002337DE"/>
    <w:rsid w:val="00233D30"/>
    <w:rsid w:val="00234442"/>
    <w:rsid w:val="00234659"/>
    <w:rsid w:val="00234E92"/>
    <w:rsid w:val="00236D04"/>
    <w:rsid w:val="002378DC"/>
    <w:rsid w:val="00237A81"/>
    <w:rsid w:val="00237BFE"/>
    <w:rsid w:val="00237D9F"/>
    <w:rsid w:val="0024003C"/>
    <w:rsid w:val="00240210"/>
    <w:rsid w:val="00240546"/>
    <w:rsid w:val="00241470"/>
    <w:rsid w:val="00241642"/>
    <w:rsid w:val="00242819"/>
    <w:rsid w:val="00242A51"/>
    <w:rsid w:val="00243EEE"/>
    <w:rsid w:val="00244A5B"/>
    <w:rsid w:val="00244D3C"/>
    <w:rsid w:val="002452E0"/>
    <w:rsid w:val="00245404"/>
    <w:rsid w:val="00245A04"/>
    <w:rsid w:val="00245EC5"/>
    <w:rsid w:val="00246539"/>
    <w:rsid w:val="002467F0"/>
    <w:rsid w:val="00246CE2"/>
    <w:rsid w:val="0024773E"/>
    <w:rsid w:val="00247D32"/>
    <w:rsid w:val="00247EC1"/>
    <w:rsid w:val="00247F4A"/>
    <w:rsid w:val="002507A5"/>
    <w:rsid w:val="00251AC5"/>
    <w:rsid w:val="00252368"/>
    <w:rsid w:val="0025297F"/>
    <w:rsid w:val="002529FC"/>
    <w:rsid w:val="00254DF6"/>
    <w:rsid w:val="0025534D"/>
    <w:rsid w:val="00257D96"/>
    <w:rsid w:val="00261C37"/>
    <w:rsid w:val="00262CFA"/>
    <w:rsid w:val="00263E82"/>
    <w:rsid w:val="002643FA"/>
    <w:rsid w:val="002644D4"/>
    <w:rsid w:val="0026562A"/>
    <w:rsid w:val="0026574C"/>
    <w:rsid w:val="00266332"/>
    <w:rsid w:val="00267410"/>
    <w:rsid w:val="00271342"/>
    <w:rsid w:val="00272032"/>
    <w:rsid w:val="00273706"/>
    <w:rsid w:val="00273C1C"/>
    <w:rsid w:val="002743B6"/>
    <w:rsid w:val="002745EC"/>
    <w:rsid w:val="002760C1"/>
    <w:rsid w:val="002774E5"/>
    <w:rsid w:val="00277A55"/>
    <w:rsid w:val="00280537"/>
    <w:rsid w:val="002828DA"/>
    <w:rsid w:val="00282F66"/>
    <w:rsid w:val="00283A81"/>
    <w:rsid w:val="00284E44"/>
    <w:rsid w:val="00286091"/>
    <w:rsid w:val="00286219"/>
    <w:rsid w:val="00286543"/>
    <w:rsid w:val="0028782A"/>
    <w:rsid w:val="00290766"/>
    <w:rsid w:val="002908B5"/>
    <w:rsid w:val="0029297D"/>
    <w:rsid w:val="00292B7B"/>
    <w:rsid w:val="00292C71"/>
    <w:rsid w:val="00293BE9"/>
    <w:rsid w:val="002941A5"/>
    <w:rsid w:val="002948B8"/>
    <w:rsid w:val="002951E9"/>
    <w:rsid w:val="00295714"/>
    <w:rsid w:val="00295806"/>
    <w:rsid w:val="00296A4D"/>
    <w:rsid w:val="00297980"/>
    <w:rsid w:val="002A06B0"/>
    <w:rsid w:val="002A10A8"/>
    <w:rsid w:val="002A2FEB"/>
    <w:rsid w:val="002A3701"/>
    <w:rsid w:val="002A3BEC"/>
    <w:rsid w:val="002A3D16"/>
    <w:rsid w:val="002A4B6E"/>
    <w:rsid w:val="002A6647"/>
    <w:rsid w:val="002A6C11"/>
    <w:rsid w:val="002B0999"/>
    <w:rsid w:val="002B0F40"/>
    <w:rsid w:val="002B1AF0"/>
    <w:rsid w:val="002B3A9B"/>
    <w:rsid w:val="002B4036"/>
    <w:rsid w:val="002B567E"/>
    <w:rsid w:val="002B5953"/>
    <w:rsid w:val="002C0528"/>
    <w:rsid w:val="002C056C"/>
    <w:rsid w:val="002C072B"/>
    <w:rsid w:val="002C0771"/>
    <w:rsid w:val="002C0934"/>
    <w:rsid w:val="002C1DBA"/>
    <w:rsid w:val="002C2122"/>
    <w:rsid w:val="002C2A06"/>
    <w:rsid w:val="002C2DE4"/>
    <w:rsid w:val="002C38B5"/>
    <w:rsid w:val="002C3A8A"/>
    <w:rsid w:val="002C502C"/>
    <w:rsid w:val="002C503D"/>
    <w:rsid w:val="002C5251"/>
    <w:rsid w:val="002C5287"/>
    <w:rsid w:val="002C69B6"/>
    <w:rsid w:val="002C7815"/>
    <w:rsid w:val="002D07FB"/>
    <w:rsid w:val="002D0D25"/>
    <w:rsid w:val="002D0E1F"/>
    <w:rsid w:val="002D1AED"/>
    <w:rsid w:val="002D354A"/>
    <w:rsid w:val="002D35B6"/>
    <w:rsid w:val="002D6766"/>
    <w:rsid w:val="002D75D3"/>
    <w:rsid w:val="002D7C4B"/>
    <w:rsid w:val="002E150F"/>
    <w:rsid w:val="002E18F6"/>
    <w:rsid w:val="002E1A61"/>
    <w:rsid w:val="002E25E4"/>
    <w:rsid w:val="002E2B1B"/>
    <w:rsid w:val="002E309E"/>
    <w:rsid w:val="002E3511"/>
    <w:rsid w:val="002E3E57"/>
    <w:rsid w:val="002E4302"/>
    <w:rsid w:val="002E5BE6"/>
    <w:rsid w:val="002E687F"/>
    <w:rsid w:val="002E6F24"/>
    <w:rsid w:val="002F11D7"/>
    <w:rsid w:val="002F1F64"/>
    <w:rsid w:val="002F2167"/>
    <w:rsid w:val="002F2282"/>
    <w:rsid w:val="002F3028"/>
    <w:rsid w:val="002F33F5"/>
    <w:rsid w:val="002F35CD"/>
    <w:rsid w:val="002F49CB"/>
    <w:rsid w:val="002F4E23"/>
    <w:rsid w:val="002F5085"/>
    <w:rsid w:val="002F5C46"/>
    <w:rsid w:val="002F5FF6"/>
    <w:rsid w:val="002F6107"/>
    <w:rsid w:val="002F70E1"/>
    <w:rsid w:val="00300717"/>
    <w:rsid w:val="003007EB"/>
    <w:rsid w:val="00300C0C"/>
    <w:rsid w:val="003014EE"/>
    <w:rsid w:val="00302970"/>
    <w:rsid w:val="00302D88"/>
    <w:rsid w:val="003034C5"/>
    <w:rsid w:val="00304833"/>
    <w:rsid w:val="00305BEF"/>
    <w:rsid w:val="00306342"/>
    <w:rsid w:val="00307103"/>
    <w:rsid w:val="00310175"/>
    <w:rsid w:val="003106C9"/>
    <w:rsid w:val="00310BE4"/>
    <w:rsid w:val="003120D0"/>
    <w:rsid w:val="003121C1"/>
    <w:rsid w:val="00312A89"/>
    <w:rsid w:val="003133AE"/>
    <w:rsid w:val="00313A06"/>
    <w:rsid w:val="00314D32"/>
    <w:rsid w:val="003150DF"/>
    <w:rsid w:val="00315346"/>
    <w:rsid w:val="00315F32"/>
    <w:rsid w:val="00316903"/>
    <w:rsid w:val="00320999"/>
    <w:rsid w:val="00320B50"/>
    <w:rsid w:val="00320D71"/>
    <w:rsid w:val="00322643"/>
    <w:rsid w:val="00323CBD"/>
    <w:rsid w:val="00323F64"/>
    <w:rsid w:val="00324B11"/>
    <w:rsid w:val="003257D1"/>
    <w:rsid w:val="00327A2D"/>
    <w:rsid w:val="00327C39"/>
    <w:rsid w:val="003325B3"/>
    <w:rsid w:val="003329F7"/>
    <w:rsid w:val="003330ED"/>
    <w:rsid w:val="0033362F"/>
    <w:rsid w:val="00333746"/>
    <w:rsid w:val="00333C27"/>
    <w:rsid w:val="00334376"/>
    <w:rsid w:val="00335421"/>
    <w:rsid w:val="00340801"/>
    <w:rsid w:val="003410DE"/>
    <w:rsid w:val="00341794"/>
    <w:rsid w:val="00342864"/>
    <w:rsid w:val="00342DCF"/>
    <w:rsid w:val="0034354A"/>
    <w:rsid w:val="00343684"/>
    <w:rsid w:val="00343B84"/>
    <w:rsid w:val="003446E8"/>
    <w:rsid w:val="00344D7E"/>
    <w:rsid w:val="00346A02"/>
    <w:rsid w:val="00347269"/>
    <w:rsid w:val="0034742D"/>
    <w:rsid w:val="00351DAD"/>
    <w:rsid w:val="00352F55"/>
    <w:rsid w:val="003530A4"/>
    <w:rsid w:val="0035387F"/>
    <w:rsid w:val="00355264"/>
    <w:rsid w:val="00355CF1"/>
    <w:rsid w:val="00355D5C"/>
    <w:rsid w:val="00357C44"/>
    <w:rsid w:val="003603D5"/>
    <w:rsid w:val="003609D4"/>
    <w:rsid w:val="003637F7"/>
    <w:rsid w:val="00363A2C"/>
    <w:rsid w:val="00365254"/>
    <w:rsid w:val="0036566A"/>
    <w:rsid w:val="00365B38"/>
    <w:rsid w:val="00366C31"/>
    <w:rsid w:val="0036701B"/>
    <w:rsid w:val="003676FD"/>
    <w:rsid w:val="00367D95"/>
    <w:rsid w:val="00370C33"/>
    <w:rsid w:val="00370E5A"/>
    <w:rsid w:val="00370FC4"/>
    <w:rsid w:val="003724BE"/>
    <w:rsid w:val="00374731"/>
    <w:rsid w:val="003752B9"/>
    <w:rsid w:val="003759AB"/>
    <w:rsid w:val="00377BC4"/>
    <w:rsid w:val="003803CA"/>
    <w:rsid w:val="00380EBE"/>
    <w:rsid w:val="003815C3"/>
    <w:rsid w:val="00381B5A"/>
    <w:rsid w:val="00382226"/>
    <w:rsid w:val="0038227C"/>
    <w:rsid w:val="003822CC"/>
    <w:rsid w:val="003846DF"/>
    <w:rsid w:val="00384A9D"/>
    <w:rsid w:val="003852E1"/>
    <w:rsid w:val="00385D76"/>
    <w:rsid w:val="003862C5"/>
    <w:rsid w:val="0038668D"/>
    <w:rsid w:val="00386A39"/>
    <w:rsid w:val="00386D82"/>
    <w:rsid w:val="00386E7B"/>
    <w:rsid w:val="0038767E"/>
    <w:rsid w:val="00391E6F"/>
    <w:rsid w:val="0039221B"/>
    <w:rsid w:val="003929E1"/>
    <w:rsid w:val="00392AAB"/>
    <w:rsid w:val="00392F53"/>
    <w:rsid w:val="003930FC"/>
    <w:rsid w:val="00393770"/>
    <w:rsid w:val="003944BD"/>
    <w:rsid w:val="0039537D"/>
    <w:rsid w:val="00395C9C"/>
    <w:rsid w:val="00395DB8"/>
    <w:rsid w:val="00396383"/>
    <w:rsid w:val="00396D2A"/>
    <w:rsid w:val="00397390"/>
    <w:rsid w:val="003A0732"/>
    <w:rsid w:val="003A1298"/>
    <w:rsid w:val="003A1691"/>
    <w:rsid w:val="003A287D"/>
    <w:rsid w:val="003A3BB0"/>
    <w:rsid w:val="003A465E"/>
    <w:rsid w:val="003A4A0F"/>
    <w:rsid w:val="003A6B83"/>
    <w:rsid w:val="003A7650"/>
    <w:rsid w:val="003A783F"/>
    <w:rsid w:val="003B0BFE"/>
    <w:rsid w:val="003B11FA"/>
    <w:rsid w:val="003B13D0"/>
    <w:rsid w:val="003B1924"/>
    <w:rsid w:val="003B1F3F"/>
    <w:rsid w:val="003B233D"/>
    <w:rsid w:val="003B263A"/>
    <w:rsid w:val="003B513B"/>
    <w:rsid w:val="003B55FB"/>
    <w:rsid w:val="003B7348"/>
    <w:rsid w:val="003C0ECC"/>
    <w:rsid w:val="003C1409"/>
    <w:rsid w:val="003C1A80"/>
    <w:rsid w:val="003C2366"/>
    <w:rsid w:val="003C2C61"/>
    <w:rsid w:val="003C305F"/>
    <w:rsid w:val="003C31F3"/>
    <w:rsid w:val="003C33C7"/>
    <w:rsid w:val="003C47DE"/>
    <w:rsid w:val="003C49BE"/>
    <w:rsid w:val="003C4C5D"/>
    <w:rsid w:val="003C618C"/>
    <w:rsid w:val="003C758B"/>
    <w:rsid w:val="003C7EC0"/>
    <w:rsid w:val="003D045D"/>
    <w:rsid w:val="003D24E0"/>
    <w:rsid w:val="003D2937"/>
    <w:rsid w:val="003D2E34"/>
    <w:rsid w:val="003D4329"/>
    <w:rsid w:val="003D4347"/>
    <w:rsid w:val="003D457A"/>
    <w:rsid w:val="003D53A9"/>
    <w:rsid w:val="003D6F75"/>
    <w:rsid w:val="003D74A8"/>
    <w:rsid w:val="003E11CD"/>
    <w:rsid w:val="003E1356"/>
    <w:rsid w:val="003E177A"/>
    <w:rsid w:val="003E2D56"/>
    <w:rsid w:val="003E33B1"/>
    <w:rsid w:val="003E35CF"/>
    <w:rsid w:val="003E690B"/>
    <w:rsid w:val="003E6C96"/>
    <w:rsid w:val="003E7076"/>
    <w:rsid w:val="003E72C2"/>
    <w:rsid w:val="003E78F4"/>
    <w:rsid w:val="003F0BE2"/>
    <w:rsid w:val="003F2C85"/>
    <w:rsid w:val="003F3936"/>
    <w:rsid w:val="003F3D3D"/>
    <w:rsid w:val="003F51C0"/>
    <w:rsid w:val="003F55F5"/>
    <w:rsid w:val="003F56E1"/>
    <w:rsid w:val="003F61A6"/>
    <w:rsid w:val="003F660A"/>
    <w:rsid w:val="003F67E9"/>
    <w:rsid w:val="003F6B1C"/>
    <w:rsid w:val="003F793A"/>
    <w:rsid w:val="004008A1"/>
    <w:rsid w:val="00400EBB"/>
    <w:rsid w:val="00401083"/>
    <w:rsid w:val="00401319"/>
    <w:rsid w:val="00401B44"/>
    <w:rsid w:val="00401EB5"/>
    <w:rsid w:val="00402C1C"/>
    <w:rsid w:val="00403AA0"/>
    <w:rsid w:val="00403CBD"/>
    <w:rsid w:val="00403D98"/>
    <w:rsid w:val="00404364"/>
    <w:rsid w:val="0040704F"/>
    <w:rsid w:val="00407A85"/>
    <w:rsid w:val="00410DD9"/>
    <w:rsid w:val="004114FB"/>
    <w:rsid w:val="00411AF5"/>
    <w:rsid w:val="0041252D"/>
    <w:rsid w:val="00413BE7"/>
    <w:rsid w:val="0041525C"/>
    <w:rsid w:val="00415775"/>
    <w:rsid w:val="004157B0"/>
    <w:rsid w:val="00416ACD"/>
    <w:rsid w:val="004171D8"/>
    <w:rsid w:val="00420B78"/>
    <w:rsid w:val="0042146A"/>
    <w:rsid w:val="00423443"/>
    <w:rsid w:val="00423E7B"/>
    <w:rsid w:val="00424BD0"/>
    <w:rsid w:val="00425455"/>
    <w:rsid w:val="00426514"/>
    <w:rsid w:val="00431BF1"/>
    <w:rsid w:val="00431C47"/>
    <w:rsid w:val="00432E31"/>
    <w:rsid w:val="0043374A"/>
    <w:rsid w:val="00433A7A"/>
    <w:rsid w:val="0043544D"/>
    <w:rsid w:val="004367AE"/>
    <w:rsid w:val="004371F0"/>
    <w:rsid w:val="0044154A"/>
    <w:rsid w:val="004434DB"/>
    <w:rsid w:val="00443623"/>
    <w:rsid w:val="00443993"/>
    <w:rsid w:val="00443B2D"/>
    <w:rsid w:val="004445A7"/>
    <w:rsid w:val="00444A59"/>
    <w:rsid w:val="00445100"/>
    <w:rsid w:val="004453B7"/>
    <w:rsid w:val="004453EB"/>
    <w:rsid w:val="004471D2"/>
    <w:rsid w:val="00447EB8"/>
    <w:rsid w:val="004500A7"/>
    <w:rsid w:val="00450206"/>
    <w:rsid w:val="004507D4"/>
    <w:rsid w:val="00450E09"/>
    <w:rsid w:val="00451646"/>
    <w:rsid w:val="004534E2"/>
    <w:rsid w:val="004546D0"/>
    <w:rsid w:val="00454C0E"/>
    <w:rsid w:val="004568BE"/>
    <w:rsid w:val="00456ED7"/>
    <w:rsid w:val="00457635"/>
    <w:rsid w:val="00460635"/>
    <w:rsid w:val="00460895"/>
    <w:rsid w:val="00460AF6"/>
    <w:rsid w:val="00461050"/>
    <w:rsid w:val="00461341"/>
    <w:rsid w:val="00461580"/>
    <w:rsid w:val="004617EC"/>
    <w:rsid w:val="00462226"/>
    <w:rsid w:val="00462348"/>
    <w:rsid w:val="00462933"/>
    <w:rsid w:val="00463AB3"/>
    <w:rsid w:val="00464161"/>
    <w:rsid w:val="00464C67"/>
    <w:rsid w:val="00466AB2"/>
    <w:rsid w:val="004677DA"/>
    <w:rsid w:val="004679BB"/>
    <w:rsid w:val="00467FB9"/>
    <w:rsid w:val="004705A5"/>
    <w:rsid w:val="00470EDD"/>
    <w:rsid w:val="0047165D"/>
    <w:rsid w:val="00472002"/>
    <w:rsid w:val="00472539"/>
    <w:rsid w:val="004728E7"/>
    <w:rsid w:val="00472D15"/>
    <w:rsid w:val="00474EFC"/>
    <w:rsid w:val="00475B95"/>
    <w:rsid w:val="00477017"/>
    <w:rsid w:val="00477531"/>
    <w:rsid w:val="00477E87"/>
    <w:rsid w:val="00477FC1"/>
    <w:rsid w:val="00480270"/>
    <w:rsid w:val="00481524"/>
    <w:rsid w:val="004827BC"/>
    <w:rsid w:val="00485DEA"/>
    <w:rsid w:val="0048609C"/>
    <w:rsid w:val="004868ED"/>
    <w:rsid w:val="00486EF3"/>
    <w:rsid w:val="0048763B"/>
    <w:rsid w:val="00487796"/>
    <w:rsid w:val="00487CEA"/>
    <w:rsid w:val="00490427"/>
    <w:rsid w:val="004906D2"/>
    <w:rsid w:val="00491BCF"/>
    <w:rsid w:val="00491E02"/>
    <w:rsid w:val="00492CDE"/>
    <w:rsid w:val="004930B1"/>
    <w:rsid w:val="004942A0"/>
    <w:rsid w:val="00495D5D"/>
    <w:rsid w:val="00495E04"/>
    <w:rsid w:val="004960FD"/>
    <w:rsid w:val="004A2C62"/>
    <w:rsid w:val="004A2DC1"/>
    <w:rsid w:val="004A2F56"/>
    <w:rsid w:val="004A3B12"/>
    <w:rsid w:val="004A3DF0"/>
    <w:rsid w:val="004A46B0"/>
    <w:rsid w:val="004A46D9"/>
    <w:rsid w:val="004A59A4"/>
    <w:rsid w:val="004A62B5"/>
    <w:rsid w:val="004A6678"/>
    <w:rsid w:val="004A6FC5"/>
    <w:rsid w:val="004A79F1"/>
    <w:rsid w:val="004B031A"/>
    <w:rsid w:val="004B08F5"/>
    <w:rsid w:val="004B1F5A"/>
    <w:rsid w:val="004B3254"/>
    <w:rsid w:val="004B40DB"/>
    <w:rsid w:val="004B4B4C"/>
    <w:rsid w:val="004B4E5B"/>
    <w:rsid w:val="004B517F"/>
    <w:rsid w:val="004B544D"/>
    <w:rsid w:val="004B6165"/>
    <w:rsid w:val="004B6A91"/>
    <w:rsid w:val="004B6E8F"/>
    <w:rsid w:val="004C09F1"/>
    <w:rsid w:val="004C0B84"/>
    <w:rsid w:val="004C14A9"/>
    <w:rsid w:val="004C31EE"/>
    <w:rsid w:val="004C3432"/>
    <w:rsid w:val="004C34B7"/>
    <w:rsid w:val="004C4572"/>
    <w:rsid w:val="004C4AB1"/>
    <w:rsid w:val="004C4CAC"/>
    <w:rsid w:val="004D0564"/>
    <w:rsid w:val="004D0D3B"/>
    <w:rsid w:val="004D197C"/>
    <w:rsid w:val="004D2177"/>
    <w:rsid w:val="004D27F8"/>
    <w:rsid w:val="004D3016"/>
    <w:rsid w:val="004D5EEA"/>
    <w:rsid w:val="004D69B2"/>
    <w:rsid w:val="004D7C8F"/>
    <w:rsid w:val="004E0078"/>
    <w:rsid w:val="004E07CE"/>
    <w:rsid w:val="004E0AE0"/>
    <w:rsid w:val="004E1064"/>
    <w:rsid w:val="004E3BAE"/>
    <w:rsid w:val="004E3E0D"/>
    <w:rsid w:val="004E44F3"/>
    <w:rsid w:val="004E618C"/>
    <w:rsid w:val="004E6AF2"/>
    <w:rsid w:val="004F032D"/>
    <w:rsid w:val="004F145D"/>
    <w:rsid w:val="004F1789"/>
    <w:rsid w:val="004F181F"/>
    <w:rsid w:val="004F32C8"/>
    <w:rsid w:val="004F42D7"/>
    <w:rsid w:val="004F4ACD"/>
    <w:rsid w:val="004F5911"/>
    <w:rsid w:val="004F6149"/>
    <w:rsid w:val="004F64DE"/>
    <w:rsid w:val="004F6FA0"/>
    <w:rsid w:val="004F76EC"/>
    <w:rsid w:val="004F7A32"/>
    <w:rsid w:val="004F7B3D"/>
    <w:rsid w:val="004F7C10"/>
    <w:rsid w:val="004F7F70"/>
    <w:rsid w:val="005003CC"/>
    <w:rsid w:val="00500FAA"/>
    <w:rsid w:val="00501C57"/>
    <w:rsid w:val="00501CCD"/>
    <w:rsid w:val="005045A1"/>
    <w:rsid w:val="00504E4D"/>
    <w:rsid w:val="00504E4F"/>
    <w:rsid w:val="00504E66"/>
    <w:rsid w:val="00505C4F"/>
    <w:rsid w:val="00505F11"/>
    <w:rsid w:val="00506066"/>
    <w:rsid w:val="00506303"/>
    <w:rsid w:val="005069CE"/>
    <w:rsid w:val="00506A6D"/>
    <w:rsid w:val="00507CDA"/>
    <w:rsid w:val="00507E88"/>
    <w:rsid w:val="0051009E"/>
    <w:rsid w:val="005100B7"/>
    <w:rsid w:val="005107FF"/>
    <w:rsid w:val="00511C06"/>
    <w:rsid w:val="00512BB3"/>
    <w:rsid w:val="00512F20"/>
    <w:rsid w:val="00512F9B"/>
    <w:rsid w:val="005131BF"/>
    <w:rsid w:val="00513607"/>
    <w:rsid w:val="00513F78"/>
    <w:rsid w:val="00516268"/>
    <w:rsid w:val="00516C35"/>
    <w:rsid w:val="00517286"/>
    <w:rsid w:val="005209CE"/>
    <w:rsid w:val="005223F0"/>
    <w:rsid w:val="00523B58"/>
    <w:rsid w:val="005241E2"/>
    <w:rsid w:val="00524549"/>
    <w:rsid w:val="00524818"/>
    <w:rsid w:val="00524C02"/>
    <w:rsid w:val="005251BB"/>
    <w:rsid w:val="0052537C"/>
    <w:rsid w:val="005255B3"/>
    <w:rsid w:val="005259F4"/>
    <w:rsid w:val="00526B7B"/>
    <w:rsid w:val="00527BF0"/>
    <w:rsid w:val="00527EF0"/>
    <w:rsid w:val="00530F34"/>
    <w:rsid w:val="005336D0"/>
    <w:rsid w:val="00534DF3"/>
    <w:rsid w:val="005357C4"/>
    <w:rsid w:val="005362DE"/>
    <w:rsid w:val="00536556"/>
    <w:rsid w:val="00536645"/>
    <w:rsid w:val="005367BA"/>
    <w:rsid w:val="00536929"/>
    <w:rsid w:val="00536E93"/>
    <w:rsid w:val="00536F08"/>
    <w:rsid w:val="0054065D"/>
    <w:rsid w:val="00540831"/>
    <w:rsid w:val="0054091F"/>
    <w:rsid w:val="005412CB"/>
    <w:rsid w:val="005419EA"/>
    <w:rsid w:val="00542AA4"/>
    <w:rsid w:val="00542D9B"/>
    <w:rsid w:val="00544BCF"/>
    <w:rsid w:val="00545CB1"/>
    <w:rsid w:val="00546EE3"/>
    <w:rsid w:val="005475C2"/>
    <w:rsid w:val="00547C7E"/>
    <w:rsid w:val="0055077F"/>
    <w:rsid w:val="00550E3B"/>
    <w:rsid w:val="00550FD6"/>
    <w:rsid w:val="0055107D"/>
    <w:rsid w:val="005514A8"/>
    <w:rsid w:val="005515C6"/>
    <w:rsid w:val="00551F63"/>
    <w:rsid w:val="005523A8"/>
    <w:rsid w:val="0055246C"/>
    <w:rsid w:val="005537BD"/>
    <w:rsid w:val="005539AE"/>
    <w:rsid w:val="00557EC4"/>
    <w:rsid w:val="005605FF"/>
    <w:rsid w:val="00560B28"/>
    <w:rsid w:val="00560D1A"/>
    <w:rsid w:val="00561F71"/>
    <w:rsid w:val="0056241A"/>
    <w:rsid w:val="00563062"/>
    <w:rsid w:val="005633D8"/>
    <w:rsid w:val="00563678"/>
    <w:rsid w:val="005636B4"/>
    <w:rsid w:val="00563914"/>
    <w:rsid w:val="00563AFE"/>
    <w:rsid w:val="005659DF"/>
    <w:rsid w:val="00566CA6"/>
    <w:rsid w:val="00567AF6"/>
    <w:rsid w:val="00567C0B"/>
    <w:rsid w:val="00571556"/>
    <w:rsid w:val="00571C41"/>
    <w:rsid w:val="005720FB"/>
    <w:rsid w:val="00572244"/>
    <w:rsid w:val="0057299F"/>
    <w:rsid w:val="00572AF6"/>
    <w:rsid w:val="005733BC"/>
    <w:rsid w:val="005752E4"/>
    <w:rsid w:val="00575781"/>
    <w:rsid w:val="00576176"/>
    <w:rsid w:val="00576E59"/>
    <w:rsid w:val="005800B5"/>
    <w:rsid w:val="00581511"/>
    <w:rsid w:val="00581550"/>
    <w:rsid w:val="00583447"/>
    <w:rsid w:val="005842F2"/>
    <w:rsid w:val="00585B52"/>
    <w:rsid w:val="0058695C"/>
    <w:rsid w:val="005876D2"/>
    <w:rsid w:val="00591059"/>
    <w:rsid w:val="0059121D"/>
    <w:rsid w:val="00591DE5"/>
    <w:rsid w:val="005927E9"/>
    <w:rsid w:val="00592FA9"/>
    <w:rsid w:val="0059328A"/>
    <w:rsid w:val="005933AF"/>
    <w:rsid w:val="00593C71"/>
    <w:rsid w:val="00593E4E"/>
    <w:rsid w:val="00594BD4"/>
    <w:rsid w:val="00594E11"/>
    <w:rsid w:val="00595180"/>
    <w:rsid w:val="00595553"/>
    <w:rsid w:val="005962AB"/>
    <w:rsid w:val="00596EDB"/>
    <w:rsid w:val="00597EDB"/>
    <w:rsid w:val="005A03CB"/>
    <w:rsid w:val="005A0E1E"/>
    <w:rsid w:val="005A1B88"/>
    <w:rsid w:val="005A2F5C"/>
    <w:rsid w:val="005A3253"/>
    <w:rsid w:val="005A3ED6"/>
    <w:rsid w:val="005A4F29"/>
    <w:rsid w:val="005A4FCA"/>
    <w:rsid w:val="005A5B61"/>
    <w:rsid w:val="005A5FF4"/>
    <w:rsid w:val="005A7356"/>
    <w:rsid w:val="005A7B17"/>
    <w:rsid w:val="005B0A7B"/>
    <w:rsid w:val="005B10DD"/>
    <w:rsid w:val="005B2C2D"/>
    <w:rsid w:val="005B3605"/>
    <w:rsid w:val="005B44C0"/>
    <w:rsid w:val="005B4B72"/>
    <w:rsid w:val="005B4E7D"/>
    <w:rsid w:val="005B5235"/>
    <w:rsid w:val="005B56FB"/>
    <w:rsid w:val="005B583F"/>
    <w:rsid w:val="005B65D0"/>
    <w:rsid w:val="005B6AF4"/>
    <w:rsid w:val="005B6B60"/>
    <w:rsid w:val="005B73F9"/>
    <w:rsid w:val="005B7C72"/>
    <w:rsid w:val="005C1A85"/>
    <w:rsid w:val="005C2454"/>
    <w:rsid w:val="005C2CA3"/>
    <w:rsid w:val="005C3053"/>
    <w:rsid w:val="005C3060"/>
    <w:rsid w:val="005C334D"/>
    <w:rsid w:val="005C4DF7"/>
    <w:rsid w:val="005C5B58"/>
    <w:rsid w:val="005C6B47"/>
    <w:rsid w:val="005C6E12"/>
    <w:rsid w:val="005C7676"/>
    <w:rsid w:val="005C7B93"/>
    <w:rsid w:val="005D0AED"/>
    <w:rsid w:val="005D175E"/>
    <w:rsid w:val="005D2017"/>
    <w:rsid w:val="005D2A20"/>
    <w:rsid w:val="005D3DAB"/>
    <w:rsid w:val="005D48CC"/>
    <w:rsid w:val="005D5D2A"/>
    <w:rsid w:val="005D5EE5"/>
    <w:rsid w:val="005D69DA"/>
    <w:rsid w:val="005E0F65"/>
    <w:rsid w:val="005E1327"/>
    <w:rsid w:val="005E1C7D"/>
    <w:rsid w:val="005E3491"/>
    <w:rsid w:val="005E457B"/>
    <w:rsid w:val="005E4D75"/>
    <w:rsid w:val="005E504F"/>
    <w:rsid w:val="005E5101"/>
    <w:rsid w:val="005E5613"/>
    <w:rsid w:val="005E7147"/>
    <w:rsid w:val="005E72D5"/>
    <w:rsid w:val="005E7BD9"/>
    <w:rsid w:val="005E7E24"/>
    <w:rsid w:val="005F0D25"/>
    <w:rsid w:val="005F0E4D"/>
    <w:rsid w:val="005F1551"/>
    <w:rsid w:val="005F1FCB"/>
    <w:rsid w:val="005F276D"/>
    <w:rsid w:val="005F3BC1"/>
    <w:rsid w:val="005F3D50"/>
    <w:rsid w:val="005F40E3"/>
    <w:rsid w:val="005F4B92"/>
    <w:rsid w:val="005F544D"/>
    <w:rsid w:val="005F662E"/>
    <w:rsid w:val="005F6D8D"/>
    <w:rsid w:val="005F766E"/>
    <w:rsid w:val="0060018F"/>
    <w:rsid w:val="00601029"/>
    <w:rsid w:val="006013DF"/>
    <w:rsid w:val="00601690"/>
    <w:rsid w:val="00602053"/>
    <w:rsid w:val="0060320D"/>
    <w:rsid w:val="00603296"/>
    <w:rsid w:val="00603402"/>
    <w:rsid w:val="00603E6B"/>
    <w:rsid w:val="00605952"/>
    <w:rsid w:val="006059E7"/>
    <w:rsid w:val="00605C48"/>
    <w:rsid w:val="0060612F"/>
    <w:rsid w:val="00606BBE"/>
    <w:rsid w:val="00606E90"/>
    <w:rsid w:val="00607133"/>
    <w:rsid w:val="00607A23"/>
    <w:rsid w:val="00607A33"/>
    <w:rsid w:val="006108AF"/>
    <w:rsid w:val="00610C47"/>
    <w:rsid w:val="0061412C"/>
    <w:rsid w:val="00614D2F"/>
    <w:rsid w:val="006161E2"/>
    <w:rsid w:val="0061741C"/>
    <w:rsid w:val="006176AF"/>
    <w:rsid w:val="00617E0A"/>
    <w:rsid w:val="00617F03"/>
    <w:rsid w:val="00620659"/>
    <w:rsid w:val="0062131C"/>
    <w:rsid w:val="00622EE5"/>
    <w:rsid w:val="00622F67"/>
    <w:rsid w:val="00623AA4"/>
    <w:rsid w:val="00624CD0"/>
    <w:rsid w:val="006253C2"/>
    <w:rsid w:val="00625B9A"/>
    <w:rsid w:val="006263DC"/>
    <w:rsid w:val="00626593"/>
    <w:rsid w:val="00626A1A"/>
    <w:rsid w:val="00630C21"/>
    <w:rsid w:val="00631C64"/>
    <w:rsid w:val="00633646"/>
    <w:rsid w:val="006336F6"/>
    <w:rsid w:val="00636501"/>
    <w:rsid w:val="00636632"/>
    <w:rsid w:val="006366A4"/>
    <w:rsid w:val="00636874"/>
    <w:rsid w:val="00636C8D"/>
    <w:rsid w:val="00636FC1"/>
    <w:rsid w:val="00636FC6"/>
    <w:rsid w:val="0063710D"/>
    <w:rsid w:val="0063783E"/>
    <w:rsid w:val="00640A3F"/>
    <w:rsid w:val="00642865"/>
    <w:rsid w:val="00642EBD"/>
    <w:rsid w:val="006439B2"/>
    <w:rsid w:val="00643C18"/>
    <w:rsid w:val="00643C2B"/>
    <w:rsid w:val="0064522D"/>
    <w:rsid w:val="006454FE"/>
    <w:rsid w:val="00645AE0"/>
    <w:rsid w:val="00646403"/>
    <w:rsid w:val="00646C65"/>
    <w:rsid w:val="00647D1D"/>
    <w:rsid w:val="00647E1A"/>
    <w:rsid w:val="00650D7B"/>
    <w:rsid w:val="00651776"/>
    <w:rsid w:val="006517F1"/>
    <w:rsid w:val="00651CD4"/>
    <w:rsid w:val="006526C4"/>
    <w:rsid w:val="00652A30"/>
    <w:rsid w:val="00653CB7"/>
    <w:rsid w:val="006543F6"/>
    <w:rsid w:val="00654F6F"/>
    <w:rsid w:val="006559C8"/>
    <w:rsid w:val="00655BB2"/>
    <w:rsid w:val="0065637C"/>
    <w:rsid w:val="00656F0D"/>
    <w:rsid w:val="006571E0"/>
    <w:rsid w:val="006573D9"/>
    <w:rsid w:val="00657AE1"/>
    <w:rsid w:val="006602D4"/>
    <w:rsid w:val="00660AFA"/>
    <w:rsid w:val="00660BC0"/>
    <w:rsid w:val="00661669"/>
    <w:rsid w:val="0066241D"/>
    <w:rsid w:val="00662DDE"/>
    <w:rsid w:val="00662E53"/>
    <w:rsid w:val="006632E2"/>
    <w:rsid w:val="006634C6"/>
    <w:rsid w:val="006648C6"/>
    <w:rsid w:val="006651C8"/>
    <w:rsid w:val="006653E3"/>
    <w:rsid w:val="00666707"/>
    <w:rsid w:val="0066685E"/>
    <w:rsid w:val="00666A13"/>
    <w:rsid w:val="00666C7F"/>
    <w:rsid w:val="00667BCC"/>
    <w:rsid w:val="0067115A"/>
    <w:rsid w:val="006728E8"/>
    <w:rsid w:val="0067334A"/>
    <w:rsid w:val="00675527"/>
    <w:rsid w:val="00676344"/>
    <w:rsid w:val="00676A77"/>
    <w:rsid w:val="00677033"/>
    <w:rsid w:val="00677487"/>
    <w:rsid w:val="006776A6"/>
    <w:rsid w:val="00677E3E"/>
    <w:rsid w:val="00677F90"/>
    <w:rsid w:val="006813B9"/>
    <w:rsid w:val="00681952"/>
    <w:rsid w:val="00683778"/>
    <w:rsid w:val="00685A88"/>
    <w:rsid w:val="006862A7"/>
    <w:rsid w:val="00686703"/>
    <w:rsid w:val="00686AFF"/>
    <w:rsid w:val="00692853"/>
    <w:rsid w:val="00695D28"/>
    <w:rsid w:val="00697F37"/>
    <w:rsid w:val="006A05C9"/>
    <w:rsid w:val="006A0916"/>
    <w:rsid w:val="006A1D35"/>
    <w:rsid w:val="006A2D6F"/>
    <w:rsid w:val="006A3085"/>
    <w:rsid w:val="006A3945"/>
    <w:rsid w:val="006A5808"/>
    <w:rsid w:val="006A5D6A"/>
    <w:rsid w:val="006A6EFD"/>
    <w:rsid w:val="006A7287"/>
    <w:rsid w:val="006A744A"/>
    <w:rsid w:val="006A794C"/>
    <w:rsid w:val="006A7F89"/>
    <w:rsid w:val="006B127A"/>
    <w:rsid w:val="006B1582"/>
    <w:rsid w:val="006B19EA"/>
    <w:rsid w:val="006B2164"/>
    <w:rsid w:val="006B294F"/>
    <w:rsid w:val="006B30A5"/>
    <w:rsid w:val="006B30CC"/>
    <w:rsid w:val="006B3C12"/>
    <w:rsid w:val="006B4D69"/>
    <w:rsid w:val="006B58C1"/>
    <w:rsid w:val="006B618D"/>
    <w:rsid w:val="006B79A9"/>
    <w:rsid w:val="006C0D77"/>
    <w:rsid w:val="006C0E58"/>
    <w:rsid w:val="006C1011"/>
    <w:rsid w:val="006C3F5F"/>
    <w:rsid w:val="006C4645"/>
    <w:rsid w:val="006C523D"/>
    <w:rsid w:val="006C5EC1"/>
    <w:rsid w:val="006C61D2"/>
    <w:rsid w:val="006C6899"/>
    <w:rsid w:val="006C6CEC"/>
    <w:rsid w:val="006C7D13"/>
    <w:rsid w:val="006D09AC"/>
    <w:rsid w:val="006D1361"/>
    <w:rsid w:val="006D1C83"/>
    <w:rsid w:val="006D20D3"/>
    <w:rsid w:val="006D2120"/>
    <w:rsid w:val="006D2870"/>
    <w:rsid w:val="006D3715"/>
    <w:rsid w:val="006D3C68"/>
    <w:rsid w:val="006D3EC5"/>
    <w:rsid w:val="006D5F3D"/>
    <w:rsid w:val="006D5FA7"/>
    <w:rsid w:val="006D607E"/>
    <w:rsid w:val="006D6511"/>
    <w:rsid w:val="006D7179"/>
    <w:rsid w:val="006E05FF"/>
    <w:rsid w:val="006E08EB"/>
    <w:rsid w:val="006E098C"/>
    <w:rsid w:val="006E0CF7"/>
    <w:rsid w:val="006E1FBC"/>
    <w:rsid w:val="006E2699"/>
    <w:rsid w:val="006E26A5"/>
    <w:rsid w:val="006E329A"/>
    <w:rsid w:val="006E3641"/>
    <w:rsid w:val="006E41E3"/>
    <w:rsid w:val="006E5147"/>
    <w:rsid w:val="006E5797"/>
    <w:rsid w:val="006E6D5A"/>
    <w:rsid w:val="006E77C3"/>
    <w:rsid w:val="006E7B5E"/>
    <w:rsid w:val="006F0029"/>
    <w:rsid w:val="006F016F"/>
    <w:rsid w:val="006F14A6"/>
    <w:rsid w:val="006F2033"/>
    <w:rsid w:val="006F2A0B"/>
    <w:rsid w:val="006F3148"/>
    <w:rsid w:val="006F338D"/>
    <w:rsid w:val="006F42A7"/>
    <w:rsid w:val="006F4C2D"/>
    <w:rsid w:val="006F512B"/>
    <w:rsid w:val="006F593D"/>
    <w:rsid w:val="006F6BD6"/>
    <w:rsid w:val="006F6F77"/>
    <w:rsid w:val="007001E7"/>
    <w:rsid w:val="007005A2"/>
    <w:rsid w:val="00700664"/>
    <w:rsid w:val="0070150E"/>
    <w:rsid w:val="00702535"/>
    <w:rsid w:val="00704214"/>
    <w:rsid w:val="0070498F"/>
    <w:rsid w:val="0070569C"/>
    <w:rsid w:val="00706B27"/>
    <w:rsid w:val="00707306"/>
    <w:rsid w:val="0070770C"/>
    <w:rsid w:val="00707778"/>
    <w:rsid w:val="007077E0"/>
    <w:rsid w:val="00707CA4"/>
    <w:rsid w:val="00710196"/>
    <w:rsid w:val="00710F87"/>
    <w:rsid w:val="007111B8"/>
    <w:rsid w:val="00711FE0"/>
    <w:rsid w:val="00712160"/>
    <w:rsid w:val="007128EC"/>
    <w:rsid w:val="00712BCE"/>
    <w:rsid w:val="00714A6B"/>
    <w:rsid w:val="00714CA7"/>
    <w:rsid w:val="0071523E"/>
    <w:rsid w:val="00715FDF"/>
    <w:rsid w:val="00716211"/>
    <w:rsid w:val="00716CD6"/>
    <w:rsid w:val="00717442"/>
    <w:rsid w:val="007176DD"/>
    <w:rsid w:val="00717E4E"/>
    <w:rsid w:val="007204ED"/>
    <w:rsid w:val="00720E31"/>
    <w:rsid w:val="00721215"/>
    <w:rsid w:val="0072244F"/>
    <w:rsid w:val="007232BF"/>
    <w:rsid w:val="0072330D"/>
    <w:rsid w:val="007236F6"/>
    <w:rsid w:val="00723784"/>
    <w:rsid w:val="00725D46"/>
    <w:rsid w:val="00726201"/>
    <w:rsid w:val="00727297"/>
    <w:rsid w:val="0072750A"/>
    <w:rsid w:val="00727D9A"/>
    <w:rsid w:val="007309D1"/>
    <w:rsid w:val="00730AC8"/>
    <w:rsid w:val="00731CB0"/>
    <w:rsid w:val="0073231C"/>
    <w:rsid w:val="0073392E"/>
    <w:rsid w:val="00733F5B"/>
    <w:rsid w:val="00734A0C"/>
    <w:rsid w:val="00735C00"/>
    <w:rsid w:val="00735CEC"/>
    <w:rsid w:val="0073617F"/>
    <w:rsid w:val="00737562"/>
    <w:rsid w:val="00740C09"/>
    <w:rsid w:val="00741192"/>
    <w:rsid w:val="00741851"/>
    <w:rsid w:val="00741FAE"/>
    <w:rsid w:val="00742784"/>
    <w:rsid w:val="00742C0E"/>
    <w:rsid w:val="00744B6B"/>
    <w:rsid w:val="00746668"/>
    <w:rsid w:val="0075006E"/>
    <w:rsid w:val="007510F0"/>
    <w:rsid w:val="0075125E"/>
    <w:rsid w:val="007516DC"/>
    <w:rsid w:val="00751A4B"/>
    <w:rsid w:val="0075239C"/>
    <w:rsid w:val="007525F2"/>
    <w:rsid w:val="007530DA"/>
    <w:rsid w:val="00753BD1"/>
    <w:rsid w:val="00754A62"/>
    <w:rsid w:val="007552EF"/>
    <w:rsid w:val="007556CD"/>
    <w:rsid w:val="007557E8"/>
    <w:rsid w:val="00756DD7"/>
    <w:rsid w:val="007606D7"/>
    <w:rsid w:val="0076354C"/>
    <w:rsid w:val="0076426B"/>
    <w:rsid w:val="00764422"/>
    <w:rsid w:val="007654CC"/>
    <w:rsid w:val="007656FF"/>
    <w:rsid w:val="0077093C"/>
    <w:rsid w:val="007728FA"/>
    <w:rsid w:val="007737D7"/>
    <w:rsid w:val="00773858"/>
    <w:rsid w:val="00773B4E"/>
    <w:rsid w:val="007741F8"/>
    <w:rsid w:val="00775900"/>
    <w:rsid w:val="00775C51"/>
    <w:rsid w:val="00775D76"/>
    <w:rsid w:val="00777523"/>
    <w:rsid w:val="00780646"/>
    <w:rsid w:val="007818D9"/>
    <w:rsid w:val="00782D39"/>
    <w:rsid w:val="00783942"/>
    <w:rsid w:val="0078399A"/>
    <w:rsid w:val="00783C97"/>
    <w:rsid w:val="00783C9A"/>
    <w:rsid w:val="00784601"/>
    <w:rsid w:val="007849C0"/>
    <w:rsid w:val="007867EA"/>
    <w:rsid w:val="007868C5"/>
    <w:rsid w:val="007877E0"/>
    <w:rsid w:val="00787880"/>
    <w:rsid w:val="0078799B"/>
    <w:rsid w:val="007879E1"/>
    <w:rsid w:val="00787D12"/>
    <w:rsid w:val="00787E9F"/>
    <w:rsid w:val="007901BC"/>
    <w:rsid w:val="007915C0"/>
    <w:rsid w:val="00792300"/>
    <w:rsid w:val="0079391F"/>
    <w:rsid w:val="00794695"/>
    <w:rsid w:val="00794792"/>
    <w:rsid w:val="00794D00"/>
    <w:rsid w:val="007A0792"/>
    <w:rsid w:val="007A18BF"/>
    <w:rsid w:val="007A2B78"/>
    <w:rsid w:val="007A2E8E"/>
    <w:rsid w:val="007A36BD"/>
    <w:rsid w:val="007A466D"/>
    <w:rsid w:val="007A4BA1"/>
    <w:rsid w:val="007A5032"/>
    <w:rsid w:val="007A6B79"/>
    <w:rsid w:val="007A6CA8"/>
    <w:rsid w:val="007A6EA1"/>
    <w:rsid w:val="007A73E7"/>
    <w:rsid w:val="007A7F69"/>
    <w:rsid w:val="007B037F"/>
    <w:rsid w:val="007B267C"/>
    <w:rsid w:val="007B396F"/>
    <w:rsid w:val="007B3CDB"/>
    <w:rsid w:val="007B4070"/>
    <w:rsid w:val="007B4F17"/>
    <w:rsid w:val="007B623A"/>
    <w:rsid w:val="007B684D"/>
    <w:rsid w:val="007C02B3"/>
    <w:rsid w:val="007C0A25"/>
    <w:rsid w:val="007C1946"/>
    <w:rsid w:val="007C1A16"/>
    <w:rsid w:val="007C1B75"/>
    <w:rsid w:val="007C22CE"/>
    <w:rsid w:val="007C2B69"/>
    <w:rsid w:val="007C419E"/>
    <w:rsid w:val="007C4320"/>
    <w:rsid w:val="007C6215"/>
    <w:rsid w:val="007C7134"/>
    <w:rsid w:val="007C786A"/>
    <w:rsid w:val="007D1997"/>
    <w:rsid w:val="007D1AA4"/>
    <w:rsid w:val="007D22BE"/>
    <w:rsid w:val="007D343D"/>
    <w:rsid w:val="007D344E"/>
    <w:rsid w:val="007D517D"/>
    <w:rsid w:val="007D566D"/>
    <w:rsid w:val="007D6455"/>
    <w:rsid w:val="007D6664"/>
    <w:rsid w:val="007E03ED"/>
    <w:rsid w:val="007E1E1F"/>
    <w:rsid w:val="007E2873"/>
    <w:rsid w:val="007E3024"/>
    <w:rsid w:val="007E4086"/>
    <w:rsid w:val="007E43A3"/>
    <w:rsid w:val="007E446D"/>
    <w:rsid w:val="007E5044"/>
    <w:rsid w:val="007E5776"/>
    <w:rsid w:val="007E6FEE"/>
    <w:rsid w:val="007F00A9"/>
    <w:rsid w:val="007F120D"/>
    <w:rsid w:val="007F1B71"/>
    <w:rsid w:val="007F21D4"/>
    <w:rsid w:val="007F36B4"/>
    <w:rsid w:val="007F374B"/>
    <w:rsid w:val="007F43DE"/>
    <w:rsid w:val="007F5490"/>
    <w:rsid w:val="007F5E4E"/>
    <w:rsid w:val="007F6603"/>
    <w:rsid w:val="007F6B08"/>
    <w:rsid w:val="007F70BE"/>
    <w:rsid w:val="007F76F1"/>
    <w:rsid w:val="007F7A68"/>
    <w:rsid w:val="007F7B97"/>
    <w:rsid w:val="00801014"/>
    <w:rsid w:val="00801581"/>
    <w:rsid w:val="00801F1B"/>
    <w:rsid w:val="008023FC"/>
    <w:rsid w:val="00802D89"/>
    <w:rsid w:val="00802E63"/>
    <w:rsid w:val="0080488D"/>
    <w:rsid w:val="00804A18"/>
    <w:rsid w:val="00805A61"/>
    <w:rsid w:val="00805D34"/>
    <w:rsid w:val="008065A5"/>
    <w:rsid w:val="0080678D"/>
    <w:rsid w:val="00810968"/>
    <w:rsid w:val="00810C3A"/>
    <w:rsid w:val="0081133E"/>
    <w:rsid w:val="008115F7"/>
    <w:rsid w:val="00814D85"/>
    <w:rsid w:val="0081587B"/>
    <w:rsid w:val="00815CF6"/>
    <w:rsid w:val="00816946"/>
    <w:rsid w:val="00816DCF"/>
    <w:rsid w:val="00817705"/>
    <w:rsid w:val="0081796D"/>
    <w:rsid w:val="00817B4A"/>
    <w:rsid w:val="00820C33"/>
    <w:rsid w:val="00820ED4"/>
    <w:rsid w:val="00821470"/>
    <w:rsid w:val="00821E11"/>
    <w:rsid w:val="00823680"/>
    <w:rsid w:val="008249D2"/>
    <w:rsid w:val="00824D41"/>
    <w:rsid w:val="00825279"/>
    <w:rsid w:val="008262C7"/>
    <w:rsid w:val="00826F96"/>
    <w:rsid w:val="00827A97"/>
    <w:rsid w:val="00827B63"/>
    <w:rsid w:val="00827EFF"/>
    <w:rsid w:val="00830762"/>
    <w:rsid w:val="00830D22"/>
    <w:rsid w:val="00831743"/>
    <w:rsid w:val="00832439"/>
    <w:rsid w:val="008326D2"/>
    <w:rsid w:val="0083297C"/>
    <w:rsid w:val="00832AA7"/>
    <w:rsid w:val="0083310D"/>
    <w:rsid w:val="00833693"/>
    <w:rsid w:val="00834422"/>
    <w:rsid w:val="00834E73"/>
    <w:rsid w:val="00836561"/>
    <w:rsid w:val="00837694"/>
    <w:rsid w:val="008376CD"/>
    <w:rsid w:val="0083781C"/>
    <w:rsid w:val="00840641"/>
    <w:rsid w:val="00841AF0"/>
    <w:rsid w:val="00841CB3"/>
    <w:rsid w:val="00843197"/>
    <w:rsid w:val="008444A3"/>
    <w:rsid w:val="008450B8"/>
    <w:rsid w:val="00845AE7"/>
    <w:rsid w:val="00846FF6"/>
    <w:rsid w:val="0084708B"/>
    <w:rsid w:val="008476D5"/>
    <w:rsid w:val="00847B8E"/>
    <w:rsid w:val="00850C72"/>
    <w:rsid w:val="00852339"/>
    <w:rsid w:val="00854DA8"/>
    <w:rsid w:val="0085586B"/>
    <w:rsid w:val="00856185"/>
    <w:rsid w:val="00856A11"/>
    <w:rsid w:val="00857F3A"/>
    <w:rsid w:val="0086180A"/>
    <w:rsid w:val="008626C2"/>
    <w:rsid w:val="00862837"/>
    <w:rsid w:val="00862AB2"/>
    <w:rsid w:val="00862B8D"/>
    <w:rsid w:val="00863D8C"/>
    <w:rsid w:val="00863FAA"/>
    <w:rsid w:val="008643B5"/>
    <w:rsid w:val="00864770"/>
    <w:rsid w:val="00864F11"/>
    <w:rsid w:val="00865135"/>
    <w:rsid w:val="008655A3"/>
    <w:rsid w:val="00865983"/>
    <w:rsid w:val="00865B05"/>
    <w:rsid w:val="00865B2F"/>
    <w:rsid w:val="0086628F"/>
    <w:rsid w:val="00870352"/>
    <w:rsid w:val="0087233B"/>
    <w:rsid w:val="008730B6"/>
    <w:rsid w:val="00873970"/>
    <w:rsid w:val="00876D82"/>
    <w:rsid w:val="008770CE"/>
    <w:rsid w:val="00877E65"/>
    <w:rsid w:val="0088072D"/>
    <w:rsid w:val="0088077C"/>
    <w:rsid w:val="008811B3"/>
    <w:rsid w:val="00881E5F"/>
    <w:rsid w:val="0088253B"/>
    <w:rsid w:val="008829F8"/>
    <w:rsid w:val="00883CF9"/>
    <w:rsid w:val="0088514A"/>
    <w:rsid w:val="0088555E"/>
    <w:rsid w:val="00885A36"/>
    <w:rsid w:val="0088638E"/>
    <w:rsid w:val="00887F03"/>
    <w:rsid w:val="00890F05"/>
    <w:rsid w:val="00891F2F"/>
    <w:rsid w:val="008922F0"/>
    <w:rsid w:val="00892477"/>
    <w:rsid w:val="00892BFF"/>
    <w:rsid w:val="008936D3"/>
    <w:rsid w:val="008938B7"/>
    <w:rsid w:val="008939DA"/>
    <w:rsid w:val="00893A4E"/>
    <w:rsid w:val="00893DFB"/>
    <w:rsid w:val="00895A71"/>
    <w:rsid w:val="00895AE9"/>
    <w:rsid w:val="00897B5A"/>
    <w:rsid w:val="008A05E4"/>
    <w:rsid w:val="008A0999"/>
    <w:rsid w:val="008A1C49"/>
    <w:rsid w:val="008A2099"/>
    <w:rsid w:val="008A365C"/>
    <w:rsid w:val="008A3921"/>
    <w:rsid w:val="008A39DC"/>
    <w:rsid w:val="008A3FC4"/>
    <w:rsid w:val="008A4624"/>
    <w:rsid w:val="008A4709"/>
    <w:rsid w:val="008A514E"/>
    <w:rsid w:val="008A5388"/>
    <w:rsid w:val="008A5768"/>
    <w:rsid w:val="008A59EA"/>
    <w:rsid w:val="008A6DC7"/>
    <w:rsid w:val="008A749D"/>
    <w:rsid w:val="008B005E"/>
    <w:rsid w:val="008B1B2E"/>
    <w:rsid w:val="008B26D0"/>
    <w:rsid w:val="008B2E40"/>
    <w:rsid w:val="008B3B11"/>
    <w:rsid w:val="008B4F0A"/>
    <w:rsid w:val="008B532D"/>
    <w:rsid w:val="008B5403"/>
    <w:rsid w:val="008B5715"/>
    <w:rsid w:val="008B67C9"/>
    <w:rsid w:val="008C099E"/>
    <w:rsid w:val="008C100B"/>
    <w:rsid w:val="008C1112"/>
    <w:rsid w:val="008C3392"/>
    <w:rsid w:val="008C339A"/>
    <w:rsid w:val="008C4A69"/>
    <w:rsid w:val="008C4E27"/>
    <w:rsid w:val="008C5A17"/>
    <w:rsid w:val="008C5BA8"/>
    <w:rsid w:val="008C6845"/>
    <w:rsid w:val="008C784A"/>
    <w:rsid w:val="008C7A55"/>
    <w:rsid w:val="008D2464"/>
    <w:rsid w:val="008D2C97"/>
    <w:rsid w:val="008D3AAD"/>
    <w:rsid w:val="008D3B26"/>
    <w:rsid w:val="008D68F3"/>
    <w:rsid w:val="008D6EB6"/>
    <w:rsid w:val="008D7CE8"/>
    <w:rsid w:val="008E1292"/>
    <w:rsid w:val="008E13A4"/>
    <w:rsid w:val="008E1683"/>
    <w:rsid w:val="008E19D6"/>
    <w:rsid w:val="008E1D25"/>
    <w:rsid w:val="008E2BF3"/>
    <w:rsid w:val="008E2F0C"/>
    <w:rsid w:val="008E30E9"/>
    <w:rsid w:val="008E3B08"/>
    <w:rsid w:val="008E3B22"/>
    <w:rsid w:val="008E3E09"/>
    <w:rsid w:val="008E475C"/>
    <w:rsid w:val="008E4E6A"/>
    <w:rsid w:val="008E57A5"/>
    <w:rsid w:val="008E5DED"/>
    <w:rsid w:val="008E68AB"/>
    <w:rsid w:val="008E7140"/>
    <w:rsid w:val="008E7F1A"/>
    <w:rsid w:val="008F128F"/>
    <w:rsid w:val="008F1357"/>
    <w:rsid w:val="008F14B0"/>
    <w:rsid w:val="008F1586"/>
    <w:rsid w:val="008F3AF1"/>
    <w:rsid w:val="008F3B2F"/>
    <w:rsid w:val="008F3B8B"/>
    <w:rsid w:val="008F3D9A"/>
    <w:rsid w:val="008F5110"/>
    <w:rsid w:val="008F5D7B"/>
    <w:rsid w:val="008F6904"/>
    <w:rsid w:val="008F722D"/>
    <w:rsid w:val="008F7C58"/>
    <w:rsid w:val="009004E8"/>
    <w:rsid w:val="009006EA"/>
    <w:rsid w:val="00900F59"/>
    <w:rsid w:val="009010E6"/>
    <w:rsid w:val="0090133B"/>
    <w:rsid w:val="00902CFD"/>
    <w:rsid w:val="00903341"/>
    <w:rsid w:val="009038D6"/>
    <w:rsid w:val="009055B4"/>
    <w:rsid w:val="009068A1"/>
    <w:rsid w:val="00906C84"/>
    <w:rsid w:val="00906F8F"/>
    <w:rsid w:val="00907DB7"/>
    <w:rsid w:val="009117BF"/>
    <w:rsid w:val="00912180"/>
    <w:rsid w:val="009126EA"/>
    <w:rsid w:val="00912941"/>
    <w:rsid w:val="0091325C"/>
    <w:rsid w:val="0091327E"/>
    <w:rsid w:val="009145A2"/>
    <w:rsid w:val="00914DAA"/>
    <w:rsid w:val="00915099"/>
    <w:rsid w:val="00916062"/>
    <w:rsid w:val="0091697C"/>
    <w:rsid w:val="00920D74"/>
    <w:rsid w:val="00921501"/>
    <w:rsid w:val="009229DE"/>
    <w:rsid w:val="009239D8"/>
    <w:rsid w:val="00923F9D"/>
    <w:rsid w:val="0092401D"/>
    <w:rsid w:val="009248D5"/>
    <w:rsid w:val="00925A06"/>
    <w:rsid w:val="00926AC1"/>
    <w:rsid w:val="0093125D"/>
    <w:rsid w:val="009315F1"/>
    <w:rsid w:val="00931E39"/>
    <w:rsid w:val="00932540"/>
    <w:rsid w:val="0093399B"/>
    <w:rsid w:val="0093572A"/>
    <w:rsid w:val="0093585B"/>
    <w:rsid w:val="00935CEB"/>
    <w:rsid w:val="00935E83"/>
    <w:rsid w:val="009371F6"/>
    <w:rsid w:val="00937D60"/>
    <w:rsid w:val="00940570"/>
    <w:rsid w:val="00944DC9"/>
    <w:rsid w:val="00944F88"/>
    <w:rsid w:val="00945A82"/>
    <w:rsid w:val="00946DB8"/>
    <w:rsid w:val="00947F83"/>
    <w:rsid w:val="00953A00"/>
    <w:rsid w:val="00955520"/>
    <w:rsid w:val="0095561B"/>
    <w:rsid w:val="00956A05"/>
    <w:rsid w:val="00957E8E"/>
    <w:rsid w:val="009609D3"/>
    <w:rsid w:val="00960C62"/>
    <w:rsid w:val="00960DEC"/>
    <w:rsid w:val="00961924"/>
    <w:rsid w:val="00962D1E"/>
    <w:rsid w:val="00963AFA"/>
    <w:rsid w:val="00963B47"/>
    <w:rsid w:val="00964E3E"/>
    <w:rsid w:val="0096523F"/>
    <w:rsid w:val="00965F9E"/>
    <w:rsid w:val="00966F30"/>
    <w:rsid w:val="00967926"/>
    <w:rsid w:val="00970203"/>
    <w:rsid w:val="00970696"/>
    <w:rsid w:val="00970707"/>
    <w:rsid w:val="0097167F"/>
    <w:rsid w:val="00972B7A"/>
    <w:rsid w:val="00972E65"/>
    <w:rsid w:val="00973083"/>
    <w:rsid w:val="0097421D"/>
    <w:rsid w:val="00975F08"/>
    <w:rsid w:val="009766FB"/>
    <w:rsid w:val="00976DDB"/>
    <w:rsid w:val="00980DF7"/>
    <w:rsid w:val="009810CA"/>
    <w:rsid w:val="00981492"/>
    <w:rsid w:val="00982D3E"/>
    <w:rsid w:val="00982E2D"/>
    <w:rsid w:val="0098344D"/>
    <w:rsid w:val="00983EBD"/>
    <w:rsid w:val="009853A9"/>
    <w:rsid w:val="00987928"/>
    <w:rsid w:val="00991564"/>
    <w:rsid w:val="00992E02"/>
    <w:rsid w:val="0099328E"/>
    <w:rsid w:val="00993819"/>
    <w:rsid w:val="00993B19"/>
    <w:rsid w:val="00994142"/>
    <w:rsid w:val="009943CE"/>
    <w:rsid w:val="009949E9"/>
    <w:rsid w:val="00994AE2"/>
    <w:rsid w:val="00994C38"/>
    <w:rsid w:val="009956B7"/>
    <w:rsid w:val="0099580B"/>
    <w:rsid w:val="00996F69"/>
    <w:rsid w:val="009973C3"/>
    <w:rsid w:val="0099741F"/>
    <w:rsid w:val="009A09EE"/>
    <w:rsid w:val="009A0BA0"/>
    <w:rsid w:val="009A0D34"/>
    <w:rsid w:val="009A2797"/>
    <w:rsid w:val="009A29BD"/>
    <w:rsid w:val="009A2B06"/>
    <w:rsid w:val="009A2C68"/>
    <w:rsid w:val="009A3B07"/>
    <w:rsid w:val="009A3FE2"/>
    <w:rsid w:val="009A429A"/>
    <w:rsid w:val="009A5063"/>
    <w:rsid w:val="009A56A6"/>
    <w:rsid w:val="009A6148"/>
    <w:rsid w:val="009A7103"/>
    <w:rsid w:val="009A7172"/>
    <w:rsid w:val="009A7578"/>
    <w:rsid w:val="009B07C7"/>
    <w:rsid w:val="009B2DAD"/>
    <w:rsid w:val="009B3920"/>
    <w:rsid w:val="009B427E"/>
    <w:rsid w:val="009B59BB"/>
    <w:rsid w:val="009C0AEC"/>
    <w:rsid w:val="009C1807"/>
    <w:rsid w:val="009C2E74"/>
    <w:rsid w:val="009C4B28"/>
    <w:rsid w:val="009C4CC8"/>
    <w:rsid w:val="009C561F"/>
    <w:rsid w:val="009C5EF5"/>
    <w:rsid w:val="009C5EF8"/>
    <w:rsid w:val="009D0400"/>
    <w:rsid w:val="009D047F"/>
    <w:rsid w:val="009D24A7"/>
    <w:rsid w:val="009D284F"/>
    <w:rsid w:val="009D293A"/>
    <w:rsid w:val="009D29DF"/>
    <w:rsid w:val="009D2D1C"/>
    <w:rsid w:val="009D2E9B"/>
    <w:rsid w:val="009D3083"/>
    <w:rsid w:val="009D3496"/>
    <w:rsid w:val="009D35DE"/>
    <w:rsid w:val="009D3AF5"/>
    <w:rsid w:val="009D436F"/>
    <w:rsid w:val="009D461E"/>
    <w:rsid w:val="009D6D0A"/>
    <w:rsid w:val="009D74AE"/>
    <w:rsid w:val="009E0495"/>
    <w:rsid w:val="009E0980"/>
    <w:rsid w:val="009E1A37"/>
    <w:rsid w:val="009E1FB7"/>
    <w:rsid w:val="009E34C2"/>
    <w:rsid w:val="009E3C6D"/>
    <w:rsid w:val="009E40B3"/>
    <w:rsid w:val="009E6089"/>
    <w:rsid w:val="009E6A37"/>
    <w:rsid w:val="009E6BAF"/>
    <w:rsid w:val="009E74C6"/>
    <w:rsid w:val="009F0124"/>
    <w:rsid w:val="009F0FB4"/>
    <w:rsid w:val="009F2D5B"/>
    <w:rsid w:val="009F3A34"/>
    <w:rsid w:val="009F3D23"/>
    <w:rsid w:val="009F459F"/>
    <w:rsid w:val="009F5AEB"/>
    <w:rsid w:val="009F7C3D"/>
    <w:rsid w:val="00A0039A"/>
    <w:rsid w:val="00A003BE"/>
    <w:rsid w:val="00A00EE8"/>
    <w:rsid w:val="00A01D6D"/>
    <w:rsid w:val="00A021B9"/>
    <w:rsid w:val="00A04A07"/>
    <w:rsid w:val="00A04D22"/>
    <w:rsid w:val="00A05ACA"/>
    <w:rsid w:val="00A06D93"/>
    <w:rsid w:val="00A07634"/>
    <w:rsid w:val="00A07958"/>
    <w:rsid w:val="00A1252C"/>
    <w:rsid w:val="00A1271F"/>
    <w:rsid w:val="00A12E4C"/>
    <w:rsid w:val="00A12ED0"/>
    <w:rsid w:val="00A1388E"/>
    <w:rsid w:val="00A141D4"/>
    <w:rsid w:val="00A15676"/>
    <w:rsid w:val="00A158C0"/>
    <w:rsid w:val="00A15B8A"/>
    <w:rsid w:val="00A1653C"/>
    <w:rsid w:val="00A17A7E"/>
    <w:rsid w:val="00A203F8"/>
    <w:rsid w:val="00A2092D"/>
    <w:rsid w:val="00A20CE0"/>
    <w:rsid w:val="00A20CE2"/>
    <w:rsid w:val="00A210DF"/>
    <w:rsid w:val="00A21229"/>
    <w:rsid w:val="00A22619"/>
    <w:rsid w:val="00A23153"/>
    <w:rsid w:val="00A23737"/>
    <w:rsid w:val="00A2469C"/>
    <w:rsid w:val="00A262E5"/>
    <w:rsid w:val="00A26929"/>
    <w:rsid w:val="00A27B3C"/>
    <w:rsid w:val="00A30614"/>
    <w:rsid w:val="00A307D4"/>
    <w:rsid w:val="00A314F2"/>
    <w:rsid w:val="00A31BCC"/>
    <w:rsid w:val="00A31ECD"/>
    <w:rsid w:val="00A34027"/>
    <w:rsid w:val="00A351C0"/>
    <w:rsid w:val="00A35B6D"/>
    <w:rsid w:val="00A35E2D"/>
    <w:rsid w:val="00A35F34"/>
    <w:rsid w:val="00A404F6"/>
    <w:rsid w:val="00A40DFB"/>
    <w:rsid w:val="00A40EF4"/>
    <w:rsid w:val="00A41E2C"/>
    <w:rsid w:val="00A42058"/>
    <w:rsid w:val="00A42543"/>
    <w:rsid w:val="00A42D08"/>
    <w:rsid w:val="00A42D36"/>
    <w:rsid w:val="00A42EB4"/>
    <w:rsid w:val="00A447C1"/>
    <w:rsid w:val="00A452F0"/>
    <w:rsid w:val="00A453AF"/>
    <w:rsid w:val="00A454E5"/>
    <w:rsid w:val="00A454F0"/>
    <w:rsid w:val="00A45D97"/>
    <w:rsid w:val="00A45DE5"/>
    <w:rsid w:val="00A46892"/>
    <w:rsid w:val="00A47151"/>
    <w:rsid w:val="00A47BD3"/>
    <w:rsid w:val="00A506F9"/>
    <w:rsid w:val="00A50E3B"/>
    <w:rsid w:val="00A518F6"/>
    <w:rsid w:val="00A51C78"/>
    <w:rsid w:val="00A521E7"/>
    <w:rsid w:val="00A5233B"/>
    <w:rsid w:val="00A52669"/>
    <w:rsid w:val="00A528AA"/>
    <w:rsid w:val="00A53D40"/>
    <w:rsid w:val="00A53E8F"/>
    <w:rsid w:val="00A54947"/>
    <w:rsid w:val="00A54E4F"/>
    <w:rsid w:val="00A55953"/>
    <w:rsid w:val="00A55B9A"/>
    <w:rsid w:val="00A56436"/>
    <w:rsid w:val="00A571B4"/>
    <w:rsid w:val="00A576C4"/>
    <w:rsid w:val="00A57C0B"/>
    <w:rsid w:val="00A60836"/>
    <w:rsid w:val="00A62B32"/>
    <w:rsid w:val="00A62B39"/>
    <w:rsid w:val="00A63A18"/>
    <w:rsid w:val="00A64FB8"/>
    <w:rsid w:val="00A677B3"/>
    <w:rsid w:val="00A67AD6"/>
    <w:rsid w:val="00A67B7A"/>
    <w:rsid w:val="00A67F0E"/>
    <w:rsid w:val="00A702D9"/>
    <w:rsid w:val="00A70925"/>
    <w:rsid w:val="00A712E4"/>
    <w:rsid w:val="00A718C5"/>
    <w:rsid w:val="00A71AE6"/>
    <w:rsid w:val="00A72052"/>
    <w:rsid w:val="00A73C3F"/>
    <w:rsid w:val="00A73F2E"/>
    <w:rsid w:val="00A74B44"/>
    <w:rsid w:val="00A74B94"/>
    <w:rsid w:val="00A75556"/>
    <w:rsid w:val="00A76587"/>
    <w:rsid w:val="00A76C01"/>
    <w:rsid w:val="00A773E0"/>
    <w:rsid w:val="00A776C1"/>
    <w:rsid w:val="00A777EB"/>
    <w:rsid w:val="00A802B6"/>
    <w:rsid w:val="00A80354"/>
    <w:rsid w:val="00A80416"/>
    <w:rsid w:val="00A80450"/>
    <w:rsid w:val="00A8050F"/>
    <w:rsid w:val="00A808DB"/>
    <w:rsid w:val="00A81E6F"/>
    <w:rsid w:val="00A830E5"/>
    <w:rsid w:val="00A83A3E"/>
    <w:rsid w:val="00A840B8"/>
    <w:rsid w:val="00A84383"/>
    <w:rsid w:val="00A8469E"/>
    <w:rsid w:val="00A8481F"/>
    <w:rsid w:val="00A84F25"/>
    <w:rsid w:val="00A856D0"/>
    <w:rsid w:val="00A86971"/>
    <w:rsid w:val="00A8713A"/>
    <w:rsid w:val="00A871D5"/>
    <w:rsid w:val="00A878F0"/>
    <w:rsid w:val="00A9063A"/>
    <w:rsid w:val="00A90CE8"/>
    <w:rsid w:val="00A91E6E"/>
    <w:rsid w:val="00A925FC"/>
    <w:rsid w:val="00A9282E"/>
    <w:rsid w:val="00A937FC"/>
    <w:rsid w:val="00A93CAE"/>
    <w:rsid w:val="00A93E9C"/>
    <w:rsid w:val="00A940A7"/>
    <w:rsid w:val="00A9446A"/>
    <w:rsid w:val="00A94514"/>
    <w:rsid w:val="00A953B5"/>
    <w:rsid w:val="00A95C96"/>
    <w:rsid w:val="00A96E78"/>
    <w:rsid w:val="00A976B1"/>
    <w:rsid w:val="00AA02AD"/>
    <w:rsid w:val="00AA02D3"/>
    <w:rsid w:val="00AA07F7"/>
    <w:rsid w:val="00AA0E4C"/>
    <w:rsid w:val="00AA2512"/>
    <w:rsid w:val="00AA2EC4"/>
    <w:rsid w:val="00AA2FDB"/>
    <w:rsid w:val="00AA3364"/>
    <w:rsid w:val="00AA3E70"/>
    <w:rsid w:val="00AA3EA3"/>
    <w:rsid w:val="00AA51A6"/>
    <w:rsid w:val="00AA51D0"/>
    <w:rsid w:val="00AA5696"/>
    <w:rsid w:val="00AA5A2E"/>
    <w:rsid w:val="00AA5BC4"/>
    <w:rsid w:val="00AA6ADE"/>
    <w:rsid w:val="00AA6CA2"/>
    <w:rsid w:val="00AA7522"/>
    <w:rsid w:val="00AB0A35"/>
    <w:rsid w:val="00AB0B18"/>
    <w:rsid w:val="00AB0B2E"/>
    <w:rsid w:val="00AB2DE4"/>
    <w:rsid w:val="00AB393B"/>
    <w:rsid w:val="00AB487E"/>
    <w:rsid w:val="00AB4E62"/>
    <w:rsid w:val="00AB6D59"/>
    <w:rsid w:val="00AC020A"/>
    <w:rsid w:val="00AC1D1E"/>
    <w:rsid w:val="00AC34C9"/>
    <w:rsid w:val="00AC3E0B"/>
    <w:rsid w:val="00AC4090"/>
    <w:rsid w:val="00AC448F"/>
    <w:rsid w:val="00AC44DA"/>
    <w:rsid w:val="00AC48BD"/>
    <w:rsid w:val="00AC5350"/>
    <w:rsid w:val="00AC5B38"/>
    <w:rsid w:val="00AC6256"/>
    <w:rsid w:val="00AC6955"/>
    <w:rsid w:val="00AD175A"/>
    <w:rsid w:val="00AD1D56"/>
    <w:rsid w:val="00AD20FD"/>
    <w:rsid w:val="00AD24BB"/>
    <w:rsid w:val="00AD2C6F"/>
    <w:rsid w:val="00AD3524"/>
    <w:rsid w:val="00AD3540"/>
    <w:rsid w:val="00AD3886"/>
    <w:rsid w:val="00AD3D04"/>
    <w:rsid w:val="00AD4582"/>
    <w:rsid w:val="00AD6471"/>
    <w:rsid w:val="00AD6EBF"/>
    <w:rsid w:val="00AD7BDF"/>
    <w:rsid w:val="00AD7FBD"/>
    <w:rsid w:val="00AE24C8"/>
    <w:rsid w:val="00AE3283"/>
    <w:rsid w:val="00AE53BC"/>
    <w:rsid w:val="00AE580B"/>
    <w:rsid w:val="00AE5B46"/>
    <w:rsid w:val="00AE7F20"/>
    <w:rsid w:val="00AF0281"/>
    <w:rsid w:val="00AF20E2"/>
    <w:rsid w:val="00AF2556"/>
    <w:rsid w:val="00AF2E03"/>
    <w:rsid w:val="00AF56FB"/>
    <w:rsid w:val="00AF5CC1"/>
    <w:rsid w:val="00AF666E"/>
    <w:rsid w:val="00AF7042"/>
    <w:rsid w:val="00B00150"/>
    <w:rsid w:val="00B01CE9"/>
    <w:rsid w:val="00B0214B"/>
    <w:rsid w:val="00B03A3B"/>
    <w:rsid w:val="00B04CBB"/>
    <w:rsid w:val="00B0549B"/>
    <w:rsid w:val="00B05C2C"/>
    <w:rsid w:val="00B06249"/>
    <w:rsid w:val="00B06A6C"/>
    <w:rsid w:val="00B076AF"/>
    <w:rsid w:val="00B07AAD"/>
    <w:rsid w:val="00B107BD"/>
    <w:rsid w:val="00B118EB"/>
    <w:rsid w:val="00B122F7"/>
    <w:rsid w:val="00B12A96"/>
    <w:rsid w:val="00B139B6"/>
    <w:rsid w:val="00B14DE4"/>
    <w:rsid w:val="00B14F4D"/>
    <w:rsid w:val="00B1507A"/>
    <w:rsid w:val="00B150B8"/>
    <w:rsid w:val="00B15732"/>
    <w:rsid w:val="00B15B59"/>
    <w:rsid w:val="00B15D88"/>
    <w:rsid w:val="00B16384"/>
    <w:rsid w:val="00B16396"/>
    <w:rsid w:val="00B16D64"/>
    <w:rsid w:val="00B16FC5"/>
    <w:rsid w:val="00B1701A"/>
    <w:rsid w:val="00B20C69"/>
    <w:rsid w:val="00B2103D"/>
    <w:rsid w:val="00B2154B"/>
    <w:rsid w:val="00B22137"/>
    <w:rsid w:val="00B22BD8"/>
    <w:rsid w:val="00B22F32"/>
    <w:rsid w:val="00B236A4"/>
    <w:rsid w:val="00B2392B"/>
    <w:rsid w:val="00B24103"/>
    <w:rsid w:val="00B2504D"/>
    <w:rsid w:val="00B250CA"/>
    <w:rsid w:val="00B253CE"/>
    <w:rsid w:val="00B2574F"/>
    <w:rsid w:val="00B26810"/>
    <w:rsid w:val="00B26960"/>
    <w:rsid w:val="00B301E9"/>
    <w:rsid w:val="00B31991"/>
    <w:rsid w:val="00B33588"/>
    <w:rsid w:val="00B3418B"/>
    <w:rsid w:val="00B343C8"/>
    <w:rsid w:val="00B367C0"/>
    <w:rsid w:val="00B36CDA"/>
    <w:rsid w:val="00B36E61"/>
    <w:rsid w:val="00B36F30"/>
    <w:rsid w:val="00B37206"/>
    <w:rsid w:val="00B377CD"/>
    <w:rsid w:val="00B37B62"/>
    <w:rsid w:val="00B41946"/>
    <w:rsid w:val="00B41E6C"/>
    <w:rsid w:val="00B42BDE"/>
    <w:rsid w:val="00B43073"/>
    <w:rsid w:val="00B437B3"/>
    <w:rsid w:val="00B43F1E"/>
    <w:rsid w:val="00B454AE"/>
    <w:rsid w:val="00B462D5"/>
    <w:rsid w:val="00B468FC"/>
    <w:rsid w:val="00B475C0"/>
    <w:rsid w:val="00B506FB"/>
    <w:rsid w:val="00B51122"/>
    <w:rsid w:val="00B51FB3"/>
    <w:rsid w:val="00B53B13"/>
    <w:rsid w:val="00B53C47"/>
    <w:rsid w:val="00B54223"/>
    <w:rsid w:val="00B54F88"/>
    <w:rsid w:val="00B55D31"/>
    <w:rsid w:val="00B564FC"/>
    <w:rsid w:val="00B56AF3"/>
    <w:rsid w:val="00B56EFB"/>
    <w:rsid w:val="00B6037A"/>
    <w:rsid w:val="00B606DE"/>
    <w:rsid w:val="00B60F7C"/>
    <w:rsid w:val="00B60FDB"/>
    <w:rsid w:val="00B61475"/>
    <w:rsid w:val="00B61533"/>
    <w:rsid w:val="00B61DA9"/>
    <w:rsid w:val="00B62901"/>
    <w:rsid w:val="00B63CCB"/>
    <w:rsid w:val="00B64551"/>
    <w:rsid w:val="00B6583E"/>
    <w:rsid w:val="00B65AC4"/>
    <w:rsid w:val="00B65D7B"/>
    <w:rsid w:val="00B7016F"/>
    <w:rsid w:val="00B7045A"/>
    <w:rsid w:val="00B7045E"/>
    <w:rsid w:val="00B70C3F"/>
    <w:rsid w:val="00B72A72"/>
    <w:rsid w:val="00B7326D"/>
    <w:rsid w:val="00B739DE"/>
    <w:rsid w:val="00B74CAC"/>
    <w:rsid w:val="00B74FD9"/>
    <w:rsid w:val="00B759D7"/>
    <w:rsid w:val="00B75D0E"/>
    <w:rsid w:val="00B75D71"/>
    <w:rsid w:val="00B77F9A"/>
    <w:rsid w:val="00B80C7E"/>
    <w:rsid w:val="00B80CD2"/>
    <w:rsid w:val="00B81463"/>
    <w:rsid w:val="00B82548"/>
    <w:rsid w:val="00B83DC3"/>
    <w:rsid w:val="00B84849"/>
    <w:rsid w:val="00B85663"/>
    <w:rsid w:val="00B86596"/>
    <w:rsid w:val="00B8680F"/>
    <w:rsid w:val="00B90AE8"/>
    <w:rsid w:val="00B913F2"/>
    <w:rsid w:val="00B93B97"/>
    <w:rsid w:val="00B941BF"/>
    <w:rsid w:val="00B941FE"/>
    <w:rsid w:val="00B947B3"/>
    <w:rsid w:val="00B95542"/>
    <w:rsid w:val="00B95710"/>
    <w:rsid w:val="00B95845"/>
    <w:rsid w:val="00B96B26"/>
    <w:rsid w:val="00B97025"/>
    <w:rsid w:val="00B97C0C"/>
    <w:rsid w:val="00BA1350"/>
    <w:rsid w:val="00BA1735"/>
    <w:rsid w:val="00BA173C"/>
    <w:rsid w:val="00BA2346"/>
    <w:rsid w:val="00BA3842"/>
    <w:rsid w:val="00BA3939"/>
    <w:rsid w:val="00BA3C06"/>
    <w:rsid w:val="00BA6622"/>
    <w:rsid w:val="00BA75F5"/>
    <w:rsid w:val="00BB071E"/>
    <w:rsid w:val="00BB1CF7"/>
    <w:rsid w:val="00BB2C9E"/>
    <w:rsid w:val="00BB3105"/>
    <w:rsid w:val="00BB3BA7"/>
    <w:rsid w:val="00BB4270"/>
    <w:rsid w:val="00BB4AD5"/>
    <w:rsid w:val="00BB53A6"/>
    <w:rsid w:val="00BB6DF9"/>
    <w:rsid w:val="00BC068A"/>
    <w:rsid w:val="00BC1B92"/>
    <w:rsid w:val="00BC2798"/>
    <w:rsid w:val="00BC36E5"/>
    <w:rsid w:val="00BC390F"/>
    <w:rsid w:val="00BC4F35"/>
    <w:rsid w:val="00BD073A"/>
    <w:rsid w:val="00BD0AA8"/>
    <w:rsid w:val="00BD10D7"/>
    <w:rsid w:val="00BD2B9A"/>
    <w:rsid w:val="00BD42EE"/>
    <w:rsid w:val="00BD4521"/>
    <w:rsid w:val="00BD4CA7"/>
    <w:rsid w:val="00BD57A0"/>
    <w:rsid w:val="00BD5D39"/>
    <w:rsid w:val="00BD6EB9"/>
    <w:rsid w:val="00BD72E3"/>
    <w:rsid w:val="00BD7F6B"/>
    <w:rsid w:val="00BE2401"/>
    <w:rsid w:val="00BE286C"/>
    <w:rsid w:val="00BE31C1"/>
    <w:rsid w:val="00BE3BFF"/>
    <w:rsid w:val="00BE3D41"/>
    <w:rsid w:val="00BE4C6E"/>
    <w:rsid w:val="00BE5181"/>
    <w:rsid w:val="00BE55B2"/>
    <w:rsid w:val="00BE5B2C"/>
    <w:rsid w:val="00BE60B2"/>
    <w:rsid w:val="00BE62E1"/>
    <w:rsid w:val="00BE74F6"/>
    <w:rsid w:val="00BF053C"/>
    <w:rsid w:val="00BF0DD4"/>
    <w:rsid w:val="00BF2DDD"/>
    <w:rsid w:val="00BF2EB2"/>
    <w:rsid w:val="00BF359C"/>
    <w:rsid w:val="00BF3A06"/>
    <w:rsid w:val="00BF4507"/>
    <w:rsid w:val="00BF49D2"/>
    <w:rsid w:val="00BF5B1A"/>
    <w:rsid w:val="00BF7203"/>
    <w:rsid w:val="00BF728E"/>
    <w:rsid w:val="00BF7A54"/>
    <w:rsid w:val="00C00B52"/>
    <w:rsid w:val="00C01AE3"/>
    <w:rsid w:val="00C021FA"/>
    <w:rsid w:val="00C02E65"/>
    <w:rsid w:val="00C030C1"/>
    <w:rsid w:val="00C03250"/>
    <w:rsid w:val="00C04C38"/>
    <w:rsid w:val="00C05575"/>
    <w:rsid w:val="00C07AA5"/>
    <w:rsid w:val="00C11A65"/>
    <w:rsid w:val="00C12932"/>
    <w:rsid w:val="00C12BAA"/>
    <w:rsid w:val="00C13235"/>
    <w:rsid w:val="00C13C1F"/>
    <w:rsid w:val="00C13F22"/>
    <w:rsid w:val="00C13F39"/>
    <w:rsid w:val="00C141BB"/>
    <w:rsid w:val="00C1448F"/>
    <w:rsid w:val="00C153D6"/>
    <w:rsid w:val="00C153EA"/>
    <w:rsid w:val="00C15DAF"/>
    <w:rsid w:val="00C1656C"/>
    <w:rsid w:val="00C16DBE"/>
    <w:rsid w:val="00C16E60"/>
    <w:rsid w:val="00C1704D"/>
    <w:rsid w:val="00C17EDE"/>
    <w:rsid w:val="00C20601"/>
    <w:rsid w:val="00C209AF"/>
    <w:rsid w:val="00C228FC"/>
    <w:rsid w:val="00C22C26"/>
    <w:rsid w:val="00C2339C"/>
    <w:rsid w:val="00C24301"/>
    <w:rsid w:val="00C24FB8"/>
    <w:rsid w:val="00C25456"/>
    <w:rsid w:val="00C25DEF"/>
    <w:rsid w:val="00C26C55"/>
    <w:rsid w:val="00C26D7A"/>
    <w:rsid w:val="00C26E4B"/>
    <w:rsid w:val="00C2713B"/>
    <w:rsid w:val="00C271FD"/>
    <w:rsid w:val="00C30ADE"/>
    <w:rsid w:val="00C30B67"/>
    <w:rsid w:val="00C32323"/>
    <w:rsid w:val="00C323D6"/>
    <w:rsid w:val="00C33139"/>
    <w:rsid w:val="00C3357D"/>
    <w:rsid w:val="00C34F91"/>
    <w:rsid w:val="00C35565"/>
    <w:rsid w:val="00C35871"/>
    <w:rsid w:val="00C3588E"/>
    <w:rsid w:val="00C35A23"/>
    <w:rsid w:val="00C418ED"/>
    <w:rsid w:val="00C42B89"/>
    <w:rsid w:val="00C44F31"/>
    <w:rsid w:val="00C45278"/>
    <w:rsid w:val="00C45EF8"/>
    <w:rsid w:val="00C468BF"/>
    <w:rsid w:val="00C46A5E"/>
    <w:rsid w:val="00C46B60"/>
    <w:rsid w:val="00C46C3B"/>
    <w:rsid w:val="00C5004E"/>
    <w:rsid w:val="00C5231B"/>
    <w:rsid w:val="00C54067"/>
    <w:rsid w:val="00C558B2"/>
    <w:rsid w:val="00C55926"/>
    <w:rsid w:val="00C56158"/>
    <w:rsid w:val="00C561F6"/>
    <w:rsid w:val="00C5657C"/>
    <w:rsid w:val="00C566E4"/>
    <w:rsid w:val="00C57571"/>
    <w:rsid w:val="00C57672"/>
    <w:rsid w:val="00C578B2"/>
    <w:rsid w:val="00C613F6"/>
    <w:rsid w:val="00C61C7A"/>
    <w:rsid w:val="00C62D4B"/>
    <w:rsid w:val="00C65603"/>
    <w:rsid w:val="00C65687"/>
    <w:rsid w:val="00C67A34"/>
    <w:rsid w:val="00C67C80"/>
    <w:rsid w:val="00C704C1"/>
    <w:rsid w:val="00C70AD4"/>
    <w:rsid w:val="00C71FAC"/>
    <w:rsid w:val="00C7218A"/>
    <w:rsid w:val="00C729A2"/>
    <w:rsid w:val="00C731BA"/>
    <w:rsid w:val="00C73F40"/>
    <w:rsid w:val="00C74A6F"/>
    <w:rsid w:val="00C7526C"/>
    <w:rsid w:val="00C76976"/>
    <w:rsid w:val="00C77D9B"/>
    <w:rsid w:val="00C80AFF"/>
    <w:rsid w:val="00C80FCB"/>
    <w:rsid w:val="00C83C62"/>
    <w:rsid w:val="00C84065"/>
    <w:rsid w:val="00C84067"/>
    <w:rsid w:val="00C84281"/>
    <w:rsid w:val="00C84A06"/>
    <w:rsid w:val="00C84F87"/>
    <w:rsid w:val="00C854A4"/>
    <w:rsid w:val="00C85FBD"/>
    <w:rsid w:val="00C862DC"/>
    <w:rsid w:val="00C86976"/>
    <w:rsid w:val="00C87107"/>
    <w:rsid w:val="00C8764C"/>
    <w:rsid w:val="00C91217"/>
    <w:rsid w:val="00C91B70"/>
    <w:rsid w:val="00C9232A"/>
    <w:rsid w:val="00C92C7F"/>
    <w:rsid w:val="00C92FFF"/>
    <w:rsid w:val="00C932FD"/>
    <w:rsid w:val="00C93FD7"/>
    <w:rsid w:val="00C9469D"/>
    <w:rsid w:val="00C94DDE"/>
    <w:rsid w:val="00C95213"/>
    <w:rsid w:val="00C95718"/>
    <w:rsid w:val="00C95969"/>
    <w:rsid w:val="00C967E2"/>
    <w:rsid w:val="00C97CEB"/>
    <w:rsid w:val="00CA216C"/>
    <w:rsid w:val="00CA27C1"/>
    <w:rsid w:val="00CA3642"/>
    <w:rsid w:val="00CA3F04"/>
    <w:rsid w:val="00CA5D92"/>
    <w:rsid w:val="00CA6183"/>
    <w:rsid w:val="00CA6BE0"/>
    <w:rsid w:val="00CA7171"/>
    <w:rsid w:val="00CB063B"/>
    <w:rsid w:val="00CB2315"/>
    <w:rsid w:val="00CB2A3B"/>
    <w:rsid w:val="00CB35D8"/>
    <w:rsid w:val="00CB40EE"/>
    <w:rsid w:val="00CB60E0"/>
    <w:rsid w:val="00CB6596"/>
    <w:rsid w:val="00CB6E18"/>
    <w:rsid w:val="00CB78AE"/>
    <w:rsid w:val="00CB7DB5"/>
    <w:rsid w:val="00CC0895"/>
    <w:rsid w:val="00CC09A3"/>
    <w:rsid w:val="00CC12CA"/>
    <w:rsid w:val="00CC2351"/>
    <w:rsid w:val="00CC2662"/>
    <w:rsid w:val="00CC3AA9"/>
    <w:rsid w:val="00CC45C7"/>
    <w:rsid w:val="00CC480D"/>
    <w:rsid w:val="00CC522B"/>
    <w:rsid w:val="00CC6ACA"/>
    <w:rsid w:val="00CC73DC"/>
    <w:rsid w:val="00CC7794"/>
    <w:rsid w:val="00CD0921"/>
    <w:rsid w:val="00CD1552"/>
    <w:rsid w:val="00CD224A"/>
    <w:rsid w:val="00CD2579"/>
    <w:rsid w:val="00CD2C45"/>
    <w:rsid w:val="00CD61F2"/>
    <w:rsid w:val="00CD6B7C"/>
    <w:rsid w:val="00CD71BA"/>
    <w:rsid w:val="00CD7402"/>
    <w:rsid w:val="00CD7BCC"/>
    <w:rsid w:val="00CD7D70"/>
    <w:rsid w:val="00CE06D7"/>
    <w:rsid w:val="00CE0C65"/>
    <w:rsid w:val="00CE12AA"/>
    <w:rsid w:val="00CE141C"/>
    <w:rsid w:val="00CE1862"/>
    <w:rsid w:val="00CE2ED0"/>
    <w:rsid w:val="00CE30F4"/>
    <w:rsid w:val="00CE47C5"/>
    <w:rsid w:val="00CE5357"/>
    <w:rsid w:val="00CE59D7"/>
    <w:rsid w:val="00CE67F4"/>
    <w:rsid w:val="00CF0B7F"/>
    <w:rsid w:val="00CF0D50"/>
    <w:rsid w:val="00CF0FA8"/>
    <w:rsid w:val="00CF1025"/>
    <w:rsid w:val="00CF267E"/>
    <w:rsid w:val="00CF2759"/>
    <w:rsid w:val="00CF2D09"/>
    <w:rsid w:val="00CF30AB"/>
    <w:rsid w:val="00CF45E5"/>
    <w:rsid w:val="00CF51A1"/>
    <w:rsid w:val="00CF6FEA"/>
    <w:rsid w:val="00CF7E6F"/>
    <w:rsid w:val="00D002AC"/>
    <w:rsid w:val="00D0045A"/>
    <w:rsid w:val="00D0067C"/>
    <w:rsid w:val="00D01B47"/>
    <w:rsid w:val="00D01EA4"/>
    <w:rsid w:val="00D02B33"/>
    <w:rsid w:val="00D02D79"/>
    <w:rsid w:val="00D04592"/>
    <w:rsid w:val="00D04D19"/>
    <w:rsid w:val="00D05372"/>
    <w:rsid w:val="00D066DE"/>
    <w:rsid w:val="00D069E3"/>
    <w:rsid w:val="00D1227B"/>
    <w:rsid w:val="00D128B5"/>
    <w:rsid w:val="00D129D6"/>
    <w:rsid w:val="00D12AAA"/>
    <w:rsid w:val="00D13917"/>
    <w:rsid w:val="00D13A7D"/>
    <w:rsid w:val="00D15296"/>
    <w:rsid w:val="00D1555C"/>
    <w:rsid w:val="00D15D2A"/>
    <w:rsid w:val="00D15EB5"/>
    <w:rsid w:val="00D171A5"/>
    <w:rsid w:val="00D17A55"/>
    <w:rsid w:val="00D2005F"/>
    <w:rsid w:val="00D21724"/>
    <w:rsid w:val="00D22130"/>
    <w:rsid w:val="00D2280B"/>
    <w:rsid w:val="00D232B4"/>
    <w:rsid w:val="00D23D33"/>
    <w:rsid w:val="00D25865"/>
    <w:rsid w:val="00D2616A"/>
    <w:rsid w:val="00D26C1C"/>
    <w:rsid w:val="00D26DC3"/>
    <w:rsid w:val="00D27E64"/>
    <w:rsid w:val="00D31220"/>
    <w:rsid w:val="00D31F28"/>
    <w:rsid w:val="00D321B2"/>
    <w:rsid w:val="00D32AF2"/>
    <w:rsid w:val="00D33B78"/>
    <w:rsid w:val="00D34F11"/>
    <w:rsid w:val="00D3535E"/>
    <w:rsid w:val="00D3624C"/>
    <w:rsid w:val="00D3788B"/>
    <w:rsid w:val="00D37B3C"/>
    <w:rsid w:val="00D40079"/>
    <w:rsid w:val="00D412BE"/>
    <w:rsid w:val="00D41A95"/>
    <w:rsid w:val="00D41E47"/>
    <w:rsid w:val="00D41F10"/>
    <w:rsid w:val="00D42191"/>
    <w:rsid w:val="00D42817"/>
    <w:rsid w:val="00D4290D"/>
    <w:rsid w:val="00D42E8E"/>
    <w:rsid w:val="00D43AD1"/>
    <w:rsid w:val="00D44C33"/>
    <w:rsid w:val="00D451BC"/>
    <w:rsid w:val="00D4520A"/>
    <w:rsid w:val="00D456C6"/>
    <w:rsid w:val="00D45D1A"/>
    <w:rsid w:val="00D45DAC"/>
    <w:rsid w:val="00D45F55"/>
    <w:rsid w:val="00D473DD"/>
    <w:rsid w:val="00D4740F"/>
    <w:rsid w:val="00D51E46"/>
    <w:rsid w:val="00D51FD1"/>
    <w:rsid w:val="00D53221"/>
    <w:rsid w:val="00D533FB"/>
    <w:rsid w:val="00D53A85"/>
    <w:rsid w:val="00D54F2D"/>
    <w:rsid w:val="00D55BE2"/>
    <w:rsid w:val="00D561D4"/>
    <w:rsid w:val="00D563D3"/>
    <w:rsid w:val="00D607B9"/>
    <w:rsid w:val="00D60EA6"/>
    <w:rsid w:val="00D617D7"/>
    <w:rsid w:val="00D62C17"/>
    <w:rsid w:val="00D63862"/>
    <w:rsid w:val="00D63A2C"/>
    <w:rsid w:val="00D63EDA"/>
    <w:rsid w:val="00D64707"/>
    <w:rsid w:val="00D64ABE"/>
    <w:rsid w:val="00D65B60"/>
    <w:rsid w:val="00D65C06"/>
    <w:rsid w:val="00D666E3"/>
    <w:rsid w:val="00D66A12"/>
    <w:rsid w:val="00D66CB3"/>
    <w:rsid w:val="00D674DA"/>
    <w:rsid w:val="00D70183"/>
    <w:rsid w:val="00D71094"/>
    <w:rsid w:val="00D71B54"/>
    <w:rsid w:val="00D7227B"/>
    <w:rsid w:val="00D72E97"/>
    <w:rsid w:val="00D7348A"/>
    <w:rsid w:val="00D740D4"/>
    <w:rsid w:val="00D7422A"/>
    <w:rsid w:val="00D74740"/>
    <w:rsid w:val="00D75224"/>
    <w:rsid w:val="00D75453"/>
    <w:rsid w:val="00D75EE6"/>
    <w:rsid w:val="00D76182"/>
    <w:rsid w:val="00D7735B"/>
    <w:rsid w:val="00D774AE"/>
    <w:rsid w:val="00D7770E"/>
    <w:rsid w:val="00D77A75"/>
    <w:rsid w:val="00D77E74"/>
    <w:rsid w:val="00D8095C"/>
    <w:rsid w:val="00D810A9"/>
    <w:rsid w:val="00D81805"/>
    <w:rsid w:val="00D81C63"/>
    <w:rsid w:val="00D81EDA"/>
    <w:rsid w:val="00D832ED"/>
    <w:rsid w:val="00D83BBD"/>
    <w:rsid w:val="00D85670"/>
    <w:rsid w:val="00D85964"/>
    <w:rsid w:val="00D86DBC"/>
    <w:rsid w:val="00D86E4C"/>
    <w:rsid w:val="00D877CD"/>
    <w:rsid w:val="00D877F7"/>
    <w:rsid w:val="00D87C15"/>
    <w:rsid w:val="00D87D14"/>
    <w:rsid w:val="00D9024B"/>
    <w:rsid w:val="00D9170A"/>
    <w:rsid w:val="00D91ABF"/>
    <w:rsid w:val="00D93A03"/>
    <w:rsid w:val="00D9439C"/>
    <w:rsid w:val="00D94565"/>
    <w:rsid w:val="00D94D18"/>
    <w:rsid w:val="00D963BC"/>
    <w:rsid w:val="00D96EA3"/>
    <w:rsid w:val="00DA3890"/>
    <w:rsid w:val="00DA4392"/>
    <w:rsid w:val="00DA4437"/>
    <w:rsid w:val="00DA485E"/>
    <w:rsid w:val="00DA4EAD"/>
    <w:rsid w:val="00DA50F8"/>
    <w:rsid w:val="00DA58D8"/>
    <w:rsid w:val="00DA5C01"/>
    <w:rsid w:val="00DA5EC5"/>
    <w:rsid w:val="00DA6366"/>
    <w:rsid w:val="00DA6ED3"/>
    <w:rsid w:val="00DA7AF4"/>
    <w:rsid w:val="00DA7CED"/>
    <w:rsid w:val="00DB040B"/>
    <w:rsid w:val="00DB0974"/>
    <w:rsid w:val="00DB0FCF"/>
    <w:rsid w:val="00DB1B0A"/>
    <w:rsid w:val="00DB1EEF"/>
    <w:rsid w:val="00DB414B"/>
    <w:rsid w:val="00DB43A5"/>
    <w:rsid w:val="00DB4C20"/>
    <w:rsid w:val="00DB4D4D"/>
    <w:rsid w:val="00DB5829"/>
    <w:rsid w:val="00DB5A63"/>
    <w:rsid w:val="00DB5C36"/>
    <w:rsid w:val="00DB605E"/>
    <w:rsid w:val="00DB6C87"/>
    <w:rsid w:val="00DC0B4C"/>
    <w:rsid w:val="00DC14A1"/>
    <w:rsid w:val="00DC179B"/>
    <w:rsid w:val="00DC29AD"/>
    <w:rsid w:val="00DC2A0F"/>
    <w:rsid w:val="00DC2C77"/>
    <w:rsid w:val="00DC4EFB"/>
    <w:rsid w:val="00DC6637"/>
    <w:rsid w:val="00DC7841"/>
    <w:rsid w:val="00DC7A02"/>
    <w:rsid w:val="00DD2A49"/>
    <w:rsid w:val="00DD3CA4"/>
    <w:rsid w:val="00DD3CAA"/>
    <w:rsid w:val="00DD3F28"/>
    <w:rsid w:val="00DD46C0"/>
    <w:rsid w:val="00DD4B44"/>
    <w:rsid w:val="00DD5A50"/>
    <w:rsid w:val="00DD5C4C"/>
    <w:rsid w:val="00DD743D"/>
    <w:rsid w:val="00DD7558"/>
    <w:rsid w:val="00DD773A"/>
    <w:rsid w:val="00DD7835"/>
    <w:rsid w:val="00DD7AA7"/>
    <w:rsid w:val="00DE0575"/>
    <w:rsid w:val="00DE11B8"/>
    <w:rsid w:val="00DE2B11"/>
    <w:rsid w:val="00DE2CCC"/>
    <w:rsid w:val="00DE33DD"/>
    <w:rsid w:val="00DE5175"/>
    <w:rsid w:val="00DE5388"/>
    <w:rsid w:val="00DE54D2"/>
    <w:rsid w:val="00DE65E8"/>
    <w:rsid w:val="00DE6646"/>
    <w:rsid w:val="00DE6D9B"/>
    <w:rsid w:val="00DE7459"/>
    <w:rsid w:val="00DF146D"/>
    <w:rsid w:val="00DF1798"/>
    <w:rsid w:val="00DF1908"/>
    <w:rsid w:val="00DF2718"/>
    <w:rsid w:val="00DF4611"/>
    <w:rsid w:val="00DF4EBD"/>
    <w:rsid w:val="00DF5D6C"/>
    <w:rsid w:val="00DF6B41"/>
    <w:rsid w:val="00DF6C31"/>
    <w:rsid w:val="00DF6CAD"/>
    <w:rsid w:val="00DF6CF1"/>
    <w:rsid w:val="00DF73AD"/>
    <w:rsid w:val="00DF7B41"/>
    <w:rsid w:val="00DF7DF0"/>
    <w:rsid w:val="00E00AF1"/>
    <w:rsid w:val="00E00CDD"/>
    <w:rsid w:val="00E02043"/>
    <w:rsid w:val="00E02A5D"/>
    <w:rsid w:val="00E061B5"/>
    <w:rsid w:val="00E064E4"/>
    <w:rsid w:val="00E11989"/>
    <w:rsid w:val="00E121CD"/>
    <w:rsid w:val="00E12551"/>
    <w:rsid w:val="00E12C83"/>
    <w:rsid w:val="00E13363"/>
    <w:rsid w:val="00E1393B"/>
    <w:rsid w:val="00E139FB"/>
    <w:rsid w:val="00E13CC9"/>
    <w:rsid w:val="00E146C2"/>
    <w:rsid w:val="00E15C93"/>
    <w:rsid w:val="00E17004"/>
    <w:rsid w:val="00E177F5"/>
    <w:rsid w:val="00E17E85"/>
    <w:rsid w:val="00E2262E"/>
    <w:rsid w:val="00E22F16"/>
    <w:rsid w:val="00E257E2"/>
    <w:rsid w:val="00E2587F"/>
    <w:rsid w:val="00E25B29"/>
    <w:rsid w:val="00E2677D"/>
    <w:rsid w:val="00E27B50"/>
    <w:rsid w:val="00E30EC5"/>
    <w:rsid w:val="00E31110"/>
    <w:rsid w:val="00E3120E"/>
    <w:rsid w:val="00E318A9"/>
    <w:rsid w:val="00E3220A"/>
    <w:rsid w:val="00E33384"/>
    <w:rsid w:val="00E33603"/>
    <w:rsid w:val="00E33C60"/>
    <w:rsid w:val="00E35721"/>
    <w:rsid w:val="00E36A5D"/>
    <w:rsid w:val="00E36B06"/>
    <w:rsid w:val="00E36CAF"/>
    <w:rsid w:val="00E374A7"/>
    <w:rsid w:val="00E37D4C"/>
    <w:rsid w:val="00E40624"/>
    <w:rsid w:val="00E4062C"/>
    <w:rsid w:val="00E40CAF"/>
    <w:rsid w:val="00E40E12"/>
    <w:rsid w:val="00E416A2"/>
    <w:rsid w:val="00E428E4"/>
    <w:rsid w:val="00E43FA6"/>
    <w:rsid w:val="00E43FEB"/>
    <w:rsid w:val="00E44586"/>
    <w:rsid w:val="00E4574E"/>
    <w:rsid w:val="00E45B93"/>
    <w:rsid w:val="00E46A79"/>
    <w:rsid w:val="00E46C99"/>
    <w:rsid w:val="00E47565"/>
    <w:rsid w:val="00E51418"/>
    <w:rsid w:val="00E51444"/>
    <w:rsid w:val="00E516CB"/>
    <w:rsid w:val="00E5267B"/>
    <w:rsid w:val="00E53467"/>
    <w:rsid w:val="00E53549"/>
    <w:rsid w:val="00E540AF"/>
    <w:rsid w:val="00E541A1"/>
    <w:rsid w:val="00E5481D"/>
    <w:rsid w:val="00E55079"/>
    <w:rsid w:val="00E55334"/>
    <w:rsid w:val="00E560C0"/>
    <w:rsid w:val="00E56420"/>
    <w:rsid w:val="00E5670A"/>
    <w:rsid w:val="00E5774C"/>
    <w:rsid w:val="00E57F7A"/>
    <w:rsid w:val="00E6046B"/>
    <w:rsid w:val="00E624DD"/>
    <w:rsid w:val="00E62D78"/>
    <w:rsid w:val="00E655F1"/>
    <w:rsid w:val="00E65A62"/>
    <w:rsid w:val="00E65F77"/>
    <w:rsid w:val="00E70831"/>
    <w:rsid w:val="00E7136B"/>
    <w:rsid w:val="00E71D92"/>
    <w:rsid w:val="00E724A9"/>
    <w:rsid w:val="00E73E53"/>
    <w:rsid w:val="00E7405E"/>
    <w:rsid w:val="00E7415A"/>
    <w:rsid w:val="00E7422D"/>
    <w:rsid w:val="00E7476D"/>
    <w:rsid w:val="00E7521A"/>
    <w:rsid w:val="00E7527E"/>
    <w:rsid w:val="00E75535"/>
    <w:rsid w:val="00E765D1"/>
    <w:rsid w:val="00E76648"/>
    <w:rsid w:val="00E76BFF"/>
    <w:rsid w:val="00E76DEB"/>
    <w:rsid w:val="00E80A82"/>
    <w:rsid w:val="00E823ED"/>
    <w:rsid w:val="00E824D7"/>
    <w:rsid w:val="00E840B6"/>
    <w:rsid w:val="00E854AC"/>
    <w:rsid w:val="00E860DA"/>
    <w:rsid w:val="00E87A74"/>
    <w:rsid w:val="00E90617"/>
    <w:rsid w:val="00E90765"/>
    <w:rsid w:val="00E9168C"/>
    <w:rsid w:val="00E91F6D"/>
    <w:rsid w:val="00E950A1"/>
    <w:rsid w:val="00E9578F"/>
    <w:rsid w:val="00E957AA"/>
    <w:rsid w:val="00E9672A"/>
    <w:rsid w:val="00E96FB2"/>
    <w:rsid w:val="00EA1DF9"/>
    <w:rsid w:val="00EA2654"/>
    <w:rsid w:val="00EA2781"/>
    <w:rsid w:val="00EA38E6"/>
    <w:rsid w:val="00EA467C"/>
    <w:rsid w:val="00EA4AB2"/>
    <w:rsid w:val="00EA5B67"/>
    <w:rsid w:val="00EA65C4"/>
    <w:rsid w:val="00EA6AA8"/>
    <w:rsid w:val="00EA73D5"/>
    <w:rsid w:val="00EA754F"/>
    <w:rsid w:val="00EA7A6E"/>
    <w:rsid w:val="00EA7DD6"/>
    <w:rsid w:val="00EB1113"/>
    <w:rsid w:val="00EB1BE6"/>
    <w:rsid w:val="00EB20D5"/>
    <w:rsid w:val="00EB2684"/>
    <w:rsid w:val="00EB4D85"/>
    <w:rsid w:val="00EB50B1"/>
    <w:rsid w:val="00EB5FB8"/>
    <w:rsid w:val="00EB65A5"/>
    <w:rsid w:val="00EB6BDA"/>
    <w:rsid w:val="00EB7488"/>
    <w:rsid w:val="00EC07A1"/>
    <w:rsid w:val="00EC245D"/>
    <w:rsid w:val="00EC5D07"/>
    <w:rsid w:val="00ED0708"/>
    <w:rsid w:val="00ED166A"/>
    <w:rsid w:val="00ED1961"/>
    <w:rsid w:val="00ED1EB4"/>
    <w:rsid w:val="00ED3C02"/>
    <w:rsid w:val="00ED51FE"/>
    <w:rsid w:val="00ED549B"/>
    <w:rsid w:val="00ED5DB1"/>
    <w:rsid w:val="00ED7DAC"/>
    <w:rsid w:val="00EE18C4"/>
    <w:rsid w:val="00EE26C8"/>
    <w:rsid w:val="00EE29D7"/>
    <w:rsid w:val="00EE5A37"/>
    <w:rsid w:val="00EE6519"/>
    <w:rsid w:val="00EE6783"/>
    <w:rsid w:val="00EE68AB"/>
    <w:rsid w:val="00EE747B"/>
    <w:rsid w:val="00EF0074"/>
    <w:rsid w:val="00EF0515"/>
    <w:rsid w:val="00EF07A7"/>
    <w:rsid w:val="00EF1E92"/>
    <w:rsid w:val="00EF1E93"/>
    <w:rsid w:val="00EF24C1"/>
    <w:rsid w:val="00EF2BB5"/>
    <w:rsid w:val="00EF2D9D"/>
    <w:rsid w:val="00EF3011"/>
    <w:rsid w:val="00EF4E0E"/>
    <w:rsid w:val="00EF509E"/>
    <w:rsid w:val="00EF5128"/>
    <w:rsid w:val="00EF5379"/>
    <w:rsid w:val="00EF5DF0"/>
    <w:rsid w:val="00EF7001"/>
    <w:rsid w:val="00EF7A77"/>
    <w:rsid w:val="00EF7E5B"/>
    <w:rsid w:val="00F01D8A"/>
    <w:rsid w:val="00F02698"/>
    <w:rsid w:val="00F029DD"/>
    <w:rsid w:val="00F03777"/>
    <w:rsid w:val="00F03B67"/>
    <w:rsid w:val="00F048C3"/>
    <w:rsid w:val="00F049C6"/>
    <w:rsid w:val="00F05F1F"/>
    <w:rsid w:val="00F06DA7"/>
    <w:rsid w:val="00F06F13"/>
    <w:rsid w:val="00F10032"/>
    <w:rsid w:val="00F10296"/>
    <w:rsid w:val="00F11DC0"/>
    <w:rsid w:val="00F13464"/>
    <w:rsid w:val="00F13574"/>
    <w:rsid w:val="00F13A46"/>
    <w:rsid w:val="00F14E73"/>
    <w:rsid w:val="00F160B1"/>
    <w:rsid w:val="00F1719D"/>
    <w:rsid w:val="00F17722"/>
    <w:rsid w:val="00F17A4A"/>
    <w:rsid w:val="00F20BDB"/>
    <w:rsid w:val="00F21248"/>
    <w:rsid w:val="00F22194"/>
    <w:rsid w:val="00F234BA"/>
    <w:rsid w:val="00F23C59"/>
    <w:rsid w:val="00F2473C"/>
    <w:rsid w:val="00F269DC"/>
    <w:rsid w:val="00F300BD"/>
    <w:rsid w:val="00F31884"/>
    <w:rsid w:val="00F31A10"/>
    <w:rsid w:val="00F32C33"/>
    <w:rsid w:val="00F32FED"/>
    <w:rsid w:val="00F33C3D"/>
    <w:rsid w:val="00F348E2"/>
    <w:rsid w:val="00F369A3"/>
    <w:rsid w:val="00F37C9B"/>
    <w:rsid w:val="00F4083C"/>
    <w:rsid w:val="00F428DF"/>
    <w:rsid w:val="00F438D4"/>
    <w:rsid w:val="00F43D5F"/>
    <w:rsid w:val="00F442B4"/>
    <w:rsid w:val="00F44328"/>
    <w:rsid w:val="00F447FC"/>
    <w:rsid w:val="00F44924"/>
    <w:rsid w:val="00F44B3C"/>
    <w:rsid w:val="00F45A44"/>
    <w:rsid w:val="00F47282"/>
    <w:rsid w:val="00F47C7B"/>
    <w:rsid w:val="00F50335"/>
    <w:rsid w:val="00F50807"/>
    <w:rsid w:val="00F50AB9"/>
    <w:rsid w:val="00F50F28"/>
    <w:rsid w:val="00F52085"/>
    <w:rsid w:val="00F527EE"/>
    <w:rsid w:val="00F52B01"/>
    <w:rsid w:val="00F53823"/>
    <w:rsid w:val="00F53C13"/>
    <w:rsid w:val="00F543C4"/>
    <w:rsid w:val="00F54E30"/>
    <w:rsid w:val="00F55004"/>
    <w:rsid w:val="00F55285"/>
    <w:rsid w:val="00F5566F"/>
    <w:rsid w:val="00F57494"/>
    <w:rsid w:val="00F57FC0"/>
    <w:rsid w:val="00F613C6"/>
    <w:rsid w:val="00F618CC"/>
    <w:rsid w:val="00F61A62"/>
    <w:rsid w:val="00F620BD"/>
    <w:rsid w:val="00F62D0E"/>
    <w:rsid w:val="00F64FA8"/>
    <w:rsid w:val="00F6560D"/>
    <w:rsid w:val="00F659F8"/>
    <w:rsid w:val="00F66082"/>
    <w:rsid w:val="00F70294"/>
    <w:rsid w:val="00F70310"/>
    <w:rsid w:val="00F70C78"/>
    <w:rsid w:val="00F70F69"/>
    <w:rsid w:val="00F712AF"/>
    <w:rsid w:val="00F7184C"/>
    <w:rsid w:val="00F71B93"/>
    <w:rsid w:val="00F72209"/>
    <w:rsid w:val="00F7223C"/>
    <w:rsid w:val="00F73A5F"/>
    <w:rsid w:val="00F73B08"/>
    <w:rsid w:val="00F751B1"/>
    <w:rsid w:val="00F75662"/>
    <w:rsid w:val="00F756E5"/>
    <w:rsid w:val="00F76C4B"/>
    <w:rsid w:val="00F76C69"/>
    <w:rsid w:val="00F77A35"/>
    <w:rsid w:val="00F80298"/>
    <w:rsid w:val="00F80AB2"/>
    <w:rsid w:val="00F81B08"/>
    <w:rsid w:val="00F829B6"/>
    <w:rsid w:val="00F8300C"/>
    <w:rsid w:val="00F839A9"/>
    <w:rsid w:val="00F84F17"/>
    <w:rsid w:val="00F851A9"/>
    <w:rsid w:val="00F8564D"/>
    <w:rsid w:val="00F85CC8"/>
    <w:rsid w:val="00F865A0"/>
    <w:rsid w:val="00F87A8C"/>
    <w:rsid w:val="00F905CD"/>
    <w:rsid w:val="00F90F80"/>
    <w:rsid w:val="00F91587"/>
    <w:rsid w:val="00F9174B"/>
    <w:rsid w:val="00F91A38"/>
    <w:rsid w:val="00F947E1"/>
    <w:rsid w:val="00F94D3F"/>
    <w:rsid w:val="00F953A5"/>
    <w:rsid w:val="00F955DE"/>
    <w:rsid w:val="00F956F8"/>
    <w:rsid w:val="00F9648F"/>
    <w:rsid w:val="00F964DC"/>
    <w:rsid w:val="00F9706C"/>
    <w:rsid w:val="00F973FB"/>
    <w:rsid w:val="00FA0668"/>
    <w:rsid w:val="00FA21E3"/>
    <w:rsid w:val="00FA2432"/>
    <w:rsid w:val="00FA2911"/>
    <w:rsid w:val="00FA2AD6"/>
    <w:rsid w:val="00FA3016"/>
    <w:rsid w:val="00FA4BC0"/>
    <w:rsid w:val="00FA572F"/>
    <w:rsid w:val="00FA6587"/>
    <w:rsid w:val="00FA6EE2"/>
    <w:rsid w:val="00FA7402"/>
    <w:rsid w:val="00FA7471"/>
    <w:rsid w:val="00FA797E"/>
    <w:rsid w:val="00FB0272"/>
    <w:rsid w:val="00FB0D9B"/>
    <w:rsid w:val="00FB1289"/>
    <w:rsid w:val="00FB1922"/>
    <w:rsid w:val="00FB1E9C"/>
    <w:rsid w:val="00FB3F90"/>
    <w:rsid w:val="00FB4346"/>
    <w:rsid w:val="00FB49F0"/>
    <w:rsid w:val="00FB702B"/>
    <w:rsid w:val="00FB71AD"/>
    <w:rsid w:val="00FB759D"/>
    <w:rsid w:val="00FB7724"/>
    <w:rsid w:val="00FB78B2"/>
    <w:rsid w:val="00FB7F2E"/>
    <w:rsid w:val="00FB7F8F"/>
    <w:rsid w:val="00FC1A71"/>
    <w:rsid w:val="00FC2554"/>
    <w:rsid w:val="00FC330F"/>
    <w:rsid w:val="00FC3ABA"/>
    <w:rsid w:val="00FC56C7"/>
    <w:rsid w:val="00FC5DA6"/>
    <w:rsid w:val="00FC6D7F"/>
    <w:rsid w:val="00FC743B"/>
    <w:rsid w:val="00FD0BB1"/>
    <w:rsid w:val="00FD1836"/>
    <w:rsid w:val="00FD6A41"/>
    <w:rsid w:val="00FD7189"/>
    <w:rsid w:val="00FD757C"/>
    <w:rsid w:val="00FE01F2"/>
    <w:rsid w:val="00FE0EA4"/>
    <w:rsid w:val="00FE14A1"/>
    <w:rsid w:val="00FE1ABD"/>
    <w:rsid w:val="00FE2D53"/>
    <w:rsid w:val="00FE318C"/>
    <w:rsid w:val="00FE3334"/>
    <w:rsid w:val="00FE335D"/>
    <w:rsid w:val="00FE39A1"/>
    <w:rsid w:val="00FE4CC1"/>
    <w:rsid w:val="00FE4D4A"/>
    <w:rsid w:val="00FE5B97"/>
    <w:rsid w:val="00FE66A4"/>
    <w:rsid w:val="00FE6CAB"/>
    <w:rsid w:val="00FE6E0D"/>
    <w:rsid w:val="00FE7293"/>
    <w:rsid w:val="00FE758D"/>
    <w:rsid w:val="00FF19A1"/>
    <w:rsid w:val="00FF19F2"/>
    <w:rsid w:val="00FF2BE9"/>
    <w:rsid w:val="00FF35C1"/>
    <w:rsid w:val="00FF3695"/>
    <w:rsid w:val="00FF3933"/>
    <w:rsid w:val="00FF3D05"/>
    <w:rsid w:val="00FF4408"/>
    <w:rsid w:val="00FF64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FAF95"/>
  <w15:chartTrackingRefBased/>
  <w15:docId w15:val="{BC05CDF5-4DDD-4647-8EE9-F096EB820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230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A38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A3890"/>
  </w:style>
  <w:style w:type="paragraph" w:styleId="Piedepgina">
    <w:name w:val="footer"/>
    <w:basedOn w:val="Normal"/>
    <w:link w:val="PiedepginaCar"/>
    <w:uiPriority w:val="99"/>
    <w:unhideWhenUsed/>
    <w:rsid w:val="00DA38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A3890"/>
  </w:style>
  <w:style w:type="paragraph" w:styleId="Textonotapie">
    <w:name w:val="footnote text"/>
    <w:basedOn w:val="Normal"/>
    <w:link w:val="TextonotapieCar"/>
    <w:uiPriority w:val="99"/>
    <w:unhideWhenUsed/>
    <w:rsid w:val="00DA3890"/>
    <w:pPr>
      <w:spacing w:after="0" w:line="240" w:lineRule="auto"/>
    </w:pPr>
    <w:rPr>
      <w:sz w:val="20"/>
      <w:szCs w:val="20"/>
    </w:rPr>
  </w:style>
  <w:style w:type="character" w:customStyle="1" w:styleId="TextonotapieCar">
    <w:name w:val="Texto nota pie Car"/>
    <w:basedOn w:val="Fuentedeprrafopredeter"/>
    <w:link w:val="Textonotapie"/>
    <w:uiPriority w:val="99"/>
    <w:rsid w:val="00DA3890"/>
    <w:rPr>
      <w:sz w:val="20"/>
      <w:szCs w:val="20"/>
    </w:rPr>
  </w:style>
  <w:style w:type="character" w:styleId="Refdenotaalpie">
    <w:name w:val="footnote reference"/>
    <w:basedOn w:val="Fuentedeprrafopredeter"/>
    <w:uiPriority w:val="99"/>
    <w:semiHidden/>
    <w:unhideWhenUsed/>
    <w:rsid w:val="00DA3890"/>
    <w:rPr>
      <w:vertAlign w:val="superscript"/>
    </w:rPr>
  </w:style>
  <w:style w:type="paragraph" w:styleId="Prrafodelista">
    <w:name w:val="List Paragraph"/>
    <w:basedOn w:val="Normal"/>
    <w:uiPriority w:val="34"/>
    <w:qFormat/>
    <w:rsid w:val="00DA3890"/>
    <w:pPr>
      <w:ind w:left="720"/>
      <w:contextualSpacing/>
    </w:pPr>
  </w:style>
  <w:style w:type="character" w:styleId="Refdecomentario">
    <w:name w:val="annotation reference"/>
    <w:basedOn w:val="Fuentedeprrafopredeter"/>
    <w:uiPriority w:val="99"/>
    <w:semiHidden/>
    <w:unhideWhenUsed/>
    <w:rsid w:val="00DA3890"/>
    <w:rPr>
      <w:sz w:val="16"/>
      <w:szCs w:val="16"/>
    </w:rPr>
  </w:style>
  <w:style w:type="paragraph" w:styleId="Textocomentario">
    <w:name w:val="annotation text"/>
    <w:basedOn w:val="Normal"/>
    <w:link w:val="TextocomentarioCar"/>
    <w:uiPriority w:val="99"/>
    <w:unhideWhenUsed/>
    <w:rsid w:val="00DA3890"/>
    <w:pPr>
      <w:spacing w:line="240" w:lineRule="auto"/>
    </w:pPr>
    <w:rPr>
      <w:sz w:val="20"/>
      <w:szCs w:val="20"/>
    </w:rPr>
  </w:style>
  <w:style w:type="character" w:customStyle="1" w:styleId="TextocomentarioCar">
    <w:name w:val="Texto comentario Car"/>
    <w:basedOn w:val="Fuentedeprrafopredeter"/>
    <w:link w:val="Textocomentario"/>
    <w:uiPriority w:val="99"/>
    <w:rsid w:val="00DA3890"/>
    <w:rPr>
      <w:sz w:val="20"/>
      <w:szCs w:val="20"/>
    </w:rPr>
  </w:style>
  <w:style w:type="paragraph" w:styleId="Textodeglobo">
    <w:name w:val="Balloon Text"/>
    <w:basedOn w:val="Normal"/>
    <w:link w:val="TextodegloboCar"/>
    <w:uiPriority w:val="99"/>
    <w:semiHidden/>
    <w:unhideWhenUsed/>
    <w:rsid w:val="00DA389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3890"/>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7F7A68"/>
    <w:rPr>
      <w:b/>
      <w:bCs/>
    </w:rPr>
  </w:style>
  <w:style w:type="character" w:customStyle="1" w:styleId="AsuntodelcomentarioCar">
    <w:name w:val="Asunto del comentario Car"/>
    <w:basedOn w:val="TextocomentarioCar"/>
    <w:link w:val="Asuntodelcomentario"/>
    <w:uiPriority w:val="99"/>
    <w:semiHidden/>
    <w:rsid w:val="007F7A68"/>
    <w:rPr>
      <w:b/>
      <w:bCs/>
      <w:sz w:val="20"/>
      <w:szCs w:val="20"/>
    </w:rPr>
  </w:style>
  <w:style w:type="paragraph" w:styleId="Textonotaalfinal">
    <w:name w:val="endnote text"/>
    <w:basedOn w:val="Normal"/>
    <w:link w:val="TextonotaalfinalCar"/>
    <w:uiPriority w:val="99"/>
    <w:unhideWhenUsed/>
    <w:rsid w:val="007F7A68"/>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7F7A68"/>
    <w:rPr>
      <w:sz w:val="20"/>
      <w:szCs w:val="20"/>
    </w:rPr>
  </w:style>
  <w:style w:type="character" w:styleId="Hipervnculo">
    <w:name w:val="Hyperlink"/>
    <w:basedOn w:val="Fuentedeprrafopredeter"/>
    <w:uiPriority w:val="99"/>
    <w:unhideWhenUsed/>
    <w:rsid w:val="007F7A68"/>
    <w:rPr>
      <w:color w:val="0563C1" w:themeColor="hyperlink"/>
      <w:u w:val="single"/>
    </w:rPr>
  </w:style>
  <w:style w:type="paragraph" w:styleId="NormalWeb">
    <w:name w:val="Normal (Web)"/>
    <w:basedOn w:val="Normal"/>
    <w:uiPriority w:val="99"/>
    <w:unhideWhenUsed/>
    <w:rsid w:val="007F7A68"/>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Mencinsinresolver1">
    <w:name w:val="Mención sin resolver1"/>
    <w:basedOn w:val="Fuentedeprrafopredeter"/>
    <w:uiPriority w:val="99"/>
    <w:semiHidden/>
    <w:unhideWhenUsed/>
    <w:rsid w:val="004C14A9"/>
    <w:rPr>
      <w:color w:val="605E5C"/>
      <w:shd w:val="clear" w:color="auto" w:fill="E1DFDD"/>
    </w:rPr>
  </w:style>
  <w:style w:type="character" w:styleId="Refdenotaalfinal">
    <w:name w:val="endnote reference"/>
    <w:basedOn w:val="Fuentedeprrafopredeter"/>
    <w:uiPriority w:val="99"/>
    <w:semiHidden/>
    <w:unhideWhenUsed/>
    <w:rsid w:val="008922F0"/>
    <w:rPr>
      <w:vertAlign w:val="superscript"/>
    </w:rPr>
  </w:style>
  <w:style w:type="paragraph" w:customStyle="1" w:styleId="Pa2">
    <w:name w:val="Pa2"/>
    <w:basedOn w:val="Normal"/>
    <w:next w:val="Normal"/>
    <w:uiPriority w:val="99"/>
    <w:rsid w:val="00571556"/>
    <w:pPr>
      <w:autoSpaceDE w:val="0"/>
      <w:autoSpaceDN w:val="0"/>
      <w:adjustRightInd w:val="0"/>
      <w:spacing w:after="0" w:line="171" w:lineRule="atLeast"/>
    </w:pPr>
    <w:rPr>
      <w:rFonts w:ascii="Times New Roman" w:hAnsi="Times New Roman" w:cs="Times New Roman"/>
      <w:sz w:val="24"/>
      <w:szCs w:val="24"/>
    </w:rPr>
  </w:style>
  <w:style w:type="character" w:styleId="Hipervnculovisitado">
    <w:name w:val="FollowedHyperlink"/>
    <w:basedOn w:val="Fuentedeprrafopredeter"/>
    <w:uiPriority w:val="99"/>
    <w:semiHidden/>
    <w:unhideWhenUsed/>
    <w:rsid w:val="00DC2C77"/>
    <w:rPr>
      <w:color w:val="954F72" w:themeColor="followedHyperlink"/>
      <w:u w:val="single"/>
    </w:rPr>
  </w:style>
  <w:style w:type="paragraph" w:styleId="Revisin">
    <w:name w:val="Revision"/>
    <w:hidden/>
    <w:uiPriority w:val="99"/>
    <w:semiHidden/>
    <w:rsid w:val="0025534D"/>
    <w:pPr>
      <w:spacing w:after="0" w:line="240" w:lineRule="auto"/>
    </w:pPr>
  </w:style>
  <w:style w:type="character" w:styleId="Mencinsinresolver">
    <w:name w:val="Unresolved Mention"/>
    <w:basedOn w:val="Fuentedeprrafopredeter"/>
    <w:uiPriority w:val="99"/>
    <w:semiHidden/>
    <w:unhideWhenUsed/>
    <w:rsid w:val="005E5613"/>
    <w:rPr>
      <w:color w:val="605E5C"/>
      <w:shd w:val="clear" w:color="auto" w:fill="E1DFDD"/>
    </w:rPr>
  </w:style>
  <w:style w:type="paragraph" w:styleId="Textoindependiente">
    <w:name w:val="Body Text"/>
    <w:basedOn w:val="Normal"/>
    <w:link w:val="TextoindependienteCar"/>
    <w:uiPriority w:val="99"/>
    <w:semiHidden/>
    <w:unhideWhenUsed/>
    <w:rsid w:val="00D44C33"/>
    <w:pPr>
      <w:spacing w:after="120"/>
    </w:pPr>
  </w:style>
  <w:style w:type="character" w:customStyle="1" w:styleId="TextoindependienteCar">
    <w:name w:val="Texto independiente Car"/>
    <w:basedOn w:val="Fuentedeprrafopredeter"/>
    <w:link w:val="Textoindependiente"/>
    <w:uiPriority w:val="99"/>
    <w:semiHidden/>
    <w:rsid w:val="00D44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04301">
      <w:bodyDiv w:val="1"/>
      <w:marLeft w:val="0"/>
      <w:marRight w:val="0"/>
      <w:marTop w:val="0"/>
      <w:marBottom w:val="0"/>
      <w:divBdr>
        <w:top w:val="none" w:sz="0" w:space="0" w:color="auto"/>
        <w:left w:val="none" w:sz="0" w:space="0" w:color="auto"/>
        <w:bottom w:val="none" w:sz="0" w:space="0" w:color="auto"/>
        <w:right w:val="none" w:sz="0" w:space="0" w:color="auto"/>
      </w:divBdr>
    </w:div>
    <w:div w:id="150827468">
      <w:bodyDiv w:val="1"/>
      <w:marLeft w:val="0"/>
      <w:marRight w:val="0"/>
      <w:marTop w:val="0"/>
      <w:marBottom w:val="0"/>
      <w:divBdr>
        <w:top w:val="none" w:sz="0" w:space="0" w:color="auto"/>
        <w:left w:val="none" w:sz="0" w:space="0" w:color="auto"/>
        <w:bottom w:val="none" w:sz="0" w:space="0" w:color="auto"/>
        <w:right w:val="none" w:sz="0" w:space="0" w:color="auto"/>
      </w:divBdr>
    </w:div>
    <w:div w:id="215629391">
      <w:bodyDiv w:val="1"/>
      <w:marLeft w:val="0"/>
      <w:marRight w:val="0"/>
      <w:marTop w:val="0"/>
      <w:marBottom w:val="0"/>
      <w:divBdr>
        <w:top w:val="none" w:sz="0" w:space="0" w:color="auto"/>
        <w:left w:val="none" w:sz="0" w:space="0" w:color="auto"/>
        <w:bottom w:val="none" w:sz="0" w:space="0" w:color="auto"/>
        <w:right w:val="none" w:sz="0" w:space="0" w:color="auto"/>
      </w:divBdr>
      <w:divsChild>
        <w:div w:id="1244487256">
          <w:marLeft w:val="0"/>
          <w:marRight w:val="0"/>
          <w:marTop w:val="0"/>
          <w:marBottom w:val="0"/>
          <w:divBdr>
            <w:top w:val="none" w:sz="0" w:space="0" w:color="auto"/>
            <w:left w:val="none" w:sz="0" w:space="0" w:color="auto"/>
            <w:bottom w:val="none" w:sz="0" w:space="0" w:color="auto"/>
            <w:right w:val="none" w:sz="0" w:space="0" w:color="auto"/>
          </w:divBdr>
        </w:div>
      </w:divsChild>
    </w:div>
    <w:div w:id="361322811">
      <w:bodyDiv w:val="1"/>
      <w:marLeft w:val="0"/>
      <w:marRight w:val="0"/>
      <w:marTop w:val="0"/>
      <w:marBottom w:val="0"/>
      <w:divBdr>
        <w:top w:val="none" w:sz="0" w:space="0" w:color="auto"/>
        <w:left w:val="none" w:sz="0" w:space="0" w:color="auto"/>
        <w:bottom w:val="none" w:sz="0" w:space="0" w:color="auto"/>
        <w:right w:val="none" w:sz="0" w:space="0" w:color="auto"/>
      </w:divBdr>
    </w:div>
    <w:div w:id="371459957">
      <w:bodyDiv w:val="1"/>
      <w:marLeft w:val="0"/>
      <w:marRight w:val="0"/>
      <w:marTop w:val="0"/>
      <w:marBottom w:val="0"/>
      <w:divBdr>
        <w:top w:val="none" w:sz="0" w:space="0" w:color="auto"/>
        <w:left w:val="none" w:sz="0" w:space="0" w:color="auto"/>
        <w:bottom w:val="none" w:sz="0" w:space="0" w:color="auto"/>
        <w:right w:val="none" w:sz="0" w:space="0" w:color="auto"/>
      </w:divBdr>
    </w:div>
    <w:div w:id="520509480">
      <w:bodyDiv w:val="1"/>
      <w:marLeft w:val="0"/>
      <w:marRight w:val="0"/>
      <w:marTop w:val="0"/>
      <w:marBottom w:val="0"/>
      <w:divBdr>
        <w:top w:val="none" w:sz="0" w:space="0" w:color="auto"/>
        <w:left w:val="none" w:sz="0" w:space="0" w:color="auto"/>
        <w:bottom w:val="none" w:sz="0" w:space="0" w:color="auto"/>
        <w:right w:val="none" w:sz="0" w:space="0" w:color="auto"/>
      </w:divBdr>
    </w:div>
    <w:div w:id="637809022">
      <w:bodyDiv w:val="1"/>
      <w:marLeft w:val="0"/>
      <w:marRight w:val="0"/>
      <w:marTop w:val="0"/>
      <w:marBottom w:val="0"/>
      <w:divBdr>
        <w:top w:val="none" w:sz="0" w:space="0" w:color="auto"/>
        <w:left w:val="none" w:sz="0" w:space="0" w:color="auto"/>
        <w:bottom w:val="none" w:sz="0" w:space="0" w:color="auto"/>
        <w:right w:val="none" w:sz="0" w:space="0" w:color="auto"/>
      </w:divBdr>
      <w:divsChild>
        <w:div w:id="1717050644">
          <w:marLeft w:val="0"/>
          <w:marRight w:val="0"/>
          <w:marTop w:val="0"/>
          <w:marBottom w:val="0"/>
          <w:divBdr>
            <w:top w:val="none" w:sz="0" w:space="0" w:color="auto"/>
            <w:left w:val="none" w:sz="0" w:space="0" w:color="auto"/>
            <w:bottom w:val="none" w:sz="0" w:space="0" w:color="auto"/>
            <w:right w:val="none" w:sz="0" w:space="0" w:color="auto"/>
          </w:divBdr>
        </w:div>
      </w:divsChild>
    </w:div>
    <w:div w:id="702242699">
      <w:bodyDiv w:val="1"/>
      <w:marLeft w:val="0"/>
      <w:marRight w:val="0"/>
      <w:marTop w:val="0"/>
      <w:marBottom w:val="0"/>
      <w:divBdr>
        <w:top w:val="none" w:sz="0" w:space="0" w:color="auto"/>
        <w:left w:val="none" w:sz="0" w:space="0" w:color="auto"/>
        <w:bottom w:val="none" w:sz="0" w:space="0" w:color="auto"/>
        <w:right w:val="none" w:sz="0" w:space="0" w:color="auto"/>
      </w:divBdr>
    </w:div>
    <w:div w:id="726881487">
      <w:bodyDiv w:val="1"/>
      <w:marLeft w:val="0"/>
      <w:marRight w:val="0"/>
      <w:marTop w:val="0"/>
      <w:marBottom w:val="0"/>
      <w:divBdr>
        <w:top w:val="none" w:sz="0" w:space="0" w:color="auto"/>
        <w:left w:val="none" w:sz="0" w:space="0" w:color="auto"/>
        <w:bottom w:val="none" w:sz="0" w:space="0" w:color="auto"/>
        <w:right w:val="none" w:sz="0" w:space="0" w:color="auto"/>
      </w:divBdr>
    </w:div>
    <w:div w:id="805247278">
      <w:bodyDiv w:val="1"/>
      <w:marLeft w:val="0"/>
      <w:marRight w:val="0"/>
      <w:marTop w:val="0"/>
      <w:marBottom w:val="0"/>
      <w:divBdr>
        <w:top w:val="none" w:sz="0" w:space="0" w:color="auto"/>
        <w:left w:val="none" w:sz="0" w:space="0" w:color="auto"/>
        <w:bottom w:val="none" w:sz="0" w:space="0" w:color="auto"/>
        <w:right w:val="none" w:sz="0" w:space="0" w:color="auto"/>
      </w:divBdr>
    </w:div>
    <w:div w:id="808128001">
      <w:bodyDiv w:val="1"/>
      <w:marLeft w:val="0"/>
      <w:marRight w:val="0"/>
      <w:marTop w:val="0"/>
      <w:marBottom w:val="0"/>
      <w:divBdr>
        <w:top w:val="none" w:sz="0" w:space="0" w:color="auto"/>
        <w:left w:val="none" w:sz="0" w:space="0" w:color="auto"/>
        <w:bottom w:val="none" w:sz="0" w:space="0" w:color="auto"/>
        <w:right w:val="none" w:sz="0" w:space="0" w:color="auto"/>
      </w:divBdr>
      <w:divsChild>
        <w:div w:id="811673817">
          <w:marLeft w:val="0"/>
          <w:marRight w:val="0"/>
          <w:marTop w:val="0"/>
          <w:marBottom w:val="0"/>
          <w:divBdr>
            <w:top w:val="none" w:sz="0" w:space="0" w:color="auto"/>
            <w:left w:val="none" w:sz="0" w:space="0" w:color="auto"/>
            <w:bottom w:val="none" w:sz="0" w:space="0" w:color="auto"/>
            <w:right w:val="none" w:sz="0" w:space="0" w:color="auto"/>
          </w:divBdr>
        </w:div>
      </w:divsChild>
    </w:div>
    <w:div w:id="837960964">
      <w:bodyDiv w:val="1"/>
      <w:marLeft w:val="0"/>
      <w:marRight w:val="0"/>
      <w:marTop w:val="0"/>
      <w:marBottom w:val="0"/>
      <w:divBdr>
        <w:top w:val="none" w:sz="0" w:space="0" w:color="auto"/>
        <w:left w:val="none" w:sz="0" w:space="0" w:color="auto"/>
        <w:bottom w:val="none" w:sz="0" w:space="0" w:color="auto"/>
        <w:right w:val="none" w:sz="0" w:space="0" w:color="auto"/>
      </w:divBdr>
    </w:div>
    <w:div w:id="838076405">
      <w:bodyDiv w:val="1"/>
      <w:marLeft w:val="0"/>
      <w:marRight w:val="0"/>
      <w:marTop w:val="0"/>
      <w:marBottom w:val="0"/>
      <w:divBdr>
        <w:top w:val="none" w:sz="0" w:space="0" w:color="auto"/>
        <w:left w:val="none" w:sz="0" w:space="0" w:color="auto"/>
        <w:bottom w:val="none" w:sz="0" w:space="0" w:color="auto"/>
        <w:right w:val="none" w:sz="0" w:space="0" w:color="auto"/>
      </w:divBdr>
    </w:div>
    <w:div w:id="1003896552">
      <w:bodyDiv w:val="1"/>
      <w:marLeft w:val="0"/>
      <w:marRight w:val="0"/>
      <w:marTop w:val="0"/>
      <w:marBottom w:val="0"/>
      <w:divBdr>
        <w:top w:val="none" w:sz="0" w:space="0" w:color="auto"/>
        <w:left w:val="none" w:sz="0" w:space="0" w:color="auto"/>
        <w:bottom w:val="none" w:sz="0" w:space="0" w:color="auto"/>
        <w:right w:val="none" w:sz="0" w:space="0" w:color="auto"/>
      </w:divBdr>
    </w:div>
    <w:div w:id="1036857973">
      <w:bodyDiv w:val="1"/>
      <w:marLeft w:val="0"/>
      <w:marRight w:val="0"/>
      <w:marTop w:val="0"/>
      <w:marBottom w:val="0"/>
      <w:divBdr>
        <w:top w:val="none" w:sz="0" w:space="0" w:color="auto"/>
        <w:left w:val="none" w:sz="0" w:space="0" w:color="auto"/>
        <w:bottom w:val="none" w:sz="0" w:space="0" w:color="auto"/>
        <w:right w:val="none" w:sz="0" w:space="0" w:color="auto"/>
      </w:divBdr>
    </w:div>
    <w:div w:id="1039628209">
      <w:bodyDiv w:val="1"/>
      <w:marLeft w:val="0"/>
      <w:marRight w:val="0"/>
      <w:marTop w:val="0"/>
      <w:marBottom w:val="0"/>
      <w:divBdr>
        <w:top w:val="none" w:sz="0" w:space="0" w:color="auto"/>
        <w:left w:val="none" w:sz="0" w:space="0" w:color="auto"/>
        <w:bottom w:val="none" w:sz="0" w:space="0" w:color="auto"/>
        <w:right w:val="none" w:sz="0" w:space="0" w:color="auto"/>
      </w:divBdr>
    </w:div>
    <w:div w:id="1056078809">
      <w:bodyDiv w:val="1"/>
      <w:marLeft w:val="0"/>
      <w:marRight w:val="0"/>
      <w:marTop w:val="0"/>
      <w:marBottom w:val="0"/>
      <w:divBdr>
        <w:top w:val="none" w:sz="0" w:space="0" w:color="auto"/>
        <w:left w:val="none" w:sz="0" w:space="0" w:color="auto"/>
        <w:bottom w:val="none" w:sz="0" w:space="0" w:color="auto"/>
        <w:right w:val="none" w:sz="0" w:space="0" w:color="auto"/>
      </w:divBdr>
    </w:div>
    <w:div w:id="1298872726">
      <w:bodyDiv w:val="1"/>
      <w:marLeft w:val="0"/>
      <w:marRight w:val="0"/>
      <w:marTop w:val="0"/>
      <w:marBottom w:val="0"/>
      <w:divBdr>
        <w:top w:val="none" w:sz="0" w:space="0" w:color="auto"/>
        <w:left w:val="none" w:sz="0" w:space="0" w:color="auto"/>
        <w:bottom w:val="none" w:sz="0" w:space="0" w:color="auto"/>
        <w:right w:val="none" w:sz="0" w:space="0" w:color="auto"/>
      </w:divBdr>
      <w:divsChild>
        <w:div w:id="1360859256">
          <w:marLeft w:val="0"/>
          <w:marRight w:val="0"/>
          <w:marTop w:val="0"/>
          <w:marBottom w:val="0"/>
          <w:divBdr>
            <w:top w:val="none" w:sz="0" w:space="0" w:color="auto"/>
            <w:left w:val="none" w:sz="0" w:space="0" w:color="auto"/>
            <w:bottom w:val="none" w:sz="0" w:space="0" w:color="auto"/>
            <w:right w:val="none" w:sz="0" w:space="0" w:color="auto"/>
          </w:divBdr>
        </w:div>
      </w:divsChild>
    </w:div>
    <w:div w:id="1651330548">
      <w:bodyDiv w:val="1"/>
      <w:marLeft w:val="0"/>
      <w:marRight w:val="0"/>
      <w:marTop w:val="0"/>
      <w:marBottom w:val="0"/>
      <w:divBdr>
        <w:top w:val="none" w:sz="0" w:space="0" w:color="auto"/>
        <w:left w:val="none" w:sz="0" w:space="0" w:color="auto"/>
        <w:bottom w:val="none" w:sz="0" w:space="0" w:color="auto"/>
        <w:right w:val="none" w:sz="0" w:space="0" w:color="auto"/>
      </w:divBdr>
    </w:div>
    <w:div w:id="1670792245">
      <w:bodyDiv w:val="1"/>
      <w:marLeft w:val="0"/>
      <w:marRight w:val="0"/>
      <w:marTop w:val="0"/>
      <w:marBottom w:val="0"/>
      <w:divBdr>
        <w:top w:val="none" w:sz="0" w:space="0" w:color="auto"/>
        <w:left w:val="none" w:sz="0" w:space="0" w:color="auto"/>
        <w:bottom w:val="none" w:sz="0" w:space="0" w:color="auto"/>
        <w:right w:val="none" w:sz="0" w:space="0" w:color="auto"/>
      </w:divBdr>
      <w:divsChild>
        <w:div w:id="1812937308">
          <w:marLeft w:val="0"/>
          <w:marRight w:val="0"/>
          <w:marTop w:val="0"/>
          <w:marBottom w:val="0"/>
          <w:divBdr>
            <w:top w:val="none" w:sz="0" w:space="0" w:color="auto"/>
            <w:left w:val="none" w:sz="0" w:space="0" w:color="auto"/>
            <w:bottom w:val="none" w:sz="0" w:space="0" w:color="auto"/>
            <w:right w:val="none" w:sz="0" w:space="0" w:color="auto"/>
          </w:divBdr>
        </w:div>
      </w:divsChild>
    </w:div>
    <w:div w:id="1694190036">
      <w:bodyDiv w:val="1"/>
      <w:marLeft w:val="0"/>
      <w:marRight w:val="0"/>
      <w:marTop w:val="0"/>
      <w:marBottom w:val="0"/>
      <w:divBdr>
        <w:top w:val="none" w:sz="0" w:space="0" w:color="auto"/>
        <w:left w:val="none" w:sz="0" w:space="0" w:color="auto"/>
        <w:bottom w:val="none" w:sz="0" w:space="0" w:color="auto"/>
        <w:right w:val="none" w:sz="0" w:space="0" w:color="auto"/>
      </w:divBdr>
      <w:divsChild>
        <w:div w:id="1998990618">
          <w:marLeft w:val="0"/>
          <w:marRight w:val="0"/>
          <w:marTop w:val="0"/>
          <w:marBottom w:val="0"/>
          <w:divBdr>
            <w:top w:val="none" w:sz="0" w:space="0" w:color="auto"/>
            <w:left w:val="none" w:sz="0" w:space="0" w:color="auto"/>
            <w:bottom w:val="none" w:sz="0" w:space="0" w:color="auto"/>
            <w:right w:val="none" w:sz="0" w:space="0" w:color="auto"/>
          </w:divBdr>
        </w:div>
      </w:divsChild>
    </w:div>
    <w:div w:id="1874416516">
      <w:bodyDiv w:val="1"/>
      <w:marLeft w:val="0"/>
      <w:marRight w:val="0"/>
      <w:marTop w:val="0"/>
      <w:marBottom w:val="0"/>
      <w:divBdr>
        <w:top w:val="none" w:sz="0" w:space="0" w:color="auto"/>
        <w:left w:val="none" w:sz="0" w:space="0" w:color="auto"/>
        <w:bottom w:val="none" w:sz="0" w:space="0" w:color="auto"/>
        <w:right w:val="none" w:sz="0" w:space="0" w:color="auto"/>
      </w:divBdr>
      <w:divsChild>
        <w:div w:id="378676593">
          <w:marLeft w:val="0"/>
          <w:marRight w:val="0"/>
          <w:marTop w:val="0"/>
          <w:marBottom w:val="0"/>
          <w:divBdr>
            <w:top w:val="none" w:sz="0" w:space="0" w:color="auto"/>
            <w:left w:val="none" w:sz="0" w:space="0" w:color="auto"/>
            <w:bottom w:val="none" w:sz="0" w:space="0" w:color="auto"/>
            <w:right w:val="none" w:sz="0" w:space="0" w:color="auto"/>
          </w:divBdr>
        </w:div>
      </w:divsChild>
    </w:div>
    <w:div w:id="1947538458">
      <w:bodyDiv w:val="1"/>
      <w:marLeft w:val="0"/>
      <w:marRight w:val="0"/>
      <w:marTop w:val="0"/>
      <w:marBottom w:val="0"/>
      <w:divBdr>
        <w:top w:val="none" w:sz="0" w:space="0" w:color="auto"/>
        <w:left w:val="none" w:sz="0" w:space="0" w:color="auto"/>
        <w:bottom w:val="none" w:sz="0" w:space="0" w:color="auto"/>
        <w:right w:val="none" w:sz="0" w:space="0" w:color="auto"/>
      </w:divBdr>
    </w:div>
    <w:div w:id="197880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hyperlink" Target="https://www.instagram.com/inegi_informa/"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image" Target="media/image8.jpeg"/><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hyperlink" Target="https://www.facebook.com/INEGIInforma/" TargetMode="External"/><Relationship Id="rId20" Type="http://schemas.openxmlformats.org/officeDocument/2006/relationships/hyperlink" Target="https://twitter.com/INEGI_INFORM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hyperlink" Target="http://www.inegi.org.mx/" TargetMode="External"/><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image" Target="media/image11.jpe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 Id="rId22" Type="http://schemas.openxmlformats.org/officeDocument/2006/relationships/hyperlink" Target="https://www.youtube.com/user/INEGIInforma"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inegi.org.mx/app/biblioteca/ficha.html?upc=702825197513" TargetMode="External"/><Relationship Id="rId13" Type="http://schemas.openxmlformats.org/officeDocument/2006/relationships/hyperlink" Target="https://www.unodc.org/documents/scientific/Global_SMART_21_spanish_web.pdf" TargetMode="External"/><Relationship Id="rId3" Type="http://schemas.openxmlformats.org/officeDocument/2006/relationships/hyperlink" Target="https://www.inegi.org.mx/programas/cnije/2020/" TargetMode="External"/><Relationship Id="rId7" Type="http://schemas.openxmlformats.org/officeDocument/2006/relationships/hyperlink" Target="https://www.inegi.org.mx/app/biblioteca/ficha.html?upc=702825197506" TargetMode="External"/><Relationship Id="rId12" Type="http://schemas.openxmlformats.org/officeDocument/2006/relationships/hyperlink" Target="https://www.unodc.org/documents/scientific/Global_SMART_Update_17_spanish_for_web.pdf" TargetMode="External"/><Relationship Id="rId2" Type="http://schemas.openxmlformats.org/officeDocument/2006/relationships/hyperlink" Target="https://www.inegi.org.mx/programas/cnpj/2020/" TargetMode="External"/><Relationship Id="rId1" Type="http://schemas.openxmlformats.org/officeDocument/2006/relationships/hyperlink" Target="https://www.inegi.org.mx/programas/cnpje/2020/" TargetMode="External"/><Relationship Id="rId6" Type="http://schemas.openxmlformats.org/officeDocument/2006/relationships/hyperlink" Target="https://www.inegi.org.mx/programas/cnspef/2020/" TargetMode="External"/><Relationship Id="rId11" Type="http://schemas.openxmlformats.org/officeDocument/2006/relationships/hyperlink" Target="https://www.dejusticia.org/wp-content/uploads/2017/04/fi_name_recurso_834.pdf" TargetMode="External"/><Relationship Id="rId5" Type="http://schemas.openxmlformats.org/officeDocument/2006/relationships/hyperlink" Target="https://www.inegi.org.mx/programas/cngspspe/2020/" TargetMode="External"/><Relationship Id="rId10" Type="http://schemas.openxmlformats.org/officeDocument/2006/relationships/hyperlink" Target="https://www.unodc.org/documents/congress/background-information/NGO/IDPC/IDPC-Briefing-Paper_Women-in-Latin-America_SPANISH.pdf" TargetMode="External"/><Relationship Id="rId4" Type="http://schemas.openxmlformats.org/officeDocument/2006/relationships/hyperlink" Target="https://www.inegi.org.mx/programas/cnijf/2020/" TargetMode="External"/><Relationship Id="rId9" Type="http://schemas.openxmlformats.org/officeDocument/2006/relationships/hyperlink" Target="https://wdr.unodc.org/uploads/wdr2020/documents/WDR20_BOOKLET_6.pdf" TargetMode="External"/><Relationship Id="rId14" Type="http://schemas.openxmlformats.org/officeDocument/2006/relationships/hyperlink" Target="https://www.unodc.org/documents/scientific/Global_SMART_21_web_new.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laura.reyes\Documents\Boletines\Drogas\Gr&#225;ficosTableau.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aura.reyes\Documents\Boletines\Drogas\5%20cuartillas\09.06.2020%20Bolet&#237;n%20drogas.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tania.garcia\AppData\Local\Microsoft\Windows\INetCache\Content.Outlook\TAMLQQ9C\Gr&#225;ficosBolet&#237;nDrogas_20.05.2021.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laura.reyes\Documents\Boletines\Drogas\Gr&#225;ficosBolet&#237;nDrogas_VF%20(version%202).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dLbls>
          <c:showLegendKey val="0"/>
          <c:showVal val="0"/>
          <c:showCatName val="0"/>
          <c:showSerName val="0"/>
          <c:showPercent val="0"/>
          <c:showBubbleSize val="0"/>
        </c:dLbls>
        <c:gapWidth val="219"/>
        <c:overlap val="-27"/>
        <c:axId val="581725264"/>
        <c:axId val="581725920"/>
      </c:barChart>
      <c:catAx>
        <c:axId val="58172526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581725920"/>
        <c:crosses val="autoZero"/>
        <c:auto val="1"/>
        <c:lblAlgn val="ctr"/>
        <c:lblOffset val="100"/>
        <c:noMultiLvlLbl val="0"/>
      </c:catAx>
      <c:valAx>
        <c:axId val="581725920"/>
        <c:scaling>
          <c:orientation val="minMax"/>
        </c:scaling>
        <c:delete val="0"/>
        <c:axPos val="l"/>
        <c:majorGridlines>
          <c:spPr>
            <a:ln w="9525" cap="flat" cmpd="sng" algn="ctr">
              <a:solidFill>
                <a:schemeClr val="tx1">
                  <a:lumMod val="15000"/>
                  <a:lumOff val="85000"/>
                </a:schemeClr>
              </a:solidFill>
              <a:round/>
            </a:ln>
            <a:effectLst/>
          </c:spPr>
        </c:majorGridlines>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5817252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MX"/>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7588537619319459E-3"/>
          <c:y val="0.45587541792471237"/>
          <c:w val="0.98038175313940734"/>
          <c:h val="0.15754116413734717"/>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96EB9D"/>
              </a:solidFill>
              <a:ln>
                <a:noFill/>
              </a:ln>
              <a:effectLst/>
            </c:spPr>
            <c:extLst>
              <c:ext xmlns:c16="http://schemas.microsoft.com/office/drawing/2014/chart" uri="{C3380CC4-5D6E-409C-BE32-E72D297353CC}">
                <c16:uniqueId val="{00000001-B924-4CD8-B40E-DF107F9946D9}"/>
              </c:ext>
            </c:extLst>
          </c:dPt>
          <c:dPt>
            <c:idx val="1"/>
            <c:invertIfNegative val="0"/>
            <c:bubble3D val="0"/>
            <c:spPr>
              <a:solidFill>
                <a:srgbClr val="96EB9D"/>
              </a:solidFill>
              <a:ln>
                <a:noFill/>
              </a:ln>
              <a:effectLst/>
            </c:spPr>
            <c:extLst>
              <c:ext xmlns:c16="http://schemas.microsoft.com/office/drawing/2014/chart" uri="{C3380CC4-5D6E-409C-BE32-E72D297353CC}">
                <c16:uniqueId val="{00000003-B924-4CD8-B40E-DF107F9946D9}"/>
              </c:ext>
            </c:extLst>
          </c:dPt>
          <c:dPt>
            <c:idx val="2"/>
            <c:invertIfNegative val="0"/>
            <c:bubble3D val="0"/>
            <c:spPr>
              <a:solidFill>
                <a:srgbClr val="96EB9D"/>
              </a:solidFill>
              <a:ln>
                <a:noFill/>
              </a:ln>
              <a:effectLst/>
            </c:spPr>
            <c:extLst>
              <c:ext xmlns:c16="http://schemas.microsoft.com/office/drawing/2014/chart" uri="{C3380CC4-5D6E-409C-BE32-E72D297353CC}">
                <c16:uniqueId val="{00000005-B924-4CD8-B40E-DF107F9946D9}"/>
              </c:ext>
            </c:extLst>
          </c:dPt>
          <c:dPt>
            <c:idx val="4"/>
            <c:invertIfNegative val="0"/>
            <c:bubble3D val="0"/>
            <c:spPr>
              <a:solidFill>
                <a:srgbClr val="BBAEEB"/>
              </a:solidFill>
              <a:ln>
                <a:noFill/>
              </a:ln>
              <a:effectLst/>
            </c:spPr>
            <c:extLst>
              <c:ext xmlns:c16="http://schemas.microsoft.com/office/drawing/2014/chart" uri="{C3380CC4-5D6E-409C-BE32-E72D297353CC}">
                <c16:uniqueId val="{00000007-B924-4CD8-B40E-DF107F9946D9}"/>
              </c:ext>
            </c:extLst>
          </c:dPt>
          <c:dPt>
            <c:idx val="5"/>
            <c:invertIfNegative val="0"/>
            <c:bubble3D val="0"/>
            <c:spPr>
              <a:solidFill>
                <a:srgbClr val="BBAEEB"/>
              </a:solidFill>
              <a:ln>
                <a:noFill/>
              </a:ln>
              <a:effectLst/>
            </c:spPr>
            <c:extLst>
              <c:ext xmlns:c16="http://schemas.microsoft.com/office/drawing/2014/chart" uri="{C3380CC4-5D6E-409C-BE32-E72D297353CC}">
                <c16:uniqueId val="{00000009-B924-4CD8-B40E-DF107F9946D9}"/>
              </c:ext>
            </c:extLst>
          </c:dPt>
          <c:dPt>
            <c:idx val="6"/>
            <c:invertIfNegative val="0"/>
            <c:bubble3D val="0"/>
            <c:spPr>
              <a:solidFill>
                <a:srgbClr val="BBAEEB"/>
              </a:solidFill>
              <a:ln>
                <a:noFill/>
              </a:ln>
              <a:effectLst/>
            </c:spPr>
            <c:extLst>
              <c:ext xmlns:c16="http://schemas.microsoft.com/office/drawing/2014/chart" uri="{C3380CC4-5D6E-409C-BE32-E72D297353CC}">
                <c16:uniqueId val="{0000000B-B924-4CD8-B40E-DF107F9946D9}"/>
              </c:ext>
            </c:extLst>
          </c:dPt>
          <c:dPt>
            <c:idx val="8"/>
            <c:invertIfNegative val="0"/>
            <c:bubble3D val="0"/>
            <c:spPr>
              <a:solidFill>
                <a:schemeClr val="accent3">
                  <a:lumMod val="60000"/>
                  <a:lumOff val="40000"/>
                </a:schemeClr>
              </a:solidFill>
              <a:ln>
                <a:noFill/>
              </a:ln>
              <a:effectLst/>
            </c:spPr>
            <c:extLst>
              <c:ext xmlns:c16="http://schemas.microsoft.com/office/drawing/2014/chart" uri="{C3380CC4-5D6E-409C-BE32-E72D297353CC}">
                <c16:uniqueId val="{0000000D-B924-4CD8-B40E-DF107F9946D9}"/>
              </c:ext>
            </c:extLst>
          </c:dPt>
          <c:dPt>
            <c:idx val="9"/>
            <c:invertIfNegative val="0"/>
            <c:bubble3D val="0"/>
            <c:spPr>
              <a:solidFill>
                <a:schemeClr val="accent3">
                  <a:lumMod val="60000"/>
                  <a:lumOff val="40000"/>
                </a:schemeClr>
              </a:solidFill>
              <a:ln>
                <a:noFill/>
              </a:ln>
              <a:effectLst/>
            </c:spPr>
            <c:extLst>
              <c:ext xmlns:c16="http://schemas.microsoft.com/office/drawing/2014/chart" uri="{C3380CC4-5D6E-409C-BE32-E72D297353CC}">
                <c16:uniqueId val="{0000000F-B924-4CD8-B40E-DF107F9946D9}"/>
              </c:ext>
            </c:extLst>
          </c:dPt>
          <c:dPt>
            <c:idx val="10"/>
            <c:invertIfNegative val="0"/>
            <c:bubble3D val="0"/>
            <c:spPr>
              <a:solidFill>
                <a:schemeClr val="accent3">
                  <a:lumMod val="60000"/>
                  <a:lumOff val="40000"/>
                </a:schemeClr>
              </a:solidFill>
              <a:ln>
                <a:noFill/>
              </a:ln>
              <a:effectLst/>
            </c:spPr>
            <c:extLst>
              <c:ext xmlns:c16="http://schemas.microsoft.com/office/drawing/2014/chart" uri="{C3380CC4-5D6E-409C-BE32-E72D297353CC}">
                <c16:uniqueId val="{00000011-B924-4CD8-B40E-DF107F9946D9}"/>
              </c:ext>
            </c:extLst>
          </c:dPt>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Gráfica1!$B$24:$B$34</c:f>
              <c:numCache>
                <c:formatCode>0</c:formatCode>
                <c:ptCount val="11"/>
                <c:pt idx="0">
                  <c:v>2017</c:v>
                </c:pt>
                <c:pt idx="1">
                  <c:v>2018</c:v>
                </c:pt>
                <c:pt idx="2">
                  <c:v>2019</c:v>
                </c:pt>
                <c:pt idx="4">
                  <c:v>2017</c:v>
                </c:pt>
                <c:pt idx="5">
                  <c:v>2018</c:v>
                </c:pt>
                <c:pt idx="6">
                  <c:v>2019</c:v>
                </c:pt>
                <c:pt idx="8">
                  <c:v>2017</c:v>
                </c:pt>
                <c:pt idx="9">
                  <c:v>2018</c:v>
                </c:pt>
                <c:pt idx="10">
                  <c:v>2019</c:v>
                </c:pt>
              </c:numCache>
            </c:numRef>
          </c:cat>
          <c:val>
            <c:numRef>
              <c:f>Gráfica1!$C$24:$C$34</c:f>
              <c:numCache>
                <c:formatCode>0.0</c:formatCode>
                <c:ptCount val="11"/>
                <c:pt idx="0" formatCode="General">
                  <c:v>28.5</c:v>
                </c:pt>
                <c:pt idx="1">
                  <c:v>35.022622579553044</c:v>
                </c:pt>
                <c:pt idx="2" formatCode="General">
                  <c:v>33.200000000000003</c:v>
                </c:pt>
                <c:pt idx="4">
                  <c:v>58.4</c:v>
                </c:pt>
                <c:pt idx="5">
                  <c:v>82.7</c:v>
                </c:pt>
                <c:pt idx="6">
                  <c:v>103</c:v>
                </c:pt>
                <c:pt idx="8">
                  <c:v>8.6</c:v>
                </c:pt>
                <c:pt idx="9">
                  <c:v>8.8000000000000007</c:v>
                </c:pt>
                <c:pt idx="10">
                  <c:v>10.5</c:v>
                </c:pt>
              </c:numCache>
            </c:numRef>
          </c:val>
          <c:extLst>
            <c:ext xmlns:c16="http://schemas.microsoft.com/office/drawing/2014/chart" uri="{C3380CC4-5D6E-409C-BE32-E72D297353CC}">
              <c16:uniqueId val="{00000012-B924-4CD8-B40E-DF107F9946D9}"/>
            </c:ext>
          </c:extLst>
        </c:ser>
        <c:dLbls>
          <c:showLegendKey val="0"/>
          <c:showVal val="0"/>
          <c:showCatName val="0"/>
          <c:showSerName val="0"/>
          <c:showPercent val="0"/>
          <c:showBubbleSize val="0"/>
        </c:dLbls>
        <c:gapWidth val="50"/>
        <c:axId val="121386975"/>
        <c:axId val="1979132783"/>
      </c:barChart>
      <c:catAx>
        <c:axId val="121386975"/>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979132783"/>
        <c:crosses val="autoZero"/>
        <c:auto val="1"/>
        <c:lblAlgn val="ctr"/>
        <c:lblOffset val="100"/>
        <c:noMultiLvlLbl val="0"/>
      </c:catAx>
      <c:valAx>
        <c:axId val="1979132783"/>
        <c:scaling>
          <c:orientation val="minMax"/>
        </c:scaling>
        <c:delete val="1"/>
        <c:axPos val="l"/>
        <c:numFmt formatCode="General" sourceLinked="1"/>
        <c:majorTickMark val="none"/>
        <c:minorTickMark val="none"/>
        <c:tickLblPos val="nextTo"/>
        <c:crossAx val="12138697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226831698703939E-3"/>
          <c:y val="0.34380176321505462"/>
          <c:w val="0.99327731683012965"/>
          <c:h val="0.1218792371224849"/>
        </c:manualLayout>
      </c:layout>
      <c:barChart>
        <c:barDir val="col"/>
        <c:grouping val="clustered"/>
        <c:varyColors val="0"/>
        <c:ser>
          <c:idx val="0"/>
          <c:order val="0"/>
          <c:spPr>
            <a:solidFill>
              <a:srgbClr val="96FF9D"/>
            </a:solidFill>
            <a:ln>
              <a:noFill/>
            </a:ln>
            <a:effectLst/>
          </c:spPr>
          <c:invertIfNegative val="0"/>
          <c:dLbls>
            <c:dLbl>
              <c:idx val="1"/>
              <c:layout>
                <c:manualLayout>
                  <c:x val="-1.388888888888891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6F8-4180-8B39-A78F32FAE8A6}"/>
                </c:ext>
              </c:extLst>
            </c:dLbl>
            <c:spPr>
              <a:noFill/>
              <a:ln>
                <a:noFill/>
              </a:ln>
              <a:effectLst/>
            </c:spPr>
            <c:txPr>
              <a:bodyPr rot="-540000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 11'!$A$3:$A$14</c:f>
              <c:strCache>
                <c:ptCount val="12"/>
                <c:pt idx="0">
                  <c:v>Posesión simple</c:v>
                </c:pt>
                <c:pt idx="1">
                  <c:v>Posesión con fines de comercio</c:v>
                </c:pt>
                <c:pt idx="2">
                  <c:v>Comercio</c:v>
                </c:pt>
                <c:pt idx="3">
                  <c:v>Suministro</c:v>
                </c:pt>
                <c:pt idx="4">
                  <c:v>Otros relacionados</c:v>
                </c:pt>
                <c:pt idx="5">
                  <c:v>Producción</c:v>
                </c:pt>
                <c:pt idx="6">
                  <c:v>Transporte</c:v>
                </c:pt>
                <c:pt idx="7">
                  <c:v>Tráfico</c:v>
                </c:pt>
                <c:pt idx="8">
                  <c:v>Comercio</c:v>
                </c:pt>
                <c:pt idx="9">
                  <c:v>Suministro</c:v>
                </c:pt>
                <c:pt idx="10">
                  <c:v>Posesión</c:v>
                </c:pt>
                <c:pt idx="11">
                  <c:v>Otros</c:v>
                </c:pt>
              </c:strCache>
            </c:strRef>
          </c:cat>
          <c:val>
            <c:numRef>
              <c:f>'Gráfica 11'!$F$3:$F$14</c:f>
              <c:numCache>
                <c:formatCode>0.0%</c:formatCode>
                <c:ptCount val="12"/>
                <c:pt idx="0">
                  <c:v>0.57485654668753261</c:v>
                </c:pt>
                <c:pt idx="1">
                  <c:v>0.20155190401669276</c:v>
                </c:pt>
                <c:pt idx="2">
                  <c:v>5.9011476264997392E-2</c:v>
                </c:pt>
                <c:pt idx="3">
                  <c:v>3.1233698487219613E-2</c:v>
                </c:pt>
                <c:pt idx="4">
                  <c:v>0.13334637454355763</c:v>
                </c:pt>
                <c:pt idx="5">
                  <c:v>8.688644688644688E-2</c:v>
                </c:pt>
                <c:pt idx="6">
                  <c:v>0.35706959706959707</c:v>
                </c:pt>
                <c:pt idx="7">
                  <c:v>4.3076923076923075E-2</c:v>
                </c:pt>
                <c:pt idx="8">
                  <c:v>0.13846153846153847</c:v>
                </c:pt>
                <c:pt idx="9">
                  <c:v>2.3589743589743591E-2</c:v>
                </c:pt>
                <c:pt idx="10">
                  <c:v>0.31326007326007327</c:v>
                </c:pt>
                <c:pt idx="11">
                  <c:v>3.7655677655677657E-2</c:v>
                </c:pt>
              </c:numCache>
            </c:numRef>
          </c:val>
          <c:extLst>
            <c:ext xmlns:c16="http://schemas.microsoft.com/office/drawing/2014/chart" uri="{C3380CC4-5D6E-409C-BE32-E72D297353CC}">
              <c16:uniqueId val="{00000001-96F8-4180-8B39-A78F32FAE8A6}"/>
            </c:ext>
          </c:extLst>
        </c:ser>
        <c:ser>
          <c:idx val="1"/>
          <c:order val="1"/>
          <c:spPr>
            <a:solidFill>
              <a:srgbClr val="BBAEEB"/>
            </a:solidFill>
            <a:ln>
              <a:noFill/>
            </a:ln>
            <a:effectLst/>
          </c:spPr>
          <c:invertIfNegative val="0"/>
          <c:dLbls>
            <c:dLbl>
              <c:idx val="2"/>
              <c:layout>
                <c:manualLayout>
                  <c:x val="2.2946976185945992E-3"/>
                  <c:y val="1.75103695016145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6F8-4180-8B39-A78F32FAE8A6}"/>
                </c:ext>
              </c:extLst>
            </c:dLbl>
            <c:dLbl>
              <c:idx val="3"/>
              <c:layout>
                <c:manualLayout>
                  <c:x val="1.3888888888888888E-2"/>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6F8-4180-8B39-A78F32FAE8A6}"/>
                </c:ext>
              </c:extLst>
            </c:dLbl>
            <c:dLbl>
              <c:idx val="4"/>
              <c:layout>
                <c:manualLayout>
                  <c:x val="2.7052125812573181E-3"/>
                  <c:y val="6.44027005812668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6F8-4180-8B39-A78F32FAE8A6}"/>
                </c:ext>
              </c:extLst>
            </c:dLbl>
            <c:spPr>
              <a:noFill/>
              <a:ln>
                <a:noFill/>
              </a:ln>
              <a:effectLst/>
            </c:spPr>
            <c:txPr>
              <a:bodyPr rot="-540000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 11'!$A$3:$A$14</c:f>
              <c:strCache>
                <c:ptCount val="12"/>
                <c:pt idx="0">
                  <c:v>Posesión simple</c:v>
                </c:pt>
                <c:pt idx="1">
                  <c:v>Posesión con fines de comercio</c:v>
                </c:pt>
                <c:pt idx="2">
                  <c:v>Comercio</c:v>
                </c:pt>
                <c:pt idx="3">
                  <c:v>Suministro</c:v>
                </c:pt>
                <c:pt idx="4">
                  <c:v>Otros relacionados</c:v>
                </c:pt>
                <c:pt idx="5">
                  <c:v>Producción</c:v>
                </c:pt>
                <c:pt idx="6">
                  <c:v>Transporte</c:v>
                </c:pt>
                <c:pt idx="7">
                  <c:v>Tráfico</c:v>
                </c:pt>
                <c:pt idx="8">
                  <c:v>Comercio</c:v>
                </c:pt>
                <c:pt idx="9">
                  <c:v>Suministro</c:v>
                </c:pt>
                <c:pt idx="10">
                  <c:v>Posesión</c:v>
                </c:pt>
                <c:pt idx="11">
                  <c:v>Otros</c:v>
                </c:pt>
              </c:strCache>
            </c:strRef>
          </c:cat>
          <c:val>
            <c:numRef>
              <c:f>'Gráfica 11'!$G$3:$G$14</c:f>
              <c:numCache>
                <c:formatCode>0.0%</c:formatCode>
                <c:ptCount val="12"/>
                <c:pt idx="0">
                  <c:v>0.46683459277917716</c:v>
                </c:pt>
                <c:pt idx="1">
                  <c:v>0.30394626364399663</c:v>
                </c:pt>
                <c:pt idx="2">
                  <c:v>6.8849706129303107E-2</c:v>
                </c:pt>
                <c:pt idx="3">
                  <c:v>2.7707808564231738E-2</c:v>
                </c:pt>
                <c:pt idx="4">
                  <c:v>0.13266162888329136</c:v>
                </c:pt>
                <c:pt idx="5">
                  <c:v>0.13629402756508421</c:v>
                </c:pt>
                <c:pt idx="6">
                  <c:v>0.46094946401225118</c:v>
                </c:pt>
                <c:pt idx="7">
                  <c:v>2.2970903522205207E-2</c:v>
                </c:pt>
                <c:pt idx="8">
                  <c:v>0.11332312404287902</c:v>
                </c:pt>
                <c:pt idx="9">
                  <c:v>9.1883614088820835E-3</c:v>
                </c:pt>
                <c:pt idx="10">
                  <c:v>0.11485451761102604</c:v>
                </c:pt>
                <c:pt idx="11">
                  <c:v>0.14241960183767227</c:v>
                </c:pt>
              </c:numCache>
            </c:numRef>
          </c:val>
          <c:extLst>
            <c:ext xmlns:c16="http://schemas.microsoft.com/office/drawing/2014/chart" uri="{C3380CC4-5D6E-409C-BE32-E72D297353CC}">
              <c16:uniqueId val="{00000005-96F8-4180-8B39-A78F32FAE8A6}"/>
            </c:ext>
          </c:extLst>
        </c:ser>
        <c:dLbls>
          <c:showLegendKey val="0"/>
          <c:showVal val="0"/>
          <c:showCatName val="0"/>
          <c:showSerName val="0"/>
          <c:showPercent val="0"/>
          <c:showBubbleSize val="0"/>
        </c:dLbls>
        <c:gapWidth val="219"/>
        <c:overlap val="-27"/>
        <c:axId val="683610416"/>
        <c:axId val="683609432"/>
      </c:barChart>
      <c:catAx>
        <c:axId val="683610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83609432"/>
        <c:crosses val="autoZero"/>
        <c:auto val="1"/>
        <c:lblAlgn val="ctr"/>
        <c:lblOffset val="100"/>
        <c:noMultiLvlLbl val="0"/>
      </c:catAx>
      <c:valAx>
        <c:axId val="683609432"/>
        <c:scaling>
          <c:orientation val="minMax"/>
          <c:max val="0.8"/>
        </c:scaling>
        <c:delete val="1"/>
        <c:axPos val="l"/>
        <c:numFmt formatCode="0.0%" sourceLinked="1"/>
        <c:majorTickMark val="out"/>
        <c:minorTickMark val="none"/>
        <c:tickLblPos val="nextTo"/>
        <c:crossAx val="6836104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stacked"/>
        <c:varyColors val="0"/>
        <c:dLbls>
          <c:showLegendKey val="0"/>
          <c:showVal val="0"/>
          <c:showCatName val="0"/>
          <c:showSerName val="0"/>
          <c:showPercent val="0"/>
          <c:showBubbleSize val="0"/>
        </c:dLbls>
        <c:gapWidth val="150"/>
        <c:overlap val="100"/>
        <c:axId val="621530696"/>
        <c:axId val="621524136"/>
      </c:barChart>
      <c:catAx>
        <c:axId val="62153069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621524136"/>
        <c:crosses val="autoZero"/>
        <c:auto val="1"/>
        <c:lblAlgn val="ctr"/>
        <c:lblOffset val="100"/>
        <c:noMultiLvlLbl val="0"/>
      </c:catAx>
      <c:valAx>
        <c:axId val="621524136"/>
        <c:scaling>
          <c:orientation val="minMax"/>
        </c:scaling>
        <c:delete val="0"/>
        <c:axPos val="l"/>
        <c:majorGridlines>
          <c:spPr>
            <a:ln w="9525" cap="flat" cmpd="sng" algn="ctr">
              <a:solidFill>
                <a:schemeClr val="tx1">
                  <a:lumMod val="15000"/>
                  <a:lumOff val="85000"/>
                </a:schemeClr>
              </a:solidFill>
              <a:round/>
            </a:ln>
            <a:effectLst/>
          </c:spPr>
        </c:majorGridlines>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6215306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MX"/>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_rels/drawing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svg"/></Relationships>
</file>

<file path=word/drawings/_rels/drawing4.xml.rels><?xml version="1.0" encoding="UTF-8" standalone="yes"?>
<Relationships xmlns="http://schemas.openxmlformats.org/package/2006/relationships"><Relationship Id="rId1" Type="http://schemas.openxmlformats.org/officeDocument/2006/relationships/image" Target="../media/image6.png"/></Relationships>
</file>

<file path=word/drawings/drawing1.xml><?xml version="1.0" encoding="utf-8"?>
<c:userShapes xmlns:c="http://schemas.openxmlformats.org/drawingml/2006/chart">
  <cdr:relSizeAnchor xmlns:cdr="http://schemas.openxmlformats.org/drawingml/2006/chartDrawing">
    <cdr:from>
      <cdr:x>0.00417</cdr:x>
      <cdr:y>0.00521</cdr:y>
    </cdr:from>
    <cdr:to>
      <cdr:x>0.74783</cdr:x>
      <cdr:y>0.28431</cdr:y>
    </cdr:to>
    <cdr:sp macro="" textlink="">
      <cdr:nvSpPr>
        <cdr:cNvPr id="2" name="CuadroTexto 1">
          <a:extLst xmlns:a="http://schemas.openxmlformats.org/drawingml/2006/main">
            <a:ext uri="{FF2B5EF4-FFF2-40B4-BE49-F238E27FC236}">
              <a16:creationId xmlns:a16="http://schemas.microsoft.com/office/drawing/2014/main" id="{083358D7-B0EB-4498-8756-421454ABB73F}"/>
            </a:ext>
          </a:extLst>
        </cdr:cNvPr>
        <cdr:cNvSpPr txBox="1"/>
      </cdr:nvSpPr>
      <cdr:spPr>
        <a:xfrm xmlns:a="http://schemas.openxmlformats.org/drawingml/2006/main">
          <a:off x="21589" y="10517"/>
          <a:ext cx="3850019" cy="56341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900" b="1">
              <a:latin typeface="Arial" panose="020B0604020202020204" pitchFamily="34" charset="0"/>
              <a:cs typeface="Arial" panose="020B0604020202020204" pitchFamily="34" charset="0"/>
            </a:rPr>
            <a:t>Países que han legalizado el uso del cannabis con fines médicos                                                    o lúdicos</a:t>
          </a:r>
        </a:p>
        <a:p xmlns:a="http://schemas.openxmlformats.org/drawingml/2006/main">
          <a:r>
            <a:rPr lang="es-MX" sz="900" b="1">
              <a:latin typeface="Arial" panose="020B0604020202020204" pitchFamily="34" charset="0"/>
              <a:cs typeface="Arial" panose="020B0604020202020204" pitchFamily="34" charset="0"/>
            </a:rPr>
            <a:t>2019</a:t>
          </a:r>
        </a:p>
      </cdr:txBody>
    </cdr:sp>
  </cdr:relSizeAnchor>
  <cdr:relSizeAnchor xmlns:cdr="http://schemas.openxmlformats.org/drawingml/2006/chartDrawing">
    <cdr:from>
      <cdr:x>0</cdr:x>
      <cdr:y>0.62862</cdr:y>
    </cdr:from>
    <cdr:to>
      <cdr:x>1</cdr:x>
      <cdr:y>1</cdr:y>
    </cdr:to>
    <cdr:sp macro="" textlink="">
      <cdr:nvSpPr>
        <cdr:cNvPr id="3" name="CuadroTexto 2">
          <a:extLst xmlns:a="http://schemas.openxmlformats.org/drawingml/2006/main">
            <a:ext uri="{FF2B5EF4-FFF2-40B4-BE49-F238E27FC236}">
              <a16:creationId xmlns:a16="http://schemas.microsoft.com/office/drawing/2014/main" id="{B364338B-ECEE-4832-B3C0-44039CE0C571}"/>
            </a:ext>
          </a:extLst>
        </cdr:cNvPr>
        <cdr:cNvSpPr txBox="1"/>
      </cdr:nvSpPr>
      <cdr:spPr>
        <a:xfrm xmlns:a="http://schemas.openxmlformats.org/drawingml/2006/main">
          <a:off x="0" y="1268973"/>
          <a:ext cx="5177155" cy="749692"/>
        </a:xfrm>
        <a:prstGeom xmlns:a="http://schemas.openxmlformats.org/drawingml/2006/main" prst="rect">
          <a:avLst/>
        </a:prstGeom>
      </cdr:spPr>
      <cdr:txBody>
        <a:bodyPr xmlns:a="http://schemas.openxmlformats.org/drawingml/2006/main" vertOverflow="clip" wrap="square" rtlCol="0" anchor="b"/>
        <a:lstStyle xmlns:a="http://schemas.openxmlformats.org/drawingml/2006/main"/>
        <a:p xmlns:a="http://schemas.openxmlformats.org/drawingml/2006/main">
          <a:pPr algn="just"/>
          <a:r>
            <a:rPr lang="es-MX" sz="700">
              <a:effectLst/>
              <a:latin typeface="Arial" panose="020B0604020202020204" pitchFamily="34" charset="0"/>
              <a:ea typeface="+mn-ea"/>
              <a:cs typeface="Arial" panose="020B0604020202020204" pitchFamily="34" charset="0"/>
            </a:rPr>
            <a:t>Nota: En Estados Unidos el uso de cannabis con fines médicos aun no</a:t>
          </a:r>
          <a:r>
            <a:rPr lang="es-MX" sz="700" baseline="0">
              <a:effectLst/>
              <a:latin typeface="Arial" panose="020B0604020202020204" pitchFamily="34" charset="0"/>
              <a:ea typeface="+mn-ea"/>
              <a:cs typeface="Arial" panose="020B0604020202020204" pitchFamily="34" charset="0"/>
            </a:rPr>
            <a:t> se encuentra legalizado en todo el país, sin embargo, cerca de 20 estados han regulado el uso recreativo y medicinal. </a:t>
          </a:r>
          <a:endParaRPr lang="es-MX" sz="700">
            <a:effectLst/>
            <a:latin typeface="Arial" panose="020B0604020202020204" pitchFamily="34" charset="0"/>
            <a:cs typeface="Arial" panose="020B0604020202020204" pitchFamily="34" charset="0"/>
          </a:endParaRPr>
        </a:p>
        <a:p xmlns:a="http://schemas.openxmlformats.org/drawingml/2006/main">
          <a:pPr algn="just"/>
          <a:r>
            <a:rPr lang="es-MX" sz="700" baseline="0">
              <a:effectLst/>
              <a:latin typeface="Arial" panose="020B0604020202020204" pitchFamily="34" charset="0"/>
              <a:ea typeface="+mn-ea"/>
              <a:cs typeface="Arial" panose="020B0604020202020204" pitchFamily="34" charset="0"/>
            </a:rPr>
            <a:t>Fuente: Elaboración propia con base en Sofía Aguilar, et al., </a:t>
          </a:r>
          <a:r>
            <a:rPr lang="es-MX" sz="700">
              <a:latin typeface="Arial" panose="020B0604020202020204" pitchFamily="34" charset="0"/>
              <a:cs typeface="Arial" panose="020B0604020202020204" pitchFamily="34" charset="0"/>
            </a:rPr>
            <a:t>Políticas y prácticas sobre cannabis medicinal en el mundo</a:t>
          </a:r>
          <a:r>
            <a:rPr lang="es-MX" sz="700" baseline="0">
              <a:latin typeface="Arial" panose="020B0604020202020204" pitchFamily="34" charset="0"/>
              <a:cs typeface="Arial" panose="020B0604020202020204" pitchFamily="34" charset="0"/>
            </a:rPr>
            <a:t> (Londres: IDPC, 2018), 10; </a:t>
          </a:r>
          <a:r>
            <a:rPr lang="es-MX" sz="700" baseline="0">
              <a:effectLst/>
              <a:latin typeface="Arial" panose="020B0604020202020204" pitchFamily="34" charset="0"/>
              <a:ea typeface="+mn-ea"/>
              <a:cs typeface="Arial" panose="020B0604020202020204" pitchFamily="34" charset="0"/>
            </a:rPr>
            <a:t>JIFE, </a:t>
          </a:r>
          <a:r>
            <a:rPr lang="es-MX" sz="700">
              <a:effectLst/>
              <a:latin typeface="Arial" panose="020B0604020202020204" pitchFamily="34" charset="0"/>
              <a:ea typeface="+mn-ea"/>
              <a:cs typeface="Arial" panose="020B0604020202020204" pitchFamily="34" charset="0"/>
            </a:rPr>
            <a:t>Informe de la Junta Internacional de Fiscalización de Estupefacientes</a:t>
          </a:r>
          <a:r>
            <a:rPr lang="es-MX" sz="700" baseline="0">
              <a:effectLst/>
              <a:latin typeface="Arial" panose="020B0604020202020204" pitchFamily="34" charset="0"/>
              <a:ea typeface="+mn-ea"/>
              <a:cs typeface="Arial" panose="020B0604020202020204" pitchFamily="34" charset="0"/>
            </a:rPr>
            <a:t> 2020 (Viena: Naciones Unidas, 2021), 45-48.;CICAD, </a:t>
          </a:r>
          <a:r>
            <a:rPr lang="es-MX" sz="700">
              <a:effectLst/>
              <a:latin typeface="Arial" panose="020B0604020202020204" pitchFamily="34" charset="0"/>
              <a:ea typeface="+mn-ea"/>
              <a:cs typeface="Arial" panose="020B0604020202020204" pitchFamily="34" charset="0"/>
            </a:rPr>
            <a:t>Indicadores estandarizados para redes nacionales de información sobre drogas</a:t>
          </a:r>
          <a:r>
            <a:rPr lang="es-MX" sz="700" baseline="0">
              <a:effectLst/>
              <a:latin typeface="Arial" panose="020B0604020202020204" pitchFamily="34" charset="0"/>
              <a:ea typeface="+mn-ea"/>
              <a:cs typeface="Arial" panose="020B0604020202020204" pitchFamily="34" charset="0"/>
            </a:rPr>
            <a:t> (</a:t>
          </a:r>
          <a:r>
            <a:rPr lang="es-MX" sz="700">
              <a:effectLst/>
              <a:latin typeface="Arial" panose="020B0604020202020204" pitchFamily="34" charset="0"/>
              <a:ea typeface="+mn-ea"/>
              <a:cs typeface="Arial" panose="020B0604020202020204" pitchFamily="34" charset="0"/>
            </a:rPr>
            <a:t>Washington:</a:t>
          </a:r>
          <a:r>
            <a:rPr lang="es-MX" sz="700" baseline="0">
              <a:effectLst/>
              <a:latin typeface="Arial" panose="020B0604020202020204" pitchFamily="34" charset="0"/>
              <a:ea typeface="+mn-ea"/>
              <a:cs typeface="Arial" panose="020B0604020202020204" pitchFamily="34" charset="0"/>
            </a:rPr>
            <a:t> OEA, 2019, 159-172.</a:t>
          </a:r>
          <a:endParaRPr lang="es-MX" sz="700">
            <a:effectLst/>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0.79109</cdr:x>
      <cdr:y>0.16969</cdr:y>
    </cdr:from>
    <cdr:to>
      <cdr:x>1</cdr:x>
      <cdr:y>0.59416</cdr:y>
    </cdr:to>
    <cdr:sp macro="" textlink="">
      <cdr:nvSpPr>
        <cdr:cNvPr id="9" name="CuadroTexto 8">
          <a:extLst xmlns:a="http://schemas.openxmlformats.org/drawingml/2006/main">
            <a:ext uri="{FF2B5EF4-FFF2-40B4-BE49-F238E27FC236}">
              <a16:creationId xmlns:a16="http://schemas.microsoft.com/office/drawing/2014/main" id="{23965AAC-50C9-476F-8750-B0B5D0FECA83}"/>
            </a:ext>
          </a:extLst>
        </cdr:cNvPr>
        <cdr:cNvSpPr txBox="1"/>
      </cdr:nvSpPr>
      <cdr:spPr>
        <a:xfrm xmlns:a="http://schemas.openxmlformats.org/drawingml/2006/main">
          <a:off x="4095596" y="342554"/>
          <a:ext cx="1081559" cy="85685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b="0">
              <a:latin typeface="Arial" panose="020B0604020202020204" pitchFamily="34" charset="0"/>
              <a:cs typeface="Arial" panose="020B0604020202020204" pitchFamily="34" charset="0"/>
            </a:rPr>
            <a:t>Fines médicos</a:t>
          </a:r>
        </a:p>
        <a:p xmlns:a="http://schemas.openxmlformats.org/drawingml/2006/main">
          <a:endParaRPr lang="es-MX" sz="800" b="0">
            <a:latin typeface="Arial" panose="020B0604020202020204" pitchFamily="34" charset="0"/>
            <a:cs typeface="Arial" panose="020B0604020202020204" pitchFamily="34" charset="0"/>
          </a:endParaRPr>
        </a:p>
        <a:p xmlns:a="http://schemas.openxmlformats.org/drawingml/2006/main">
          <a:r>
            <a:rPr lang="es-MX" sz="800" b="0">
              <a:latin typeface="Arial" panose="020B0604020202020204" pitchFamily="34" charset="0"/>
              <a:cs typeface="Arial" panose="020B0604020202020204" pitchFamily="34" charset="0"/>
            </a:rPr>
            <a:t>Fines médicos y lúdicos</a:t>
          </a:r>
        </a:p>
        <a:p xmlns:a="http://schemas.openxmlformats.org/drawingml/2006/main">
          <a:endParaRPr lang="es-MX" sz="800" b="0">
            <a:latin typeface="Arial" panose="020B0604020202020204" pitchFamily="34" charset="0"/>
            <a:cs typeface="Arial" panose="020B0604020202020204" pitchFamily="34" charset="0"/>
          </a:endParaRPr>
        </a:p>
        <a:p xmlns:a="http://schemas.openxmlformats.org/drawingml/2006/main">
          <a:r>
            <a:rPr lang="es-MX" sz="800" b="0">
              <a:latin typeface="Arial" panose="020B0604020202020204" pitchFamily="34" charset="0"/>
              <a:cs typeface="Arial" panose="020B0604020202020204" pitchFamily="34" charset="0"/>
            </a:rPr>
            <a:t>Sin</a:t>
          </a:r>
          <a:r>
            <a:rPr lang="es-MX" sz="800" b="0" baseline="0">
              <a:latin typeface="Arial" panose="020B0604020202020204" pitchFamily="34" charset="0"/>
              <a:cs typeface="Arial" panose="020B0604020202020204" pitchFamily="34" charset="0"/>
            </a:rPr>
            <a:t> información</a:t>
          </a:r>
          <a:endParaRPr lang="es-MX" sz="800" b="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0.77536</cdr:x>
      <cdr:y>0.20182</cdr:y>
    </cdr:from>
    <cdr:to>
      <cdr:x>0.80418</cdr:x>
      <cdr:y>0.25467</cdr:y>
    </cdr:to>
    <cdr:sp macro="" textlink="">
      <cdr:nvSpPr>
        <cdr:cNvPr id="10" name="Rectángulo 9">
          <a:extLst xmlns:a="http://schemas.openxmlformats.org/drawingml/2006/main">
            <a:ext uri="{FF2B5EF4-FFF2-40B4-BE49-F238E27FC236}">
              <a16:creationId xmlns:a16="http://schemas.microsoft.com/office/drawing/2014/main" id="{B3E1F06F-D1A7-4DD2-9126-664585F7B9AA}"/>
            </a:ext>
          </a:extLst>
        </cdr:cNvPr>
        <cdr:cNvSpPr/>
      </cdr:nvSpPr>
      <cdr:spPr>
        <a:xfrm xmlns:a="http://schemas.openxmlformats.org/drawingml/2006/main">
          <a:off x="4014181" y="407404"/>
          <a:ext cx="149205" cy="106687"/>
        </a:xfrm>
        <a:prstGeom xmlns:a="http://schemas.openxmlformats.org/drawingml/2006/main" prst="rect">
          <a:avLst/>
        </a:prstGeom>
        <a:solidFill xmlns:a="http://schemas.openxmlformats.org/drawingml/2006/main">
          <a:srgbClr val="96EB9D"/>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s-MX"/>
        </a:p>
      </cdr:txBody>
    </cdr:sp>
  </cdr:relSizeAnchor>
  <cdr:relSizeAnchor xmlns:cdr="http://schemas.openxmlformats.org/drawingml/2006/chartDrawing">
    <cdr:from>
      <cdr:x>0.77628</cdr:x>
      <cdr:y>0.3163</cdr:y>
    </cdr:from>
    <cdr:to>
      <cdr:x>0.80496</cdr:x>
      <cdr:y>0.36553</cdr:y>
    </cdr:to>
    <cdr:sp macro="" textlink="">
      <cdr:nvSpPr>
        <cdr:cNvPr id="11" name="Rectángulo 10">
          <a:extLst xmlns:a="http://schemas.openxmlformats.org/drawingml/2006/main">
            <a:ext uri="{FF2B5EF4-FFF2-40B4-BE49-F238E27FC236}">
              <a16:creationId xmlns:a16="http://schemas.microsoft.com/office/drawing/2014/main" id="{34A07D2A-2762-4173-B534-CC61959C8014}"/>
            </a:ext>
          </a:extLst>
        </cdr:cNvPr>
        <cdr:cNvSpPr/>
      </cdr:nvSpPr>
      <cdr:spPr>
        <a:xfrm xmlns:a="http://schemas.openxmlformats.org/drawingml/2006/main">
          <a:off x="4018911" y="638510"/>
          <a:ext cx="148480" cy="99379"/>
        </a:xfrm>
        <a:prstGeom xmlns:a="http://schemas.openxmlformats.org/drawingml/2006/main" prst="rect">
          <a:avLst/>
        </a:prstGeom>
        <a:solidFill xmlns:a="http://schemas.openxmlformats.org/drawingml/2006/main">
          <a:srgbClr val="BBAEEB"/>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s-MX"/>
        </a:p>
      </cdr:txBody>
    </cdr:sp>
  </cdr:relSizeAnchor>
  <cdr:relSizeAnchor xmlns:cdr="http://schemas.openxmlformats.org/drawingml/2006/chartDrawing">
    <cdr:from>
      <cdr:x>0.77279</cdr:x>
      <cdr:y>0.48904</cdr:y>
    </cdr:from>
    <cdr:to>
      <cdr:x>0.80405</cdr:x>
      <cdr:y>0.53416</cdr:y>
    </cdr:to>
    <cdr:sp macro="" textlink="">
      <cdr:nvSpPr>
        <cdr:cNvPr id="12" name="Rectángulo 11">
          <a:extLst xmlns:a="http://schemas.openxmlformats.org/drawingml/2006/main">
            <a:ext uri="{FF2B5EF4-FFF2-40B4-BE49-F238E27FC236}">
              <a16:creationId xmlns:a16="http://schemas.microsoft.com/office/drawing/2014/main" id="{FB2FD790-A00F-40B8-B0AB-B157D37B7526}"/>
            </a:ext>
          </a:extLst>
        </cdr:cNvPr>
        <cdr:cNvSpPr/>
      </cdr:nvSpPr>
      <cdr:spPr>
        <a:xfrm xmlns:a="http://schemas.openxmlformats.org/drawingml/2006/main">
          <a:off x="4000841" y="987209"/>
          <a:ext cx="161838" cy="91082"/>
        </a:xfrm>
        <a:prstGeom xmlns:a="http://schemas.openxmlformats.org/drawingml/2006/main" prst="rect">
          <a:avLst/>
        </a:prstGeom>
        <a:solidFill xmlns:a="http://schemas.openxmlformats.org/drawingml/2006/main">
          <a:schemeClr val="bg1">
            <a:lumMod val="85000"/>
          </a:schemeClr>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s-MX"/>
        </a:p>
      </cdr:txBody>
    </cdr:sp>
  </cdr:relSizeAnchor>
  <cdr:relSizeAnchor xmlns:cdr="http://schemas.openxmlformats.org/drawingml/2006/chartDrawing">
    <cdr:from>
      <cdr:x>0.17892</cdr:x>
      <cdr:y>0.1374</cdr:y>
    </cdr:from>
    <cdr:to>
      <cdr:x>0.68622</cdr:x>
      <cdr:y>0.66105</cdr:y>
    </cdr:to>
    <cdr:pic>
      <cdr:nvPicPr>
        <cdr:cNvPr id="1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926275" y="277359"/>
          <a:ext cx="2626372" cy="1057086"/>
        </a:xfrm>
        <a:prstGeom xmlns:a="http://schemas.openxmlformats.org/drawingml/2006/main" prst="rect">
          <a:avLst/>
        </a:prstGeom>
      </cdr:spPr>
    </cdr:pic>
  </cdr:relSizeAnchor>
  <cdr:relSizeAnchor xmlns:cdr="http://schemas.openxmlformats.org/drawingml/2006/chartDrawing">
    <cdr:from>
      <cdr:x>0.75346</cdr:x>
      <cdr:y>0</cdr:y>
    </cdr:from>
    <cdr:to>
      <cdr:x>0.99773</cdr:x>
      <cdr:y>0.15902</cdr:y>
    </cdr:to>
    <cdr:sp macro="" textlink="">
      <cdr:nvSpPr>
        <cdr:cNvPr id="4" name="Cuadro de texto 3"/>
        <cdr:cNvSpPr txBox="1"/>
      </cdr:nvSpPr>
      <cdr:spPr>
        <a:xfrm xmlns:a="http://schemas.openxmlformats.org/drawingml/2006/main">
          <a:off x="3900791" y="0"/>
          <a:ext cx="1264596" cy="32101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r"/>
          <a:r>
            <a:rPr lang="es-MX" sz="1000" b="1">
              <a:latin typeface="Arial" panose="020B0604020202020204" pitchFamily="34" charset="0"/>
              <a:cs typeface="Arial" panose="020B0604020202020204" pitchFamily="34" charset="0"/>
            </a:rPr>
            <a:t>Mapa 1</a:t>
          </a: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cdr:y>
    </cdr:from>
    <cdr:to>
      <cdr:x>0.86859</cdr:x>
      <cdr:y>0.15985</cdr:y>
    </cdr:to>
    <cdr:sp macro="" textlink="">
      <cdr:nvSpPr>
        <cdr:cNvPr id="2" name="CuadroTexto 1">
          <a:extLst xmlns:a="http://schemas.openxmlformats.org/drawingml/2006/main">
            <a:ext uri="{FF2B5EF4-FFF2-40B4-BE49-F238E27FC236}">
              <a16:creationId xmlns:a16="http://schemas.microsoft.com/office/drawing/2014/main" id="{A7804E9B-0F23-425D-8D36-B01F8EDFF584}"/>
            </a:ext>
          </a:extLst>
        </cdr:cNvPr>
        <cdr:cNvSpPr txBox="1"/>
      </cdr:nvSpPr>
      <cdr:spPr>
        <a:xfrm xmlns:a="http://schemas.openxmlformats.org/drawingml/2006/main">
          <a:off x="0" y="0"/>
          <a:ext cx="5181181" cy="36805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es-MX" sz="900" b="1" baseline="0">
              <a:effectLst/>
              <a:latin typeface="Arial" panose="020B0604020202020204" pitchFamily="34" charset="0"/>
              <a:ea typeface="+mn-ea"/>
              <a:cs typeface="Arial" panose="020B0604020202020204" pitchFamily="34" charset="0"/>
            </a:rPr>
            <a:t>Tasa de delitos relacionados con drogas registrados en carpetas de investigación y averiguaciones previas por cada cien mil habitantes de 12 años y más</a:t>
          </a:r>
        </a:p>
        <a:p xmlns:a="http://schemas.openxmlformats.org/drawingml/2006/main">
          <a:pPr algn="l"/>
          <a:r>
            <a:rPr lang="es-MX" sz="900" b="1" baseline="0">
              <a:effectLst/>
              <a:latin typeface="Arial" panose="020B0604020202020204" pitchFamily="34" charset="0"/>
              <a:ea typeface="+mn-ea"/>
              <a:cs typeface="Arial" panose="020B0604020202020204" pitchFamily="34" charset="0"/>
            </a:rPr>
            <a:t>2017-2019</a:t>
          </a:r>
        </a:p>
      </cdr:txBody>
    </cdr:sp>
  </cdr:relSizeAnchor>
  <cdr:relSizeAnchor xmlns:cdr="http://schemas.openxmlformats.org/drawingml/2006/chartDrawing">
    <cdr:from>
      <cdr:x>0</cdr:x>
      <cdr:y>0.25829</cdr:y>
    </cdr:from>
    <cdr:to>
      <cdr:x>0.2986</cdr:x>
      <cdr:y>0.49139</cdr:y>
    </cdr:to>
    <cdr:sp macro="" textlink="">
      <cdr:nvSpPr>
        <cdr:cNvPr id="4" name="CuadroTexto 3">
          <a:extLst xmlns:a="http://schemas.openxmlformats.org/drawingml/2006/main">
            <a:ext uri="{FF2B5EF4-FFF2-40B4-BE49-F238E27FC236}">
              <a16:creationId xmlns:a16="http://schemas.microsoft.com/office/drawing/2014/main" id="{A945C112-0404-4EDB-A4F8-189406F015C2}"/>
            </a:ext>
          </a:extLst>
        </cdr:cNvPr>
        <cdr:cNvSpPr txBox="1"/>
      </cdr:nvSpPr>
      <cdr:spPr>
        <a:xfrm xmlns:a="http://schemas.openxmlformats.org/drawingml/2006/main">
          <a:off x="0" y="390525"/>
          <a:ext cx="1781016" cy="352425"/>
        </a:xfrm>
        <a:prstGeom xmlns:a="http://schemas.openxmlformats.org/drawingml/2006/main" prst="rect">
          <a:avLst/>
        </a:prstGeom>
        <a:ln xmlns:a="http://schemas.openxmlformats.org/drawingml/2006/main">
          <a:noFill/>
        </a:ln>
      </cdr:spPr>
      <cdr:txBody>
        <a:bodyPr xmlns:a="http://schemas.openxmlformats.org/drawingml/2006/main" vertOverflow="clip" wrap="square" rtlCol="0" anchor="ctr"/>
        <a:lstStyle xmlns:a="http://schemas.openxmlformats.org/drawingml/2006/main"/>
        <a:p xmlns:a="http://schemas.openxmlformats.org/drawingml/2006/main">
          <a:pPr algn="ctr"/>
          <a:r>
            <a:rPr lang="es-MX" sz="750" b="1">
              <a:solidFill>
                <a:srgbClr val="008000"/>
              </a:solidFill>
              <a:latin typeface="Arial" panose="020B0604020202020204" pitchFamily="34" charset="0"/>
              <a:cs typeface="Arial" panose="020B0604020202020204" pitchFamily="34" charset="0"/>
            </a:rPr>
            <a:t>Delitos de narcomenudeo</a:t>
          </a:r>
          <a:endParaRPr lang="es-MX" sz="750" b="1" baseline="0">
            <a:solidFill>
              <a:srgbClr val="008000"/>
            </a:solidFill>
            <a:latin typeface="Arial" panose="020B0604020202020204" pitchFamily="34" charset="0"/>
            <a:cs typeface="Arial" panose="020B0604020202020204" pitchFamily="34" charset="0"/>
          </a:endParaRPr>
        </a:p>
        <a:p xmlns:a="http://schemas.openxmlformats.org/drawingml/2006/main">
          <a:pPr algn="ctr"/>
          <a:r>
            <a:rPr lang="es-MX" sz="750" b="1" baseline="0">
              <a:solidFill>
                <a:srgbClr val="008000"/>
              </a:solidFill>
              <a:latin typeface="Arial" panose="020B0604020202020204" pitchFamily="34" charset="0"/>
              <a:cs typeface="Arial" panose="020B0604020202020204" pitchFamily="34" charset="0"/>
            </a:rPr>
            <a:t>(adolescentes</a:t>
          </a:r>
          <a:r>
            <a:rPr lang="es-MX" sz="750" b="1">
              <a:solidFill>
                <a:srgbClr val="008000"/>
              </a:solidFill>
              <a:latin typeface="Arial" panose="020B0604020202020204" pitchFamily="34" charset="0"/>
              <a:cs typeface="Arial" panose="020B0604020202020204" pitchFamily="34" charset="0"/>
            </a:rPr>
            <a:t>)</a:t>
          </a:r>
        </a:p>
      </cdr:txBody>
    </cdr:sp>
  </cdr:relSizeAnchor>
  <cdr:relSizeAnchor xmlns:cdr="http://schemas.openxmlformats.org/drawingml/2006/chartDrawing">
    <cdr:from>
      <cdr:x>0.67391</cdr:x>
      <cdr:y>0.2625</cdr:y>
    </cdr:from>
    <cdr:to>
      <cdr:x>0.99668</cdr:x>
      <cdr:y>0.48509</cdr:y>
    </cdr:to>
    <cdr:sp macro="" textlink="">
      <cdr:nvSpPr>
        <cdr:cNvPr id="5" name="CuadroTexto 1">
          <a:extLst xmlns:a="http://schemas.openxmlformats.org/drawingml/2006/main">
            <a:ext uri="{FF2B5EF4-FFF2-40B4-BE49-F238E27FC236}">
              <a16:creationId xmlns:a16="http://schemas.microsoft.com/office/drawing/2014/main" id="{6A7538DB-EBE6-4F09-B922-D56DF888E264}"/>
            </a:ext>
          </a:extLst>
        </cdr:cNvPr>
        <cdr:cNvSpPr txBox="1"/>
      </cdr:nvSpPr>
      <cdr:spPr>
        <a:xfrm xmlns:a="http://schemas.openxmlformats.org/drawingml/2006/main">
          <a:off x="4019550" y="396883"/>
          <a:ext cx="1925203" cy="336542"/>
        </a:xfrm>
        <a:prstGeom xmlns:a="http://schemas.openxmlformats.org/drawingml/2006/main" prst="rect">
          <a:avLst/>
        </a:prstGeom>
        <a:ln xmlns:a="http://schemas.openxmlformats.org/drawingml/2006/main">
          <a:noFill/>
        </a:ln>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750" b="1">
              <a:solidFill>
                <a:schemeClr val="bg1">
                  <a:lumMod val="50000"/>
                </a:schemeClr>
              </a:solidFill>
              <a:latin typeface="Arial" panose="020B0604020202020204" pitchFamily="34" charset="0"/>
              <a:cs typeface="Arial" panose="020B0604020202020204" pitchFamily="34" charset="0"/>
            </a:rPr>
            <a:t>Delitos federales asociados a narcóticos </a:t>
          </a:r>
        </a:p>
        <a:p xmlns:a="http://schemas.openxmlformats.org/drawingml/2006/main">
          <a:pPr algn="ctr"/>
          <a:r>
            <a:rPr lang="es-MX" sz="750" b="1">
              <a:solidFill>
                <a:schemeClr val="bg1">
                  <a:lumMod val="50000"/>
                </a:schemeClr>
              </a:solidFill>
              <a:latin typeface="Arial" panose="020B0604020202020204" pitchFamily="34" charset="0"/>
              <a:cs typeface="Arial" panose="020B0604020202020204" pitchFamily="34" charset="0"/>
            </a:rPr>
            <a:t>(adultos)</a:t>
          </a:r>
        </a:p>
      </cdr:txBody>
    </cdr:sp>
  </cdr:relSizeAnchor>
  <cdr:relSizeAnchor xmlns:cdr="http://schemas.openxmlformats.org/drawingml/2006/chartDrawing">
    <cdr:from>
      <cdr:x>0.32287</cdr:x>
      <cdr:y>0.255</cdr:y>
    </cdr:from>
    <cdr:to>
      <cdr:x>0.66855</cdr:x>
      <cdr:y>0.38984</cdr:y>
    </cdr:to>
    <cdr:sp macro="" textlink="">
      <cdr:nvSpPr>
        <cdr:cNvPr id="6" name="CuadroTexto 1">
          <a:extLst xmlns:a="http://schemas.openxmlformats.org/drawingml/2006/main">
            <a:ext uri="{FF2B5EF4-FFF2-40B4-BE49-F238E27FC236}">
              <a16:creationId xmlns:a16="http://schemas.microsoft.com/office/drawing/2014/main" id="{ECFA6217-178F-455A-B955-AAD477CF1CF7}"/>
            </a:ext>
          </a:extLst>
        </cdr:cNvPr>
        <cdr:cNvSpPr txBox="1"/>
      </cdr:nvSpPr>
      <cdr:spPr>
        <a:xfrm xmlns:a="http://schemas.openxmlformats.org/drawingml/2006/main">
          <a:off x="1925935" y="696569"/>
          <a:ext cx="2062005" cy="368332"/>
        </a:xfrm>
        <a:prstGeom xmlns:a="http://schemas.openxmlformats.org/drawingml/2006/main" prst="rect">
          <a:avLst/>
        </a:prstGeom>
        <a:ln xmlns:a="http://schemas.openxmlformats.org/drawingml/2006/main">
          <a:noFill/>
        </a:ln>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750" b="1">
              <a:solidFill>
                <a:srgbClr val="CC66FF"/>
              </a:solidFill>
              <a:latin typeface="Arial" panose="020B0604020202020204" pitchFamily="34" charset="0"/>
              <a:cs typeface="Arial" panose="020B0604020202020204" pitchFamily="34" charset="0"/>
            </a:rPr>
            <a:t>Delitos de narcomenudeo</a:t>
          </a:r>
        </a:p>
        <a:p xmlns:a="http://schemas.openxmlformats.org/drawingml/2006/main">
          <a:pPr algn="ctr"/>
          <a:r>
            <a:rPr lang="es-MX" sz="750" b="1">
              <a:solidFill>
                <a:srgbClr val="CC66FF"/>
              </a:solidFill>
              <a:latin typeface="Arial" panose="020B0604020202020204" pitchFamily="34" charset="0"/>
              <a:cs typeface="Arial" panose="020B0604020202020204" pitchFamily="34" charset="0"/>
            </a:rPr>
            <a:t>(adultos)</a:t>
          </a:r>
        </a:p>
      </cdr:txBody>
    </cdr:sp>
  </cdr:relSizeAnchor>
  <cdr:relSizeAnchor xmlns:cdr="http://schemas.openxmlformats.org/drawingml/2006/chartDrawing">
    <cdr:from>
      <cdr:x>0</cdr:x>
      <cdr:y>0.61386</cdr:y>
    </cdr:from>
    <cdr:to>
      <cdr:x>1</cdr:x>
      <cdr:y>0.99312</cdr:y>
    </cdr:to>
    <cdr:sp macro="" textlink="">
      <cdr:nvSpPr>
        <cdr:cNvPr id="3" name="CuadroTexto 2">
          <a:extLst xmlns:a="http://schemas.openxmlformats.org/drawingml/2006/main">
            <a:ext uri="{FF2B5EF4-FFF2-40B4-BE49-F238E27FC236}">
              <a16:creationId xmlns:a16="http://schemas.microsoft.com/office/drawing/2014/main" id="{10D1B750-D7FD-4221-B538-840D2EA5973C}"/>
            </a:ext>
          </a:extLst>
        </cdr:cNvPr>
        <cdr:cNvSpPr txBox="1"/>
      </cdr:nvSpPr>
      <cdr:spPr>
        <a:xfrm xmlns:a="http://schemas.openxmlformats.org/drawingml/2006/main">
          <a:off x="0" y="2312948"/>
          <a:ext cx="5965059" cy="1428977"/>
        </a:xfrm>
        <a:prstGeom xmlns:a="http://schemas.openxmlformats.org/drawingml/2006/main" prst="rect">
          <a:avLst/>
        </a:prstGeom>
      </cdr:spPr>
      <cdr:txBody>
        <a:bodyPr xmlns:a="http://schemas.openxmlformats.org/drawingml/2006/main" vertOverflow="clip" wrap="square" rtlCol="0" anchor="b"/>
        <a:lstStyle xmlns:a="http://schemas.openxmlformats.org/drawingml/2006/main"/>
        <a:p xmlns:a="http://schemas.openxmlformats.org/drawingml/2006/main">
          <a:pPr algn="just"/>
          <a:r>
            <a:rPr lang="es-MX" sz="600" baseline="0">
              <a:effectLst/>
              <a:latin typeface="Arial" panose="020B0604020202020204" pitchFamily="34" charset="0"/>
              <a:ea typeface="+mn-ea"/>
              <a:cs typeface="Arial" panose="020B0604020202020204" pitchFamily="34" charset="0"/>
            </a:rPr>
            <a:t>Nota:La tasa se obtuvo al dividir el total de delitos asociados con narcóticos registrados en averiguaciones previas e investigaciones iniciadas y carpetas de investigación abiertas, entre el total de la población de 12 a 17 años (para adolescentes) y de 18 años y más (para adultos), multiplicado por 100 000. </a:t>
          </a:r>
          <a:endParaRPr lang="es-MX" sz="600">
            <a:effectLst/>
            <a:latin typeface="Arial" panose="020B0604020202020204" pitchFamily="34" charset="0"/>
            <a:cs typeface="Arial" panose="020B0604020202020204" pitchFamily="34" charset="0"/>
          </a:endParaRPr>
        </a:p>
        <a:p xmlns:a="http://schemas.openxmlformats.org/drawingml/2006/main">
          <a:pPr algn="just"/>
          <a:r>
            <a:rPr lang="es-MX" sz="600" baseline="0">
              <a:effectLst/>
              <a:latin typeface="Arial" panose="020B0604020202020204" pitchFamily="34" charset="0"/>
              <a:ea typeface="+mn-ea"/>
              <a:cs typeface="Arial" panose="020B0604020202020204" pitchFamily="34" charset="0"/>
            </a:rPr>
            <a:t>Fuente: INEGI. Censo Nacional de Procuración de Justicia Estatal, 2018 - 2020 y Censo Nacional de Procuración de Justicia Federal, 2018-2020. CONAPO. Proyecciones de la población a mitad de año 1950 - 2050.</a:t>
          </a:r>
          <a:endParaRPr lang="es-MX" sz="600">
            <a:effectLst/>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0.75434</cdr:x>
      <cdr:y>0.00314</cdr:y>
    </cdr:from>
    <cdr:to>
      <cdr:x>0.99825</cdr:x>
      <cdr:y>0.13219</cdr:y>
    </cdr:to>
    <cdr:sp macro="" textlink="">
      <cdr:nvSpPr>
        <cdr:cNvPr id="7" name="CuadroTexto 6">
          <a:extLst xmlns:a="http://schemas.openxmlformats.org/drawingml/2006/main">
            <a:ext uri="{FF2B5EF4-FFF2-40B4-BE49-F238E27FC236}">
              <a16:creationId xmlns:a16="http://schemas.microsoft.com/office/drawing/2014/main" id="{CB0031CA-F5BF-4B89-A697-D24ED198714E}"/>
            </a:ext>
          </a:extLst>
        </cdr:cNvPr>
        <cdr:cNvSpPr txBox="1"/>
      </cdr:nvSpPr>
      <cdr:spPr>
        <a:xfrm xmlns:a="http://schemas.openxmlformats.org/drawingml/2006/main">
          <a:off x="4499675" y="10200"/>
          <a:ext cx="1454918" cy="41868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r"/>
          <a:r>
            <a:rPr lang="es-MX" sz="900" b="1">
              <a:latin typeface="Arial" panose="020B0604020202020204" pitchFamily="34" charset="0"/>
              <a:cs typeface="Arial" panose="020B0604020202020204" pitchFamily="34" charset="0"/>
            </a:rPr>
            <a:t>Gráfica 1</a:t>
          </a: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cdr:y>
    </cdr:from>
    <cdr:to>
      <cdr:x>0.74693</cdr:x>
      <cdr:y>0.2317</cdr:y>
    </cdr:to>
    <cdr:sp macro="" textlink="">
      <cdr:nvSpPr>
        <cdr:cNvPr id="2" name="CuadroTexto 1">
          <a:extLst xmlns:a="http://schemas.openxmlformats.org/drawingml/2006/main">
            <a:ext uri="{FF2B5EF4-FFF2-40B4-BE49-F238E27FC236}">
              <a16:creationId xmlns:a16="http://schemas.microsoft.com/office/drawing/2014/main" id="{ADE10A02-6E26-4DFC-8EB9-E3BDFE75973D}"/>
            </a:ext>
          </a:extLst>
        </cdr:cNvPr>
        <cdr:cNvSpPr txBox="1"/>
      </cdr:nvSpPr>
      <cdr:spPr>
        <a:xfrm xmlns:a="http://schemas.openxmlformats.org/drawingml/2006/main">
          <a:off x="0" y="0"/>
          <a:ext cx="4356000" cy="56718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900" b="1">
              <a:latin typeface="Arial" panose="020B0604020202020204" pitchFamily="34" charset="0"/>
              <a:cs typeface="Arial" panose="020B0604020202020204" pitchFamily="34" charset="0"/>
            </a:rPr>
            <a:t>Delitos relacionados con narcóticos cometidos por las personas privadas</a:t>
          </a:r>
          <a:r>
            <a:rPr lang="es-MX" sz="900" b="1" baseline="0">
              <a:latin typeface="Arial" panose="020B0604020202020204" pitchFamily="34" charset="0"/>
              <a:cs typeface="Arial" panose="020B0604020202020204" pitchFamily="34" charset="0"/>
            </a:rPr>
            <a:t> </a:t>
          </a:r>
          <a:r>
            <a:rPr lang="es-MX" sz="900" b="1">
              <a:latin typeface="Arial" panose="020B0604020202020204" pitchFamily="34" charset="0"/>
              <a:cs typeface="Arial" panose="020B0604020202020204" pitchFamily="34" charset="0"/>
            </a:rPr>
            <a:t>de la libertad en los centros penitenciarios por sexo</a:t>
          </a:r>
        </a:p>
        <a:p xmlns:a="http://schemas.openxmlformats.org/drawingml/2006/main">
          <a:r>
            <a:rPr lang="es-MX" sz="900" b="1">
              <a:latin typeface="Arial" panose="020B0604020202020204" pitchFamily="34" charset="0"/>
              <a:cs typeface="Arial" panose="020B0604020202020204" pitchFamily="34" charset="0"/>
            </a:rPr>
            <a:t>2019</a:t>
          </a:r>
        </a:p>
      </cdr:txBody>
    </cdr:sp>
  </cdr:relSizeAnchor>
  <cdr:relSizeAnchor xmlns:cdr="http://schemas.openxmlformats.org/drawingml/2006/chartDrawing">
    <cdr:from>
      <cdr:x>0</cdr:x>
      <cdr:y>0.84568</cdr:y>
    </cdr:from>
    <cdr:to>
      <cdr:x>1</cdr:x>
      <cdr:y>1</cdr:y>
    </cdr:to>
    <cdr:sp macro="" textlink="">
      <cdr:nvSpPr>
        <cdr:cNvPr id="3" name="CuadroTexto 1">
          <a:extLst xmlns:a="http://schemas.openxmlformats.org/drawingml/2006/main">
            <a:ext uri="{FF2B5EF4-FFF2-40B4-BE49-F238E27FC236}">
              <a16:creationId xmlns:a16="http://schemas.microsoft.com/office/drawing/2014/main" id="{8654A928-7E9D-4CE5-A035-D8F9DDF7E46F}"/>
            </a:ext>
          </a:extLst>
        </cdr:cNvPr>
        <cdr:cNvSpPr txBox="1"/>
      </cdr:nvSpPr>
      <cdr:spPr>
        <a:xfrm xmlns:a="http://schemas.openxmlformats.org/drawingml/2006/main">
          <a:off x="0" y="2471857"/>
          <a:ext cx="5741012" cy="451072"/>
        </a:xfrm>
        <a:prstGeom xmlns:a="http://schemas.openxmlformats.org/drawingml/2006/main" prst="rect">
          <a:avLst/>
        </a:prstGeom>
      </cdr:spPr>
      <cdr:txBody>
        <a:bodyPr xmlns:a="http://schemas.openxmlformats.org/drawingml/2006/main" wrap="square" rtlCol="0" anchor="b"/>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r>
            <a:rPr lang="es-MX" sz="600">
              <a:latin typeface="Arial" panose="020B0604020202020204" pitchFamily="34" charset="0"/>
              <a:cs typeface="Arial" panose="020B0604020202020204" pitchFamily="34" charset="0"/>
            </a:rPr>
            <a:t>Nota: Incluye a las personas adultas y adolescentes privadas de la libertad en centros penitenciarios estatales y federales. La clasificación de los delitos </a:t>
          </a:r>
          <a:r>
            <a:rPr lang="es-MX" sz="600" baseline="0">
              <a:latin typeface="Arial" panose="020B0604020202020204" pitchFamily="34" charset="0"/>
              <a:cs typeface="Arial" panose="020B0604020202020204" pitchFamily="34" charset="0"/>
            </a:rPr>
            <a:t>corresponde a la Norma Técnica para la Clasificación Nacional de Delitos para Fines Estadísticos.</a:t>
          </a:r>
          <a:endParaRPr lang="es-MX" sz="600">
            <a:latin typeface="Arial" panose="020B0604020202020204" pitchFamily="34" charset="0"/>
            <a:cs typeface="Arial" panose="020B0604020202020204" pitchFamily="34" charset="0"/>
          </a:endParaRPr>
        </a:p>
        <a:p xmlns:a="http://schemas.openxmlformats.org/drawingml/2006/main">
          <a:r>
            <a:rPr lang="es-MX" sz="600">
              <a:latin typeface="Arial" panose="020B0604020202020204" pitchFamily="34" charset="0"/>
              <a:cs typeface="Arial" panose="020B0604020202020204" pitchFamily="34" charset="0"/>
            </a:rPr>
            <a:t>Fuente: INEGI. Censo Nacional de Gobierno, Seguridad Pública y Sistema Penitenciario</a:t>
          </a:r>
          <a:r>
            <a:rPr lang="es-MX" sz="600" baseline="0">
              <a:latin typeface="Arial" panose="020B0604020202020204" pitchFamily="34" charset="0"/>
              <a:cs typeface="Arial" panose="020B0604020202020204" pitchFamily="34" charset="0"/>
            </a:rPr>
            <a:t> Estatales 2020 y Censo Nacional de Sistema Penitenciario Federal 2020.</a:t>
          </a:r>
          <a:endParaRPr lang="es-MX" sz="6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0.68612</cdr:x>
      <cdr:y>0.66801</cdr:y>
    </cdr:from>
    <cdr:to>
      <cdr:x>0.96949</cdr:x>
      <cdr:y>0.7735</cdr:y>
    </cdr:to>
    <cdr:grpSp>
      <cdr:nvGrpSpPr>
        <cdr:cNvPr id="4" name="Grupo 3">
          <a:extLst xmlns:a="http://schemas.openxmlformats.org/drawingml/2006/main">
            <a:ext uri="{FF2B5EF4-FFF2-40B4-BE49-F238E27FC236}">
              <a16:creationId xmlns:a16="http://schemas.microsoft.com/office/drawing/2014/main" id="{D4D64647-7E47-4CAE-BD7D-9A6E127C023F}"/>
            </a:ext>
          </a:extLst>
        </cdr:cNvPr>
        <cdr:cNvGrpSpPr/>
      </cdr:nvGrpSpPr>
      <cdr:grpSpPr>
        <a:xfrm xmlns:a="http://schemas.openxmlformats.org/drawingml/2006/main">
          <a:off x="3776107" y="1731113"/>
          <a:ext cx="1559539" cy="273370"/>
          <a:chOff x="295725" y="14162"/>
          <a:chExt cx="1601451" cy="297977"/>
        </a:xfrm>
      </cdr:grpSpPr>
      <cdr:pic>
        <cdr:nvPicPr>
          <cdr:cNvPr id="5" name="Gráfico 1" descr="Mujer con relleno sólido">
            <a:extLst xmlns:a="http://schemas.openxmlformats.org/drawingml/2006/main">
              <a:ext uri="{FF2B5EF4-FFF2-40B4-BE49-F238E27FC236}">
                <a16:creationId xmlns:a16="http://schemas.microsoft.com/office/drawing/2014/main" id="{D1AE7014-EB26-4BFC-9C09-F2E2461D0C48}"/>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xmlns:a="http://schemas.openxmlformats.org/drawingml/2006/main">
            <a:fillRect/>
          </a:stretch>
        </cdr:blipFill>
        <cdr:spPr>
          <a:xfrm xmlns:a="http://schemas.openxmlformats.org/drawingml/2006/main">
            <a:off x="816935" y="14162"/>
            <a:ext cx="318954" cy="250632"/>
          </a:xfrm>
          <a:prstGeom xmlns:a="http://schemas.openxmlformats.org/drawingml/2006/main" prst="rect">
            <a:avLst/>
          </a:prstGeom>
        </cdr:spPr>
      </cdr:pic>
      <cdr:pic>
        <cdr:nvPicPr>
          <cdr:cNvPr id="6" name="Gráfico 2" descr="Hombre con relleno sólido">
            <a:extLst xmlns:a="http://schemas.openxmlformats.org/drawingml/2006/main">
              <a:ext uri="{FF2B5EF4-FFF2-40B4-BE49-F238E27FC236}">
                <a16:creationId xmlns:a16="http://schemas.microsoft.com/office/drawing/2014/main" id="{DE4020EA-2967-4E47-B848-86BA83F18F7C}"/>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xmlns:a="http://schemas.openxmlformats.org/drawingml/2006/main">
            <a:fillRect/>
          </a:stretch>
        </cdr:blipFill>
        <cdr:spPr>
          <a:xfrm xmlns:a="http://schemas.openxmlformats.org/drawingml/2006/main">
            <a:off x="1125765" y="25895"/>
            <a:ext cx="318954" cy="250647"/>
          </a:xfrm>
          <a:prstGeom xmlns:a="http://schemas.openxmlformats.org/drawingml/2006/main" prst="rect">
            <a:avLst/>
          </a:prstGeom>
        </cdr:spPr>
      </cdr:pic>
      <cdr:sp macro="" textlink="">
        <cdr:nvSpPr>
          <cdr:cNvPr id="7" name="CuadroTexto 3">
            <a:extLst xmlns:a="http://schemas.openxmlformats.org/drawingml/2006/main">
              <a:ext uri="{FF2B5EF4-FFF2-40B4-BE49-F238E27FC236}">
                <a16:creationId xmlns:a16="http://schemas.microsoft.com/office/drawing/2014/main" id="{88262576-1863-4FD6-AE1E-A757FF623CC3}"/>
              </a:ext>
            </a:extLst>
          </cdr:cNvPr>
          <cdr:cNvSpPr txBox="1"/>
        </cdr:nvSpPr>
        <cdr:spPr>
          <a:xfrm xmlns:a="http://schemas.openxmlformats.org/drawingml/2006/main">
            <a:off x="295725" y="114347"/>
            <a:ext cx="673356" cy="19779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es-MX" sz="800" b="1">
                <a:latin typeface="Arial" panose="020B0604020202020204" pitchFamily="34" charset="0"/>
                <a:cs typeface="Arial" panose="020B0604020202020204" pitchFamily="34" charset="0"/>
              </a:rPr>
              <a:t>Mujeres   </a:t>
            </a:r>
          </a:p>
          <a:p xmlns:a="http://schemas.openxmlformats.org/drawingml/2006/main">
            <a:pPr algn="r"/>
            <a:r>
              <a:rPr lang="es-MX" sz="800" b="1">
                <a:latin typeface="Arial" panose="020B0604020202020204" pitchFamily="34" charset="0"/>
                <a:cs typeface="Arial" panose="020B0604020202020204" pitchFamily="34" charset="0"/>
              </a:rPr>
              <a:t>                                                                       </a:t>
            </a:r>
          </a:p>
        </cdr:txBody>
      </cdr:sp>
      <cdr:sp macro="" textlink="">
        <cdr:nvSpPr>
          <cdr:cNvPr id="8" name="CuadroTexto 3">
            <a:extLst xmlns:a="http://schemas.openxmlformats.org/drawingml/2006/main">
              <a:ext uri="{FF2B5EF4-FFF2-40B4-BE49-F238E27FC236}">
                <a16:creationId xmlns:a16="http://schemas.microsoft.com/office/drawing/2014/main" id="{45BF420C-5011-4A05-81E3-1E3AE0659F3C}"/>
              </a:ext>
            </a:extLst>
          </cdr:cNvPr>
          <cdr:cNvSpPr txBox="1"/>
        </cdr:nvSpPr>
        <cdr:spPr>
          <a:xfrm xmlns:a="http://schemas.openxmlformats.org/drawingml/2006/main">
            <a:off x="1112782" y="86738"/>
            <a:ext cx="784394" cy="16707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es-MX" sz="800" b="1">
                <a:latin typeface="Arial" panose="020B0604020202020204" pitchFamily="34" charset="0"/>
                <a:cs typeface="Arial" panose="020B0604020202020204" pitchFamily="34" charset="0"/>
              </a:rPr>
              <a:t>Hombres</a:t>
            </a:r>
          </a:p>
          <a:p xmlns:a="http://schemas.openxmlformats.org/drawingml/2006/main">
            <a:pPr algn="r"/>
            <a:r>
              <a:rPr lang="es-MX" sz="800" b="1">
                <a:latin typeface="Arial" panose="020B0604020202020204" pitchFamily="34" charset="0"/>
                <a:cs typeface="Arial" panose="020B0604020202020204" pitchFamily="34" charset="0"/>
              </a:rPr>
              <a:t>                                                                       </a:t>
            </a:r>
          </a:p>
        </cdr:txBody>
      </cdr:sp>
    </cdr:grpSp>
  </cdr:relSizeAnchor>
  <cdr:relSizeAnchor xmlns:cdr="http://schemas.openxmlformats.org/drawingml/2006/chartDrawing">
    <cdr:from>
      <cdr:x>0.6967</cdr:x>
      <cdr:y>0</cdr:y>
    </cdr:from>
    <cdr:to>
      <cdr:x>1</cdr:x>
      <cdr:y>0.16101</cdr:y>
    </cdr:to>
    <cdr:sp macro="" textlink="">
      <cdr:nvSpPr>
        <cdr:cNvPr id="9" name="CuadroTexto 1">
          <a:extLst xmlns:a="http://schemas.openxmlformats.org/drawingml/2006/main">
            <a:ext uri="{FF2B5EF4-FFF2-40B4-BE49-F238E27FC236}">
              <a16:creationId xmlns:a16="http://schemas.microsoft.com/office/drawing/2014/main" id="{859543FA-92FF-4ED9-9CB2-B17F243B63A2}"/>
            </a:ext>
          </a:extLst>
        </cdr:cNvPr>
        <cdr:cNvSpPr txBox="1"/>
      </cdr:nvSpPr>
      <cdr:spPr>
        <a:xfrm xmlns:a="http://schemas.openxmlformats.org/drawingml/2006/main">
          <a:off x="3999752" y="0"/>
          <a:ext cx="1741260" cy="470629"/>
        </a:xfrm>
        <a:prstGeom xmlns:a="http://schemas.openxmlformats.org/drawingml/2006/main" prst="rect">
          <a:avLst/>
        </a:prstGeom>
      </cdr:spPr>
      <cdr:txBody>
        <a:bodyPr xmlns:a="http://schemas.openxmlformats.org/drawingml/2006/main" wrap="square" rtlCol="0" anchor="t"/>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es-MX" sz="900" b="1">
              <a:latin typeface="Arial" panose="020B0604020202020204" pitchFamily="34" charset="0"/>
              <a:cs typeface="Arial" panose="020B0604020202020204" pitchFamily="34" charset="0"/>
            </a:rPr>
            <a:t>Gráfica 2</a:t>
          </a:r>
        </a:p>
      </cdr:txBody>
    </cdr:sp>
  </cdr:relSizeAnchor>
  <cdr:relSizeAnchor xmlns:cdr="http://schemas.openxmlformats.org/drawingml/2006/chartDrawing">
    <cdr:from>
      <cdr:x>0.01237</cdr:x>
      <cdr:y>0.15585</cdr:y>
    </cdr:from>
    <cdr:to>
      <cdr:x>0.43562</cdr:x>
      <cdr:y>0.28979</cdr:y>
    </cdr:to>
    <cdr:sp macro="" textlink="">
      <cdr:nvSpPr>
        <cdr:cNvPr id="10" name="CuadroTexto 1">
          <a:extLst xmlns:a="http://schemas.openxmlformats.org/drawingml/2006/main">
            <a:ext uri="{FF2B5EF4-FFF2-40B4-BE49-F238E27FC236}">
              <a16:creationId xmlns:a16="http://schemas.microsoft.com/office/drawing/2014/main" id="{827ECC32-7882-4BB5-A781-BA1A1AF77331}"/>
            </a:ext>
          </a:extLst>
        </cdr:cNvPr>
        <cdr:cNvSpPr txBox="1"/>
      </cdr:nvSpPr>
      <cdr:spPr>
        <a:xfrm xmlns:a="http://schemas.openxmlformats.org/drawingml/2006/main">
          <a:off x="68093" y="408621"/>
          <a:ext cx="2329375" cy="35117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lvl="0" indent="0" algn="r" defTabSz="914400" eaLnBrk="1" fontAlgn="auto" latinLnBrk="0" hangingPunct="1">
            <a:lnSpc>
              <a:spcPct val="100000"/>
            </a:lnSpc>
            <a:spcBef>
              <a:spcPts val="0"/>
            </a:spcBef>
            <a:spcAft>
              <a:spcPts val="0"/>
            </a:spcAft>
            <a:buClrTx/>
            <a:buSzTx/>
            <a:buFontTx/>
            <a:buNone/>
            <a:tabLst/>
            <a:defRPr/>
          </a:pPr>
          <a:r>
            <a:rPr lang="es-MX" sz="800" b="0">
              <a:effectLst/>
              <a:latin typeface="Arial" panose="020B0604020202020204" pitchFamily="34" charset="0"/>
              <a:ea typeface="+mn-ea"/>
              <a:cs typeface="Arial" panose="020B0604020202020204" pitchFamily="34" charset="0"/>
            </a:rPr>
            <a:t>Delitos de narcomenudeo</a:t>
          </a:r>
          <a:endParaRPr lang="es-MX" sz="800" b="0">
            <a:effectLst/>
            <a:latin typeface="Arial" panose="020B0604020202020204" pitchFamily="34" charset="0"/>
            <a:cs typeface="Arial" panose="020B0604020202020204" pitchFamily="34" charset="0"/>
          </a:endParaRPr>
        </a:p>
        <a:p xmlns:a="http://schemas.openxmlformats.org/drawingml/2006/main">
          <a:pPr algn="ctr"/>
          <a:endParaRPr lang="es-MX" sz="800" b="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0.43729</cdr:x>
      <cdr:y>0.15638</cdr:y>
    </cdr:from>
    <cdr:to>
      <cdr:x>1</cdr:x>
      <cdr:y>0.33885</cdr:y>
    </cdr:to>
    <cdr:sp macro="" textlink="">
      <cdr:nvSpPr>
        <cdr:cNvPr id="11" name="CuadroTexto 2">
          <a:extLst xmlns:a="http://schemas.openxmlformats.org/drawingml/2006/main">
            <a:ext uri="{FF2B5EF4-FFF2-40B4-BE49-F238E27FC236}">
              <a16:creationId xmlns:a16="http://schemas.microsoft.com/office/drawing/2014/main" id="{CE3F3E61-40C9-44C7-A2E3-D04ECAE2CD10}"/>
            </a:ext>
          </a:extLst>
        </cdr:cNvPr>
        <cdr:cNvSpPr txBox="1"/>
      </cdr:nvSpPr>
      <cdr:spPr>
        <a:xfrm xmlns:a="http://schemas.openxmlformats.org/drawingml/2006/main">
          <a:off x="2406646" y="382807"/>
          <a:ext cx="3096899" cy="44667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es-MX" sz="800" b="0">
              <a:effectLst/>
              <a:latin typeface="Arial" panose="020B0604020202020204" pitchFamily="34" charset="0"/>
              <a:ea typeface="+mn-ea"/>
              <a:cs typeface="Arial" panose="020B0604020202020204" pitchFamily="34" charset="0"/>
            </a:rPr>
            <a:t>Delitos federales contra la salud relacionados con narcóticos </a:t>
          </a:r>
          <a:endParaRPr lang="es-MX"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0.42223</cdr:x>
      <cdr:y>0.19202</cdr:y>
    </cdr:from>
    <cdr:to>
      <cdr:x>0.42223</cdr:x>
      <cdr:y>0.782</cdr:y>
    </cdr:to>
    <cdr:cxnSp macro="">
      <cdr:nvCxnSpPr>
        <cdr:cNvPr id="12" name="Conector recto 11">
          <a:extLst xmlns:a="http://schemas.openxmlformats.org/drawingml/2006/main">
            <a:ext uri="{FF2B5EF4-FFF2-40B4-BE49-F238E27FC236}">
              <a16:creationId xmlns:a16="http://schemas.microsoft.com/office/drawing/2014/main" id="{8EF5899E-86A2-4226-BCF4-62DF7FA41D1E}"/>
            </a:ext>
          </a:extLst>
        </cdr:cNvPr>
        <cdr:cNvCxnSpPr/>
      </cdr:nvCxnSpPr>
      <cdr:spPr>
        <a:xfrm xmlns:a="http://schemas.openxmlformats.org/drawingml/2006/main">
          <a:off x="2323762" y="497607"/>
          <a:ext cx="0" cy="1528901"/>
        </a:xfrm>
        <a:prstGeom xmlns:a="http://schemas.openxmlformats.org/drawingml/2006/main" prst="line">
          <a:avLst/>
        </a:prstGeom>
        <a:ln xmlns:a="http://schemas.openxmlformats.org/drawingml/2006/main" w="12700">
          <a:solidFill>
            <a:srgbClr val="0070C0"/>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4.xml><?xml version="1.0" encoding="utf-8"?>
<c:userShapes xmlns:c="http://schemas.openxmlformats.org/drawingml/2006/chart">
  <cdr:relSizeAnchor xmlns:cdr="http://schemas.openxmlformats.org/drawingml/2006/chartDrawing">
    <cdr:from>
      <cdr:x>0.00359</cdr:x>
      <cdr:y>2.29196E-7</cdr:y>
    </cdr:from>
    <cdr:to>
      <cdr:x>1</cdr:x>
      <cdr:y>0.17541</cdr:y>
    </cdr:to>
    <cdr:sp macro="" textlink="">
      <cdr:nvSpPr>
        <cdr:cNvPr id="3" name="CuadroTexto 2">
          <a:extLst xmlns:a="http://schemas.openxmlformats.org/drawingml/2006/main">
            <a:ext uri="{FF2B5EF4-FFF2-40B4-BE49-F238E27FC236}">
              <a16:creationId xmlns:a16="http://schemas.microsoft.com/office/drawing/2014/main" id="{18050CA7-BE77-47B1-800E-61988E78387F}"/>
            </a:ext>
          </a:extLst>
        </cdr:cNvPr>
        <cdr:cNvSpPr txBox="1"/>
      </cdr:nvSpPr>
      <cdr:spPr>
        <a:xfrm xmlns:a="http://schemas.openxmlformats.org/drawingml/2006/main">
          <a:off x="19160" y="1"/>
          <a:ext cx="5318015" cy="76531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900" b="1">
              <a:latin typeface="Arial" panose="020B0604020202020204" pitchFamily="34" charset="0"/>
              <a:cs typeface="Arial" panose="020B0604020202020204" pitchFamily="34" charset="0"/>
            </a:rPr>
            <a:t>Población privada de la libertad sin sentencia por tipo de delito y sexo              Gráfica 3</a:t>
          </a:r>
        </a:p>
        <a:p xmlns:a="http://schemas.openxmlformats.org/drawingml/2006/main">
          <a:r>
            <a:rPr lang="es-MX" sz="900" b="1">
              <a:latin typeface="Arial" panose="020B0604020202020204" pitchFamily="34" charset="0"/>
              <a:cs typeface="Arial" panose="020B0604020202020204" pitchFamily="34" charset="0"/>
            </a:rPr>
            <a:t>2019</a:t>
          </a:r>
        </a:p>
      </cdr:txBody>
    </cdr:sp>
  </cdr:relSizeAnchor>
  <cdr:relSizeAnchor xmlns:cdr="http://schemas.openxmlformats.org/drawingml/2006/chartDrawing">
    <cdr:from>
      <cdr:x>0.00205</cdr:x>
      <cdr:y>0.54314</cdr:y>
    </cdr:from>
    <cdr:to>
      <cdr:x>0.99995</cdr:x>
      <cdr:y>1</cdr:y>
    </cdr:to>
    <cdr:sp macro="" textlink="">
      <cdr:nvSpPr>
        <cdr:cNvPr id="4" name="CuadroTexto 3">
          <a:extLst xmlns:a="http://schemas.openxmlformats.org/drawingml/2006/main">
            <a:ext uri="{FF2B5EF4-FFF2-40B4-BE49-F238E27FC236}">
              <a16:creationId xmlns:a16="http://schemas.microsoft.com/office/drawing/2014/main" id="{95215D61-5B79-4E42-95DF-71FD0586918F}"/>
            </a:ext>
          </a:extLst>
        </cdr:cNvPr>
        <cdr:cNvSpPr txBox="1"/>
      </cdr:nvSpPr>
      <cdr:spPr>
        <a:xfrm xmlns:a="http://schemas.openxmlformats.org/drawingml/2006/main">
          <a:off x="12210" y="1897957"/>
          <a:ext cx="5943063" cy="1596444"/>
        </a:xfrm>
        <a:prstGeom xmlns:a="http://schemas.openxmlformats.org/drawingml/2006/main" prst="rect">
          <a:avLst/>
        </a:prstGeom>
      </cdr:spPr>
      <cdr:txBody>
        <a:bodyPr xmlns:a="http://schemas.openxmlformats.org/drawingml/2006/main" vertOverflow="clip" wrap="square" rtlCol="0" anchor="b"/>
        <a:lstStyle xmlns:a="http://schemas.openxmlformats.org/drawingml/2006/main"/>
        <a:p xmlns:a="http://schemas.openxmlformats.org/drawingml/2006/main">
          <a:pPr marL="0" marR="0" lvl="0" indent="0" algn="just" defTabSz="914400" eaLnBrk="1" fontAlgn="auto" latinLnBrk="0" hangingPunct="1">
            <a:lnSpc>
              <a:spcPct val="100000"/>
            </a:lnSpc>
            <a:spcBef>
              <a:spcPts val="0"/>
            </a:spcBef>
            <a:spcAft>
              <a:spcPts val="0"/>
            </a:spcAft>
            <a:buClrTx/>
            <a:buSzTx/>
            <a:buFontTx/>
            <a:buNone/>
            <a:tabLst/>
            <a:defRPr/>
          </a:pPr>
          <a:r>
            <a:rPr lang="es-MX" sz="700">
              <a:latin typeface="Arial" panose="020B0604020202020204" pitchFamily="34" charset="0"/>
              <a:cs typeface="Arial" panose="020B0604020202020204" pitchFamily="34" charset="0"/>
            </a:rPr>
            <a:t>Nota: Incluye a las personas privadas de la libertad en centros penitenciarios</a:t>
          </a:r>
          <a:r>
            <a:rPr lang="es-MX" sz="700" baseline="0">
              <a:latin typeface="Arial" panose="020B0604020202020204" pitchFamily="34" charset="0"/>
              <a:cs typeface="Arial" panose="020B0604020202020204" pitchFamily="34" charset="0"/>
            </a:rPr>
            <a:t> federales y estatales. </a:t>
          </a:r>
          <a:r>
            <a:rPr lang="es-MX" sz="700">
              <a:latin typeface="Arial" panose="020B0604020202020204" pitchFamily="34" charset="0"/>
              <a:cs typeface="Arial" panose="020B0604020202020204" pitchFamily="34" charset="0"/>
            </a:rPr>
            <a:t>La clasificación de los delitos </a:t>
          </a:r>
          <a:r>
            <a:rPr lang="es-MX" sz="700" baseline="0">
              <a:latin typeface="Arial" panose="020B0604020202020204" pitchFamily="34" charset="0"/>
              <a:cs typeface="Arial" panose="020B0604020202020204" pitchFamily="34" charset="0"/>
            </a:rPr>
            <a:t>corresponde con la Norma Técnica para la Clasificación Nacional de Delitos para Fines Estadísticos.</a:t>
          </a:r>
        </a:p>
        <a:p xmlns:a="http://schemas.openxmlformats.org/drawingml/2006/main">
          <a:pPr algn="just"/>
          <a:r>
            <a:rPr lang="es-MX" sz="700" baseline="0">
              <a:latin typeface="Arial" panose="020B0604020202020204" pitchFamily="34" charset="0"/>
              <a:cs typeface="Arial" panose="020B0604020202020204" pitchFamily="34" charset="0"/>
            </a:rPr>
            <a:t>Fuente: INEGI. Censo Nacional de Gobierno, Seguridad Pública y Sistema Penitenciario Estatales 2020 y Censo Nacional de Sistema Penitenciario Federal 2020.</a:t>
          </a:r>
        </a:p>
      </cdr:txBody>
    </cdr:sp>
  </cdr:relSizeAnchor>
  <cdr:relSizeAnchor xmlns:cdr="http://schemas.openxmlformats.org/drawingml/2006/chartDrawing">
    <cdr:from>
      <cdr:x>0.11977</cdr:x>
      <cdr:y>0.09394</cdr:y>
    </cdr:from>
    <cdr:to>
      <cdr:x>0.9032</cdr:x>
      <cdr:y>0.75689</cdr:y>
    </cdr:to>
    <cdr:pic>
      <cdr:nvPicPr>
        <cdr:cNvPr id="10" name="Imagen 9">
          <a:extLst xmlns:a="http://schemas.openxmlformats.org/drawingml/2006/main">
            <a:ext uri="{FF2B5EF4-FFF2-40B4-BE49-F238E27FC236}">
              <a16:creationId xmlns:a16="http://schemas.microsoft.com/office/drawing/2014/main" id="{64CF4D5F-5766-4520-8C32-9C7D0028BECF}"/>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507967" y="285008"/>
          <a:ext cx="3322663" cy="2011419"/>
        </a:xfrm>
        <a:prstGeom xmlns:a="http://schemas.openxmlformats.org/drawingml/2006/main" prst="rect">
          <a:avLst/>
        </a:prstGeom>
      </cdr:spPr>
    </cdr:pic>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360ADD2F1DFF4A9942B708C9B52C3A" ma:contentTypeVersion="12" ma:contentTypeDescription="Create a new document." ma:contentTypeScope="" ma:versionID="df36a9489d2a9a6a719aace5570be654">
  <xsd:schema xmlns:xsd="http://www.w3.org/2001/XMLSchema" xmlns:xs="http://www.w3.org/2001/XMLSchema" xmlns:p="http://schemas.microsoft.com/office/2006/metadata/properties" xmlns:ns3="abd82f08-da84-4abc-b6c0-90d2c08ae21d" xmlns:ns4="3863571c-1a6a-4417-8f19-59236f1e02e9" targetNamespace="http://schemas.microsoft.com/office/2006/metadata/properties" ma:root="true" ma:fieldsID="fe64d11ed34c1133c8bb373ec3dae916" ns3:_="" ns4:_="">
    <xsd:import namespace="abd82f08-da84-4abc-b6c0-90d2c08ae21d"/>
    <xsd:import namespace="3863571c-1a6a-4417-8f19-59236f1e02e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82f08-da84-4abc-b6c0-90d2c08ae21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63571c-1a6a-4417-8f19-59236f1e02e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CBD3E-A259-4935-8006-7FE4482F6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d82f08-da84-4abc-b6c0-90d2c08ae21d"/>
    <ds:schemaRef ds:uri="3863571c-1a6a-4417-8f19-59236f1e0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C903F9-431F-4961-B330-E042A274488A}">
  <ds:schemaRefs>
    <ds:schemaRef ds:uri="http://schemas.microsoft.com/sharepoint/v3/contenttype/forms"/>
  </ds:schemaRefs>
</ds:datastoreItem>
</file>

<file path=customXml/itemProps3.xml><?xml version="1.0" encoding="utf-8"?>
<ds:datastoreItem xmlns:ds="http://schemas.openxmlformats.org/officeDocument/2006/customXml" ds:itemID="{78D077F3-8328-4E1C-8737-EA86E81492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FCCE1A-0C5C-499D-B706-CA53E989E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1490</Words>
  <Characters>8201</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Comunicado. Día Internacional de la Lucha Contra el Uso Indebido y el Tráfico Ilícito de Drogas</vt:lpstr>
    </vt:vector>
  </TitlesOfParts>
  <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Día Internacional de la Lucha Contra el Uso Indebido y el Tráfico Ilícito de Drogas</dc:title>
  <dc:subject/>
  <dc:creator>INEGI</dc:creator>
  <cp:keywords/>
  <dc:description/>
  <cp:lastModifiedBy>GUILLEN MEDINA MOISES</cp:lastModifiedBy>
  <cp:revision>4</cp:revision>
  <cp:lastPrinted>2021-04-29T21:48:00Z</cp:lastPrinted>
  <dcterms:created xsi:type="dcterms:W3CDTF">2021-06-25T18:35:00Z</dcterms:created>
  <dcterms:modified xsi:type="dcterms:W3CDTF">2021-06-25T19:23:00Z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0x0101002C360ADD2F1DFF4A9942B708C9B52C3A</vt:lpwstr>
  </property>
</Properties>
</file>