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DCB5" w14:textId="28AD6446" w:rsidR="00222F53" w:rsidRDefault="00262525" w:rsidP="00D04767">
      <w:pPr>
        <w:spacing w:after="0" w:line="240" w:lineRule="auto"/>
        <w:jc w:val="center"/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</w:pPr>
      <w:r w:rsidRPr="004872FA"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  <w:t xml:space="preserve">ESTADÍSTICAS A PROPÓSITO DEL DÍA </w:t>
      </w:r>
      <w:r w:rsidR="0005781E"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  <w:t xml:space="preserve">DE </w:t>
      </w:r>
      <w:r w:rsidRPr="004872FA"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  <w:t xml:space="preserve">LA ADMINISTRACIÓN PÚBLICA </w:t>
      </w:r>
    </w:p>
    <w:p w14:paraId="1798DC6F" w14:textId="47C6EAE3" w:rsidR="00262525" w:rsidRDefault="00262525" w:rsidP="00D04767">
      <w:pPr>
        <w:spacing w:after="0" w:line="240" w:lineRule="auto"/>
        <w:jc w:val="center"/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</w:pPr>
      <w:r w:rsidRPr="004872FA"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  <w:t>(23 DE JUNIO)</w:t>
      </w:r>
    </w:p>
    <w:p w14:paraId="5E4D5E1F" w14:textId="77777777" w:rsidR="00262525" w:rsidRDefault="00262525" w:rsidP="00D04767">
      <w:pPr>
        <w:spacing w:after="0" w:line="240" w:lineRule="auto"/>
        <w:jc w:val="center"/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</w:pPr>
    </w:p>
    <w:p w14:paraId="18F91A60" w14:textId="01060C26" w:rsidR="00E52C12" w:rsidRPr="002850DC" w:rsidRDefault="0060165F" w:rsidP="005373FC">
      <w:pPr>
        <w:pStyle w:val="NormalWeb"/>
        <w:numPr>
          <w:ilvl w:val="0"/>
          <w:numId w:val="2"/>
        </w:numPr>
        <w:spacing w:before="0" w:beforeAutospacing="0" w:after="0" w:afterAutospacing="0"/>
        <w:ind w:right="474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8325B5">
        <w:rPr>
          <w:rFonts w:ascii="Arial" w:hAnsi="Arial" w:cs="Arial"/>
        </w:rPr>
        <w:t>n 2020</w:t>
      </w:r>
      <w:r w:rsidR="005969DF">
        <w:rPr>
          <w:rFonts w:ascii="Arial" w:hAnsi="Arial" w:cs="Arial"/>
        </w:rPr>
        <w:t xml:space="preserve">, </w:t>
      </w:r>
      <w:r w:rsidR="002850DC">
        <w:rPr>
          <w:rFonts w:ascii="Arial" w:hAnsi="Arial" w:cs="Arial"/>
        </w:rPr>
        <w:t>laboraron</w:t>
      </w:r>
      <w:r w:rsidR="002850DC" w:rsidRPr="008325B5">
        <w:rPr>
          <w:rFonts w:ascii="Arial" w:hAnsi="Arial" w:cs="Arial"/>
        </w:rPr>
        <w:t xml:space="preserve"> </w:t>
      </w:r>
      <w:r w:rsidR="002850DC">
        <w:rPr>
          <w:rFonts w:ascii="Arial" w:hAnsi="Arial" w:cs="Arial"/>
        </w:rPr>
        <w:t xml:space="preserve">5 </w:t>
      </w:r>
      <w:r w:rsidR="002850DC" w:rsidRPr="00A41DF2">
        <w:rPr>
          <w:rFonts w:ascii="Arial" w:hAnsi="Arial" w:cs="Arial"/>
        </w:rPr>
        <w:t>045</w:t>
      </w:r>
      <w:r w:rsidR="002850DC">
        <w:rPr>
          <w:rFonts w:ascii="Arial" w:hAnsi="Arial" w:cs="Arial"/>
        </w:rPr>
        <w:t xml:space="preserve"> </w:t>
      </w:r>
      <w:r w:rsidR="002850DC" w:rsidRPr="00A41DF2">
        <w:rPr>
          <w:rFonts w:ascii="Arial" w:hAnsi="Arial" w:cs="Arial"/>
        </w:rPr>
        <w:t>550</w:t>
      </w:r>
      <w:r w:rsidR="002850DC" w:rsidRPr="008325B5">
        <w:rPr>
          <w:rFonts w:ascii="Arial" w:hAnsi="Arial" w:cs="Arial"/>
        </w:rPr>
        <w:t xml:space="preserve"> personas</w:t>
      </w:r>
      <w:r w:rsidR="002850DC">
        <w:rPr>
          <w:rFonts w:ascii="Arial" w:hAnsi="Arial" w:cs="Arial"/>
        </w:rPr>
        <w:t xml:space="preserve"> </w:t>
      </w:r>
      <w:r w:rsidR="005969DF">
        <w:rPr>
          <w:rFonts w:ascii="Arial" w:hAnsi="Arial" w:cs="Arial"/>
        </w:rPr>
        <w:t>en la administración pública de los tres órdenes de gobierno</w:t>
      </w:r>
      <w:r w:rsidRPr="002850DC">
        <w:rPr>
          <w:rFonts w:ascii="Arial" w:hAnsi="Arial" w:cs="Arial"/>
        </w:rPr>
        <w:t>.</w:t>
      </w:r>
      <w:r w:rsidR="00BB43E5" w:rsidRPr="002850DC">
        <w:rPr>
          <w:rFonts w:ascii="Arial" w:hAnsi="Arial" w:cs="Arial"/>
          <w:u w:color="2E74B5" w:themeColor="accent5" w:themeShade="BF"/>
        </w:rPr>
        <w:t xml:space="preserve"> L</w:t>
      </w:r>
      <w:r w:rsidR="00E52C12" w:rsidRPr="002850DC">
        <w:rPr>
          <w:rFonts w:ascii="Arial" w:hAnsi="Arial" w:cs="Arial"/>
        </w:rPr>
        <w:t>as mujeres representaron 56.3</w:t>
      </w:r>
      <w:r w:rsidR="006D4A95" w:rsidRPr="002850DC">
        <w:rPr>
          <w:rFonts w:ascii="Arial" w:hAnsi="Arial" w:cs="Arial"/>
        </w:rPr>
        <w:t xml:space="preserve"> </w:t>
      </w:r>
      <w:r w:rsidR="00E52C12" w:rsidRPr="002850DC">
        <w:rPr>
          <w:rFonts w:ascii="Arial" w:hAnsi="Arial" w:cs="Arial"/>
        </w:rPr>
        <w:t>% del total de personal en la</w:t>
      </w:r>
      <w:r w:rsidR="00BB43E5" w:rsidRPr="002850DC">
        <w:rPr>
          <w:rFonts w:ascii="Arial" w:hAnsi="Arial" w:cs="Arial"/>
        </w:rPr>
        <w:t xml:space="preserve"> a</w:t>
      </w:r>
      <w:r w:rsidR="00E52C12" w:rsidRPr="002850DC">
        <w:rPr>
          <w:rFonts w:ascii="Arial" w:hAnsi="Arial" w:cs="Arial"/>
        </w:rPr>
        <w:t>dministración pública estatal,</w:t>
      </w:r>
      <w:r w:rsidR="00E52C12" w:rsidRPr="002850DC">
        <w:rPr>
          <w:rFonts w:ascii="Segoe UI" w:hAnsi="Segoe UI" w:cs="Segoe UI"/>
        </w:rPr>
        <w:t xml:space="preserve"> </w:t>
      </w:r>
      <w:r w:rsidR="00E52C12" w:rsidRPr="002850DC">
        <w:rPr>
          <w:rFonts w:ascii="Arial" w:hAnsi="Arial" w:cs="Arial"/>
        </w:rPr>
        <w:t>50.1</w:t>
      </w:r>
      <w:r w:rsidR="006D4A95" w:rsidRPr="002850DC">
        <w:rPr>
          <w:rFonts w:ascii="Arial" w:hAnsi="Arial" w:cs="Arial"/>
        </w:rPr>
        <w:t xml:space="preserve"> </w:t>
      </w:r>
      <w:r w:rsidR="00E52C12" w:rsidRPr="002850DC">
        <w:rPr>
          <w:rFonts w:ascii="Arial" w:hAnsi="Arial" w:cs="Arial"/>
        </w:rPr>
        <w:t>%</w:t>
      </w:r>
      <w:r w:rsidR="002850DC">
        <w:rPr>
          <w:rFonts w:ascii="Arial" w:hAnsi="Arial" w:cs="Arial"/>
        </w:rPr>
        <w:t>,</w:t>
      </w:r>
      <w:r w:rsidR="00E52C12" w:rsidRPr="002850DC">
        <w:rPr>
          <w:rFonts w:ascii="Arial" w:hAnsi="Arial" w:cs="Arial"/>
        </w:rPr>
        <w:t xml:space="preserve"> </w:t>
      </w:r>
      <w:r w:rsidR="0074740E" w:rsidRPr="002850DC">
        <w:rPr>
          <w:rFonts w:ascii="Arial" w:hAnsi="Arial" w:cs="Arial"/>
        </w:rPr>
        <w:t xml:space="preserve">en la </w:t>
      </w:r>
      <w:r w:rsidR="00E52C12" w:rsidRPr="002850DC">
        <w:rPr>
          <w:rFonts w:ascii="Arial" w:hAnsi="Arial" w:cs="Arial"/>
        </w:rPr>
        <w:t>federal y 35.3</w:t>
      </w:r>
      <w:r w:rsidR="006D4A95" w:rsidRPr="002850DC">
        <w:rPr>
          <w:rFonts w:ascii="Arial" w:hAnsi="Arial" w:cs="Arial"/>
        </w:rPr>
        <w:t xml:space="preserve"> </w:t>
      </w:r>
      <w:r w:rsidR="00E52C12" w:rsidRPr="002850DC">
        <w:rPr>
          <w:rFonts w:ascii="Arial" w:hAnsi="Arial" w:cs="Arial"/>
        </w:rPr>
        <w:t>%</w:t>
      </w:r>
      <w:r w:rsidR="002850DC">
        <w:rPr>
          <w:rFonts w:ascii="Arial" w:hAnsi="Arial" w:cs="Arial"/>
        </w:rPr>
        <w:t>,</w:t>
      </w:r>
      <w:r w:rsidR="00E52C12" w:rsidRPr="002850DC">
        <w:rPr>
          <w:rFonts w:ascii="Arial" w:hAnsi="Arial" w:cs="Arial"/>
        </w:rPr>
        <w:t xml:space="preserve"> en </w:t>
      </w:r>
      <w:r w:rsidR="00EA7FFE" w:rsidRPr="002850DC">
        <w:rPr>
          <w:rFonts w:ascii="Arial" w:hAnsi="Arial" w:cs="Arial"/>
        </w:rPr>
        <w:t>la</w:t>
      </w:r>
      <w:r w:rsidR="0074740E" w:rsidRPr="002850DC">
        <w:rPr>
          <w:rFonts w:ascii="Arial" w:hAnsi="Arial" w:cs="Arial"/>
        </w:rPr>
        <w:t xml:space="preserve"> </w:t>
      </w:r>
      <w:r w:rsidR="00E52C12" w:rsidRPr="002850DC">
        <w:rPr>
          <w:rFonts w:ascii="Arial" w:hAnsi="Arial" w:cs="Arial"/>
        </w:rPr>
        <w:t>municipal.</w:t>
      </w:r>
    </w:p>
    <w:p w14:paraId="1DF5A5D1" w14:textId="3F845B4E" w:rsidR="00A90CC7" w:rsidRPr="00462C33" w:rsidRDefault="00A90CC7" w:rsidP="004C58A1">
      <w:pPr>
        <w:pStyle w:val="NormalWeb"/>
        <w:numPr>
          <w:ilvl w:val="0"/>
          <w:numId w:val="2"/>
        </w:numPr>
        <w:spacing w:before="0" w:beforeAutospacing="0" w:after="0" w:afterAutospacing="0"/>
        <w:ind w:right="474"/>
        <w:jc w:val="both"/>
        <w:rPr>
          <w:rFonts w:ascii="Arial" w:hAnsi="Arial" w:cs="Arial"/>
        </w:rPr>
      </w:pPr>
      <w:r w:rsidRPr="00A90CC7">
        <w:rPr>
          <w:rFonts w:ascii="Arial" w:hAnsi="Arial" w:cs="Arial"/>
        </w:rPr>
        <w:t>En</w:t>
      </w:r>
      <w:r w:rsidR="008A0CE3">
        <w:rPr>
          <w:rFonts w:ascii="Arial" w:hAnsi="Arial" w:cs="Arial"/>
        </w:rPr>
        <w:t xml:space="preserve"> el mismo año</w:t>
      </w:r>
      <w:r w:rsidRPr="00A90CC7">
        <w:rPr>
          <w:rFonts w:ascii="Arial" w:hAnsi="Arial" w:cs="Arial"/>
        </w:rPr>
        <w:t>, el presupuesto público ejercido por los tres órdenes de gobierno ascendió a</w:t>
      </w:r>
      <w:r w:rsidR="008A0CE3">
        <w:rPr>
          <w:rFonts w:ascii="Arial" w:hAnsi="Arial" w:cs="Arial"/>
        </w:rPr>
        <w:t xml:space="preserve"> </w:t>
      </w:r>
      <w:r w:rsidRPr="00A90CC7">
        <w:rPr>
          <w:rFonts w:ascii="Arial" w:hAnsi="Arial" w:cs="Arial"/>
        </w:rPr>
        <w:t>5 746 519.97 millones de pesos.</w:t>
      </w:r>
    </w:p>
    <w:p w14:paraId="56FCEA80" w14:textId="3FF882F0" w:rsidR="00262525" w:rsidRPr="00D04767" w:rsidRDefault="00BB2DDF" w:rsidP="004C58A1">
      <w:pPr>
        <w:pStyle w:val="NormalWeb"/>
        <w:numPr>
          <w:ilvl w:val="0"/>
          <w:numId w:val="2"/>
        </w:numPr>
        <w:spacing w:before="0" w:beforeAutospacing="0" w:after="0" w:afterAutospacing="0"/>
        <w:ind w:left="714" w:right="47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71938" w:rsidRPr="008D796B">
        <w:rPr>
          <w:rFonts w:ascii="Arial" w:hAnsi="Arial" w:cs="Arial"/>
        </w:rPr>
        <w:t>n 2020, 80</w:t>
      </w:r>
      <w:r w:rsidR="00CD1581">
        <w:rPr>
          <w:rFonts w:ascii="Arial" w:hAnsi="Arial" w:cs="Arial"/>
        </w:rPr>
        <w:t>.0</w:t>
      </w:r>
      <w:r w:rsidR="006D4A95">
        <w:rPr>
          <w:rFonts w:ascii="Arial" w:hAnsi="Arial" w:cs="Arial"/>
        </w:rPr>
        <w:t xml:space="preserve"> </w:t>
      </w:r>
      <w:r w:rsidR="00071938" w:rsidRPr="008D796B">
        <w:rPr>
          <w:rFonts w:ascii="Arial" w:hAnsi="Arial" w:cs="Arial"/>
        </w:rPr>
        <w:t>% del total de las contrataciones públicas estatales y 74</w:t>
      </w:r>
      <w:r w:rsidR="00CD1581">
        <w:rPr>
          <w:rFonts w:ascii="Arial" w:hAnsi="Arial" w:cs="Arial"/>
        </w:rPr>
        <w:t>.4</w:t>
      </w:r>
      <w:r w:rsidR="006D4A95">
        <w:rPr>
          <w:rFonts w:ascii="Arial" w:hAnsi="Arial" w:cs="Arial"/>
        </w:rPr>
        <w:t xml:space="preserve"> </w:t>
      </w:r>
      <w:r w:rsidR="00071938" w:rsidRPr="008D796B">
        <w:rPr>
          <w:rFonts w:ascii="Arial" w:hAnsi="Arial" w:cs="Arial"/>
        </w:rPr>
        <w:t xml:space="preserve">% de las municipales fueron por </w:t>
      </w:r>
      <w:r w:rsidRPr="008D796B">
        <w:rPr>
          <w:rFonts w:ascii="Arial" w:hAnsi="Arial" w:cs="Arial"/>
        </w:rPr>
        <w:t>adjudicación directa</w:t>
      </w:r>
      <w:r w:rsidR="00262525" w:rsidRPr="00462C33">
        <w:rPr>
          <w:rFonts w:ascii="Arial" w:hAnsi="Arial" w:cs="Arial"/>
          <w:color w:val="000000" w:themeColor="text1"/>
          <w:u w:color="2E74B5" w:themeColor="accent5" w:themeShade="BF"/>
        </w:rPr>
        <w:t>.</w:t>
      </w:r>
    </w:p>
    <w:p w14:paraId="3BC419CA" w14:textId="77777777" w:rsidR="00D04767" w:rsidRPr="00462C33" w:rsidRDefault="00D04767" w:rsidP="00D04767">
      <w:pPr>
        <w:pStyle w:val="NormalWeb"/>
        <w:spacing w:before="0" w:beforeAutospacing="0" w:after="0" w:afterAutospacing="0"/>
        <w:ind w:left="714"/>
        <w:jc w:val="both"/>
        <w:rPr>
          <w:rFonts w:ascii="Arial" w:hAnsi="Arial" w:cs="Arial"/>
        </w:rPr>
      </w:pPr>
    </w:p>
    <w:p w14:paraId="73CA9F7C" w14:textId="4AF9F799" w:rsidR="00BB43E5" w:rsidRDefault="0007322F" w:rsidP="00D04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13561" w:rsidRPr="008325B5">
        <w:rPr>
          <w:rFonts w:ascii="Arial" w:hAnsi="Arial" w:cs="Arial"/>
          <w:sz w:val="24"/>
          <w:szCs w:val="24"/>
        </w:rPr>
        <w:t xml:space="preserve">as </w:t>
      </w:r>
      <w:r w:rsidR="00EF4095" w:rsidRPr="008325B5">
        <w:rPr>
          <w:rFonts w:ascii="Arial" w:hAnsi="Arial" w:cs="Arial"/>
          <w:sz w:val="24"/>
          <w:szCs w:val="24"/>
        </w:rPr>
        <w:t xml:space="preserve">instituciones de la administración pública </w:t>
      </w:r>
      <w:r w:rsidR="004501EC">
        <w:rPr>
          <w:rFonts w:ascii="Arial" w:hAnsi="Arial" w:cs="Arial"/>
          <w:sz w:val="24"/>
          <w:szCs w:val="24"/>
        </w:rPr>
        <w:t>tienen</w:t>
      </w:r>
      <w:r w:rsidR="004501EC" w:rsidRPr="008325B5">
        <w:rPr>
          <w:rFonts w:ascii="Arial" w:hAnsi="Arial" w:cs="Arial"/>
          <w:sz w:val="24"/>
          <w:szCs w:val="24"/>
        </w:rPr>
        <w:t xml:space="preserve"> </w:t>
      </w:r>
      <w:r w:rsidR="00EF4095" w:rsidRPr="008325B5">
        <w:rPr>
          <w:rFonts w:ascii="Arial" w:hAnsi="Arial" w:cs="Arial"/>
          <w:sz w:val="24"/>
          <w:szCs w:val="24"/>
        </w:rPr>
        <w:t>particular i</w:t>
      </w:r>
      <w:r w:rsidR="008A2FB0" w:rsidRPr="008325B5">
        <w:rPr>
          <w:rFonts w:ascii="Arial" w:hAnsi="Arial" w:cs="Arial"/>
          <w:sz w:val="24"/>
          <w:szCs w:val="24"/>
        </w:rPr>
        <w:t>mportancia para el funcionamiento del Estado</w:t>
      </w:r>
      <w:r w:rsidR="002850DC">
        <w:rPr>
          <w:rFonts w:ascii="Arial" w:hAnsi="Arial" w:cs="Arial"/>
          <w:sz w:val="24"/>
          <w:szCs w:val="24"/>
        </w:rPr>
        <w:t xml:space="preserve">. Estas se encargan </w:t>
      </w:r>
      <w:r w:rsidR="00E01B23">
        <w:rPr>
          <w:rFonts w:ascii="Arial" w:hAnsi="Arial" w:cs="Arial"/>
          <w:sz w:val="24"/>
          <w:szCs w:val="24"/>
        </w:rPr>
        <w:t xml:space="preserve">de </w:t>
      </w:r>
      <w:r w:rsidR="002850DC">
        <w:rPr>
          <w:rFonts w:ascii="Arial" w:hAnsi="Arial" w:cs="Arial"/>
          <w:sz w:val="24"/>
          <w:szCs w:val="24"/>
        </w:rPr>
        <w:t xml:space="preserve">implementar </w:t>
      </w:r>
      <w:r w:rsidR="00702D4A">
        <w:rPr>
          <w:rFonts w:ascii="Arial" w:hAnsi="Arial" w:cs="Arial"/>
          <w:sz w:val="24"/>
          <w:szCs w:val="24"/>
        </w:rPr>
        <w:t>p</w:t>
      </w:r>
      <w:r w:rsidR="00757553" w:rsidRPr="008325B5">
        <w:rPr>
          <w:rFonts w:ascii="Arial" w:hAnsi="Arial" w:cs="Arial"/>
          <w:sz w:val="24"/>
          <w:szCs w:val="24"/>
        </w:rPr>
        <w:t>olíticas</w:t>
      </w:r>
      <w:r w:rsidR="00702D4A">
        <w:rPr>
          <w:rFonts w:ascii="Arial" w:hAnsi="Arial" w:cs="Arial"/>
          <w:sz w:val="24"/>
          <w:szCs w:val="24"/>
        </w:rPr>
        <w:t xml:space="preserve"> públicas</w:t>
      </w:r>
      <w:r w:rsidR="00757553" w:rsidRPr="008325B5">
        <w:rPr>
          <w:rFonts w:ascii="Arial" w:hAnsi="Arial" w:cs="Arial"/>
          <w:sz w:val="24"/>
          <w:szCs w:val="24"/>
        </w:rPr>
        <w:t xml:space="preserve"> y acciones</w:t>
      </w:r>
      <w:r w:rsidR="00AB1D0C" w:rsidRPr="008325B5">
        <w:rPr>
          <w:rFonts w:ascii="Arial" w:hAnsi="Arial" w:cs="Arial"/>
          <w:sz w:val="24"/>
          <w:szCs w:val="24"/>
        </w:rPr>
        <w:t xml:space="preserve"> </w:t>
      </w:r>
      <w:r w:rsidR="002850DC">
        <w:rPr>
          <w:rFonts w:ascii="Arial" w:hAnsi="Arial" w:cs="Arial"/>
          <w:sz w:val="24"/>
          <w:szCs w:val="24"/>
        </w:rPr>
        <w:t xml:space="preserve">que logren </w:t>
      </w:r>
      <w:r w:rsidR="0074740E">
        <w:rPr>
          <w:rFonts w:ascii="Arial" w:hAnsi="Arial" w:cs="Arial"/>
          <w:sz w:val="24"/>
          <w:szCs w:val="24"/>
        </w:rPr>
        <w:t>e</w:t>
      </w:r>
      <w:r w:rsidR="00AB1D0C" w:rsidRPr="008325B5">
        <w:rPr>
          <w:rFonts w:ascii="Arial" w:hAnsi="Arial" w:cs="Arial"/>
          <w:sz w:val="24"/>
          <w:szCs w:val="24"/>
        </w:rPr>
        <w:t xml:space="preserve">l desarrollo de la sociedad. </w:t>
      </w:r>
    </w:p>
    <w:p w14:paraId="384DDCD5" w14:textId="77777777" w:rsidR="00D04767" w:rsidRDefault="00D04767" w:rsidP="00D04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77C5BC" w14:textId="2830A994" w:rsidR="00713561" w:rsidRDefault="00BB43E5" w:rsidP="00D04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20 de diciembre del 2002, l</w:t>
      </w:r>
      <w:r w:rsidR="00757553" w:rsidRPr="008325B5">
        <w:rPr>
          <w:rFonts w:ascii="Arial" w:hAnsi="Arial" w:cs="Arial"/>
          <w:sz w:val="24"/>
          <w:szCs w:val="24"/>
        </w:rPr>
        <w:t xml:space="preserve">a Asamblea General de las Naciones Unidas declaró el 23 de junio como el Día </w:t>
      </w:r>
      <w:r w:rsidR="00163657">
        <w:rPr>
          <w:rFonts w:ascii="Arial" w:hAnsi="Arial" w:cs="Arial"/>
          <w:sz w:val="24"/>
          <w:szCs w:val="24"/>
        </w:rPr>
        <w:t xml:space="preserve">de </w:t>
      </w:r>
      <w:r w:rsidR="00757553" w:rsidRPr="008325B5">
        <w:rPr>
          <w:rFonts w:ascii="Arial" w:hAnsi="Arial" w:cs="Arial"/>
          <w:sz w:val="24"/>
          <w:szCs w:val="24"/>
        </w:rPr>
        <w:t>la Administración Pública</w:t>
      </w:r>
      <w:r w:rsidR="002850DC">
        <w:rPr>
          <w:rFonts w:ascii="Arial" w:hAnsi="Arial" w:cs="Arial"/>
          <w:sz w:val="24"/>
          <w:szCs w:val="24"/>
        </w:rPr>
        <w:t xml:space="preserve">. </w:t>
      </w:r>
      <w:r w:rsidR="00CC14DA">
        <w:rPr>
          <w:rFonts w:ascii="Arial" w:hAnsi="Arial" w:cs="Arial"/>
          <w:sz w:val="24"/>
          <w:szCs w:val="24"/>
        </w:rPr>
        <w:t xml:space="preserve">El objetivo es </w:t>
      </w:r>
      <w:r w:rsidR="00EA7FFE">
        <w:rPr>
          <w:rFonts w:ascii="Arial" w:hAnsi="Arial" w:cs="Arial"/>
          <w:sz w:val="24"/>
          <w:szCs w:val="24"/>
        </w:rPr>
        <w:t>destacar</w:t>
      </w:r>
      <w:r w:rsidR="00757553" w:rsidRPr="008325B5">
        <w:rPr>
          <w:rFonts w:ascii="Arial" w:hAnsi="Arial" w:cs="Arial"/>
          <w:sz w:val="24"/>
          <w:szCs w:val="24"/>
        </w:rPr>
        <w:t xml:space="preserve"> la necesi</w:t>
      </w:r>
      <w:r w:rsidR="000D7FF6" w:rsidRPr="008325B5">
        <w:rPr>
          <w:rFonts w:ascii="Arial" w:hAnsi="Arial" w:cs="Arial"/>
          <w:sz w:val="24"/>
          <w:szCs w:val="24"/>
        </w:rPr>
        <w:t xml:space="preserve">dad de iniciativas que fomenten el desarrollo de los recursos humanos, el fortalecimiento de la gestión financiera y el aprovechamiento de la información y </w:t>
      </w:r>
      <w:r w:rsidR="00CC14DA">
        <w:rPr>
          <w:rFonts w:ascii="Arial" w:hAnsi="Arial" w:cs="Arial"/>
          <w:sz w:val="24"/>
          <w:szCs w:val="24"/>
        </w:rPr>
        <w:t xml:space="preserve">de </w:t>
      </w:r>
      <w:r w:rsidR="000D7FF6" w:rsidRPr="008325B5">
        <w:rPr>
          <w:rFonts w:ascii="Arial" w:hAnsi="Arial" w:cs="Arial"/>
          <w:sz w:val="24"/>
          <w:szCs w:val="24"/>
        </w:rPr>
        <w:t>la tecnología.</w:t>
      </w:r>
      <w:r w:rsidR="000D7FF6" w:rsidRPr="008325B5">
        <w:rPr>
          <w:rStyle w:val="Refdenotaalpie"/>
          <w:rFonts w:ascii="Arial" w:hAnsi="Arial" w:cs="Arial"/>
          <w:sz w:val="24"/>
          <w:szCs w:val="24"/>
        </w:rPr>
        <w:footnoteReference w:id="1"/>
      </w:r>
    </w:p>
    <w:p w14:paraId="71FC9BD8" w14:textId="77777777" w:rsidR="00D04767" w:rsidRPr="008325B5" w:rsidRDefault="00D04767" w:rsidP="00D04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08F445" w14:textId="500156A4" w:rsidR="00800622" w:rsidRPr="008325B5" w:rsidRDefault="001F5FB2" w:rsidP="00D04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propósito de esta fecha, e</w:t>
      </w:r>
      <w:r w:rsidRPr="008325B5">
        <w:rPr>
          <w:rFonts w:ascii="Arial" w:hAnsi="Arial" w:cs="Arial"/>
          <w:sz w:val="24"/>
          <w:szCs w:val="24"/>
        </w:rPr>
        <w:t>l I</w:t>
      </w:r>
      <w:r>
        <w:rPr>
          <w:rFonts w:ascii="Arial" w:hAnsi="Arial" w:cs="Arial"/>
          <w:sz w:val="24"/>
          <w:szCs w:val="24"/>
        </w:rPr>
        <w:t>nstituto Nacional de Estadística y Geografía (I</w:t>
      </w:r>
      <w:r w:rsidRPr="008325B5">
        <w:rPr>
          <w:rFonts w:ascii="Arial" w:hAnsi="Arial" w:cs="Arial"/>
          <w:sz w:val="24"/>
          <w:szCs w:val="24"/>
        </w:rPr>
        <w:t>NEGI</w:t>
      </w:r>
      <w:r>
        <w:rPr>
          <w:rFonts w:ascii="Arial" w:hAnsi="Arial" w:cs="Arial"/>
          <w:sz w:val="24"/>
          <w:szCs w:val="24"/>
        </w:rPr>
        <w:t>)</w:t>
      </w:r>
      <w:r w:rsidR="007E2906">
        <w:rPr>
          <w:rFonts w:ascii="Arial" w:hAnsi="Arial" w:cs="Arial"/>
          <w:sz w:val="24"/>
          <w:szCs w:val="24"/>
        </w:rPr>
        <w:t xml:space="preserve"> </w:t>
      </w:r>
      <w:r w:rsidR="007E2906" w:rsidRPr="008325B5">
        <w:rPr>
          <w:rFonts w:ascii="Arial" w:hAnsi="Arial" w:cs="Arial"/>
          <w:sz w:val="24"/>
          <w:szCs w:val="24"/>
        </w:rPr>
        <w:t xml:space="preserve">presenta </w:t>
      </w:r>
      <w:r w:rsidR="00801EBA">
        <w:rPr>
          <w:rFonts w:ascii="Arial" w:hAnsi="Arial" w:cs="Arial"/>
          <w:sz w:val="24"/>
          <w:szCs w:val="24"/>
        </w:rPr>
        <w:t>el</w:t>
      </w:r>
      <w:r w:rsidR="007E2906" w:rsidRPr="008325B5">
        <w:rPr>
          <w:rFonts w:ascii="Arial" w:hAnsi="Arial" w:cs="Arial"/>
          <w:sz w:val="24"/>
          <w:szCs w:val="24"/>
        </w:rPr>
        <w:t xml:space="preserve"> panorama </w:t>
      </w:r>
      <w:r w:rsidR="007E2906">
        <w:rPr>
          <w:rFonts w:ascii="Arial" w:hAnsi="Arial" w:cs="Arial"/>
          <w:sz w:val="24"/>
          <w:szCs w:val="24"/>
        </w:rPr>
        <w:t xml:space="preserve">de </w:t>
      </w:r>
      <w:r w:rsidR="007E2906" w:rsidRPr="008325B5">
        <w:rPr>
          <w:rFonts w:ascii="Arial" w:hAnsi="Arial" w:cs="Arial"/>
          <w:sz w:val="24"/>
          <w:szCs w:val="24"/>
        </w:rPr>
        <w:t>los recursos humanos y financieros con los que cuenta la administraci</w:t>
      </w:r>
      <w:r w:rsidR="007E2906">
        <w:rPr>
          <w:rFonts w:ascii="Arial" w:hAnsi="Arial" w:cs="Arial"/>
          <w:sz w:val="24"/>
          <w:szCs w:val="24"/>
        </w:rPr>
        <w:t>ó</w:t>
      </w:r>
      <w:r w:rsidR="007E2906" w:rsidRPr="008325B5">
        <w:rPr>
          <w:rFonts w:ascii="Arial" w:hAnsi="Arial" w:cs="Arial"/>
          <w:sz w:val="24"/>
          <w:szCs w:val="24"/>
        </w:rPr>
        <w:t>n pública federal, estatal y municipal</w:t>
      </w:r>
      <w:r w:rsidR="007E2906">
        <w:rPr>
          <w:rFonts w:ascii="Arial" w:hAnsi="Arial" w:cs="Arial"/>
          <w:sz w:val="24"/>
          <w:szCs w:val="24"/>
        </w:rPr>
        <w:t xml:space="preserve">, </w:t>
      </w:r>
      <w:r w:rsidR="00AE4CE8">
        <w:rPr>
          <w:rFonts w:ascii="Arial" w:hAnsi="Arial" w:cs="Arial"/>
          <w:sz w:val="24"/>
          <w:szCs w:val="24"/>
        </w:rPr>
        <w:t>la utilización de estos</w:t>
      </w:r>
      <w:r w:rsidR="00ED16A1">
        <w:rPr>
          <w:rFonts w:ascii="Arial" w:hAnsi="Arial" w:cs="Arial"/>
          <w:sz w:val="24"/>
          <w:szCs w:val="24"/>
        </w:rPr>
        <w:t>, así como</w:t>
      </w:r>
      <w:r w:rsidR="007E2906" w:rsidRPr="008325B5">
        <w:rPr>
          <w:rFonts w:ascii="Arial" w:hAnsi="Arial" w:cs="Arial"/>
          <w:sz w:val="24"/>
          <w:szCs w:val="24"/>
        </w:rPr>
        <w:t xml:space="preserve"> los mecanismos </w:t>
      </w:r>
      <w:r w:rsidR="00ED16A1">
        <w:rPr>
          <w:rFonts w:ascii="Arial" w:hAnsi="Arial" w:cs="Arial"/>
          <w:sz w:val="24"/>
          <w:szCs w:val="24"/>
        </w:rPr>
        <w:t>para</w:t>
      </w:r>
      <w:r w:rsidR="00AE4CE8">
        <w:rPr>
          <w:rFonts w:ascii="Arial" w:hAnsi="Arial" w:cs="Arial"/>
          <w:sz w:val="24"/>
          <w:szCs w:val="24"/>
        </w:rPr>
        <w:t xml:space="preserve"> adquisición</w:t>
      </w:r>
      <w:r w:rsidR="00ED16A1">
        <w:rPr>
          <w:rFonts w:ascii="Arial" w:hAnsi="Arial" w:cs="Arial"/>
          <w:sz w:val="24"/>
          <w:szCs w:val="24"/>
        </w:rPr>
        <w:t xml:space="preserve"> de bienes y servicios.</w:t>
      </w:r>
      <w:r w:rsidR="001E32DC">
        <w:rPr>
          <w:rFonts w:ascii="Arial" w:hAnsi="Arial" w:cs="Arial"/>
          <w:sz w:val="24"/>
          <w:szCs w:val="24"/>
        </w:rPr>
        <w:t xml:space="preserve"> </w:t>
      </w:r>
      <w:r w:rsidR="00222F53">
        <w:rPr>
          <w:rFonts w:ascii="Arial" w:hAnsi="Arial" w:cs="Arial"/>
          <w:sz w:val="24"/>
          <w:szCs w:val="24"/>
        </w:rPr>
        <w:t xml:space="preserve">La información que aquí se presenta proviene </w:t>
      </w:r>
      <w:r w:rsidR="001E32DC">
        <w:rPr>
          <w:rFonts w:ascii="Arial" w:hAnsi="Arial" w:cs="Arial"/>
          <w:sz w:val="24"/>
          <w:szCs w:val="24"/>
        </w:rPr>
        <w:t>d</w:t>
      </w:r>
      <w:r w:rsidR="001E32DC" w:rsidRPr="008325B5">
        <w:rPr>
          <w:rFonts w:ascii="Arial" w:hAnsi="Arial" w:cs="Arial"/>
          <w:sz w:val="24"/>
          <w:szCs w:val="24"/>
        </w:rPr>
        <w:t xml:space="preserve">el Censo Nacional de Gobierno, Seguridad Pública y Sistema Penitenciario Estatal (CNGSPSPE) 2011-2020, </w:t>
      </w:r>
      <w:r w:rsidR="00CC14DA">
        <w:rPr>
          <w:rFonts w:ascii="Arial" w:hAnsi="Arial" w:cs="Arial"/>
          <w:sz w:val="24"/>
          <w:szCs w:val="24"/>
        </w:rPr>
        <w:t>d</w:t>
      </w:r>
      <w:r w:rsidR="001E32DC">
        <w:rPr>
          <w:rFonts w:ascii="Arial" w:hAnsi="Arial" w:cs="Arial"/>
          <w:sz w:val="24"/>
          <w:szCs w:val="24"/>
        </w:rPr>
        <w:t xml:space="preserve">el </w:t>
      </w:r>
      <w:r w:rsidR="001E32DC" w:rsidRPr="008325B5">
        <w:rPr>
          <w:rFonts w:ascii="Arial" w:hAnsi="Arial" w:cs="Arial"/>
          <w:sz w:val="24"/>
          <w:szCs w:val="24"/>
        </w:rPr>
        <w:t xml:space="preserve">Censo Nacional de Gobiernos Estatales (CNGE) 2021, </w:t>
      </w:r>
      <w:r w:rsidR="00CC14DA">
        <w:rPr>
          <w:rFonts w:ascii="Arial" w:hAnsi="Arial" w:cs="Arial"/>
          <w:sz w:val="24"/>
          <w:szCs w:val="24"/>
        </w:rPr>
        <w:t>d</w:t>
      </w:r>
      <w:r w:rsidR="001E32DC">
        <w:rPr>
          <w:rFonts w:ascii="Arial" w:hAnsi="Arial" w:cs="Arial"/>
          <w:sz w:val="24"/>
          <w:szCs w:val="24"/>
        </w:rPr>
        <w:t xml:space="preserve">el </w:t>
      </w:r>
      <w:r w:rsidR="001E32DC" w:rsidRPr="008325B5">
        <w:rPr>
          <w:rFonts w:ascii="Arial" w:hAnsi="Arial" w:cs="Arial"/>
          <w:sz w:val="24"/>
          <w:szCs w:val="24"/>
        </w:rPr>
        <w:t xml:space="preserve">Censo Nacional de Gobiernos Municipales y Demarcaciones Territoriales de la Ciudad de México (CNGMD) 2011-2021 y </w:t>
      </w:r>
      <w:r w:rsidR="001E32DC">
        <w:rPr>
          <w:rFonts w:ascii="Arial" w:hAnsi="Arial" w:cs="Arial"/>
          <w:sz w:val="24"/>
          <w:szCs w:val="24"/>
        </w:rPr>
        <w:t>d</w:t>
      </w:r>
      <w:r w:rsidR="001E32DC" w:rsidRPr="008325B5">
        <w:rPr>
          <w:rFonts w:ascii="Arial" w:hAnsi="Arial" w:cs="Arial"/>
          <w:sz w:val="24"/>
          <w:szCs w:val="24"/>
        </w:rPr>
        <w:t>el Censo Nacional de Gobierno Federal (CNGF) 2017-2021</w:t>
      </w:r>
      <w:r w:rsidR="00A55178">
        <w:rPr>
          <w:rFonts w:ascii="Arial" w:hAnsi="Arial" w:cs="Arial"/>
          <w:sz w:val="24"/>
          <w:szCs w:val="24"/>
        </w:rPr>
        <w:t>.</w:t>
      </w:r>
      <w:r w:rsidR="00702D4A">
        <w:rPr>
          <w:rStyle w:val="Refdenotaalpie"/>
          <w:rFonts w:ascii="Arial" w:hAnsi="Arial" w:cs="Arial"/>
          <w:sz w:val="24"/>
          <w:szCs w:val="24"/>
        </w:rPr>
        <w:footnoteReference w:id="2"/>
      </w:r>
      <w:r w:rsidR="001E32DC">
        <w:rPr>
          <w:rFonts w:ascii="Arial" w:hAnsi="Arial" w:cs="Arial"/>
          <w:sz w:val="24"/>
          <w:szCs w:val="24"/>
        </w:rPr>
        <w:t xml:space="preserve"> </w:t>
      </w:r>
      <w:r w:rsidR="006F29E3" w:rsidRPr="008325B5">
        <w:rPr>
          <w:rFonts w:ascii="Arial" w:hAnsi="Arial" w:cs="Arial"/>
          <w:sz w:val="24"/>
          <w:szCs w:val="24"/>
        </w:rPr>
        <w:t xml:space="preserve"> </w:t>
      </w:r>
      <w:bookmarkStart w:id="0" w:name="_Hlk102580555"/>
    </w:p>
    <w:bookmarkEnd w:id="0"/>
    <w:p w14:paraId="1EC21180" w14:textId="77777777" w:rsidR="008E4CF5" w:rsidRDefault="008E4CF5" w:rsidP="00D04767">
      <w:pPr>
        <w:spacing w:after="0" w:line="240" w:lineRule="auto"/>
        <w:jc w:val="both"/>
        <w:rPr>
          <w:rFonts w:ascii="Arial Negrita" w:hAnsi="Arial Negrita" w:cs="Arial"/>
          <w:b/>
          <w:bCs/>
          <w:smallCaps/>
          <w:sz w:val="24"/>
          <w:szCs w:val="24"/>
        </w:rPr>
      </w:pPr>
    </w:p>
    <w:p w14:paraId="683C89B4" w14:textId="25FD818F" w:rsidR="00800622" w:rsidRDefault="003A0989" w:rsidP="00D04767">
      <w:pPr>
        <w:spacing w:after="0" w:line="240" w:lineRule="auto"/>
        <w:jc w:val="both"/>
        <w:rPr>
          <w:rFonts w:ascii="Arial Negrita" w:hAnsi="Arial Negrita" w:cs="Arial"/>
          <w:b/>
          <w:bCs/>
          <w:smallCaps/>
          <w:sz w:val="24"/>
          <w:szCs w:val="24"/>
        </w:rPr>
      </w:pPr>
      <w:r w:rsidRPr="00462C33">
        <w:rPr>
          <w:rFonts w:ascii="Arial Negrita" w:hAnsi="Arial Negrita" w:cs="Arial"/>
          <w:b/>
          <w:bCs/>
          <w:smallCaps/>
          <w:sz w:val="24"/>
          <w:szCs w:val="24"/>
        </w:rPr>
        <w:t>Recursos humanos</w:t>
      </w:r>
    </w:p>
    <w:p w14:paraId="09602192" w14:textId="77777777" w:rsidR="00D04767" w:rsidRPr="00462C33" w:rsidRDefault="00D04767" w:rsidP="00D04767">
      <w:pPr>
        <w:spacing w:after="0" w:line="240" w:lineRule="auto"/>
        <w:jc w:val="both"/>
        <w:rPr>
          <w:rFonts w:ascii="Arial Negrita" w:hAnsi="Arial Negrita" w:cs="Arial"/>
          <w:b/>
          <w:bCs/>
          <w:smallCaps/>
          <w:sz w:val="24"/>
          <w:szCs w:val="24"/>
        </w:rPr>
      </w:pPr>
    </w:p>
    <w:p w14:paraId="050C0355" w14:textId="63854D26" w:rsidR="00D62D56" w:rsidRDefault="00DA7157" w:rsidP="00D04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8325B5">
        <w:rPr>
          <w:rFonts w:ascii="Arial" w:hAnsi="Arial" w:cs="Arial"/>
          <w:sz w:val="24"/>
          <w:szCs w:val="24"/>
        </w:rPr>
        <w:t>n 2020</w:t>
      </w:r>
      <w:r w:rsidR="00CC14DA">
        <w:rPr>
          <w:rFonts w:ascii="Arial" w:hAnsi="Arial" w:cs="Arial"/>
          <w:sz w:val="24"/>
          <w:szCs w:val="24"/>
        </w:rPr>
        <w:t>,</w:t>
      </w:r>
      <w:r w:rsidR="000944CF">
        <w:rPr>
          <w:rFonts w:ascii="Arial" w:hAnsi="Arial" w:cs="Arial"/>
          <w:sz w:val="24"/>
          <w:szCs w:val="24"/>
        </w:rPr>
        <w:t xml:space="preserve"> </w:t>
      </w:r>
      <w:r w:rsidR="00CC14DA">
        <w:rPr>
          <w:rFonts w:ascii="Arial" w:hAnsi="Arial" w:cs="Arial"/>
          <w:sz w:val="24"/>
          <w:szCs w:val="24"/>
        </w:rPr>
        <w:t xml:space="preserve">laboraron </w:t>
      </w:r>
      <w:r w:rsidR="00CC14DA" w:rsidRPr="00A41DF2">
        <w:rPr>
          <w:rFonts w:ascii="Arial" w:hAnsi="Arial" w:cs="Arial"/>
          <w:sz w:val="24"/>
          <w:szCs w:val="24"/>
        </w:rPr>
        <w:t>5</w:t>
      </w:r>
      <w:r w:rsidR="00CC14DA">
        <w:rPr>
          <w:rFonts w:ascii="Arial" w:hAnsi="Arial" w:cs="Arial"/>
          <w:sz w:val="24"/>
          <w:szCs w:val="24"/>
        </w:rPr>
        <w:t xml:space="preserve"> </w:t>
      </w:r>
      <w:r w:rsidR="00CC14DA" w:rsidRPr="00A41DF2">
        <w:rPr>
          <w:rFonts w:ascii="Arial" w:hAnsi="Arial" w:cs="Arial"/>
          <w:sz w:val="24"/>
          <w:szCs w:val="24"/>
        </w:rPr>
        <w:t>045</w:t>
      </w:r>
      <w:r w:rsidR="00CC14DA">
        <w:rPr>
          <w:rFonts w:ascii="Arial" w:hAnsi="Arial" w:cs="Arial"/>
          <w:sz w:val="24"/>
          <w:szCs w:val="24"/>
        </w:rPr>
        <w:t xml:space="preserve"> </w:t>
      </w:r>
      <w:r w:rsidR="00CC14DA" w:rsidRPr="00A41DF2">
        <w:rPr>
          <w:rFonts w:ascii="Arial" w:hAnsi="Arial" w:cs="Arial"/>
          <w:sz w:val="24"/>
          <w:szCs w:val="24"/>
        </w:rPr>
        <w:t>550</w:t>
      </w:r>
      <w:r w:rsidR="00CC14DA" w:rsidRPr="008325B5">
        <w:rPr>
          <w:rFonts w:ascii="Arial" w:hAnsi="Arial" w:cs="Arial"/>
          <w:sz w:val="24"/>
          <w:szCs w:val="24"/>
        </w:rPr>
        <w:t xml:space="preserve"> personas</w:t>
      </w:r>
      <w:r w:rsidR="00CC14DA">
        <w:rPr>
          <w:rFonts w:ascii="Arial" w:hAnsi="Arial" w:cs="Arial"/>
          <w:sz w:val="24"/>
          <w:szCs w:val="24"/>
        </w:rPr>
        <w:t xml:space="preserve"> </w:t>
      </w:r>
      <w:r w:rsidR="00905A64">
        <w:rPr>
          <w:rFonts w:ascii="Arial" w:hAnsi="Arial" w:cs="Arial"/>
          <w:sz w:val="24"/>
          <w:szCs w:val="24"/>
        </w:rPr>
        <w:t xml:space="preserve">en la administración pública </w:t>
      </w:r>
      <w:r w:rsidR="00C612A8">
        <w:rPr>
          <w:rFonts w:ascii="Arial" w:hAnsi="Arial" w:cs="Arial"/>
          <w:sz w:val="24"/>
          <w:szCs w:val="24"/>
        </w:rPr>
        <w:t xml:space="preserve">(AP) </w:t>
      </w:r>
      <w:r w:rsidR="00905A64">
        <w:rPr>
          <w:rFonts w:ascii="Arial" w:hAnsi="Arial" w:cs="Arial"/>
          <w:sz w:val="24"/>
          <w:szCs w:val="24"/>
        </w:rPr>
        <w:t>federal, estatal y municipal</w:t>
      </w:r>
      <w:r w:rsidR="00222F53">
        <w:rPr>
          <w:rFonts w:ascii="Arial" w:hAnsi="Arial" w:cs="Arial"/>
          <w:sz w:val="24"/>
          <w:szCs w:val="24"/>
        </w:rPr>
        <w:t>.</w:t>
      </w:r>
      <w:r w:rsidR="00050A99" w:rsidRPr="008325B5">
        <w:rPr>
          <w:rFonts w:ascii="Arial" w:hAnsi="Arial" w:cs="Arial"/>
          <w:sz w:val="24"/>
          <w:szCs w:val="24"/>
        </w:rPr>
        <w:t xml:space="preserve"> </w:t>
      </w:r>
      <w:r w:rsidR="00E01B23">
        <w:rPr>
          <w:rFonts w:ascii="Arial" w:hAnsi="Arial" w:cs="Arial"/>
          <w:sz w:val="24"/>
          <w:szCs w:val="24"/>
        </w:rPr>
        <w:t xml:space="preserve">De este universo, </w:t>
      </w:r>
      <w:r w:rsidR="00374712" w:rsidRPr="00374712">
        <w:rPr>
          <w:rFonts w:ascii="Arial" w:hAnsi="Arial" w:cs="Arial"/>
          <w:sz w:val="24"/>
          <w:szCs w:val="24"/>
        </w:rPr>
        <w:t>21.3</w:t>
      </w:r>
      <w:r w:rsidR="000944CF">
        <w:rPr>
          <w:rFonts w:ascii="Arial" w:hAnsi="Arial" w:cs="Arial"/>
          <w:sz w:val="24"/>
          <w:szCs w:val="24"/>
        </w:rPr>
        <w:t xml:space="preserve"> </w:t>
      </w:r>
      <w:r w:rsidR="00550311" w:rsidRPr="00374712">
        <w:rPr>
          <w:rFonts w:ascii="Arial" w:hAnsi="Arial" w:cs="Arial"/>
          <w:sz w:val="24"/>
          <w:szCs w:val="24"/>
        </w:rPr>
        <w:t xml:space="preserve">% </w:t>
      </w:r>
      <w:r w:rsidR="000944CF">
        <w:rPr>
          <w:rFonts w:ascii="Arial" w:hAnsi="Arial" w:cs="Arial"/>
          <w:sz w:val="24"/>
          <w:szCs w:val="24"/>
        </w:rPr>
        <w:t>trabajó</w:t>
      </w:r>
      <w:r w:rsidR="00550311" w:rsidRPr="00374712">
        <w:rPr>
          <w:rFonts w:ascii="Arial" w:hAnsi="Arial" w:cs="Arial"/>
          <w:sz w:val="24"/>
          <w:szCs w:val="24"/>
        </w:rPr>
        <w:t xml:space="preserve"> en el ámbito municipal, </w:t>
      </w:r>
      <w:r w:rsidR="00374712" w:rsidRPr="00374712">
        <w:rPr>
          <w:rFonts w:ascii="Arial" w:hAnsi="Arial" w:cs="Arial"/>
          <w:sz w:val="24"/>
          <w:szCs w:val="24"/>
        </w:rPr>
        <w:t>47.3</w:t>
      </w:r>
      <w:r w:rsidR="000944CF">
        <w:rPr>
          <w:rFonts w:ascii="Arial" w:hAnsi="Arial" w:cs="Arial"/>
          <w:sz w:val="24"/>
          <w:szCs w:val="24"/>
        </w:rPr>
        <w:t xml:space="preserve"> </w:t>
      </w:r>
      <w:r w:rsidR="00550311" w:rsidRPr="00374712">
        <w:rPr>
          <w:rFonts w:ascii="Arial" w:hAnsi="Arial" w:cs="Arial"/>
          <w:sz w:val="24"/>
          <w:szCs w:val="24"/>
        </w:rPr>
        <w:t>%</w:t>
      </w:r>
      <w:r w:rsidR="00077C9B">
        <w:rPr>
          <w:rFonts w:ascii="Arial" w:hAnsi="Arial" w:cs="Arial"/>
          <w:sz w:val="24"/>
          <w:szCs w:val="24"/>
        </w:rPr>
        <w:t>,</w:t>
      </w:r>
      <w:r w:rsidR="00550311">
        <w:rPr>
          <w:rFonts w:ascii="Arial" w:hAnsi="Arial" w:cs="Arial"/>
          <w:sz w:val="24"/>
          <w:szCs w:val="24"/>
        </w:rPr>
        <w:t xml:space="preserve"> en el estatal y </w:t>
      </w:r>
      <w:r w:rsidR="00D04767">
        <w:rPr>
          <w:rFonts w:ascii="Arial" w:hAnsi="Arial" w:cs="Arial"/>
          <w:sz w:val="24"/>
          <w:szCs w:val="24"/>
        </w:rPr>
        <w:t xml:space="preserve">      </w:t>
      </w:r>
      <w:r w:rsidR="000944CF">
        <w:rPr>
          <w:rFonts w:ascii="Arial" w:hAnsi="Arial" w:cs="Arial"/>
          <w:sz w:val="24"/>
          <w:szCs w:val="24"/>
        </w:rPr>
        <w:t>31.4 %</w:t>
      </w:r>
      <w:r w:rsidR="00077C9B">
        <w:rPr>
          <w:rFonts w:ascii="Arial" w:hAnsi="Arial" w:cs="Arial"/>
          <w:sz w:val="24"/>
          <w:szCs w:val="24"/>
        </w:rPr>
        <w:t>,</w:t>
      </w:r>
      <w:r w:rsidR="00550311">
        <w:rPr>
          <w:rFonts w:ascii="Arial" w:hAnsi="Arial" w:cs="Arial"/>
          <w:sz w:val="24"/>
          <w:szCs w:val="24"/>
        </w:rPr>
        <w:t xml:space="preserve"> </w:t>
      </w:r>
      <w:r w:rsidR="000944CF">
        <w:rPr>
          <w:rFonts w:ascii="Arial" w:hAnsi="Arial" w:cs="Arial"/>
          <w:sz w:val="24"/>
          <w:szCs w:val="24"/>
        </w:rPr>
        <w:t xml:space="preserve">en </w:t>
      </w:r>
      <w:r w:rsidR="006C5C8F">
        <w:rPr>
          <w:rFonts w:ascii="Arial" w:hAnsi="Arial" w:cs="Arial"/>
          <w:sz w:val="24"/>
          <w:szCs w:val="24"/>
        </w:rPr>
        <w:t xml:space="preserve">el </w:t>
      </w:r>
      <w:r w:rsidR="00550311">
        <w:rPr>
          <w:rFonts w:ascii="Arial" w:hAnsi="Arial" w:cs="Arial"/>
          <w:sz w:val="24"/>
          <w:szCs w:val="24"/>
        </w:rPr>
        <w:t xml:space="preserve">federal. </w:t>
      </w:r>
      <w:r w:rsidR="000944CF">
        <w:rPr>
          <w:rFonts w:ascii="Arial" w:hAnsi="Arial" w:cs="Arial"/>
          <w:sz w:val="24"/>
          <w:szCs w:val="24"/>
        </w:rPr>
        <w:t xml:space="preserve">De 2010 a 2020 se registró </w:t>
      </w:r>
      <w:r w:rsidR="00EE1DCD">
        <w:rPr>
          <w:rFonts w:ascii="Arial" w:hAnsi="Arial" w:cs="Arial"/>
          <w:sz w:val="24"/>
          <w:szCs w:val="24"/>
        </w:rPr>
        <w:t>un incremento sostenido</w:t>
      </w:r>
      <w:r w:rsidR="00A41766">
        <w:rPr>
          <w:rFonts w:ascii="Arial" w:hAnsi="Arial" w:cs="Arial"/>
          <w:sz w:val="24"/>
          <w:szCs w:val="24"/>
        </w:rPr>
        <w:t xml:space="preserve"> </w:t>
      </w:r>
      <w:r w:rsidR="00E01B23">
        <w:rPr>
          <w:rFonts w:ascii="Arial" w:hAnsi="Arial" w:cs="Arial"/>
          <w:sz w:val="24"/>
          <w:szCs w:val="24"/>
        </w:rPr>
        <w:t xml:space="preserve">del </w:t>
      </w:r>
      <w:r w:rsidR="007B64D0" w:rsidRPr="008325B5">
        <w:rPr>
          <w:rFonts w:ascii="Arial" w:hAnsi="Arial" w:cs="Arial"/>
          <w:sz w:val="24"/>
          <w:szCs w:val="24"/>
        </w:rPr>
        <w:t>personal de la AP municipal</w:t>
      </w:r>
      <w:r w:rsidR="001334A3">
        <w:rPr>
          <w:rFonts w:ascii="Arial" w:hAnsi="Arial" w:cs="Arial"/>
          <w:sz w:val="24"/>
          <w:szCs w:val="24"/>
        </w:rPr>
        <w:t xml:space="preserve">. A </w:t>
      </w:r>
      <w:r w:rsidR="006046B8">
        <w:rPr>
          <w:rFonts w:ascii="Arial" w:hAnsi="Arial" w:cs="Arial"/>
          <w:sz w:val="24"/>
          <w:szCs w:val="24"/>
        </w:rPr>
        <w:t>nivel estatal</w:t>
      </w:r>
      <w:r w:rsidR="001334A3">
        <w:rPr>
          <w:rFonts w:ascii="Arial" w:hAnsi="Arial" w:cs="Arial"/>
          <w:sz w:val="24"/>
          <w:szCs w:val="24"/>
        </w:rPr>
        <w:t xml:space="preserve"> y</w:t>
      </w:r>
      <w:r w:rsidR="006046B8">
        <w:rPr>
          <w:rFonts w:ascii="Arial" w:hAnsi="Arial" w:cs="Arial"/>
          <w:sz w:val="24"/>
          <w:szCs w:val="24"/>
        </w:rPr>
        <w:t xml:space="preserve"> después de </w:t>
      </w:r>
      <w:r w:rsidR="0044337B">
        <w:rPr>
          <w:rFonts w:ascii="Arial" w:hAnsi="Arial" w:cs="Arial"/>
          <w:sz w:val="24"/>
          <w:szCs w:val="24"/>
        </w:rPr>
        <w:t xml:space="preserve">ocho </w:t>
      </w:r>
      <w:r w:rsidR="006046B8">
        <w:rPr>
          <w:rFonts w:ascii="Arial" w:hAnsi="Arial" w:cs="Arial"/>
          <w:sz w:val="24"/>
          <w:szCs w:val="24"/>
        </w:rPr>
        <w:t xml:space="preserve">años de aumento, </w:t>
      </w:r>
      <w:r w:rsidR="003C1346">
        <w:rPr>
          <w:rFonts w:ascii="Arial" w:hAnsi="Arial" w:cs="Arial"/>
          <w:sz w:val="24"/>
          <w:szCs w:val="24"/>
        </w:rPr>
        <w:t xml:space="preserve">en 2020 </w:t>
      </w:r>
      <w:r w:rsidR="00550311">
        <w:rPr>
          <w:rFonts w:ascii="Arial" w:hAnsi="Arial" w:cs="Arial"/>
          <w:sz w:val="24"/>
          <w:szCs w:val="24"/>
        </w:rPr>
        <w:t>hubo</w:t>
      </w:r>
      <w:r w:rsidR="006046B8">
        <w:rPr>
          <w:rFonts w:ascii="Arial" w:hAnsi="Arial" w:cs="Arial"/>
          <w:sz w:val="24"/>
          <w:szCs w:val="24"/>
        </w:rPr>
        <w:t xml:space="preserve"> una disminución </w:t>
      </w:r>
      <w:r w:rsidR="008B5632">
        <w:rPr>
          <w:rFonts w:ascii="Arial" w:hAnsi="Arial" w:cs="Arial"/>
          <w:sz w:val="24"/>
          <w:szCs w:val="24"/>
        </w:rPr>
        <w:t xml:space="preserve">de </w:t>
      </w:r>
      <w:r w:rsidR="00D15C23">
        <w:rPr>
          <w:rFonts w:ascii="Arial" w:hAnsi="Arial" w:cs="Arial"/>
          <w:sz w:val="24"/>
          <w:szCs w:val="24"/>
        </w:rPr>
        <w:t>7.2</w:t>
      </w:r>
      <w:r w:rsidR="00D40AD3">
        <w:rPr>
          <w:rFonts w:ascii="Arial" w:hAnsi="Arial" w:cs="Arial"/>
          <w:sz w:val="24"/>
          <w:szCs w:val="24"/>
        </w:rPr>
        <w:t xml:space="preserve"> </w:t>
      </w:r>
      <w:r w:rsidR="006046B8">
        <w:rPr>
          <w:rFonts w:ascii="Arial" w:hAnsi="Arial" w:cs="Arial"/>
          <w:sz w:val="24"/>
          <w:szCs w:val="24"/>
        </w:rPr>
        <w:t>% respecto a 2</w:t>
      </w:r>
      <w:r w:rsidR="008B5632">
        <w:rPr>
          <w:rFonts w:ascii="Arial" w:hAnsi="Arial" w:cs="Arial"/>
          <w:sz w:val="24"/>
          <w:szCs w:val="24"/>
        </w:rPr>
        <w:t>0</w:t>
      </w:r>
      <w:r w:rsidR="006046B8">
        <w:rPr>
          <w:rFonts w:ascii="Arial" w:hAnsi="Arial" w:cs="Arial"/>
          <w:sz w:val="24"/>
          <w:szCs w:val="24"/>
        </w:rPr>
        <w:t>19</w:t>
      </w:r>
      <w:r w:rsidR="008B5632">
        <w:rPr>
          <w:rFonts w:ascii="Arial" w:hAnsi="Arial" w:cs="Arial"/>
          <w:sz w:val="24"/>
          <w:szCs w:val="24"/>
        </w:rPr>
        <w:t xml:space="preserve">. </w:t>
      </w:r>
      <w:r w:rsidR="001334A3">
        <w:rPr>
          <w:rFonts w:ascii="Arial" w:hAnsi="Arial" w:cs="Arial"/>
          <w:sz w:val="24"/>
          <w:szCs w:val="24"/>
        </w:rPr>
        <w:t xml:space="preserve">Las </w:t>
      </w:r>
      <w:r w:rsidR="008B5632">
        <w:rPr>
          <w:rFonts w:ascii="Arial" w:hAnsi="Arial" w:cs="Arial"/>
          <w:sz w:val="24"/>
          <w:szCs w:val="24"/>
        </w:rPr>
        <w:t xml:space="preserve">cifras del </w:t>
      </w:r>
      <w:r w:rsidR="007B64D0" w:rsidRPr="008325B5">
        <w:rPr>
          <w:rFonts w:ascii="Arial" w:hAnsi="Arial" w:cs="Arial"/>
          <w:sz w:val="24"/>
          <w:szCs w:val="24"/>
        </w:rPr>
        <w:t xml:space="preserve">personal de la AP </w:t>
      </w:r>
      <w:r>
        <w:rPr>
          <w:rFonts w:ascii="Arial" w:hAnsi="Arial" w:cs="Arial"/>
          <w:sz w:val="24"/>
          <w:szCs w:val="24"/>
        </w:rPr>
        <w:t xml:space="preserve">federal </w:t>
      </w:r>
      <w:r w:rsidR="001334A3">
        <w:rPr>
          <w:rFonts w:ascii="Arial" w:hAnsi="Arial" w:cs="Arial"/>
          <w:sz w:val="24"/>
          <w:szCs w:val="24"/>
        </w:rPr>
        <w:t xml:space="preserve">no presentaron </w:t>
      </w:r>
      <w:r w:rsidR="008B5632">
        <w:rPr>
          <w:rFonts w:ascii="Arial" w:hAnsi="Arial" w:cs="Arial"/>
          <w:sz w:val="24"/>
          <w:szCs w:val="24"/>
        </w:rPr>
        <w:t xml:space="preserve">cambios </w:t>
      </w:r>
      <w:r w:rsidR="00E01B23">
        <w:rPr>
          <w:rFonts w:ascii="Arial" w:hAnsi="Arial" w:cs="Arial"/>
          <w:sz w:val="24"/>
          <w:szCs w:val="24"/>
        </w:rPr>
        <w:t xml:space="preserve">significativos </w:t>
      </w:r>
      <w:r w:rsidR="008B5632">
        <w:rPr>
          <w:rFonts w:ascii="Arial" w:hAnsi="Arial" w:cs="Arial"/>
          <w:sz w:val="24"/>
          <w:szCs w:val="24"/>
        </w:rPr>
        <w:t>desde 2016</w:t>
      </w:r>
      <w:r w:rsidR="007B64D0" w:rsidRPr="008325B5">
        <w:rPr>
          <w:rFonts w:ascii="Arial" w:hAnsi="Arial" w:cs="Arial"/>
          <w:sz w:val="24"/>
          <w:szCs w:val="24"/>
        </w:rPr>
        <w:t>.</w:t>
      </w:r>
    </w:p>
    <w:p w14:paraId="5AA278B4" w14:textId="77777777" w:rsidR="00D04767" w:rsidRDefault="00D04767" w:rsidP="00D04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2F7D44" w14:textId="7A01C4E8" w:rsidR="00757B1D" w:rsidRDefault="00CE7E31" w:rsidP="00D04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</w:t>
      </w:r>
      <w:r w:rsidR="00991C4B">
        <w:rPr>
          <w:rFonts w:ascii="Arial" w:hAnsi="Arial" w:cs="Arial"/>
          <w:sz w:val="24"/>
          <w:szCs w:val="24"/>
        </w:rPr>
        <w:t xml:space="preserve">a participación de las mujeres </w:t>
      </w:r>
      <w:r w:rsidR="00C2272E" w:rsidRPr="008325B5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el mercado</w:t>
      </w:r>
      <w:r w:rsidR="00991C4B">
        <w:rPr>
          <w:rFonts w:ascii="Arial" w:hAnsi="Arial" w:cs="Arial"/>
          <w:sz w:val="24"/>
          <w:szCs w:val="24"/>
        </w:rPr>
        <w:t xml:space="preserve"> laboral del sector público</w:t>
      </w:r>
      <w:r w:rsidR="00801EBA">
        <w:rPr>
          <w:rFonts w:ascii="Arial" w:hAnsi="Arial" w:cs="Arial"/>
          <w:sz w:val="24"/>
          <w:szCs w:val="24"/>
        </w:rPr>
        <w:t xml:space="preserve"> es</w:t>
      </w:r>
      <w:r w:rsidR="00991C4B">
        <w:rPr>
          <w:rFonts w:ascii="Arial" w:hAnsi="Arial" w:cs="Arial"/>
          <w:sz w:val="24"/>
          <w:szCs w:val="24"/>
        </w:rPr>
        <w:t xml:space="preserve"> </w:t>
      </w:r>
      <w:r w:rsidR="00C2272E" w:rsidRPr="008325B5">
        <w:rPr>
          <w:rFonts w:ascii="Arial" w:hAnsi="Arial" w:cs="Arial"/>
          <w:sz w:val="24"/>
          <w:szCs w:val="24"/>
        </w:rPr>
        <w:t xml:space="preserve">requisito indispensable </w:t>
      </w:r>
      <w:r w:rsidR="00991C4B">
        <w:rPr>
          <w:rFonts w:ascii="Arial" w:hAnsi="Arial" w:cs="Arial"/>
          <w:sz w:val="24"/>
          <w:szCs w:val="24"/>
        </w:rPr>
        <w:t xml:space="preserve">para avanzar en </w:t>
      </w:r>
      <w:r w:rsidR="001334A3">
        <w:rPr>
          <w:rFonts w:ascii="Arial" w:hAnsi="Arial" w:cs="Arial"/>
          <w:sz w:val="24"/>
          <w:szCs w:val="24"/>
        </w:rPr>
        <w:t xml:space="preserve">la </w:t>
      </w:r>
      <w:r w:rsidR="00C2272E" w:rsidRPr="008325B5">
        <w:rPr>
          <w:rFonts w:ascii="Arial" w:hAnsi="Arial" w:cs="Arial"/>
          <w:sz w:val="24"/>
          <w:szCs w:val="24"/>
        </w:rPr>
        <w:t>inclusión</w:t>
      </w:r>
      <w:r w:rsidR="00801EBA">
        <w:rPr>
          <w:rFonts w:ascii="Arial" w:hAnsi="Arial" w:cs="Arial"/>
          <w:sz w:val="24"/>
          <w:szCs w:val="24"/>
        </w:rPr>
        <w:t>.</w:t>
      </w:r>
      <w:r w:rsidR="00727798">
        <w:rPr>
          <w:rStyle w:val="Refdenotaalpie"/>
          <w:rFonts w:ascii="Arial" w:hAnsi="Arial" w:cs="Arial"/>
          <w:sz w:val="24"/>
          <w:szCs w:val="24"/>
        </w:rPr>
        <w:footnoteReference w:id="3"/>
      </w:r>
      <w:r w:rsidR="00991C4B">
        <w:rPr>
          <w:rFonts w:ascii="Arial" w:hAnsi="Arial" w:cs="Arial"/>
          <w:sz w:val="24"/>
          <w:szCs w:val="24"/>
        </w:rPr>
        <w:t xml:space="preserve"> </w:t>
      </w:r>
      <w:r w:rsidR="00801EBA">
        <w:rPr>
          <w:rFonts w:ascii="Arial" w:hAnsi="Arial" w:cs="Arial"/>
          <w:sz w:val="24"/>
          <w:szCs w:val="24"/>
        </w:rPr>
        <w:t>En la</w:t>
      </w:r>
      <w:r>
        <w:rPr>
          <w:rFonts w:ascii="Arial" w:hAnsi="Arial" w:cs="Arial"/>
          <w:sz w:val="24"/>
          <w:szCs w:val="24"/>
        </w:rPr>
        <w:t xml:space="preserve"> administración pública federal </w:t>
      </w:r>
      <w:r w:rsidR="00F128D9">
        <w:rPr>
          <w:rFonts w:ascii="Arial" w:hAnsi="Arial" w:cs="Arial"/>
          <w:sz w:val="24"/>
          <w:szCs w:val="24"/>
        </w:rPr>
        <w:t xml:space="preserve">se registra </w:t>
      </w:r>
      <w:r>
        <w:rPr>
          <w:rFonts w:ascii="Arial" w:hAnsi="Arial" w:cs="Arial"/>
          <w:sz w:val="24"/>
          <w:szCs w:val="24"/>
        </w:rPr>
        <w:t>un nivel similar de</w:t>
      </w:r>
      <w:r w:rsidR="005511ED">
        <w:rPr>
          <w:rFonts w:ascii="Arial" w:hAnsi="Arial" w:cs="Arial"/>
          <w:sz w:val="24"/>
          <w:szCs w:val="24"/>
        </w:rPr>
        <w:t xml:space="preserve"> participación laboral </w:t>
      </w:r>
      <w:r>
        <w:rPr>
          <w:rFonts w:ascii="Arial" w:hAnsi="Arial" w:cs="Arial"/>
          <w:sz w:val="24"/>
          <w:szCs w:val="24"/>
        </w:rPr>
        <w:t>entre</w:t>
      </w:r>
      <w:r w:rsidR="005511ED">
        <w:rPr>
          <w:rFonts w:ascii="Arial" w:hAnsi="Arial" w:cs="Arial"/>
          <w:sz w:val="24"/>
          <w:szCs w:val="24"/>
        </w:rPr>
        <w:t xml:space="preserve"> hombres y mujeres</w:t>
      </w:r>
      <w:r w:rsidR="00F128D9">
        <w:rPr>
          <w:rFonts w:ascii="Arial" w:hAnsi="Arial" w:cs="Arial"/>
          <w:sz w:val="24"/>
          <w:szCs w:val="24"/>
        </w:rPr>
        <w:t xml:space="preserve"> desde que se </w:t>
      </w:r>
      <w:r w:rsidR="001334A3">
        <w:rPr>
          <w:rFonts w:ascii="Arial" w:hAnsi="Arial" w:cs="Arial"/>
          <w:sz w:val="24"/>
          <w:szCs w:val="24"/>
        </w:rPr>
        <w:t>cuenta con el</w:t>
      </w:r>
      <w:r w:rsidR="00F128D9">
        <w:rPr>
          <w:rFonts w:ascii="Arial" w:hAnsi="Arial" w:cs="Arial"/>
          <w:sz w:val="24"/>
          <w:szCs w:val="24"/>
        </w:rPr>
        <w:t xml:space="preserve"> dato</w:t>
      </w:r>
      <w:r w:rsidR="001334A3">
        <w:rPr>
          <w:rFonts w:ascii="Arial" w:hAnsi="Arial" w:cs="Arial"/>
          <w:sz w:val="24"/>
          <w:szCs w:val="24"/>
        </w:rPr>
        <w:t xml:space="preserve">. A </w:t>
      </w:r>
      <w:r w:rsidR="00073C3F">
        <w:rPr>
          <w:rFonts w:ascii="Arial" w:hAnsi="Arial" w:cs="Arial"/>
          <w:sz w:val="24"/>
          <w:szCs w:val="24"/>
        </w:rPr>
        <w:t>nivel estatal</w:t>
      </w:r>
      <w:r w:rsidR="001334A3">
        <w:rPr>
          <w:rFonts w:ascii="Arial" w:hAnsi="Arial" w:cs="Arial"/>
          <w:sz w:val="24"/>
          <w:szCs w:val="24"/>
        </w:rPr>
        <w:t>,</w:t>
      </w:r>
      <w:r w:rsidR="00073C3F">
        <w:rPr>
          <w:rFonts w:ascii="Arial" w:hAnsi="Arial" w:cs="Arial"/>
          <w:sz w:val="24"/>
          <w:szCs w:val="24"/>
        </w:rPr>
        <w:t xml:space="preserve"> </w:t>
      </w:r>
      <w:r w:rsidR="00C2272E" w:rsidRPr="008325B5">
        <w:rPr>
          <w:rFonts w:ascii="Arial" w:hAnsi="Arial" w:cs="Arial"/>
          <w:sz w:val="24"/>
          <w:szCs w:val="24"/>
        </w:rPr>
        <w:t xml:space="preserve">las mujeres </w:t>
      </w:r>
      <w:r w:rsidR="00C65D23">
        <w:rPr>
          <w:rFonts w:ascii="Arial" w:hAnsi="Arial" w:cs="Arial"/>
          <w:sz w:val="24"/>
          <w:szCs w:val="24"/>
        </w:rPr>
        <w:t>alcanza</w:t>
      </w:r>
      <w:r w:rsidR="00B32FB1">
        <w:rPr>
          <w:rFonts w:ascii="Arial" w:hAnsi="Arial" w:cs="Arial"/>
          <w:sz w:val="24"/>
          <w:szCs w:val="24"/>
        </w:rPr>
        <w:t>ron</w:t>
      </w:r>
      <w:r w:rsidR="00C65D23">
        <w:rPr>
          <w:rFonts w:ascii="Arial" w:hAnsi="Arial" w:cs="Arial"/>
          <w:sz w:val="24"/>
          <w:szCs w:val="24"/>
        </w:rPr>
        <w:t xml:space="preserve"> una</w:t>
      </w:r>
      <w:r w:rsidR="000B02A0">
        <w:rPr>
          <w:rFonts w:ascii="Arial" w:hAnsi="Arial" w:cs="Arial"/>
          <w:sz w:val="24"/>
          <w:szCs w:val="24"/>
        </w:rPr>
        <w:t xml:space="preserve"> participación </w:t>
      </w:r>
      <w:r w:rsidR="00C65D23">
        <w:rPr>
          <w:rFonts w:ascii="Arial" w:hAnsi="Arial" w:cs="Arial"/>
          <w:sz w:val="24"/>
          <w:szCs w:val="24"/>
        </w:rPr>
        <w:t xml:space="preserve">mayoritaria </w:t>
      </w:r>
      <w:r w:rsidR="00813005">
        <w:rPr>
          <w:rFonts w:ascii="Arial" w:hAnsi="Arial" w:cs="Arial"/>
          <w:sz w:val="24"/>
          <w:szCs w:val="24"/>
        </w:rPr>
        <w:t>desde</w:t>
      </w:r>
      <w:r w:rsidR="00C2272E" w:rsidRPr="008325B5">
        <w:rPr>
          <w:rFonts w:ascii="Arial" w:hAnsi="Arial" w:cs="Arial"/>
          <w:sz w:val="24"/>
          <w:szCs w:val="24"/>
        </w:rPr>
        <w:t xml:space="preserve"> 20</w:t>
      </w:r>
      <w:r w:rsidR="0074203C">
        <w:rPr>
          <w:rFonts w:ascii="Arial" w:hAnsi="Arial" w:cs="Arial"/>
          <w:sz w:val="24"/>
          <w:szCs w:val="24"/>
        </w:rPr>
        <w:t>14</w:t>
      </w:r>
      <w:r w:rsidR="00C612A8">
        <w:rPr>
          <w:rFonts w:ascii="Arial" w:hAnsi="Arial" w:cs="Arial"/>
          <w:sz w:val="24"/>
          <w:szCs w:val="24"/>
        </w:rPr>
        <w:t xml:space="preserve"> y su presencia ha aumentado año con año</w:t>
      </w:r>
      <w:r w:rsidR="00285182">
        <w:rPr>
          <w:rFonts w:ascii="Arial" w:hAnsi="Arial" w:cs="Arial"/>
          <w:sz w:val="24"/>
          <w:szCs w:val="24"/>
        </w:rPr>
        <w:t>.</w:t>
      </w:r>
      <w:r w:rsidR="003415E3" w:rsidRPr="008325B5">
        <w:rPr>
          <w:rFonts w:ascii="Arial" w:hAnsi="Arial" w:cs="Arial"/>
          <w:sz w:val="24"/>
          <w:szCs w:val="24"/>
        </w:rPr>
        <w:t xml:space="preserve"> </w:t>
      </w:r>
      <w:r w:rsidR="003B0EA4" w:rsidRPr="008325B5">
        <w:rPr>
          <w:rFonts w:ascii="Arial" w:hAnsi="Arial" w:cs="Arial"/>
          <w:sz w:val="24"/>
          <w:szCs w:val="24"/>
        </w:rPr>
        <w:t xml:space="preserve">En </w:t>
      </w:r>
      <w:r w:rsidR="00813005">
        <w:rPr>
          <w:rFonts w:ascii="Arial" w:hAnsi="Arial" w:cs="Arial"/>
          <w:sz w:val="24"/>
          <w:szCs w:val="24"/>
        </w:rPr>
        <w:t xml:space="preserve">contraste, </w:t>
      </w:r>
      <w:r w:rsidR="00073C3F">
        <w:rPr>
          <w:rFonts w:ascii="Arial" w:hAnsi="Arial" w:cs="Arial"/>
          <w:sz w:val="24"/>
          <w:szCs w:val="24"/>
        </w:rPr>
        <w:t>a nivel municipal</w:t>
      </w:r>
      <w:r w:rsidR="001334A3">
        <w:rPr>
          <w:rFonts w:ascii="Arial" w:hAnsi="Arial" w:cs="Arial"/>
          <w:sz w:val="24"/>
          <w:szCs w:val="24"/>
        </w:rPr>
        <w:t>,</w:t>
      </w:r>
      <w:r w:rsidR="00073C3F">
        <w:rPr>
          <w:rFonts w:ascii="Arial" w:hAnsi="Arial" w:cs="Arial"/>
          <w:sz w:val="24"/>
          <w:szCs w:val="24"/>
        </w:rPr>
        <w:t xml:space="preserve"> </w:t>
      </w:r>
      <w:r w:rsidR="000B02A0">
        <w:rPr>
          <w:rFonts w:ascii="Arial" w:hAnsi="Arial" w:cs="Arial"/>
          <w:sz w:val="24"/>
          <w:szCs w:val="24"/>
        </w:rPr>
        <w:t>por cada 10</w:t>
      </w:r>
      <w:r w:rsidR="00893A95">
        <w:rPr>
          <w:rFonts w:ascii="Arial" w:hAnsi="Arial" w:cs="Arial"/>
          <w:sz w:val="24"/>
          <w:szCs w:val="24"/>
        </w:rPr>
        <w:t>0</w:t>
      </w:r>
      <w:r w:rsidR="000B02A0">
        <w:rPr>
          <w:rFonts w:ascii="Arial" w:hAnsi="Arial" w:cs="Arial"/>
          <w:sz w:val="24"/>
          <w:szCs w:val="24"/>
        </w:rPr>
        <w:t xml:space="preserve"> servidores públicos que laboraron</w:t>
      </w:r>
      <w:r w:rsidR="00801EBA">
        <w:rPr>
          <w:rFonts w:ascii="Arial" w:hAnsi="Arial" w:cs="Arial"/>
          <w:sz w:val="24"/>
          <w:szCs w:val="24"/>
        </w:rPr>
        <w:t xml:space="preserve"> en 2020</w:t>
      </w:r>
      <w:r w:rsidR="00893A95">
        <w:rPr>
          <w:rFonts w:ascii="Arial" w:hAnsi="Arial" w:cs="Arial"/>
          <w:sz w:val="24"/>
          <w:szCs w:val="24"/>
        </w:rPr>
        <w:t>, 35 fueron mujeres</w:t>
      </w:r>
      <w:r w:rsidR="00C2272E" w:rsidRPr="008325B5">
        <w:rPr>
          <w:rFonts w:ascii="Arial" w:hAnsi="Arial" w:cs="Arial"/>
          <w:sz w:val="24"/>
          <w:szCs w:val="24"/>
        </w:rPr>
        <w:t>.</w:t>
      </w:r>
      <w:r w:rsidR="00286AE1" w:rsidRPr="008325B5">
        <w:rPr>
          <w:rFonts w:ascii="Arial" w:hAnsi="Arial" w:cs="Arial"/>
          <w:sz w:val="24"/>
          <w:szCs w:val="24"/>
        </w:rPr>
        <w:t xml:space="preserve"> </w:t>
      </w:r>
      <w:r w:rsidR="00AD34F9">
        <w:rPr>
          <w:rFonts w:ascii="Arial" w:hAnsi="Arial" w:cs="Arial"/>
          <w:sz w:val="24"/>
          <w:szCs w:val="24"/>
        </w:rPr>
        <w:t xml:space="preserve">Sin embargo, para </w:t>
      </w:r>
      <w:r w:rsidR="00E01B23">
        <w:rPr>
          <w:rFonts w:ascii="Arial" w:hAnsi="Arial" w:cs="Arial"/>
          <w:sz w:val="24"/>
          <w:szCs w:val="24"/>
        </w:rPr>
        <w:t>determinar el grado de incidencia en la definición de las decisiones y acciones públicas</w:t>
      </w:r>
      <w:r w:rsidR="001334A3">
        <w:rPr>
          <w:rFonts w:ascii="Arial" w:hAnsi="Arial" w:cs="Arial"/>
          <w:sz w:val="24"/>
          <w:szCs w:val="24"/>
        </w:rPr>
        <w:t xml:space="preserve">, se debe </w:t>
      </w:r>
      <w:r w:rsidR="00AD34F9">
        <w:rPr>
          <w:rFonts w:ascii="Arial" w:hAnsi="Arial" w:cs="Arial"/>
          <w:sz w:val="24"/>
          <w:szCs w:val="24"/>
        </w:rPr>
        <w:t xml:space="preserve">distinguir la posición que ocupan. La información de 2020 indica </w:t>
      </w:r>
      <w:r w:rsidR="009C2C7D">
        <w:rPr>
          <w:rFonts w:ascii="Arial" w:hAnsi="Arial" w:cs="Arial"/>
          <w:sz w:val="24"/>
          <w:szCs w:val="24"/>
        </w:rPr>
        <w:t>un</w:t>
      </w:r>
      <w:r w:rsidR="00CD713C">
        <w:rPr>
          <w:rFonts w:ascii="Arial" w:hAnsi="Arial" w:cs="Arial"/>
          <w:sz w:val="24"/>
          <w:szCs w:val="24"/>
        </w:rPr>
        <w:t xml:space="preserve"> rezago</w:t>
      </w:r>
      <w:r w:rsidR="009360FD">
        <w:rPr>
          <w:rFonts w:ascii="Arial" w:hAnsi="Arial" w:cs="Arial"/>
          <w:sz w:val="24"/>
          <w:szCs w:val="24"/>
        </w:rPr>
        <w:t xml:space="preserve"> en </w:t>
      </w:r>
      <w:r w:rsidR="00AD34F9">
        <w:rPr>
          <w:rFonts w:ascii="Arial" w:hAnsi="Arial" w:cs="Arial"/>
          <w:sz w:val="24"/>
          <w:szCs w:val="24"/>
        </w:rPr>
        <w:t xml:space="preserve">la paridad en </w:t>
      </w:r>
      <w:r w:rsidR="009360FD">
        <w:rPr>
          <w:rFonts w:ascii="Arial" w:hAnsi="Arial" w:cs="Arial"/>
          <w:sz w:val="24"/>
          <w:szCs w:val="24"/>
        </w:rPr>
        <w:t>los puestos de toma de decisión,</w:t>
      </w:r>
      <w:r w:rsidR="00CD713C">
        <w:rPr>
          <w:rFonts w:ascii="Arial" w:hAnsi="Arial" w:cs="Arial"/>
          <w:sz w:val="24"/>
          <w:szCs w:val="24"/>
        </w:rPr>
        <w:t xml:space="preserve"> </w:t>
      </w:r>
      <w:r w:rsidR="00AD34F9">
        <w:rPr>
          <w:rFonts w:ascii="Arial" w:hAnsi="Arial" w:cs="Arial"/>
          <w:sz w:val="24"/>
          <w:szCs w:val="24"/>
        </w:rPr>
        <w:t xml:space="preserve">ya que solo </w:t>
      </w:r>
      <w:r w:rsidR="009C2C7D">
        <w:rPr>
          <w:rFonts w:ascii="Arial" w:hAnsi="Arial" w:cs="Arial"/>
          <w:sz w:val="24"/>
          <w:szCs w:val="24"/>
        </w:rPr>
        <w:t>22.1</w:t>
      </w:r>
      <w:r w:rsidR="00757B1D">
        <w:rPr>
          <w:rFonts w:ascii="Arial" w:hAnsi="Arial" w:cs="Arial"/>
          <w:sz w:val="24"/>
          <w:szCs w:val="24"/>
        </w:rPr>
        <w:t xml:space="preserve"> </w:t>
      </w:r>
      <w:r w:rsidR="00CD713C">
        <w:rPr>
          <w:rFonts w:ascii="Arial" w:hAnsi="Arial" w:cs="Arial"/>
          <w:sz w:val="24"/>
          <w:szCs w:val="24"/>
        </w:rPr>
        <w:t xml:space="preserve">% de </w:t>
      </w:r>
      <w:r w:rsidR="009C2C7D">
        <w:rPr>
          <w:rFonts w:ascii="Arial" w:hAnsi="Arial" w:cs="Arial"/>
          <w:sz w:val="24"/>
          <w:szCs w:val="24"/>
        </w:rPr>
        <w:t>las personas</w:t>
      </w:r>
      <w:r w:rsidR="00CD713C">
        <w:rPr>
          <w:rFonts w:ascii="Arial" w:hAnsi="Arial" w:cs="Arial"/>
          <w:sz w:val="24"/>
          <w:szCs w:val="24"/>
        </w:rPr>
        <w:t xml:space="preserve"> titulares de la</w:t>
      </w:r>
      <w:r w:rsidR="009C2C7D">
        <w:rPr>
          <w:rFonts w:ascii="Arial" w:hAnsi="Arial" w:cs="Arial"/>
          <w:sz w:val="24"/>
          <w:szCs w:val="24"/>
        </w:rPr>
        <w:t>s instituciones de</w:t>
      </w:r>
      <w:r w:rsidR="00CD713C">
        <w:rPr>
          <w:rFonts w:ascii="Arial" w:hAnsi="Arial" w:cs="Arial"/>
          <w:sz w:val="24"/>
          <w:szCs w:val="24"/>
        </w:rPr>
        <w:t xml:space="preserve"> </w:t>
      </w:r>
      <w:r w:rsidR="009360FD">
        <w:rPr>
          <w:rFonts w:ascii="Arial" w:hAnsi="Arial" w:cs="Arial"/>
          <w:sz w:val="24"/>
          <w:szCs w:val="24"/>
        </w:rPr>
        <w:t xml:space="preserve">la </w:t>
      </w:r>
      <w:r w:rsidR="00CD713C">
        <w:rPr>
          <w:rFonts w:ascii="Arial" w:hAnsi="Arial" w:cs="Arial"/>
          <w:sz w:val="24"/>
          <w:szCs w:val="24"/>
        </w:rPr>
        <w:t>administración federal, 25.5</w:t>
      </w:r>
      <w:r w:rsidR="00757B1D">
        <w:rPr>
          <w:rFonts w:ascii="Arial" w:hAnsi="Arial" w:cs="Arial"/>
          <w:sz w:val="24"/>
          <w:szCs w:val="24"/>
        </w:rPr>
        <w:t xml:space="preserve"> </w:t>
      </w:r>
      <w:r w:rsidR="00CD713C">
        <w:rPr>
          <w:rFonts w:ascii="Arial" w:hAnsi="Arial" w:cs="Arial"/>
          <w:sz w:val="24"/>
          <w:szCs w:val="24"/>
        </w:rPr>
        <w:t>% de las estatales y 31.5</w:t>
      </w:r>
      <w:r w:rsidR="00757B1D">
        <w:rPr>
          <w:rFonts w:ascii="Arial" w:hAnsi="Arial" w:cs="Arial"/>
          <w:sz w:val="24"/>
          <w:szCs w:val="24"/>
        </w:rPr>
        <w:t xml:space="preserve"> </w:t>
      </w:r>
      <w:r w:rsidR="00CD713C">
        <w:rPr>
          <w:rFonts w:ascii="Arial" w:hAnsi="Arial" w:cs="Arial"/>
          <w:sz w:val="24"/>
          <w:szCs w:val="24"/>
        </w:rPr>
        <w:t xml:space="preserve">% de las </w:t>
      </w:r>
      <w:r w:rsidR="009C2C7D">
        <w:rPr>
          <w:rFonts w:ascii="Arial" w:hAnsi="Arial" w:cs="Arial"/>
          <w:sz w:val="24"/>
          <w:szCs w:val="24"/>
        </w:rPr>
        <w:t xml:space="preserve">municipales </w:t>
      </w:r>
      <w:r w:rsidR="001334A3">
        <w:rPr>
          <w:rFonts w:ascii="Arial" w:hAnsi="Arial" w:cs="Arial"/>
          <w:sz w:val="24"/>
          <w:szCs w:val="24"/>
        </w:rPr>
        <w:t>fueron mujeres</w:t>
      </w:r>
      <w:r w:rsidR="009C2C7D">
        <w:rPr>
          <w:rFonts w:ascii="Arial" w:hAnsi="Arial" w:cs="Arial"/>
          <w:sz w:val="24"/>
          <w:szCs w:val="24"/>
        </w:rPr>
        <w:t>.</w:t>
      </w:r>
      <w:r w:rsidR="00CD1581">
        <w:rPr>
          <w:rStyle w:val="Refdenotaalpie"/>
          <w:rFonts w:ascii="Arial" w:hAnsi="Arial" w:cs="Arial"/>
          <w:sz w:val="24"/>
          <w:szCs w:val="24"/>
        </w:rPr>
        <w:footnoteReference w:id="4"/>
      </w:r>
      <w:r w:rsidR="00757B1D">
        <w:rPr>
          <w:rFonts w:ascii="Arial" w:hAnsi="Arial" w:cs="Arial"/>
          <w:sz w:val="24"/>
          <w:szCs w:val="24"/>
        </w:rPr>
        <w:t xml:space="preserve"> </w:t>
      </w:r>
    </w:p>
    <w:p w14:paraId="6D1AD413" w14:textId="3946E14D" w:rsidR="0085369F" w:rsidRDefault="0085369F" w:rsidP="00D04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C547AA" w14:textId="77777777" w:rsidR="00172DAA" w:rsidRPr="00172DAA" w:rsidRDefault="00172DAA" w:rsidP="00172DAA">
      <w:pPr>
        <w:spacing w:after="0" w:line="240" w:lineRule="auto"/>
        <w:jc w:val="center"/>
        <w:rPr>
          <w:rFonts w:ascii="Arial" w:hAnsi="Arial" w:cs="Arial"/>
          <w:color w:val="000000" w:themeColor="dark1"/>
          <w:sz w:val="20"/>
          <w:szCs w:val="20"/>
        </w:rPr>
      </w:pPr>
      <w:r w:rsidRPr="00172DAA">
        <w:rPr>
          <w:rFonts w:ascii="Arial" w:hAnsi="Arial" w:cs="Arial"/>
          <w:color w:val="000000" w:themeColor="dark1"/>
          <w:sz w:val="20"/>
          <w:szCs w:val="20"/>
        </w:rPr>
        <w:t>Gráfica 1</w:t>
      </w:r>
    </w:p>
    <w:p w14:paraId="6F3E1F50" w14:textId="74C669EB" w:rsidR="0085369F" w:rsidRPr="00A016CD" w:rsidRDefault="00A016CD" w:rsidP="00956A24">
      <w:pPr>
        <w:spacing w:after="0" w:line="240" w:lineRule="auto"/>
        <w:jc w:val="center"/>
        <w:rPr>
          <w:rFonts w:ascii="Arial Negrita" w:hAnsi="Arial Negrita" w:cs="Arial"/>
          <w:b/>
          <w:bCs/>
          <w:smallCaps/>
          <w:color w:val="000000" w:themeColor="dark1"/>
        </w:rPr>
      </w:pPr>
      <w:r w:rsidRPr="00A016CD">
        <w:rPr>
          <w:rFonts w:ascii="Arial Negrita" w:hAnsi="Arial Negrita" w:cs="Arial"/>
          <w:b/>
          <w:bCs/>
          <w:smallCaps/>
          <w:color w:val="000000" w:themeColor="dark1"/>
        </w:rPr>
        <w:t>Personal de las administraciones p</w:t>
      </w:r>
      <w:r w:rsidRPr="00A016CD">
        <w:rPr>
          <w:rFonts w:ascii="Arial Negrita" w:hAnsi="Arial Negrita" w:cs="Arial" w:hint="eastAsia"/>
          <w:b/>
          <w:bCs/>
          <w:smallCaps/>
          <w:color w:val="000000" w:themeColor="dark1"/>
        </w:rPr>
        <w:t>ú</w:t>
      </w:r>
      <w:r w:rsidRPr="00A016CD">
        <w:rPr>
          <w:rFonts w:ascii="Arial Negrita" w:hAnsi="Arial Negrita" w:cs="Arial"/>
          <w:b/>
          <w:bCs/>
          <w:smallCaps/>
          <w:color w:val="000000" w:themeColor="dark1"/>
        </w:rPr>
        <w:t>blicas</w:t>
      </w:r>
      <w:r w:rsidR="00BD6D0C" w:rsidRPr="00A016CD">
        <w:rPr>
          <w:rFonts w:ascii="Arial Negrita" w:hAnsi="Arial Negrita" w:cs="Arial"/>
          <w:smallCaps/>
          <w:noProof/>
        </w:rPr>
        <w:drawing>
          <wp:anchor distT="0" distB="0" distL="114300" distR="114300" simplePos="0" relativeHeight="251684864" behindDoc="0" locked="0" layoutInCell="1" allowOverlap="1" wp14:anchorId="4B3CC910" wp14:editId="3915A83C">
            <wp:simplePos x="0" y="0"/>
            <wp:positionH relativeFrom="column">
              <wp:posOffset>-2540</wp:posOffset>
            </wp:positionH>
            <wp:positionV relativeFrom="paragraph">
              <wp:posOffset>179070</wp:posOffset>
            </wp:positionV>
            <wp:extent cx="6354445" cy="4340225"/>
            <wp:effectExtent l="0" t="0" r="0" b="0"/>
            <wp:wrapTopAndBottom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52E3D" w14:textId="18553915" w:rsidR="0085369F" w:rsidRDefault="00C03339" w:rsidP="00287B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86912" behindDoc="0" locked="0" layoutInCell="1" allowOverlap="1" wp14:anchorId="6DF0DBF1" wp14:editId="552E1CA0">
            <wp:simplePos x="0" y="0"/>
            <wp:positionH relativeFrom="column">
              <wp:posOffset>-2540</wp:posOffset>
            </wp:positionH>
            <wp:positionV relativeFrom="paragraph">
              <wp:posOffset>1571625</wp:posOffset>
            </wp:positionV>
            <wp:extent cx="6173470" cy="5879465"/>
            <wp:effectExtent l="0" t="0" r="0" b="0"/>
            <wp:wrapTopAndBottom/>
            <wp:docPr id="55" name="Gráfico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4A234A2" wp14:editId="7DDC5340">
            <wp:simplePos x="0" y="0"/>
            <wp:positionH relativeFrom="column">
              <wp:posOffset>43815</wp:posOffset>
            </wp:positionH>
            <wp:positionV relativeFrom="paragraph">
              <wp:posOffset>0</wp:posOffset>
            </wp:positionV>
            <wp:extent cx="6127750" cy="3796030"/>
            <wp:effectExtent l="0" t="0" r="0" b="0"/>
            <wp:wrapTopAndBottom/>
            <wp:docPr id="53" name="Gráfico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8EFB1" w14:textId="3682D984" w:rsidR="0085369F" w:rsidRPr="00615662" w:rsidRDefault="0085369F" w:rsidP="00C03339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61566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Fuente: 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 w:rsidRPr="00615662">
        <w:rPr>
          <w:rFonts w:ascii="Arial" w:hAnsi="Arial" w:cs="Arial"/>
          <w:color w:val="000000" w:themeColor="text1"/>
          <w:sz w:val="16"/>
          <w:szCs w:val="16"/>
        </w:rPr>
        <w:t>Censo Nacional de Gobierno, Seguridad Pública y Sistema Penitenciario Estatales (CNGSPSPE) 2011 - 2020; Censo Nacional de Gobiernos Estatales (CNGE) 2021; Censo Nacional de Gobierno Federal (CNGF) 2017 - 2021; Censo Nacional de Gobiernos Municipales y Demarcaciones Territoriales de la Ciudad de México (CNGMD) 2011-2021.</w:t>
      </w:r>
    </w:p>
    <w:p w14:paraId="58B78911" w14:textId="0B6DFDE0" w:rsidR="00952E9E" w:rsidRDefault="00286AE1" w:rsidP="00D04767">
      <w:pPr>
        <w:spacing w:after="0" w:line="240" w:lineRule="auto"/>
        <w:jc w:val="both"/>
        <w:rPr>
          <w:rFonts w:ascii="Arial Negrita" w:hAnsi="Arial Negrita" w:cs="Arial"/>
          <w:b/>
          <w:bCs/>
          <w:smallCaps/>
          <w:sz w:val="24"/>
          <w:szCs w:val="24"/>
        </w:rPr>
      </w:pPr>
      <w:r w:rsidRPr="00285182">
        <w:rPr>
          <w:rFonts w:ascii="Arial Negrita" w:hAnsi="Arial Negrita" w:cs="Arial"/>
          <w:b/>
          <w:bCs/>
          <w:smallCaps/>
          <w:sz w:val="24"/>
          <w:szCs w:val="24"/>
        </w:rPr>
        <w:lastRenderedPageBreak/>
        <w:t>Recursos financieros</w:t>
      </w:r>
    </w:p>
    <w:p w14:paraId="74F4D58A" w14:textId="77777777" w:rsidR="00D04767" w:rsidRPr="00285182" w:rsidRDefault="00D04767" w:rsidP="00D04767">
      <w:pPr>
        <w:spacing w:after="0" w:line="240" w:lineRule="auto"/>
        <w:jc w:val="both"/>
        <w:rPr>
          <w:rFonts w:ascii="Arial Negrita" w:hAnsi="Arial Negrita" w:cs="Arial"/>
          <w:b/>
          <w:bCs/>
          <w:smallCaps/>
          <w:sz w:val="24"/>
          <w:szCs w:val="24"/>
        </w:rPr>
      </w:pPr>
    </w:p>
    <w:p w14:paraId="1B78A28E" w14:textId="49D654B1" w:rsidR="00952E9E" w:rsidRDefault="003415E3" w:rsidP="00D04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5B5">
        <w:rPr>
          <w:rFonts w:ascii="Arial" w:hAnsi="Arial" w:cs="Arial"/>
          <w:sz w:val="24"/>
          <w:szCs w:val="24"/>
        </w:rPr>
        <w:t>En 2020</w:t>
      </w:r>
      <w:r w:rsidR="00F667FD">
        <w:rPr>
          <w:rFonts w:ascii="Arial" w:hAnsi="Arial" w:cs="Arial"/>
          <w:sz w:val="24"/>
          <w:szCs w:val="24"/>
        </w:rPr>
        <w:t>,</w:t>
      </w:r>
      <w:r w:rsidRPr="008325B5">
        <w:rPr>
          <w:rFonts w:ascii="Arial" w:hAnsi="Arial" w:cs="Arial"/>
          <w:sz w:val="24"/>
          <w:szCs w:val="24"/>
        </w:rPr>
        <w:t xml:space="preserve"> el presupuesto</w:t>
      </w:r>
      <w:r w:rsidR="00E8197E">
        <w:rPr>
          <w:rFonts w:ascii="Arial" w:hAnsi="Arial" w:cs="Arial"/>
          <w:sz w:val="24"/>
          <w:szCs w:val="24"/>
        </w:rPr>
        <w:t xml:space="preserve"> público</w:t>
      </w:r>
      <w:r w:rsidR="001334A3">
        <w:rPr>
          <w:rFonts w:ascii="Arial" w:hAnsi="Arial" w:cs="Arial"/>
          <w:sz w:val="24"/>
          <w:szCs w:val="24"/>
        </w:rPr>
        <w:t xml:space="preserve"> que ejercieron </w:t>
      </w:r>
      <w:r w:rsidR="00E8197E">
        <w:rPr>
          <w:rFonts w:ascii="Arial" w:hAnsi="Arial" w:cs="Arial"/>
          <w:sz w:val="24"/>
          <w:szCs w:val="24"/>
        </w:rPr>
        <w:t xml:space="preserve">los tres </w:t>
      </w:r>
      <w:r w:rsidR="00B32FB1">
        <w:rPr>
          <w:rFonts w:ascii="Arial" w:hAnsi="Arial" w:cs="Arial"/>
          <w:sz w:val="24"/>
          <w:szCs w:val="24"/>
        </w:rPr>
        <w:t>órdenes</w:t>
      </w:r>
      <w:r w:rsidR="00E8197E">
        <w:rPr>
          <w:rFonts w:ascii="Arial" w:hAnsi="Arial" w:cs="Arial"/>
          <w:sz w:val="24"/>
          <w:szCs w:val="24"/>
        </w:rPr>
        <w:t xml:space="preserve"> de gobierno ascendió a </w:t>
      </w:r>
      <w:r w:rsidR="00B32FB1">
        <w:rPr>
          <w:rFonts w:ascii="Arial" w:hAnsi="Arial" w:cs="Arial"/>
          <w:sz w:val="24"/>
          <w:szCs w:val="24"/>
        </w:rPr>
        <w:t xml:space="preserve">                    </w:t>
      </w:r>
      <w:r w:rsidR="00EA6EEB" w:rsidRPr="00EA6EEB">
        <w:rPr>
          <w:rFonts w:ascii="Arial" w:hAnsi="Arial" w:cs="Arial"/>
          <w:sz w:val="24"/>
          <w:szCs w:val="24"/>
        </w:rPr>
        <w:t>5 746 5</w:t>
      </w:r>
      <w:r w:rsidR="00185CF2">
        <w:rPr>
          <w:rFonts w:ascii="Arial" w:hAnsi="Arial" w:cs="Arial"/>
          <w:sz w:val="24"/>
          <w:szCs w:val="24"/>
        </w:rPr>
        <w:t>20</w:t>
      </w:r>
      <w:r w:rsidR="00EA6EEB">
        <w:rPr>
          <w:rFonts w:ascii="Arial" w:hAnsi="Arial" w:cs="Arial"/>
          <w:sz w:val="24"/>
          <w:szCs w:val="24"/>
        </w:rPr>
        <w:t xml:space="preserve"> </w:t>
      </w:r>
      <w:r w:rsidR="00BF0B73">
        <w:rPr>
          <w:rFonts w:ascii="Arial" w:hAnsi="Arial" w:cs="Arial"/>
          <w:sz w:val="24"/>
          <w:szCs w:val="24"/>
        </w:rPr>
        <w:t>millones de pesos</w:t>
      </w:r>
      <w:r w:rsidR="00B32FB1">
        <w:rPr>
          <w:rFonts w:ascii="Arial" w:hAnsi="Arial" w:cs="Arial"/>
          <w:sz w:val="24"/>
          <w:szCs w:val="24"/>
        </w:rPr>
        <w:t>.</w:t>
      </w:r>
      <w:r w:rsidR="00BF0B73">
        <w:rPr>
          <w:rStyle w:val="Refdenotaalpie"/>
          <w:rFonts w:ascii="Arial" w:hAnsi="Arial" w:cs="Arial"/>
          <w:sz w:val="24"/>
          <w:szCs w:val="24"/>
        </w:rPr>
        <w:footnoteReference w:id="5"/>
      </w:r>
      <w:r w:rsidR="00BF0B73">
        <w:rPr>
          <w:rFonts w:ascii="Arial" w:hAnsi="Arial" w:cs="Arial"/>
          <w:sz w:val="24"/>
          <w:szCs w:val="24"/>
        </w:rPr>
        <w:t xml:space="preserve"> </w:t>
      </w:r>
      <w:r w:rsidR="00B32FB1">
        <w:rPr>
          <w:rFonts w:ascii="Arial" w:hAnsi="Arial" w:cs="Arial"/>
          <w:sz w:val="24"/>
          <w:szCs w:val="24"/>
        </w:rPr>
        <w:t>P</w:t>
      </w:r>
      <w:r w:rsidR="00BF0B73" w:rsidRPr="008325B5">
        <w:rPr>
          <w:rFonts w:ascii="Arial" w:hAnsi="Arial" w:cs="Arial"/>
          <w:sz w:val="24"/>
          <w:szCs w:val="24"/>
        </w:rPr>
        <w:t>or cada peso ejercido en la</w:t>
      </w:r>
      <w:r w:rsidR="000F210E">
        <w:rPr>
          <w:rFonts w:ascii="Arial" w:hAnsi="Arial" w:cs="Arial"/>
          <w:sz w:val="24"/>
          <w:szCs w:val="24"/>
        </w:rPr>
        <w:t>s</w:t>
      </w:r>
      <w:r w:rsidR="00BF0B73" w:rsidRPr="008325B5">
        <w:rPr>
          <w:rFonts w:ascii="Arial" w:hAnsi="Arial" w:cs="Arial"/>
          <w:sz w:val="24"/>
          <w:szCs w:val="24"/>
        </w:rPr>
        <w:t xml:space="preserve"> </w:t>
      </w:r>
      <w:r w:rsidR="000F210E">
        <w:rPr>
          <w:rFonts w:ascii="Arial" w:hAnsi="Arial" w:cs="Arial"/>
          <w:sz w:val="24"/>
          <w:szCs w:val="24"/>
        </w:rPr>
        <w:t>AP</w:t>
      </w:r>
      <w:r w:rsidR="00BF0B73" w:rsidRPr="008325B5">
        <w:rPr>
          <w:rFonts w:ascii="Arial" w:hAnsi="Arial" w:cs="Arial"/>
          <w:sz w:val="24"/>
          <w:szCs w:val="24"/>
        </w:rPr>
        <w:t xml:space="preserve"> municipal</w:t>
      </w:r>
      <w:r w:rsidR="000F210E">
        <w:rPr>
          <w:rFonts w:ascii="Arial" w:hAnsi="Arial" w:cs="Arial"/>
          <w:sz w:val="24"/>
          <w:szCs w:val="24"/>
        </w:rPr>
        <w:t>es</w:t>
      </w:r>
      <w:r w:rsidR="00BF0B73" w:rsidRPr="008325B5">
        <w:rPr>
          <w:rFonts w:ascii="Arial" w:hAnsi="Arial" w:cs="Arial"/>
          <w:sz w:val="24"/>
          <w:szCs w:val="24"/>
        </w:rPr>
        <w:t>, la</w:t>
      </w:r>
      <w:r w:rsidR="000F210E">
        <w:rPr>
          <w:rFonts w:ascii="Arial" w:hAnsi="Arial" w:cs="Arial"/>
          <w:sz w:val="24"/>
          <w:szCs w:val="24"/>
        </w:rPr>
        <w:t>s</w:t>
      </w:r>
      <w:r w:rsidR="00BF0B73" w:rsidRPr="008325B5">
        <w:rPr>
          <w:rFonts w:ascii="Arial" w:hAnsi="Arial" w:cs="Arial"/>
          <w:sz w:val="24"/>
          <w:szCs w:val="24"/>
        </w:rPr>
        <w:t xml:space="preserve"> </w:t>
      </w:r>
      <w:r w:rsidR="000F210E">
        <w:rPr>
          <w:rFonts w:ascii="Arial" w:hAnsi="Arial" w:cs="Arial"/>
          <w:sz w:val="24"/>
          <w:szCs w:val="24"/>
        </w:rPr>
        <w:t>AP</w:t>
      </w:r>
      <w:r w:rsidR="00BF0B73" w:rsidRPr="008325B5">
        <w:rPr>
          <w:rFonts w:ascii="Arial" w:hAnsi="Arial" w:cs="Arial"/>
          <w:sz w:val="24"/>
          <w:szCs w:val="24"/>
        </w:rPr>
        <w:t xml:space="preserve"> estatal</w:t>
      </w:r>
      <w:r w:rsidR="000F210E">
        <w:rPr>
          <w:rFonts w:ascii="Arial" w:hAnsi="Arial" w:cs="Arial"/>
          <w:sz w:val="24"/>
          <w:szCs w:val="24"/>
        </w:rPr>
        <w:t>es</w:t>
      </w:r>
      <w:r w:rsidR="00BF0B73" w:rsidRPr="008325B5">
        <w:rPr>
          <w:rFonts w:ascii="Arial" w:hAnsi="Arial" w:cs="Arial"/>
          <w:sz w:val="24"/>
          <w:szCs w:val="24"/>
        </w:rPr>
        <w:t xml:space="preserve"> ejerci</w:t>
      </w:r>
      <w:r w:rsidR="000F210E">
        <w:rPr>
          <w:rFonts w:ascii="Arial" w:hAnsi="Arial" w:cs="Arial"/>
          <w:sz w:val="24"/>
          <w:szCs w:val="24"/>
        </w:rPr>
        <w:t>eron</w:t>
      </w:r>
      <w:r w:rsidR="00BF0B73" w:rsidRPr="008325B5">
        <w:rPr>
          <w:rFonts w:ascii="Arial" w:hAnsi="Arial" w:cs="Arial"/>
          <w:sz w:val="24"/>
          <w:szCs w:val="24"/>
        </w:rPr>
        <w:t xml:space="preserve"> 3.3 y la federal 6.3</w:t>
      </w:r>
      <w:r w:rsidR="00BF0B73">
        <w:rPr>
          <w:rFonts w:ascii="Arial" w:hAnsi="Arial" w:cs="Arial"/>
          <w:sz w:val="24"/>
          <w:szCs w:val="24"/>
        </w:rPr>
        <w:t>.</w:t>
      </w:r>
      <w:r w:rsidR="00E01B23">
        <w:rPr>
          <w:rFonts w:ascii="Arial" w:hAnsi="Arial" w:cs="Arial"/>
          <w:sz w:val="24"/>
          <w:szCs w:val="24"/>
        </w:rPr>
        <w:t xml:space="preserve"> </w:t>
      </w:r>
      <w:r w:rsidR="00BF0B73">
        <w:rPr>
          <w:rFonts w:ascii="Arial" w:hAnsi="Arial" w:cs="Arial"/>
          <w:sz w:val="24"/>
          <w:szCs w:val="24"/>
        </w:rPr>
        <w:t>R</w:t>
      </w:r>
      <w:r w:rsidR="00BF0B73" w:rsidRPr="008325B5">
        <w:rPr>
          <w:rFonts w:ascii="Arial" w:hAnsi="Arial" w:cs="Arial"/>
          <w:sz w:val="24"/>
          <w:szCs w:val="24"/>
        </w:rPr>
        <w:t>especto a 2018</w:t>
      </w:r>
      <w:r w:rsidR="00BF0B73">
        <w:rPr>
          <w:rFonts w:ascii="Arial" w:hAnsi="Arial" w:cs="Arial"/>
          <w:sz w:val="24"/>
          <w:szCs w:val="24"/>
        </w:rPr>
        <w:t xml:space="preserve">, el presupuesto ejercido por </w:t>
      </w:r>
      <w:r w:rsidRPr="008325B5">
        <w:rPr>
          <w:rFonts w:ascii="Arial" w:hAnsi="Arial" w:cs="Arial"/>
          <w:sz w:val="24"/>
          <w:szCs w:val="24"/>
        </w:rPr>
        <w:t xml:space="preserve">las instituciones federales y los gobiernos municipales </w:t>
      </w:r>
      <w:r w:rsidR="001334A3">
        <w:rPr>
          <w:rFonts w:ascii="Arial" w:hAnsi="Arial" w:cs="Arial"/>
          <w:sz w:val="24"/>
          <w:szCs w:val="24"/>
        </w:rPr>
        <w:t xml:space="preserve">no presentó </w:t>
      </w:r>
      <w:r w:rsidRPr="008325B5">
        <w:rPr>
          <w:rFonts w:ascii="Arial" w:hAnsi="Arial" w:cs="Arial"/>
          <w:sz w:val="24"/>
          <w:szCs w:val="24"/>
        </w:rPr>
        <w:t>cambios</w:t>
      </w:r>
      <w:r w:rsidR="00260668">
        <w:rPr>
          <w:rFonts w:ascii="Arial" w:hAnsi="Arial" w:cs="Arial"/>
          <w:sz w:val="24"/>
          <w:szCs w:val="24"/>
        </w:rPr>
        <w:t xml:space="preserve"> en términos reales</w:t>
      </w:r>
      <w:r w:rsidRPr="008325B5">
        <w:rPr>
          <w:rFonts w:ascii="Arial" w:hAnsi="Arial" w:cs="Arial"/>
          <w:sz w:val="24"/>
          <w:szCs w:val="24"/>
        </w:rPr>
        <w:t>.</w:t>
      </w:r>
    </w:p>
    <w:p w14:paraId="17B96AFA" w14:textId="366B2516" w:rsidR="00EA6EEB" w:rsidRDefault="002A1A84" w:rsidP="00C033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BA2B748" wp14:editId="7524A95C">
            <wp:extent cx="5903595" cy="3978234"/>
            <wp:effectExtent l="0" t="0" r="1905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A19DEEF-821F-44CF-A044-433267DCF3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67659" w:rsidRPr="00467659">
        <w:rPr>
          <w:noProof/>
        </w:rPr>
        <w:t xml:space="preserve"> </w:t>
      </w:r>
      <w:r w:rsidR="004E0FDF" w:rsidRPr="004E0FDF">
        <w:rPr>
          <w:noProof/>
        </w:rPr>
        <w:t xml:space="preserve"> </w:t>
      </w:r>
    </w:p>
    <w:p w14:paraId="1ECBC31F" w14:textId="77777777" w:rsidR="00D40AD3" w:rsidRDefault="00D40AD3" w:rsidP="00D04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BD025A" w14:textId="5FC8BD5D" w:rsidR="0081647A" w:rsidRDefault="00E01B23" w:rsidP="00D04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2020, </w:t>
      </w:r>
      <w:r w:rsidR="00E65F14">
        <w:rPr>
          <w:rFonts w:ascii="Arial" w:hAnsi="Arial" w:cs="Arial"/>
          <w:sz w:val="24"/>
          <w:szCs w:val="24"/>
        </w:rPr>
        <w:t>u</w:t>
      </w:r>
      <w:r w:rsidR="00E65F14" w:rsidRPr="008325B5">
        <w:rPr>
          <w:rFonts w:ascii="Arial" w:hAnsi="Arial" w:cs="Arial"/>
          <w:sz w:val="24"/>
          <w:szCs w:val="24"/>
        </w:rPr>
        <w:t>na tercera parte del presupuesto que ejercieron las entidades federativas</w:t>
      </w:r>
      <w:r w:rsidR="00F718AC">
        <w:rPr>
          <w:rFonts w:ascii="Arial" w:hAnsi="Arial" w:cs="Arial"/>
          <w:sz w:val="24"/>
          <w:szCs w:val="24"/>
        </w:rPr>
        <w:t xml:space="preserve"> se destinó a</w:t>
      </w:r>
      <w:r w:rsidR="00177BAA">
        <w:rPr>
          <w:rFonts w:ascii="Arial" w:hAnsi="Arial" w:cs="Arial"/>
          <w:sz w:val="24"/>
          <w:szCs w:val="24"/>
        </w:rPr>
        <w:t>l</w:t>
      </w:r>
      <w:r w:rsidR="00F718AC">
        <w:rPr>
          <w:rFonts w:ascii="Arial" w:hAnsi="Arial" w:cs="Arial"/>
          <w:sz w:val="24"/>
          <w:szCs w:val="24"/>
        </w:rPr>
        <w:t xml:space="preserve"> rubro</w:t>
      </w:r>
      <w:r w:rsidR="00177BAA">
        <w:rPr>
          <w:rFonts w:ascii="Arial" w:hAnsi="Arial" w:cs="Arial"/>
          <w:sz w:val="24"/>
          <w:szCs w:val="24"/>
        </w:rPr>
        <w:t xml:space="preserve"> de</w:t>
      </w:r>
      <w:r w:rsidR="00177BAA" w:rsidRPr="00177BAA">
        <w:rPr>
          <w:rFonts w:ascii="Arial" w:hAnsi="Arial" w:cs="Arial"/>
          <w:sz w:val="24"/>
          <w:szCs w:val="24"/>
        </w:rPr>
        <w:t xml:space="preserve"> </w:t>
      </w:r>
      <w:r w:rsidR="00177BAA">
        <w:rPr>
          <w:rFonts w:ascii="Arial" w:hAnsi="Arial" w:cs="Arial"/>
          <w:sz w:val="24"/>
          <w:szCs w:val="24"/>
        </w:rPr>
        <w:t>gasto por concepto de</w:t>
      </w:r>
      <w:r w:rsidR="00177BAA" w:rsidRPr="008325B5">
        <w:rPr>
          <w:rFonts w:ascii="Arial" w:hAnsi="Arial" w:cs="Arial"/>
          <w:sz w:val="24"/>
          <w:szCs w:val="24"/>
        </w:rPr>
        <w:t xml:space="preserve"> </w:t>
      </w:r>
      <w:r w:rsidR="00177BAA" w:rsidRPr="006E60EF">
        <w:rPr>
          <w:rFonts w:ascii="Arial" w:hAnsi="Arial" w:cs="Arial"/>
          <w:i/>
          <w:sz w:val="24"/>
          <w:szCs w:val="24"/>
        </w:rPr>
        <w:t>sueldos y salarios del personal</w:t>
      </w:r>
      <w:r w:rsidR="00177BAA" w:rsidRPr="008325B5">
        <w:rPr>
          <w:rFonts w:ascii="Arial" w:hAnsi="Arial" w:cs="Arial"/>
          <w:sz w:val="24"/>
          <w:szCs w:val="24"/>
        </w:rPr>
        <w:t xml:space="preserve"> (</w:t>
      </w:r>
      <w:r w:rsidR="00177BAA">
        <w:rPr>
          <w:rFonts w:ascii="Arial" w:hAnsi="Arial" w:cs="Arial"/>
          <w:sz w:val="24"/>
          <w:szCs w:val="24"/>
        </w:rPr>
        <w:t>C</w:t>
      </w:r>
      <w:r w:rsidR="00177BAA" w:rsidRPr="008325B5">
        <w:rPr>
          <w:rFonts w:ascii="Arial" w:hAnsi="Arial" w:cs="Arial"/>
          <w:sz w:val="24"/>
          <w:szCs w:val="24"/>
        </w:rPr>
        <w:t>apítulo 1000)</w:t>
      </w:r>
      <w:r w:rsidR="00E65F14">
        <w:rPr>
          <w:rFonts w:ascii="Arial" w:hAnsi="Arial" w:cs="Arial"/>
          <w:sz w:val="24"/>
          <w:szCs w:val="24"/>
        </w:rPr>
        <w:t>,</w:t>
      </w:r>
      <w:r w:rsidR="00E65F14" w:rsidRPr="008325B5">
        <w:rPr>
          <w:rFonts w:ascii="Arial" w:hAnsi="Arial" w:cs="Arial"/>
          <w:sz w:val="24"/>
          <w:szCs w:val="24"/>
        </w:rPr>
        <w:t xml:space="preserve"> </w:t>
      </w:r>
      <w:r w:rsidR="00064FB6">
        <w:rPr>
          <w:rFonts w:ascii="Arial" w:hAnsi="Arial" w:cs="Arial"/>
          <w:sz w:val="24"/>
          <w:szCs w:val="24"/>
        </w:rPr>
        <w:t xml:space="preserve">este representó </w:t>
      </w:r>
      <w:r w:rsidR="00E65F14" w:rsidRPr="008325B5">
        <w:rPr>
          <w:rFonts w:ascii="Arial" w:hAnsi="Arial" w:cs="Arial"/>
          <w:sz w:val="24"/>
          <w:szCs w:val="24"/>
        </w:rPr>
        <w:t>una quinta parte del ejercido por la federación</w:t>
      </w:r>
      <w:r w:rsidR="00E65F14">
        <w:rPr>
          <w:rFonts w:ascii="Arial" w:hAnsi="Arial" w:cs="Arial"/>
          <w:sz w:val="24"/>
          <w:szCs w:val="24"/>
        </w:rPr>
        <w:t xml:space="preserve"> y </w:t>
      </w:r>
      <w:r w:rsidR="00E65F14" w:rsidRPr="008325B5">
        <w:rPr>
          <w:rFonts w:ascii="Arial" w:hAnsi="Arial" w:cs="Arial"/>
          <w:sz w:val="24"/>
          <w:szCs w:val="24"/>
        </w:rPr>
        <w:t>37</w:t>
      </w:r>
      <w:r w:rsidR="00185CF2">
        <w:rPr>
          <w:rFonts w:ascii="Arial" w:hAnsi="Arial" w:cs="Arial"/>
          <w:sz w:val="24"/>
          <w:szCs w:val="24"/>
        </w:rPr>
        <w:t>.0</w:t>
      </w:r>
      <w:r w:rsidR="00D04767">
        <w:rPr>
          <w:rFonts w:ascii="Arial" w:hAnsi="Arial" w:cs="Arial"/>
          <w:sz w:val="24"/>
          <w:szCs w:val="24"/>
        </w:rPr>
        <w:t xml:space="preserve"> </w:t>
      </w:r>
      <w:r w:rsidR="00E65F14" w:rsidRPr="008325B5">
        <w:rPr>
          <w:rFonts w:ascii="Arial" w:hAnsi="Arial" w:cs="Arial"/>
          <w:sz w:val="24"/>
          <w:szCs w:val="24"/>
        </w:rPr>
        <w:t xml:space="preserve">% del presupuesto ejercido </w:t>
      </w:r>
      <w:r w:rsidR="00E65F14">
        <w:rPr>
          <w:rFonts w:ascii="Arial" w:hAnsi="Arial" w:cs="Arial"/>
          <w:sz w:val="24"/>
          <w:szCs w:val="24"/>
        </w:rPr>
        <w:t>en e</w:t>
      </w:r>
      <w:r w:rsidR="00E65F14" w:rsidRPr="008325B5">
        <w:rPr>
          <w:rFonts w:ascii="Arial" w:hAnsi="Arial" w:cs="Arial"/>
          <w:sz w:val="24"/>
          <w:szCs w:val="24"/>
        </w:rPr>
        <w:t>l ámbito municipal</w:t>
      </w:r>
      <w:r w:rsidR="00F718AC">
        <w:rPr>
          <w:rFonts w:ascii="Arial" w:hAnsi="Arial" w:cs="Arial"/>
          <w:sz w:val="24"/>
          <w:szCs w:val="24"/>
        </w:rPr>
        <w:t xml:space="preserve">. En </w:t>
      </w:r>
      <w:r>
        <w:rPr>
          <w:rFonts w:ascii="Arial" w:hAnsi="Arial" w:cs="Arial"/>
          <w:sz w:val="24"/>
          <w:szCs w:val="24"/>
        </w:rPr>
        <w:t>e</w:t>
      </w:r>
      <w:r w:rsidR="00070E85" w:rsidRPr="008325B5">
        <w:rPr>
          <w:rFonts w:ascii="Arial" w:hAnsi="Arial" w:cs="Arial"/>
          <w:sz w:val="24"/>
          <w:szCs w:val="24"/>
        </w:rPr>
        <w:t>l</w:t>
      </w:r>
      <w:r w:rsidR="0081647A" w:rsidRPr="008325B5">
        <w:rPr>
          <w:rFonts w:ascii="Arial" w:hAnsi="Arial" w:cs="Arial"/>
          <w:sz w:val="24"/>
          <w:szCs w:val="24"/>
        </w:rPr>
        <w:t xml:space="preserve"> </w:t>
      </w:r>
      <w:r w:rsidR="006A6535">
        <w:rPr>
          <w:rFonts w:ascii="Arial" w:hAnsi="Arial" w:cs="Arial"/>
          <w:sz w:val="24"/>
          <w:szCs w:val="24"/>
        </w:rPr>
        <w:t xml:space="preserve">rubro de </w:t>
      </w:r>
      <w:r w:rsidR="006A6535" w:rsidRPr="00222F53">
        <w:rPr>
          <w:rFonts w:ascii="Arial" w:hAnsi="Arial" w:cs="Arial"/>
          <w:i/>
          <w:sz w:val="24"/>
          <w:szCs w:val="24"/>
        </w:rPr>
        <w:t>transferencias</w:t>
      </w:r>
      <w:r w:rsidR="006A6535" w:rsidRPr="008325B5">
        <w:rPr>
          <w:rFonts w:ascii="Arial" w:hAnsi="Arial" w:cs="Arial"/>
          <w:sz w:val="24"/>
          <w:szCs w:val="24"/>
        </w:rPr>
        <w:t xml:space="preserve"> (</w:t>
      </w:r>
      <w:r w:rsidR="00D40AD3">
        <w:rPr>
          <w:rFonts w:ascii="Arial" w:hAnsi="Arial" w:cs="Arial"/>
          <w:sz w:val="24"/>
          <w:szCs w:val="24"/>
        </w:rPr>
        <w:t>C</w:t>
      </w:r>
      <w:r w:rsidR="006A6535" w:rsidRPr="008325B5">
        <w:rPr>
          <w:rFonts w:ascii="Arial" w:hAnsi="Arial" w:cs="Arial"/>
          <w:sz w:val="24"/>
          <w:szCs w:val="24"/>
        </w:rPr>
        <w:t>apítulo 4000)</w:t>
      </w:r>
      <w:r w:rsidR="000C1D2E">
        <w:rPr>
          <w:rFonts w:ascii="Arial" w:hAnsi="Arial" w:cs="Arial"/>
          <w:sz w:val="24"/>
          <w:szCs w:val="24"/>
        </w:rPr>
        <w:t>,</w:t>
      </w:r>
      <w:r w:rsidR="006A6535">
        <w:rPr>
          <w:rFonts w:ascii="Arial" w:hAnsi="Arial" w:cs="Arial"/>
          <w:sz w:val="24"/>
          <w:szCs w:val="24"/>
        </w:rPr>
        <w:t xml:space="preserve"> </w:t>
      </w:r>
      <w:r w:rsidR="0081647A" w:rsidRPr="008325B5">
        <w:rPr>
          <w:rFonts w:ascii="Arial" w:hAnsi="Arial" w:cs="Arial"/>
          <w:sz w:val="24"/>
          <w:szCs w:val="24"/>
        </w:rPr>
        <w:t xml:space="preserve">la </w:t>
      </w:r>
      <w:r w:rsidR="000F210E">
        <w:rPr>
          <w:rFonts w:ascii="Arial" w:hAnsi="Arial" w:cs="Arial"/>
          <w:sz w:val="24"/>
          <w:szCs w:val="24"/>
        </w:rPr>
        <w:t>AP</w:t>
      </w:r>
      <w:r w:rsidR="0081647A" w:rsidRPr="008325B5">
        <w:rPr>
          <w:rFonts w:ascii="Arial" w:hAnsi="Arial" w:cs="Arial"/>
          <w:sz w:val="24"/>
          <w:szCs w:val="24"/>
        </w:rPr>
        <w:t xml:space="preserve"> estatal y la federa</w:t>
      </w:r>
      <w:r w:rsidR="004A2C24">
        <w:rPr>
          <w:rFonts w:ascii="Arial" w:hAnsi="Arial" w:cs="Arial"/>
          <w:sz w:val="24"/>
          <w:szCs w:val="24"/>
        </w:rPr>
        <w:t>l</w:t>
      </w:r>
      <w:r w:rsidR="005816AD">
        <w:rPr>
          <w:rFonts w:ascii="Arial" w:hAnsi="Arial" w:cs="Arial"/>
          <w:sz w:val="24"/>
          <w:szCs w:val="24"/>
        </w:rPr>
        <w:t xml:space="preserve"> fueron las que ejercieron mayor gasto</w:t>
      </w:r>
      <w:r w:rsidR="00EA1D7B">
        <w:rPr>
          <w:rFonts w:ascii="Arial" w:hAnsi="Arial" w:cs="Arial"/>
          <w:sz w:val="24"/>
          <w:szCs w:val="24"/>
        </w:rPr>
        <w:t>,</w:t>
      </w:r>
      <w:r w:rsidR="0081647A" w:rsidRPr="008325B5">
        <w:rPr>
          <w:rFonts w:ascii="Arial" w:hAnsi="Arial" w:cs="Arial"/>
          <w:sz w:val="24"/>
          <w:szCs w:val="24"/>
        </w:rPr>
        <w:t xml:space="preserve"> </w:t>
      </w:r>
      <w:r w:rsidR="006A6535">
        <w:rPr>
          <w:rFonts w:ascii="Arial" w:hAnsi="Arial" w:cs="Arial"/>
          <w:sz w:val="24"/>
          <w:szCs w:val="24"/>
        </w:rPr>
        <w:t>con</w:t>
      </w:r>
      <w:r w:rsidR="0081647A" w:rsidRPr="008325B5">
        <w:rPr>
          <w:rFonts w:ascii="Arial" w:hAnsi="Arial" w:cs="Arial"/>
          <w:sz w:val="24"/>
          <w:szCs w:val="24"/>
        </w:rPr>
        <w:t xml:space="preserve"> </w:t>
      </w:r>
      <w:r w:rsidR="00400625">
        <w:rPr>
          <w:rFonts w:ascii="Arial" w:hAnsi="Arial" w:cs="Arial"/>
          <w:sz w:val="24"/>
          <w:szCs w:val="24"/>
        </w:rPr>
        <w:t>37.3</w:t>
      </w:r>
      <w:r w:rsidR="00D04767">
        <w:rPr>
          <w:rFonts w:ascii="Arial" w:hAnsi="Arial" w:cs="Arial"/>
          <w:sz w:val="24"/>
          <w:szCs w:val="24"/>
        </w:rPr>
        <w:t xml:space="preserve"> </w:t>
      </w:r>
      <w:r w:rsidR="00400625">
        <w:rPr>
          <w:rFonts w:ascii="Arial" w:hAnsi="Arial" w:cs="Arial"/>
          <w:sz w:val="24"/>
          <w:szCs w:val="24"/>
        </w:rPr>
        <w:t>% y 45.6</w:t>
      </w:r>
      <w:r w:rsidR="00D04767">
        <w:rPr>
          <w:rFonts w:ascii="Arial" w:hAnsi="Arial" w:cs="Arial"/>
          <w:sz w:val="24"/>
          <w:szCs w:val="24"/>
        </w:rPr>
        <w:t xml:space="preserve"> </w:t>
      </w:r>
      <w:r w:rsidR="00400625">
        <w:rPr>
          <w:rFonts w:ascii="Arial" w:hAnsi="Arial" w:cs="Arial"/>
          <w:sz w:val="24"/>
          <w:szCs w:val="24"/>
        </w:rPr>
        <w:t>%</w:t>
      </w:r>
      <w:r w:rsidR="0081647A" w:rsidRPr="008325B5">
        <w:rPr>
          <w:rFonts w:ascii="Arial" w:hAnsi="Arial" w:cs="Arial"/>
          <w:sz w:val="24"/>
          <w:szCs w:val="24"/>
        </w:rPr>
        <w:t xml:space="preserve"> del presupuesto ejercido</w:t>
      </w:r>
      <w:r w:rsidR="00400625">
        <w:rPr>
          <w:rFonts w:ascii="Arial" w:hAnsi="Arial" w:cs="Arial"/>
          <w:sz w:val="24"/>
          <w:szCs w:val="24"/>
        </w:rPr>
        <w:t>, respectivamente</w:t>
      </w:r>
      <w:r w:rsidR="00C20739">
        <w:rPr>
          <w:rFonts w:ascii="Arial" w:hAnsi="Arial" w:cs="Arial"/>
          <w:sz w:val="24"/>
          <w:szCs w:val="24"/>
        </w:rPr>
        <w:t>. Estas transferencias</w:t>
      </w:r>
      <w:r w:rsidR="000F210E">
        <w:rPr>
          <w:rFonts w:ascii="Arial" w:hAnsi="Arial" w:cs="Arial"/>
          <w:sz w:val="24"/>
          <w:szCs w:val="24"/>
        </w:rPr>
        <w:t xml:space="preserve"> </w:t>
      </w:r>
      <w:r w:rsidR="0081647A" w:rsidRPr="008325B5">
        <w:rPr>
          <w:rFonts w:ascii="Arial" w:hAnsi="Arial" w:cs="Arial"/>
          <w:sz w:val="24"/>
          <w:szCs w:val="24"/>
        </w:rPr>
        <w:t xml:space="preserve">incluyen </w:t>
      </w:r>
      <w:r w:rsidR="0081647A" w:rsidRPr="00222F53">
        <w:rPr>
          <w:rFonts w:ascii="Arial" w:hAnsi="Arial" w:cs="Arial"/>
          <w:i/>
          <w:sz w:val="24"/>
          <w:szCs w:val="24"/>
        </w:rPr>
        <w:t>asignaciones directas o indirectas a los sectores público, privado y externo, organismos y empresas paraestatales</w:t>
      </w:r>
      <w:r w:rsidR="00004B7A">
        <w:rPr>
          <w:rFonts w:ascii="Arial" w:hAnsi="Arial" w:cs="Arial"/>
          <w:sz w:val="24"/>
          <w:szCs w:val="24"/>
        </w:rPr>
        <w:t>.</w:t>
      </w:r>
    </w:p>
    <w:p w14:paraId="215A170C" w14:textId="77777777" w:rsidR="00D04767" w:rsidRPr="008325B5" w:rsidRDefault="00D04767" w:rsidP="00D04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FD4B70" w14:textId="79B2A547" w:rsidR="00421AD0" w:rsidRDefault="00F718AC" w:rsidP="00110BA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85A54">
        <w:rPr>
          <w:rFonts w:ascii="Arial" w:hAnsi="Arial" w:cs="Arial"/>
          <w:sz w:val="24"/>
          <w:szCs w:val="24"/>
        </w:rPr>
        <w:t>l rubro de</w:t>
      </w:r>
      <w:r w:rsidR="009372AD" w:rsidRPr="008325B5">
        <w:rPr>
          <w:rFonts w:ascii="Arial" w:hAnsi="Arial" w:cs="Arial"/>
          <w:sz w:val="24"/>
          <w:szCs w:val="24"/>
        </w:rPr>
        <w:t xml:space="preserve"> </w:t>
      </w:r>
      <w:r w:rsidR="009372AD" w:rsidRPr="00222F53">
        <w:rPr>
          <w:rFonts w:ascii="Arial" w:hAnsi="Arial" w:cs="Arial"/>
          <w:i/>
          <w:sz w:val="24"/>
          <w:szCs w:val="24"/>
        </w:rPr>
        <w:t>inversión pública</w:t>
      </w:r>
      <w:r w:rsidR="009372AD" w:rsidRPr="008325B5">
        <w:rPr>
          <w:rFonts w:ascii="Arial" w:hAnsi="Arial" w:cs="Arial"/>
          <w:sz w:val="24"/>
          <w:szCs w:val="24"/>
        </w:rPr>
        <w:t xml:space="preserve"> (</w:t>
      </w:r>
      <w:r w:rsidR="00D40AD3">
        <w:rPr>
          <w:rFonts w:ascii="Arial" w:hAnsi="Arial" w:cs="Arial"/>
          <w:sz w:val="24"/>
          <w:szCs w:val="24"/>
        </w:rPr>
        <w:t>C</w:t>
      </w:r>
      <w:r w:rsidR="009372AD" w:rsidRPr="008325B5">
        <w:rPr>
          <w:rFonts w:ascii="Arial" w:hAnsi="Arial" w:cs="Arial"/>
          <w:sz w:val="24"/>
          <w:szCs w:val="24"/>
        </w:rPr>
        <w:t>apítulo 6000</w:t>
      </w:r>
      <w:r w:rsidR="000C1D2E">
        <w:rPr>
          <w:rFonts w:ascii="Arial" w:hAnsi="Arial" w:cs="Arial"/>
          <w:sz w:val="24"/>
          <w:szCs w:val="24"/>
        </w:rPr>
        <w:t xml:space="preserve"> —partida </w:t>
      </w:r>
      <w:r w:rsidR="00F85A54">
        <w:rPr>
          <w:rFonts w:ascii="Arial" w:hAnsi="Arial" w:cs="Arial"/>
          <w:sz w:val="24"/>
          <w:szCs w:val="24"/>
        </w:rPr>
        <w:t>para</w:t>
      </w:r>
      <w:r w:rsidR="00F85A54" w:rsidRPr="008325B5">
        <w:rPr>
          <w:rFonts w:ascii="Arial" w:hAnsi="Arial" w:cs="Arial"/>
          <w:sz w:val="24"/>
          <w:szCs w:val="24"/>
        </w:rPr>
        <w:t xml:space="preserve"> obra pública e infraestructura como construcción de calles, carreteras, puentes, presas, inmuebles, e</w:t>
      </w:r>
      <w:r>
        <w:rPr>
          <w:rFonts w:ascii="Arial" w:hAnsi="Arial" w:cs="Arial"/>
          <w:sz w:val="24"/>
          <w:szCs w:val="24"/>
        </w:rPr>
        <w:t>ntre otros</w:t>
      </w:r>
      <w:r w:rsidR="000C1D2E">
        <w:rPr>
          <w:rFonts w:ascii="Arial" w:hAnsi="Arial" w:cs="Arial"/>
          <w:sz w:val="24"/>
          <w:szCs w:val="24"/>
        </w:rPr>
        <w:t>—</w:t>
      </w:r>
      <w:r w:rsidR="00222F53">
        <w:rPr>
          <w:rFonts w:ascii="Arial" w:hAnsi="Arial" w:cs="Arial"/>
          <w:sz w:val="24"/>
          <w:szCs w:val="24"/>
        </w:rPr>
        <w:t>)</w:t>
      </w:r>
      <w:r w:rsidR="00F85A54">
        <w:rPr>
          <w:rFonts w:ascii="Arial" w:hAnsi="Arial" w:cs="Arial"/>
          <w:sz w:val="24"/>
          <w:szCs w:val="24"/>
        </w:rPr>
        <w:t xml:space="preserve"> </w:t>
      </w:r>
      <w:r w:rsidR="009372AD" w:rsidRPr="008325B5">
        <w:rPr>
          <w:rFonts w:ascii="Arial" w:hAnsi="Arial" w:cs="Arial"/>
          <w:sz w:val="24"/>
          <w:szCs w:val="24"/>
        </w:rPr>
        <w:t>fue e</w:t>
      </w:r>
      <w:r w:rsidR="00314AA0" w:rsidRPr="008325B5">
        <w:rPr>
          <w:rFonts w:ascii="Arial" w:hAnsi="Arial" w:cs="Arial"/>
          <w:sz w:val="24"/>
          <w:szCs w:val="24"/>
        </w:rPr>
        <w:t xml:space="preserve">l segundo </w:t>
      </w:r>
      <w:r w:rsidR="00E97677">
        <w:rPr>
          <w:rFonts w:ascii="Arial" w:hAnsi="Arial" w:cs="Arial"/>
          <w:sz w:val="24"/>
          <w:szCs w:val="24"/>
        </w:rPr>
        <w:t>capítulo</w:t>
      </w:r>
      <w:r w:rsidR="00314AA0" w:rsidRPr="008325B5">
        <w:rPr>
          <w:rFonts w:ascii="Arial" w:hAnsi="Arial" w:cs="Arial"/>
          <w:sz w:val="24"/>
          <w:szCs w:val="24"/>
        </w:rPr>
        <w:t xml:space="preserve"> </w:t>
      </w:r>
      <w:r w:rsidR="009372AD" w:rsidRPr="008325B5">
        <w:rPr>
          <w:rFonts w:ascii="Arial" w:hAnsi="Arial" w:cs="Arial"/>
          <w:sz w:val="24"/>
          <w:szCs w:val="24"/>
        </w:rPr>
        <w:t>de gasto</w:t>
      </w:r>
      <w:r w:rsidR="00314AA0" w:rsidRPr="008325B5">
        <w:rPr>
          <w:rFonts w:ascii="Arial" w:hAnsi="Arial" w:cs="Arial"/>
          <w:sz w:val="24"/>
          <w:szCs w:val="24"/>
        </w:rPr>
        <w:t xml:space="preserve"> </w:t>
      </w:r>
      <w:r w:rsidR="00565630" w:rsidRPr="008325B5">
        <w:rPr>
          <w:rFonts w:ascii="Arial" w:hAnsi="Arial" w:cs="Arial"/>
          <w:sz w:val="24"/>
          <w:szCs w:val="24"/>
        </w:rPr>
        <w:t xml:space="preserve">más alto </w:t>
      </w:r>
      <w:r w:rsidR="00314AA0" w:rsidRPr="008325B5">
        <w:rPr>
          <w:rFonts w:ascii="Arial" w:hAnsi="Arial" w:cs="Arial"/>
          <w:sz w:val="24"/>
          <w:szCs w:val="24"/>
        </w:rPr>
        <w:t>a nivel municipa</w:t>
      </w:r>
      <w:r w:rsidR="00314AA0" w:rsidRPr="00222F53">
        <w:rPr>
          <w:rFonts w:ascii="Arial" w:hAnsi="Arial" w:cs="Arial"/>
          <w:color w:val="000000" w:themeColor="text1"/>
          <w:sz w:val="24"/>
          <w:szCs w:val="24"/>
        </w:rPr>
        <w:t>l</w:t>
      </w:r>
      <w:r w:rsidR="00307E74">
        <w:rPr>
          <w:rFonts w:ascii="Arial" w:hAnsi="Arial" w:cs="Arial"/>
          <w:color w:val="000000" w:themeColor="text1"/>
          <w:sz w:val="24"/>
          <w:szCs w:val="24"/>
        </w:rPr>
        <w:t xml:space="preserve">, mientras que los </w:t>
      </w:r>
      <w:r w:rsidR="000C1D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7677" w:rsidRPr="00222F53">
        <w:rPr>
          <w:rFonts w:ascii="Arial" w:hAnsi="Arial" w:cs="Arial"/>
          <w:color w:val="000000" w:themeColor="text1"/>
          <w:sz w:val="24"/>
          <w:szCs w:val="24"/>
        </w:rPr>
        <w:t>gobiernos estatales y federal</w:t>
      </w:r>
      <w:r w:rsidR="00697667" w:rsidRPr="00222F53">
        <w:rPr>
          <w:rFonts w:ascii="Arial" w:hAnsi="Arial" w:cs="Arial"/>
          <w:color w:val="000000" w:themeColor="text1"/>
          <w:sz w:val="24"/>
          <w:szCs w:val="24"/>
        </w:rPr>
        <w:t xml:space="preserve"> destinaron 4.9</w:t>
      </w:r>
      <w:r w:rsidR="00D40AD3" w:rsidRPr="00222F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7667" w:rsidRPr="00222F53">
        <w:rPr>
          <w:rFonts w:ascii="Arial" w:hAnsi="Arial" w:cs="Arial"/>
          <w:color w:val="000000" w:themeColor="text1"/>
          <w:sz w:val="24"/>
          <w:szCs w:val="24"/>
        </w:rPr>
        <w:t>% y 8</w:t>
      </w:r>
      <w:r w:rsidR="005816AD">
        <w:rPr>
          <w:rFonts w:ascii="Arial" w:hAnsi="Arial" w:cs="Arial"/>
          <w:color w:val="000000" w:themeColor="text1"/>
          <w:sz w:val="24"/>
          <w:szCs w:val="24"/>
        </w:rPr>
        <w:t>.0</w:t>
      </w:r>
      <w:r w:rsidR="00D40AD3" w:rsidRPr="00222F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7667" w:rsidRPr="00222F53">
        <w:rPr>
          <w:rFonts w:ascii="Arial" w:hAnsi="Arial" w:cs="Arial"/>
          <w:color w:val="000000" w:themeColor="text1"/>
          <w:sz w:val="24"/>
          <w:szCs w:val="24"/>
        </w:rPr>
        <w:t>% a esta</w:t>
      </w:r>
      <w:r w:rsidR="00EA1D7B" w:rsidRPr="00222F53">
        <w:rPr>
          <w:rFonts w:ascii="Arial" w:hAnsi="Arial" w:cs="Arial"/>
          <w:color w:val="000000" w:themeColor="text1"/>
          <w:sz w:val="24"/>
          <w:szCs w:val="24"/>
        </w:rPr>
        <w:t xml:space="preserve"> partida</w:t>
      </w:r>
      <w:r w:rsidR="00697667" w:rsidRPr="00222F53">
        <w:rPr>
          <w:rFonts w:ascii="Arial" w:hAnsi="Arial" w:cs="Arial"/>
          <w:color w:val="000000" w:themeColor="text1"/>
          <w:sz w:val="24"/>
          <w:szCs w:val="24"/>
        </w:rPr>
        <w:t>, respectivamente</w:t>
      </w:r>
      <w:r w:rsidR="000C1D2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1E87CC20" w14:textId="77777777" w:rsidR="00B66D56" w:rsidRDefault="00B66D56" w:rsidP="00B66D56">
      <w:pPr>
        <w:spacing w:after="0" w:line="240" w:lineRule="auto"/>
        <w:ind w:left="-11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63B440" w14:textId="2282DB7A" w:rsidR="00C03339" w:rsidRDefault="00957CD1" w:rsidP="00D62D56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2AAE17" wp14:editId="56795CF2">
                <wp:simplePos x="0" y="0"/>
                <wp:positionH relativeFrom="column">
                  <wp:posOffset>2624243</wp:posOffset>
                </wp:positionH>
                <wp:positionV relativeFrom="paragraph">
                  <wp:posOffset>1661160</wp:posOffset>
                </wp:positionV>
                <wp:extent cx="67734" cy="0"/>
                <wp:effectExtent l="0" t="0" r="8890" b="1270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BC0C8" id="Conector recto 1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5pt,130.8pt" to="212pt,1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" strokecolor="#bfbfbf [2412]" strokeweight=".5pt">
                <v:stroke joinstyle="miter"/>
              </v:line>
            </w:pict>
          </mc:Fallback>
        </mc:AlternateContent>
      </w:r>
      <w:r w:rsidR="00C03339">
        <w:rPr>
          <w:b/>
          <w:bCs/>
          <w:noProof/>
          <w:sz w:val="24"/>
          <w:szCs w:val="24"/>
        </w:rPr>
        <w:drawing>
          <wp:inline distT="0" distB="0" distL="0" distR="0" wp14:anchorId="289100DE" wp14:editId="2D1F9689">
            <wp:extent cx="5486400" cy="64770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466103D" w14:textId="35F1E825" w:rsidR="00421AD0" w:rsidRDefault="006B7FCC" w:rsidP="00B55957">
      <w:pPr>
        <w:spacing w:after="12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4AFA5" wp14:editId="33F98241">
                <wp:simplePos x="0" y="0"/>
                <wp:positionH relativeFrom="margin">
                  <wp:posOffset>105410</wp:posOffset>
                </wp:positionH>
                <wp:positionV relativeFrom="paragraph">
                  <wp:posOffset>147321</wp:posOffset>
                </wp:positionV>
                <wp:extent cx="5735782" cy="762000"/>
                <wp:effectExtent l="0" t="0" r="0" b="0"/>
                <wp:wrapNone/>
                <wp:docPr id="6" name="Cuadro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782" cy="762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C8CF3" w14:textId="77777777" w:rsidR="006B7FCC" w:rsidRDefault="006B7FCC" w:rsidP="00957CD1">
                            <w:pPr>
                              <w:spacing w:after="0" w:line="216" w:lineRule="auto"/>
                              <w:ind w:left="561" w:hanging="7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Nota: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</w:r>
                            <w:r w:rsidRPr="00A016CD">
                              <w:rPr>
                                <w:rFonts w:ascii="Arial" w:hAnsi="Arial" w:cs="Arial"/>
                                <w:bCs/>
                                <w:color w:val="000000" w:themeColor="dark1"/>
                                <w:sz w:val="16"/>
                                <w:szCs w:val="16"/>
                              </w:rPr>
                              <w:t>En el ámbito estatal no se incluye información de Tamaulipas y en el ámbito municipal no se incluye información de 61 municipios ya que no contaron con datos o elementos para responder.</w:t>
                            </w:r>
                          </w:p>
                          <w:p w14:paraId="0C3EB034" w14:textId="18B3AB4C" w:rsidR="006B7FCC" w:rsidRDefault="006B7FCC" w:rsidP="00957CD1">
                            <w:pPr>
                              <w:spacing w:after="0" w:line="216" w:lineRule="auto"/>
                              <w:ind w:left="561" w:hanging="720"/>
                              <w:jc w:val="both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ab/>
                              <w:t xml:space="preserve">Por cuestiones de redondeo, la suma de porcentajes puede no ser igual a 100%. 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br/>
                              <w:t>El nombre completo es: Transferencias, asignaciones, subsidios y otras ayudas.</w:t>
                            </w:r>
                          </w:p>
                          <w:p w14:paraId="5BFA6839" w14:textId="77777777" w:rsidR="006B7FCC" w:rsidRDefault="006B7FCC" w:rsidP="00957CD1">
                            <w:pPr>
                              <w:spacing w:after="0" w:line="216" w:lineRule="auto"/>
                              <w:ind w:left="561" w:hanging="72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Fuente: 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6"/>
                              </w:rPr>
                              <w:t>Censo Nacional de Gobiernos Estatales (CNGE) 2021; Censo Nacional de Gobierno Federal (CNGF) 2021; Censo  Nacional de Gobiernos Municipales y Demarcaciones Territoriales de la Ciudad de México (CNGMD) 2021.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4AFA5" id="_x0000_t202" coordsize="21600,21600" o:spt="202" path="m,l,21600r21600,l21600,xe">
                <v:stroke joinstyle="miter"/>
                <v:path gradientshapeok="t" o:connecttype="rect"/>
              </v:shapetype>
              <v:shape id="CuadroTexto 33" o:spid="_x0000_s1026" type="#_x0000_t202" style="position:absolute;margin-left:8.3pt;margin-top:11.6pt;width:451.6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" filled="f" stroked="f">
                <v:textbox>
                  <w:txbxContent>
                    <w:p w14:paraId="208C8CF3" w14:textId="77777777" w:rsidR="006B7FCC" w:rsidRDefault="006B7FCC" w:rsidP="00957CD1">
                      <w:pPr>
                        <w:spacing w:after="0" w:line="216" w:lineRule="auto"/>
                        <w:ind w:left="561" w:hanging="72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16"/>
                          <w:szCs w:val="16"/>
                        </w:rPr>
                        <w:t xml:space="preserve">Nota: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16"/>
                          <w:szCs w:val="16"/>
                        </w:rPr>
                        <w:tab/>
                      </w:r>
                      <w:r w:rsidRPr="00A016CD">
                        <w:rPr>
                          <w:rFonts w:ascii="Arial" w:hAnsi="Arial" w:cs="Arial"/>
                          <w:bCs/>
                          <w:color w:val="000000" w:themeColor="dark1"/>
                          <w:sz w:val="16"/>
                          <w:szCs w:val="16"/>
                        </w:rPr>
                        <w:t>En el ámbito estatal no se incluye información de Tamaulipas y en el ámbito municipal no se incluye información de 61 municipios ya que no contaron con datos o elementos para responder.</w:t>
                      </w:r>
                    </w:p>
                    <w:p w14:paraId="0C3EB034" w14:textId="18B3AB4C" w:rsidR="006B7FCC" w:rsidRDefault="006B7FCC" w:rsidP="00957CD1">
                      <w:pPr>
                        <w:spacing w:after="0" w:line="216" w:lineRule="auto"/>
                        <w:ind w:left="561" w:hanging="720"/>
                        <w:jc w:val="both"/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ab/>
                        <w:t xml:space="preserve">Por cuestiones de redondeo, la suma de porcentajes puede no ser igual a 100%. 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br/>
                        <w:t>El nombre completo es: Transferencias, asignaciones, subsidios y otras ayudas.</w:t>
                      </w:r>
                    </w:p>
                    <w:p w14:paraId="5BFA6839" w14:textId="77777777" w:rsidR="006B7FCC" w:rsidRDefault="006B7FCC" w:rsidP="00957CD1">
                      <w:pPr>
                        <w:spacing w:after="0" w:line="216" w:lineRule="auto"/>
                        <w:ind w:left="561" w:hanging="72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16"/>
                          <w:szCs w:val="16"/>
                        </w:rPr>
                        <w:t xml:space="preserve">Fuente: 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6"/>
                        </w:rPr>
                        <w:t>Censo Nacional de Gobiernos Estatales (CNGE) 2021; Censo Nacional de Gobierno Federal (CNGF) 2021; Censo  Nacional de Gobiernos Municipales y Demarcaciones Territoriales de la Ciudad de México (CNGMD) 2021.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39335" w14:textId="62B7AF10" w:rsidR="006B7FCC" w:rsidRDefault="006B7FCC" w:rsidP="00D62D56">
      <w:pPr>
        <w:spacing w:after="120"/>
        <w:jc w:val="center"/>
        <w:rPr>
          <w:b/>
          <w:bCs/>
          <w:sz w:val="24"/>
          <w:szCs w:val="24"/>
        </w:rPr>
      </w:pPr>
    </w:p>
    <w:p w14:paraId="518F225B" w14:textId="530D39F8" w:rsidR="006B7FCC" w:rsidRPr="008325B5" w:rsidRDefault="006B7FCC" w:rsidP="00D62D56">
      <w:pPr>
        <w:spacing w:after="120"/>
        <w:jc w:val="center"/>
        <w:rPr>
          <w:b/>
          <w:bCs/>
          <w:sz w:val="24"/>
          <w:szCs w:val="24"/>
        </w:rPr>
      </w:pPr>
    </w:p>
    <w:p w14:paraId="31C3C620" w14:textId="77777777" w:rsidR="006B7FCC" w:rsidRDefault="006B7FCC" w:rsidP="00D04767">
      <w:pPr>
        <w:spacing w:after="0" w:line="240" w:lineRule="auto"/>
        <w:rPr>
          <w:rFonts w:ascii="Arial Negrita" w:hAnsi="Arial Negrita" w:cs="Arial"/>
          <w:b/>
          <w:bCs/>
          <w:smallCaps/>
          <w:sz w:val="24"/>
          <w:szCs w:val="24"/>
        </w:rPr>
      </w:pPr>
    </w:p>
    <w:p w14:paraId="7C169C9B" w14:textId="77777777" w:rsidR="006B7FCC" w:rsidRDefault="006B7FCC" w:rsidP="00D04767">
      <w:pPr>
        <w:spacing w:after="0" w:line="240" w:lineRule="auto"/>
        <w:rPr>
          <w:rFonts w:ascii="Arial Negrita" w:hAnsi="Arial Negrita" w:cs="Arial"/>
          <w:b/>
          <w:bCs/>
          <w:smallCaps/>
          <w:sz w:val="24"/>
          <w:szCs w:val="24"/>
        </w:rPr>
      </w:pPr>
    </w:p>
    <w:p w14:paraId="49C853FE" w14:textId="77777777" w:rsidR="00031F1F" w:rsidRDefault="00031F1F" w:rsidP="00D04767">
      <w:pPr>
        <w:spacing w:after="0" w:line="240" w:lineRule="auto"/>
        <w:rPr>
          <w:rFonts w:ascii="Arial Negrita" w:hAnsi="Arial Negrita" w:cs="Arial"/>
          <w:b/>
          <w:bCs/>
          <w:smallCaps/>
          <w:sz w:val="24"/>
          <w:szCs w:val="24"/>
        </w:rPr>
      </w:pPr>
    </w:p>
    <w:p w14:paraId="567806ED" w14:textId="254B116A" w:rsidR="00F66C01" w:rsidRDefault="00D04767" w:rsidP="00D04767">
      <w:pPr>
        <w:spacing w:after="0" w:line="240" w:lineRule="auto"/>
        <w:rPr>
          <w:rFonts w:ascii="Arial Negrita" w:hAnsi="Arial Negrita" w:cs="Arial"/>
          <w:b/>
          <w:bCs/>
          <w:smallCaps/>
          <w:sz w:val="24"/>
          <w:szCs w:val="24"/>
        </w:rPr>
      </w:pPr>
      <w:r>
        <w:rPr>
          <w:rFonts w:ascii="Arial Negrita" w:hAnsi="Arial Negrita" w:cs="Arial"/>
          <w:b/>
          <w:bCs/>
          <w:smallCaps/>
          <w:sz w:val="24"/>
          <w:szCs w:val="24"/>
        </w:rPr>
        <w:lastRenderedPageBreak/>
        <w:t>C</w:t>
      </w:r>
      <w:r w:rsidR="006B7932" w:rsidRPr="00285182">
        <w:rPr>
          <w:rFonts w:ascii="Arial Negrita" w:hAnsi="Arial Negrita" w:cs="Arial"/>
          <w:b/>
          <w:bCs/>
          <w:smallCaps/>
          <w:sz w:val="24"/>
          <w:szCs w:val="24"/>
        </w:rPr>
        <w:t>ontrataciones</w:t>
      </w:r>
    </w:p>
    <w:p w14:paraId="7B3CFACE" w14:textId="77777777" w:rsidR="00D04767" w:rsidRPr="00285182" w:rsidRDefault="00D04767" w:rsidP="00D04767">
      <w:pPr>
        <w:spacing w:after="0" w:line="240" w:lineRule="auto"/>
        <w:rPr>
          <w:rFonts w:ascii="Arial Negrita" w:hAnsi="Arial Negrita" w:cs="Arial"/>
          <w:b/>
          <w:bCs/>
          <w:smallCaps/>
          <w:sz w:val="24"/>
          <w:szCs w:val="24"/>
        </w:rPr>
      </w:pPr>
    </w:p>
    <w:p w14:paraId="0A15CE4A" w14:textId="7CA4A66D" w:rsidR="00017474" w:rsidRDefault="00F85A54" w:rsidP="00D04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8325B5">
        <w:rPr>
          <w:rFonts w:ascii="Arial" w:hAnsi="Arial" w:cs="Arial"/>
          <w:sz w:val="24"/>
          <w:szCs w:val="24"/>
        </w:rPr>
        <w:t>l artículo 134 constitucional establece que los recursos económicos de</w:t>
      </w:r>
      <w:r w:rsidR="00113E5A">
        <w:rPr>
          <w:rFonts w:ascii="Arial" w:hAnsi="Arial" w:cs="Arial"/>
          <w:sz w:val="24"/>
          <w:szCs w:val="24"/>
        </w:rPr>
        <w:t xml:space="preserve"> los cuales </w:t>
      </w:r>
      <w:r w:rsidRPr="008325B5">
        <w:rPr>
          <w:rFonts w:ascii="Arial" w:hAnsi="Arial" w:cs="Arial"/>
          <w:sz w:val="24"/>
          <w:szCs w:val="24"/>
        </w:rPr>
        <w:t xml:space="preserve">dispongan la Federación, las entidades federativas, los </w:t>
      </w:r>
      <w:r>
        <w:rPr>
          <w:rFonts w:ascii="Arial" w:hAnsi="Arial" w:cs="Arial"/>
          <w:sz w:val="24"/>
          <w:szCs w:val="24"/>
        </w:rPr>
        <w:t>m</w:t>
      </w:r>
      <w:r w:rsidRPr="008325B5">
        <w:rPr>
          <w:rFonts w:ascii="Arial" w:hAnsi="Arial" w:cs="Arial"/>
          <w:sz w:val="24"/>
          <w:szCs w:val="24"/>
        </w:rPr>
        <w:t>unicipios y las demarcaciones territoriales de la Ciudad de México, se administrarán bajo los principios de eficiencia, eficacia, economía, transparencia y honradez.</w:t>
      </w:r>
      <w:r>
        <w:rPr>
          <w:rFonts w:ascii="Arial" w:hAnsi="Arial" w:cs="Arial"/>
          <w:sz w:val="24"/>
          <w:szCs w:val="24"/>
        </w:rPr>
        <w:t xml:space="preserve"> </w:t>
      </w:r>
      <w:r w:rsidR="00D738B6">
        <w:rPr>
          <w:rFonts w:ascii="Arial" w:hAnsi="Arial" w:cs="Arial"/>
          <w:sz w:val="24"/>
          <w:szCs w:val="24"/>
        </w:rPr>
        <w:t>Para ello, los gobiernos disponen de divers</w:t>
      </w:r>
      <w:r w:rsidR="00985E97">
        <w:rPr>
          <w:rFonts w:ascii="Arial" w:hAnsi="Arial" w:cs="Arial"/>
          <w:sz w:val="24"/>
          <w:szCs w:val="24"/>
        </w:rPr>
        <w:t>os</w:t>
      </w:r>
      <w:r w:rsidR="00D738B6">
        <w:rPr>
          <w:rFonts w:ascii="Arial" w:hAnsi="Arial" w:cs="Arial"/>
          <w:sz w:val="24"/>
          <w:szCs w:val="24"/>
        </w:rPr>
        <w:t xml:space="preserve"> </w:t>
      </w:r>
      <w:r w:rsidR="00985E97">
        <w:rPr>
          <w:rFonts w:ascii="Arial" w:hAnsi="Arial" w:cs="Arial"/>
          <w:sz w:val="24"/>
          <w:szCs w:val="24"/>
        </w:rPr>
        <w:t xml:space="preserve">mecanismos </w:t>
      </w:r>
      <w:r w:rsidR="00D738B6">
        <w:rPr>
          <w:rFonts w:ascii="Arial" w:hAnsi="Arial" w:cs="Arial"/>
          <w:sz w:val="24"/>
          <w:szCs w:val="24"/>
        </w:rPr>
        <w:t xml:space="preserve">de contratación para adquirir </w:t>
      </w:r>
      <w:r w:rsidR="00027F7A" w:rsidRPr="008325B5">
        <w:rPr>
          <w:rFonts w:ascii="Arial" w:hAnsi="Arial" w:cs="Arial"/>
          <w:sz w:val="24"/>
          <w:szCs w:val="24"/>
        </w:rPr>
        <w:t>servicios</w:t>
      </w:r>
      <w:r w:rsidR="00E8462E">
        <w:rPr>
          <w:rFonts w:ascii="Arial" w:hAnsi="Arial" w:cs="Arial"/>
          <w:sz w:val="24"/>
          <w:szCs w:val="24"/>
        </w:rPr>
        <w:t xml:space="preserve">, </w:t>
      </w:r>
      <w:r w:rsidR="00E8462E" w:rsidRPr="008325B5">
        <w:rPr>
          <w:rFonts w:ascii="Arial" w:hAnsi="Arial" w:cs="Arial"/>
          <w:sz w:val="24"/>
          <w:szCs w:val="24"/>
        </w:rPr>
        <w:t>insumos, equipamiento, entre otros</w:t>
      </w:r>
      <w:r w:rsidR="001B6AD6">
        <w:rPr>
          <w:rFonts w:ascii="Arial" w:hAnsi="Arial" w:cs="Arial"/>
          <w:sz w:val="24"/>
          <w:szCs w:val="24"/>
        </w:rPr>
        <w:t xml:space="preserve"> bienes,</w:t>
      </w:r>
      <w:r w:rsidR="00E8462E" w:rsidRPr="008325B5">
        <w:rPr>
          <w:rFonts w:ascii="Arial" w:hAnsi="Arial" w:cs="Arial"/>
          <w:sz w:val="24"/>
          <w:szCs w:val="24"/>
        </w:rPr>
        <w:t xml:space="preserve"> </w:t>
      </w:r>
      <w:r w:rsidR="00D738B6">
        <w:rPr>
          <w:rFonts w:ascii="Arial" w:hAnsi="Arial" w:cs="Arial"/>
          <w:sz w:val="24"/>
          <w:szCs w:val="24"/>
        </w:rPr>
        <w:t xml:space="preserve">así como para </w:t>
      </w:r>
      <w:r w:rsidR="00027F7A" w:rsidRPr="008325B5">
        <w:rPr>
          <w:rFonts w:ascii="Arial" w:hAnsi="Arial" w:cs="Arial"/>
          <w:sz w:val="24"/>
          <w:szCs w:val="24"/>
        </w:rPr>
        <w:t>otorga</w:t>
      </w:r>
      <w:r w:rsidR="00D738B6">
        <w:rPr>
          <w:rFonts w:ascii="Arial" w:hAnsi="Arial" w:cs="Arial"/>
          <w:sz w:val="24"/>
          <w:szCs w:val="24"/>
        </w:rPr>
        <w:t>r</w:t>
      </w:r>
      <w:r w:rsidR="00027F7A" w:rsidRPr="008325B5">
        <w:rPr>
          <w:rFonts w:ascii="Arial" w:hAnsi="Arial" w:cs="Arial"/>
          <w:sz w:val="24"/>
          <w:szCs w:val="24"/>
        </w:rPr>
        <w:t xml:space="preserve"> contratos para realiza</w:t>
      </w:r>
      <w:r w:rsidR="00E8462E">
        <w:rPr>
          <w:rFonts w:ascii="Arial" w:hAnsi="Arial" w:cs="Arial"/>
          <w:sz w:val="24"/>
          <w:szCs w:val="24"/>
        </w:rPr>
        <w:t>r</w:t>
      </w:r>
      <w:r w:rsidR="00027F7A" w:rsidRPr="008325B5">
        <w:rPr>
          <w:rFonts w:ascii="Arial" w:hAnsi="Arial" w:cs="Arial"/>
          <w:sz w:val="24"/>
          <w:szCs w:val="24"/>
        </w:rPr>
        <w:t xml:space="preserve"> obra pública.</w:t>
      </w:r>
      <w:r w:rsidR="00E8462E">
        <w:rPr>
          <w:rFonts w:ascii="Arial" w:hAnsi="Arial" w:cs="Arial"/>
          <w:sz w:val="24"/>
          <w:szCs w:val="24"/>
        </w:rPr>
        <w:t xml:space="preserve"> </w:t>
      </w:r>
      <w:r w:rsidR="00F718AC">
        <w:rPr>
          <w:rFonts w:ascii="Arial" w:hAnsi="Arial" w:cs="Arial"/>
          <w:sz w:val="24"/>
          <w:szCs w:val="24"/>
        </w:rPr>
        <w:t>L</w:t>
      </w:r>
      <w:r w:rsidR="00027F7A" w:rsidRPr="008325B5">
        <w:rPr>
          <w:rFonts w:ascii="Arial" w:hAnsi="Arial" w:cs="Arial"/>
          <w:sz w:val="24"/>
          <w:szCs w:val="24"/>
        </w:rPr>
        <w:t xml:space="preserve">as mejores prácticas internacionales </w:t>
      </w:r>
      <w:r w:rsidR="00D738B6">
        <w:rPr>
          <w:rFonts w:ascii="Arial" w:hAnsi="Arial" w:cs="Arial"/>
          <w:sz w:val="24"/>
          <w:szCs w:val="24"/>
        </w:rPr>
        <w:t>reconocen que las</w:t>
      </w:r>
      <w:r w:rsidR="005B3F9B" w:rsidRPr="008325B5">
        <w:rPr>
          <w:rFonts w:ascii="Arial" w:hAnsi="Arial" w:cs="Arial"/>
          <w:sz w:val="24"/>
          <w:szCs w:val="24"/>
        </w:rPr>
        <w:t xml:space="preserve"> licitaciones públicas abiertas</w:t>
      </w:r>
      <w:r w:rsidR="00985E97">
        <w:rPr>
          <w:rFonts w:ascii="Arial" w:hAnsi="Arial" w:cs="Arial"/>
          <w:sz w:val="24"/>
          <w:szCs w:val="24"/>
        </w:rPr>
        <w:t>,</w:t>
      </w:r>
      <w:r w:rsidR="005B3F9B" w:rsidRPr="008325B5">
        <w:rPr>
          <w:rFonts w:ascii="Arial" w:hAnsi="Arial" w:cs="Arial"/>
          <w:sz w:val="24"/>
          <w:szCs w:val="24"/>
        </w:rPr>
        <w:t xml:space="preserve"> con criterios </w:t>
      </w:r>
      <w:r w:rsidR="00AD34F9">
        <w:rPr>
          <w:rFonts w:ascii="Arial" w:hAnsi="Arial" w:cs="Arial"/>
          <w:sz w:val="24"/>
          <w:szCs w:val="24"/>
        </w:rPr>
        <w:t xml:space="preserve">previamente </w:t>
      </w:r>
      <w:r w:rsidR="005B3F9B" w:rsidRPr="008325B5">
        <w:rPr>
          <w:rFonts w:ascii="Arial" w:hAnsi="Arial" w:cs="Arial"/>
          <w:sz w:val="24"/>
          <w:szCs w:val="24"/>
        </w:rPr>
        <w:t>establecido</w:t>
      </w:r>
      <w:r w:rsidR="009C2C7D">
        <w:rPr>
          <w:rFonts w:ascii="Arial" w:hAnsi="Arial" w:cs="Arial"/>
          <w:sz w:val="24"/>
          <w:szCs w:val="24"/>
        </w:rPr>
        <w:t>s</w:t>
      </w:r>
      <w:r w:rsidR="00985E97">
        <w:rPr>
          <w:rFonts w:ascii="Arial" w:hAnsi="Arial" w:cs="Arial"/>
          <w:i/>
          <w:iCs/>
          <w:sz w:val="24"/>
          <w:szCs w:val="24"/>
        </w:rPr>
        <w:t>,</w:t>
      </w:r>
      <w:r w:rsidR="009C2C7D">
        <w:rPr>
          <w:rFonts w:ascii="Arial" w:hAnsi="Arial" w:cs="Arial"/>
          <w:i/>
          <w:iCs/>
          <w:sz w:val="24"/>
          <w:szCs w:val="24"/>
        </w:rPr>
        <w:t xml:space="preserve"> </w:t>
      </w:r>
      <w:r w:rsidR="00985E97">
        <w:rPr>
          <w:rFonts w:ascii="Arial" w:hAnsi="Arial" w:cs="Arial"/>
          <w:sz w:val="24"/>
          <w:szCs w:val="24"/>
        </w:rPr>
        <w:t>contribuyen</w:t>
      </w:r>
      <w:r w:rsidR="005B3F9B" w:rsidRPr="008325B5">
        <w:rPr>
          <w:rFonts w:ascii="Arial" w:hAnsi="Arial" w:cs="Arial"/>
          <w:sz w:val="24"/>
          <w:szCs w:val="24"/>
        </w:rPr>
        <w:t xml:space="preserve"> </w:t>
      </w:r>
      <w:r w:rsidR="00AD0079">
        <w:rPr>
          <w:rFonts w:ascii="Arial" w:hAnsi="Arial" w:cs="Arial"/>
          <w:sz w:val="24"/>
          <w:szCs w:val="24"/>
        </w:rPr>
        <w:t>al</w:t>
      </w:r>
      <w:r w:rsidR="00C0034C">
        <w:rPr>
          <w:rFonts w:ascii="Arial" w:hAnsi="Arial" w:cs="Arial"/>
          <w:sz w:val="24"/>
          <w:szCs w:val="24"/>
        </w:rPr>
        <w:t xml:space="preserve"> buen uso del gasto y </w:t>
      </w:r>
      <w:r w:rsidR="005B3F9B" w:rsidRPr="008325B5">
        <w:rPr>
          <w:rFonts w:ascii="Arial" w:hAnsi="Arial" w:cs="Arial"/>
          <w:sz w:val="24"/>
          <w:szCs w:val="24"/>
        </w:rPr>
        <w:t>a contrarrestar el desvío de recursos.</w:t>
      </w:r>
      <w:r w:rsidR="00CE16FE" w:rsidRPr="008325B5">
        <w:rPr>
          <w:rStyle w:val="Refdenotaalpie"/>
          <w:rFonts w:ascii="Arial" w:hAnsi="Arial" w:cs="Arial"/>
          <w:sz w:val="24"/>
          <w:szCs w:val="24"/>
        </w:rPr>
        <w:footnoteReference w:id="6"/>
      </w:r>
    </w:p>
    <w:p w14:paraId="4BC6D027" w14:textId="77777777" w:rsidR="00D04767" w:rsidRPr="008325B5" w:rsidRDefault="00D04767" w:rsidP="00D04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B79E1E" w14:textId="6DBA864B" w:rsidR="00F15DAC" w:rsidRDefault="00B70DC6" w:rsidP="00D04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0034C">
        <w:rPr>
          <w:rFonts w:ascii="Arial" w:hAnsi="Arial" w:cs="Arial"/>
          <w:sz w:val="24"/>
          <w:szCs w:val="24"/>
        </w:rPr>
        <w:t xml:space="preserve">n </w:t>
      </w:r>
      <w:r w:rsidR="00985E97">
        <w:rPr>
          <w:rFonts w:ascii="Arial" w:hAnsi="Arial" w:cs="Arial"/>
          <w:sz w:val="24"/>
          <w:szCs w:val="24"/>
        </w:rPr>
        <w:t>2020</w:t>
      </w:r>
      <w:r w:rsidR="00E37483">
        <w:rPr>
          <w:rFonts w:ascii="Arial" w:hAnsi="Arial" w:cs="Arial"/>
          <w:sz w:val="24"/>
          <w:szCs w:val="24"/>
        </w:rPr>
        <w:t>,</w:t>
      </w:r>
      <w:r w:rsidR="005B3F9B" w:rsidRPr="008325B5">
        <w:rPr>
          <w:rFonts w:ascii="Arial" w:hAnsi="Arial" w:cs="Arial"/>
          <w:sz w:val="24"/>
          <w:szCs w:val="24"/>
        </w:rPr>
        <w:t xml:space="preserve"> </w:t>
      </w:r>
      <w:r w:rsidR="00F15DAC" w:rsidRPr="008325B5">
        <w:rPr>
          <w:rFonts w:ascii="Arial" w:hAnsi="Arial" w:cs="Arial"/>
          <w:sz w:val="24"/>
          <w:szCs w:val="24"/>
        </w:rPr>
        <w:t>80</w:t>
      </w:r>
      <w:r w:rsidR="00CD1581">
        <w:rPr>
          <w:rFonts w:ascii="Arial" w:hAnsi="Arial" w:cs="Arial"/>
          <w:sz w:val="24"/>
          <w:szCs w:val="24"/>
        </w:rPr>
        <w:t>.0</w:t>
      </w:r>
      <w:r w:rsidR="00D40AD3">
        <w:rPr>
          <w:rFonts w:ascii="Arial" w:hAnsi="Arial" w:cs="Arial"/>
          <w:sz w:val="24"/>
          <w:szCs w:val="24"/>
        </w:rPr>
        <w:t xml:space="preserve"> </w:t>
      </w:r>
      <w:r w:rsidR="005934A1" w:rsidRPr="008325B5">
        <w:rPr>
          <w:rFonts w:ascii="Arial" w:hAnsi="Arial" w:cs="Arial"/>
          <w:sz w:val="24"/>
          <w:szCs w:val="24"/>
        </w:rPr>
        <w:t xml:space="preserve">% del total de las contrataciones </w:t>
      </w:r>
      <w:r w:rsidR="00C15324" w:rsidRPr="008325B5">
        <w:rPr>
          <w:rFonts w:ascii="Arial" w:hAnsi="Arial" w:cs="Arial"/>
          <w:sz w:val="24"/>
          <w:szCs w:val="24"/>
        </w:rPr>
        <w:t>estatales</w:t>
      </w:r>
      <w:r w:rsidR="0067638E" w:rsidRPr="008325B5">
        <w:rPr>
          <w:rStyle w:val="Refdenotaalpie"/>
          <w:rFonts w:ascii="Arial" w:hAnsi="Arial" w:cs="Arial"/>
          <w:sz w:val="24"/>
          <w:szCs w:val="24"/>
        </w:rPr>
        <w:footnoteReference w:id="7"/>
      </w:r>
      <w:r w:rsidR="005934A1" w:rsidRPr="008325B5">
        <w:rPr>
          <w:rFonts w:ascii="Arial" w:hAnsi="Arial" w:cs="Arial"/>
          <w:sz w:val="24"/>
          <w:szCs w:val="24"/>
        </w:rPr>
        <w:t xml:space="preserve"> y </w:t>
      </w:r>
      <w:r w:rsidR="00F15DAC" w:rsidRPr="008325B5">
        <w:rPr>
          <w:rFonts w:ascii="Arial" w:hAnsi="Arial" w:cs="Arial"/>
          <w:sz w:val="24"/>
          <w:szCs w:val="24"/>
        </w:rPr>
        <w:t>74</w:t>
      </w:r>
      <w:r w:rsidR="00CD1581">
        <w:rPr>
          <w:rFonts w:ascii="Arial" w:hAnsi="Arial" w:cs="Arial"/>
          <w:sz w:val="24"/>
          <w:szCs w:val="24"/>
        </w:rPr>
        <w:t>.4</w:t>
      </w:r>
      <w:r w:rsidR="00D40AD3">
        <w:rPr>
          <w:rFonts w:ascii="Arial" w:hAnsi="Arial" w:cs="Arial"/>
          <w:sz w:val="24"/>
          <w:szCs w:val="24"/>
        </w:rPr>
        <w:t xml:space="preserve"> </w:t>
      </w:r>
      <w:r w:rsidR="005934A1" w:rsidRPr="008325B5">
        <w:rPr>
          <w:rFonts w:ascii="Arial" w:hAnsi="Arial" w:cs="Arial"/>
          <w:sz w:val="24"/>
          <w:szCs w:val="24"/>
        </w:rPr>
        <w:t xml:space="preserve">% </w:t>
      </w:r>
      <w:r w:rsidR="006C4386">
        <w:rPr>
          <w:rFonts w:ascii="Arial" w:hAnsi="Arial" w:cs="Arial"/>
          <w:sz w:val="24"/>
          <w:szCs w:val="24"/>
        </w:rPr>
        <w:t xml:space="preserve">de las </w:t>
      </w:r>
      <w:r w:rsidR="00985E97">
        <w:rPr>
          <w:rFonts w:ascii="Arial" w:hAnsi="Arial" w:cs="Arial"/>
          <w:sz w:val="24"/>
          <w:szCs w:val="24"/>
        </w:rPr>
        <w:t xml:space="preserve">realizadas por los gobiernos </w:t>
      </w:r>
      <w:r w:rsidR="00F15DAC" w:rsidRPr="004C02CC">
        <w:rPr>
          <w:rFonts w:ascii="Arial" w:hAnsi="Arial" w:cs="Arial"/>
          <w:sz w:val="24"/>
          <w:szCs w:val="24"/>
        </w:rPr>
        <w:t>municipales</w:t>
      </w:r>
      <w:r w:rsidR="00C0034C">
        <w:rPr>
          <w:rFonts w:ascii="Arial" w:hAnsi="Arial" w:cs="Arial"/>
          <w:sz w:val="24"/>
          <w:szCs w:val="24"/>
        </w:rPr>
        <w:t xml:space="preserve"> </w:t>
      </w:r>
      <w:r w:rsidR="005934A1" w:rsidRPr="008325B5">
        <w:rPr>
          <w:rFonts w:ascii="Arial" w:hAnsi="Arial" w:cs="Arial"/>
          <w:sz w:val="24"/>
          <w:szCs w:val="24"/>
        </w:rPr>
        <w:t xml:space="preserve">fueron por </w:t>
      </w:r>
      <w:r w:rsidR="005934A1" w:rsidRPr="004C02CC">
        <w:rPr>
          <w:rFonts w:ascii="Arial" w:hAnsi="Arial" w:cs="Arial"/>
          <w:i/>
          <w:sz w:val="24"/>
          <w:szCs w:val="24"/>
        </w:rPr>
        <w:t>adjudicación directa</w:t>
      </w:r>
      <w:r w:rsidR="00F15DAC" w:rsidRPr="008325B5">
        <w:rPr>
          <w:rFonts w:ascii="Arial" w:hAnsi="Arial" w:cs="Arial"/>
          <w:sz w:val="24"/>
          <w:szCs w:val="24"/>
        </w:rPr>
        <w:t xml:space="preserve">; mientras que </w:t>
      </w:r>
      <w:r w:rsidR="004F7B04">
        <w:rPr>
          <w:rFonts w:ascii="Arial" w:hAnsi="Arial" w:cs="Arial"/>
          <w:sz w:val="24"/>
          <w:szCs w:val="24"/>
        </w:rPr>
        <w:t>8.</w:t>
      </w:r>
      <w:r w:rsidR="00F15DAC" w:rsidRPr="008325B5">
        <w:rPr>
          <w:rFonts w:ascii="Arial" w:hAnsi="Arial" w:cs="Arial"/>
          <w:sz w:val="24"/>
          <w:szCs w:val="24"/>
        </w:rPr>
        <w:t>9</w:t>
      </w:r>
      <w:r w:rsidR="00315E96">
        <w:rPr>
          <w:rFonts w:ascii="Arial" w:hAnsi="Arial" w:cs="Arial"/>
          <w:sz w:val="24"/>
          <w:szCs w:val="24"/>
        </w:rPr>
        <w:t xml:space="preserve"> </w:t>
      </w:r>
      <w:r w:rsidR="00F15DAC" w:rsidRPr="008325B5">
        <w:rPr>
          <w:rFonts w:ascii="Arial" w:hAnsi="Arial" w:cs="Arial"/>
          <w:sz w:val="24"/>
          <w:szCs w:val="24"/>
        </w:rPr>
        <w:t>% y 4</w:t>
      </w:r>
      <w:r w:rsidR="004F7B04">
        <w:rPr>
          <w:rFonts w:ascii="Arial" w:hAnsi="Arial" w:cs="Arial"/>
          <w:sz w:val="24"/>
          <w:szCs w:val="24"/>
        </w:rPr>
        <w:t>.1</w:t>
      </w:r>
      <w:r w:rsidR="00315E96">
        <w:rPr>
          <w:rFonts w:ascii="Arial" w:hAnsi="Arial" w:cs="Arial"/>
          <w:sz w:val="24"/>
          <w:szCs w:val="24"/>
        </w:rPr>
        <w:t xml:space="preserve"> </w:t>
      </w:r>
      <w:r w:rsidR="00F15DAC" w:rsidRPr="008325B5">
        <w:rPr>
          <w:rFonts w:ascii="Arial" w:hAnsi="Arial" w:cs="Arial"/>
          <w:sz w:val="24"/>
          <w:szCs w:val="24"/>
        </w:rPr>
        <w:t>% de los contratos</w:t>
      </w:r>
      <w:r w:rsidR="00C15324">
        <w:rPr>
          <w:rFonts w:ascii="Arial" w:hAnsi="Arial" w:cs="Arial"/>
          <w:sz w:val="24"/>
          <w:szCs w:val="24"/>
        </w:rPr>
        <w:t xml:space="preserve"> </w:t>
      </w:r>
      <w:r w:rsidR="00C20739">
        <w:rPr>
          <w:rFonts w:ascii="Arial" w:hAnsi="Arial" w:cs="Arial"/>
          <w:sz w:val="24"/>
          <w:szCs w:val="24"/>
        </w:rPr>
        <w:t>se asign</w:t>
      </w:r>
      <w:r w:rsidR="006C4386">
        <w:rPr>
          <w:rFonts w:ascii="Arial" w:hAnsi="Arial" w:cs="Arial"/>
          <w:sz w:val="24"/>
          <w:szCs w:val="24"/>
        </w:rPr>
        <w:t>aron</w:t>
      </w:r>
      <w:r w:rsidR="00C20739">
        <w:rPr>
          <w:rFonts w:ascii="Arial" w:hAnsi="Arial" w:cs="Arial"/>
          <w:sz w:val="24"/>
          <w:szCs w:val="24"/>
        </w:rPr>
        <w:t xml:space="preserve"> </w:t>
      </w:r>
      <w:r w:rsidR="00C20739" w:rsidRPr="008325B5">
        <w:rPr>
          <w:rFonts w:ascii="Arial" w:hAnsi="Arial" w:cs="Arial"/>
          <w:sz w:val="24"/>
          <w:szCs w:val="24"/>
        </w:rPr>
        <w:t xml:space="preserve">por el método de </w:t>
      </w:r>
      <w:r w:rsidR="00C20739" w:rsidRPr="004C02CC">
        <w:rPr>
          <w:rFonts w:ascii="Arial" w:hAnsi="Arial" w:cs="Arial"/>
          <w:i/>
          <w:sz w:val="24"/>
          <w:szCs w:val="24"/>
        </w:rPr>
        <w:t>licitación pública nacional o internacional</w:t>
      </w:r>
      <w:r w:rsidR="00C15324" w:rsidRPr="008325B5">
        <w:rPr>
          <w:rFonts w:ascii="Arial" w:hAnsi="Arial" w:cs="Arial"/>
          <w:sz w:val="24"/>
          <w:szCs w:val="24"/>
        </w:rPr>
        <w:t>, respectivamente</w:t>
      </w:r>
      <w:r w:rsidR="00F15DAC" w:rsidRPr="008325B5">
        <w:rPr>
          <w:rFonts w:ascii="Arial" w:hAnsi="Arial" w:cs="Arial"/>
          <w:sz w:val="24"/>
          <w:szCs w:val="24"/>
        </w:rPr>
        <w:t>.</w:t>
      </w:r>
      <w:r w:rsidR="003C5D19" w:rsidRPr="008325B5">
        <w:rPr>
          <w:rFonts w:ascii="Arial" w:hAnsi="Arial" w:cs="Arial"/>
          <w:sz w:val="24"/>
          <w:szCs w:val="24"/>
        </w:rPr>
        <w:t xml:space="preserve"> El resto de los contratos se dieron por </w:t>
      </w:r>
      <w:r w:rsidR="003C5D19" w:rsidRPr="004C02CC">
        <w:rPr>
          <w:rFonts w:ascii="Arial" w:hAnsi="Arial" w:cs="Arial"/>
          <w:i/>
          <w:sz w:val="24"/>
          <w:szCs w:val="24"/>
        </w:rPr>
        <w:t>invitación restringida a cuando menos tres personas</w:t>
      </w:r>
      <w:r w:rsidR="00C20739">
        <w:rPr>
          <w:rFonts w:ascii="Arial" w:hAnsi="Arial" w:cs="Arial"/>
          <w:sz w:val="24"/>
          <w:szCs w:val="24"/>
        </w:rPr>
        <w:t>,</w:t>
      </w:r>
      <w:r w:rsidR="003C5D19" w:rsidRPr="008325B5">
        <w:rPr>
          <w:rFonts w:ascii="Arial" w:hAnsi="Arial" w:cs="Arial"/>
          <w:sz w:val="24"/>
          <w:szCs w:val="24"/>
        </w:rPr>
        <w:t xml:space="preserve"> </w:t>
      </w:r>
      <w:r w:rsidR="00C20739">
        <w:rPr>
          <w:rFonts w:ascii="Arial" w:hAnsi="Arial" w:cs="Arial"/>
          <w:sz w:val="24"/>
          <w:szCs w:val="24"/>
        </w:rPr>
        <w:t xml:space="preserve">o bien, por </w:t>
      </w:r>
      <w:r w:rsidR="003C5D19" w:rsidRPr="004C02CC">
        <w:rPr>
          <w:rFonts w:ascii="Arial" w:hAnsi="Arial" w:cs="Arial"/>
          <w:i/>
          <w:sz w:val="24"/>
          <w:szCs w:val="24"/>
        </w:rPr>
        <w:t>otro tipo de contratos</w:t>
      </w:r>
      <w:r w:rsidR="003C5D19" w:rsidRPr="008325B5">
        <w:rPr>
          <w:rFonts w:ascii="Arial" w:hAnsi="Arial" w:cs="Arial"/>
          <w:sz w:val="24"/>
          <w:szCs w:val="24"/>
        </w:rPr>
        <w:t xml:space="preserve"> en los que no se especificó la modalidad.</w:t>
      </w:r>
    </w:p>
    <w:p w14:paraId="2FF840DD" w14:textId="77777777" w:rsidR="00D04767" w:rsidRPr="008325B5" w:rsidRDefault="00D04767" w:rsidP="00D04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27A1AC" w14:textId="5A4B9929" w:rsidR="00C20739" w:rsidRDefault="00C232E4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5B5">
        <w:rPr>
          <w:rFonts w:ascii="Arial" w:hAnsi="Arial" w:cs="Arial"/>
          <w:sz w:val="24"/>
          <w:szCs w:val="24"/>
        </w:rPr>
        <w:t xml:space="preserve">En cuanto a </w:t>
      </w:r>
      <w:r w:rsidR="00411D3C">
        <w:rPr>
          <w:rFonts w:ascii="Arial" w:hAnsi="Arial" w:cs="Arial"/>
          <w:sz w:val="24"/>
          <w:szCs w:val="24"/>
        </w:rPr>
        <w:t>los</w:t>
      </w:r>
      <w:r w:rsidRPr="008325B5">
        <w:rPr>
          <w:rFonts w:ascii="Arial" w:hAnsi="Arial" w:cs="Arial"/>
          <w:sz w:val="24"/>
          <w:szCs w:val="24"/>
        </w:rPr>
        <w:t xml:space="preserve"> montos asociados por tipo de contratación,</w:t>
      </w:r>
      <w:r w:rsidR="009F3AE1" w:rsidRPr="008325B5">
        <w:rPr>
          <w:rFonts w:ascii="Arial" w:hAnsi="Arial" w:cs="Arial"/>
          <w:sz w:val="24"/>
          <w:szCs w:val="24"/>
        </w:rPr>
        <w:t xml:space="preserve"> los municipios de</w:t>
      </w:r>
      <w:r w:rsidRPr="008325B5">
        <w:rPr>
          <w:rFonts w:ascii="Arial" w:hAnsi="Arial" w:cs="Arial"/>
          <w:sz w:val="24"/>
          <w:szCs w:val="24"/>
        </w:rPr>
        <w:t xml:space="preserve"> </w:t>
      </w:r>
      <w:r w:rsidR="009F3AE1" w:rsidRPr="008325B5">
        <w:rPr>
          <w:rFonts w:ascii="Arial" w:hAnsi="Arial" w:cs="Arial"/>
          <w:sz w:val="24"/>
          <w:szCs w:val="24"/>
        </w:rPr>
        <w:t xml:space="preserve">Chiapas </w:t>
      </w:r>
      <w:r w:rsidR="00C20739">
        <w:rPr>
          <w:rFonts w:ascii="Arial" w:hAnsi="Arial" w:cs="Arial"/>
          <w:sz w:val="24"/>
          <w:szCs w:val="24"/>
        </w:rPr>
        <w:t>destinaron 88</w:t>
      </w:r>
      <w:r w:rsidR="00DD6AC4">
        <w:rPr>
          <w:rFonts w:ascii="Arial" w:hAnsi="Arial" w:cs="Arial"/>
          <w:sz w:val="24"/>
          <w:szCs w:val="24"/>
        </w:rPr>
        <w:t>.3</w:t>
      </w:r>
      <w:r w:rsidR="00315E96">
        <w:rPr>
          <w:rFonts w:ascii="Arial" w:hAnsi="Arial" w:cs="Arial"/>
          <w:sz w:val="24"/>
          <w:szCs w:val="24"/>
        </w:rPr>
        <w:t xml:space="preserve"> </w:t>
      </w:r>
      <w:r w:rsidR="00C20739">
        <w:rPr>
          <w:rFonts w:ascii="Arial" w:hAnsi="Arial" w:cs="Arial"/>
          <w:sz w:val="24"/>
          <w:szCs w:val="24"/>
        </w:rPr>
        <w:t>% de los recursos</w:t>
      </w:r>
      <w:r w:rsidR="00C20739" w:rsidRPr="008325B5">
        <w:rPr>
          <w:rFonts w:ascii="Arial" w:hAnsi="Arial" w:cs="Arial"/>
          <w:sz w:val="24"/>
          <w:szCs w:val="24"/>
        </w:rPr>
        <w:t xml:space="preserve"> </w:t>
      </w:r>
      <w:r w:rsidR="009F3AE1" w:rsidRPr="008325B5">
        <w:rPr>
          <w:rFonts w:ascii="Arial" w:hAnsi="Arial" w:cs="Arial"/>
          <w:sz w:val="24"/>
          <w:szCs w:val="24"/>
        </w:rPr>
        <w:t xml:space="preserve">por </w:t>
      </w:r>
      <w:r w:rsidR="009F3AE1" w:rsidRPr="004C02CC">
        <w:rPr>
          <w:rFonts w:ascii="Arial" w:hAnsi="Arial" w:cs="Arial"/>
          <w:i/>
          <w:sz w:val="24"/>
          <w:szCs w:val="24"/>
        </w:rPr>
        <w:t>adjudicación directa</w:t>
      </w:r>
      <w:r w:rsidR="00AA684F">
        <w:rPr>
          <w:rFonts w:ascii="Arial" w:hAnsi="Arial" w:cs="Arial"/>
          <w:sz w:val="24"/>
          <w:szCs w:val="24"/>
        </w:rPr>
        <w:t>,</w:t>
      </w:r>
      <w:r w:rsidR="009F3AE1" w:rsidRPr="008325B5">
        <w:rPr>
          <w:rFonts w:ascii="Arial" w:hAnsi="Arial" w:cs="Arial"/>
          <w:sz w:val="24"/>
          <w:szCs w:val="24"/>
        </w:rPr>
        <w:t xml:space="preserve"> mientras que los municipios de Yucatán, Nuevo León y Quintana Roo</w:t>
      </w:r>
      <w:r w:rsidR="007F52F7" w:rsidRPr="008325B5">
        <w:rPr>
          <w:rFonts w:ascii="Arial" w:hAnsi="Arial" w:cs="Arial"/>
          <w:sz w:val="24"/>
          <w:szCs w:val="24"/>
        </w:rPr>
        <w:t xml:space="preserve"> adjudicaron más de 60</w:t>
      </w:r>
      <w:r w:rsidR="00DD6AC4">
        <w:rPr>
          <w:rFonts w:ascii="Arial" w:hAnsi="Arial" w:cs="Arial"/>
          <w:sz w:val="24"/>
          <w:szCs w:val="24"/>
        </w:rPr>
        <w:t>.0</w:t>
      </w:r>
      <w:r w:rsidR="00315E96">
        <w:rPr>
          <w:rFonts w:ascii="Arial" w:hAnsi="Arial" w:cs="Arial"/>
          <w:sz w:val="24"/>
          <w:szCs w:val="24"/>
        </w:rPr>
        <w:t xml:space="preserve"> </w:t>
      </w:r>
      <w:r w:rsidR="007F52F7" w:rsidRPr="008325B5">
        <w:rPr>
          <w:rFonts w:ascii="Arial" w:hAnsi="Arial" w:cs="Arial"/>
          <w:sz w:val="24"/>
          <w:szCs w:val="24"/>
        </w:rPr>
        <w:t xml:space="preserve">% de los montos por </w:t>
      </w:r>
      <w:r w:rsidR="007F52F7" w:rsidRPr="004C02CC">
        <w:rPr>
          <w:rFonts w:ascii="Arial" w:hAnsi="Arial" w:cs="Arial"/>
          <w:i/>
          <w:sz w:val="24"/>
          <w:szCs w:val="24"/>
        </w:rPr>
        <w:t>licitación pública nacional</w:t>
      </w:r>
      <w:r w:rsidR="00C20739" w:rsidRPr="008325B5">
        <w:rPr>
          <w:rFonts w:ascii="Arial" w:hAnsi="Arial" w:cs="Arial"/>
          <w:sz w:val="24"/>
          <w:szCs w:val="24"/>
        </w:rPr>
        <w:t>.</w:t>
      </w:r>
    </w:p>
    <w:p w14:paraId="5072AADB" w14:textId="77777777" w:rsidR="004812AF" w:rsidRDefault="004812AF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07AFAD" w14:textId="77777777" w:rsidR="004812AF" w:rsidRDefault="004812AF" w:rsidP="004812AF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Pr="008325B5">
        <w:rPr>
          <w:rFonts w:ascii="Arial" w:hAnsi="Arial" w:cs="Arial"/>
          <w:sz w:val="24"/>
          <w:szCs w:val="24"/>
        </w:rPr>
        <w:t xml:space="preserve"> general</w:t>
      </w:r>
      <w:r>
        <w:rPr>
          <w:rFonts w:ascii="Arial" w:hAnsi="Arial" w:cs="Arial"/>
          <w:sz w:val="24"/>
          <w:szCs w:val="24"/>
        </w:rPr>
        <w:t>,</w:t>
      </w:r>
      <w:r w:rsidRPr="008325B5">
        <w:rPr>
          <w:rFonts w:ascii="Arial" w:hAnsi="Arial" w:cs="Arial"/>
          <w:sz w:val="24"/>
          <w:szCs w:val="24"/>
        </w:rPr>
        <w:t xml:space="preserve"> se observa que</w:t>
      </w:r>
      <w:r>
        <w:rPr>
          <w:rFonts w:ascii="Arial" w:hAnsi="Arial" w:cs="Arial"/>
          <w:sz w:val="24"/>
          <w:szCs w:val="24"/>
        </w:rPr>
        <w:t>, a diferencia de</w:t>
      </w:r>
      <w:r w:rsidRPr="008325B5">
        <w:rPr>
          <w:rFonts w:ascii="Arial" w:hAnsi="Arial" w:cs="Arial"/>
          <w:sz w:val="24"/>
          <w:szCs w:val="24"/>
        </w:rPr>
        <w:t xml:space="preserve"> las administraciones </w:t>
      </w:r>
      <w:r>
        <w:rPr>
          <w:rFonts w:ascii="Arial" w:hAnsi="Arial" w:cs="Arial"/>
          <w:sz w:val="24"/>
          <w:szCs w:val="24"/>
        </w:rPr>
        <w:t>municipales</w:t>
      </w:r>
      <w:r w:rsidRPr="008325B5">
        <w:rPr>
          <w:rFonts w:ascii="Arial" w:hAnsi="Arial" w:cs="Arial"/>
          <w:sz w:val="24"/>
          <w:szCs w:val="24"/>
        </w:rPr>
        <w:t xml:space="preserve">, </w:t>
      </w:r>
      <w:r w:rsidRPr="00CC4A4E">
        <w:rPr>
          <w:rFonts w:ascii="Arial" w:hAnsi="Arial" w:cs="Arial"/>
          <w:sz w:val="24"/>
          <w:szCs w:val="24"/>
        </w:rPr>
        <w:t>las administraciones públicas estatales asigna</w:t>
      </w:r>
      <w:r>
        <w:rPr>
          <w:rFonts w:ascii="Arial" w:hAnsi="Arial" w:cs="Arial"/>
          <w:sz w:val="24"/>
          <w:szCs w:val="24"/>
        </w:rPr>
        <w:t>ro</w:t>
      </w:r>
      <w:r w:rsidRPr="00CC4A4E">
        <w:rPr>
          <w:rFonts w:ascii="Arial" w:hAnsi="Arial" w:cs="Arial"/>
          <w:sz w:val="24"/>
          <w:szCs w:val="24"/>
        </w:rPr>
        <w:t xml:space="preserve">n mayores montos mediante </w:t>
      </w:r>
      <w:r w:rsidRPr="004C02CC">
        <w:rPr>
          <w:rFonts w:ascii="Arial" w:hAnsi="Arial" w:cs="Arial"/>
          <w:i/>
          <w:sz w:val="24"/>
          <w:szCs w:val="24"/>
        </w:rPr>
        <w:t>licitaciones públicas</w:t>
      </w:r>
      <w:r>
        <w:rPr>
          <w:rFonts w:ascii="Arial" w:hAnsi="Arial" w:cs="Arial"/>
          <w:sz w:val="24"/>
          <w:szCs w:val="24"/>
        </w:rPr>
        <w:t>,</w:t>
      </w:r>
      <w:r w:rsidRPr="008325B5">
        <w:rPr>
          <w:rFonts w:ascii="Arial" w:hAnsi="Arial" w:cs="Arial"/>
          <w:sz w:val="24"/>
          <w:szCs w:val="24"/>
        </w:rPr>
        <w:t xml:space="preserve"> pues 19 entidades ejercieron más de</w:t>
      </w:r>
      <w:r>
        <w:rPr>
          <w:rFonts w:ascii="Arial" w:hAnsi="Arial" w:cs="Arial"/>
          <w:sz w:val="24"/>
          <w:szCs w:val="24"/>
        </w:rPr>
        <w:t>l</w:t>
      </w:r>
      <w:r w:rsidRPr="008325B5">
        <w:rPr>
          <w:rFonts w:ascii="Arial" w:hAnsi="Arial" w:cs="Arial"/>
          <w:sz w:val="24"/>
          <w:szCs w:val="24"/>
        </w:rPr>
        <w:t xml:space="preserve"> 50</w:t>
      </w:r>
      <w:r>
        <w:rPr>
          <w:rFonts w:ascii="Arial" w:hAnsi="Arial" w:cs="Arial"/>
          <w:sz w:val="24"/>
          <w:szCs w:val="24"/>
        </w:rPr>
        <w:t xml:space="preserve">.0 </w:t>
      </w:r>
      <w:r w:rsidRPr="008325B5">
        <w:rPr>
          <w:rFonts w:ascii="Arial" w:hAnsi="Arial" w:cs="Arial"/>
          <w:sz w:val="24"/>
          <w:szCs w:val="24"/>
        </w:rPr>
        <w:t>% de</w:t>
      </w:r>
      <w:r>
        <w:rPr>
          <w:rFonts w:ascii="Arial" w:hAnsi="Arial" w:cs="Arial"/>
          <w:sz w:val="24"/>
          <w:szCs w:val="24"/>
        </w:rPr>
        <w:t xml:space="preserve"> los</w:t>
      </w:r>
      <w:r w:rsidRPr="008325B5">
        <w:rPr>
          <w:rFonts w:ascii="Arial" w:hAnsi="Arial" w:cs="Arial"/>
          <w:sz w:val="24"/>
          <w:szCs w:val="24"/>
        </w:rPr>
        <w:t xml:space="preserve"> recurso</w:t>
      </w:r>
      <w:r>
        <w:rPr>
          <w:rFonts w:ascii="Arial" w:hAnsi="Arial" w:cs="Arial"/>
          <w:sz w:val="24"/>
          <w:szCs w:val="24"/>
        </w:rPr>
        <w:t>s</w:t>
      </w:r>
      <w:r w:rsidRPr="008325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medio de</w:t>
      </w:r>
      <w:r w:rsidRPr="008325B5">
        <w:rPr>
          <w:rFonts w:ascii="Arial" w:hAnsi="Arial" w:cs="Arial"/>
          <w:sz w:val="24"/>
          <w:szCs w:val="24"/>
        </w:rPr>
        <w:t xml:space="preserve"> esta modalidad, </w:t>
      </w:r>
      <w:r>
        <w:rPr>
          <w:rFonts w:ascii="Arial" w:hAnsi="Arial" w:cs="Arial"/>
          <w:sz w:val="24"/>
          <w:szCs w:val="24"/>
        </w:rPr>
        <w:t>con excepción de</w:t>
      </w:r>
      <w:r w:rsidRPr="008325B5">
        <w:rPr>
          <w:rFonts w:ascii="Arial" w:hAnsi="Arial" w:cs="Arial"/>
          <w:sz w:val="24"/>
          <w:szCs w:val="24"/>
        </w:rPr>
        <w:t xml:space="preserve"> Veracruz, Chiapas, Ciudad de México y Nayarit </w:t>
      </w:r>
      <w:r>
        <w:rPr>
          <w:rFonts w:ascii="Arial" w:hAnsi="Arial" w:cs="Arial"/>
          <w:sz w:val="24"/>
          <w:szCs w:val="24"/>
        </w:rPr>
        <w:t xml:space="preserve">que </w:t>
      </w:r>
      <w:r w:rsidRPr="008325B5">
        <w:rPr>
          <w:rFonts w:ascii="Arial" w:hAnsi="Arial" w:cs="Arial"/>
          <w:sz w:val="24"/>
          <w:szCs w:val="24"/>
        </w:rPr>
        <w:t xml:space="preserve">ejercieron más de la mitad </w:t>
      </w:r>
      <w:r>
        <w:rPr>
          <w:rFonts w:ascii="Arial" w:hAnsi="Arial" w:cs="Arial"/>
          <w:sz w:val="24"/>
          <w:szCs w:val="24"/>
        </w:rPr>
        <w:t>de los recursos de</w:t>
      </w:r>
      <w:r w:rsidRPr="008325B5">
        <w:rPr>
          <w:rFonts w:ascii="Arial" w:hAnsi="Arial" w:cs="Arial"/>
          <w:sz w:val="24"/>
          <w:szCs w:val="24"/>
        </w:rPr>
        <w:t xml:space="preserve"> contrataciones por </w:t>
      </w:r>
      <w:r w:rsidRPr="004C02CC">
        <w:rPr>
          <w:rFonts w:ascii="Arial" w:hAnsi="Arial" w:cs="Arial"/>
          <w:i/>
          <w:sz w:val="24"/>
          <w:szCs w:val="24"/>
        </w:rPr>
        <w:t>adjudicaciones directas</w:t>
      </w:r>
      <w:r w:rsidRPr="008325B5">
        <w:rPr>
          <w:rFonts w:ascii="Arial" w:hAnsi="Arial" w:cs="Arial"/>
          <w:sz w:val="24"/>
          <w:szCs w:val="24"/>
        </w:rPr>
        <w:t>.</w:t>
      </w:r>
    </w:p>
    <w:p w14:paraId="693CF81F" w14:textId="77777777" w:rsidR="004812AF" w:rsidRDefault="004812AF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54E9A7" w14:textId="77777777" w:rsidR="00B72225" w:rsidRDefault="00B72225" w:rsidP="00B72225">
      <w:pPr>
        <w:tabs>
          <w:tab w:val="left" w:pos="593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A86DC46" w14:textId="77777777" w:rsidR="00B72225" w:rsidRDefault="00B72225" w:rsidP="00B72225">
      <w:pPr>
        <w:tabs>
          <w:tab w:val="left" w:pos="593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53FD7FB" w14:textId="77777777" w:rsidR="00B72225" w:rsidRDefault="00B72225" w:rsidP="00B72225">
      <w:pPr>
        <w:tabs>
          <w:tab w:val="left" w:pos="593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635C4A" w14:textId="77777777" w:rsidR="00B72225" w:rsidRDefault="00B72225" w:rsidP="00B72225">
      <w:pPr>
        <w:tabs>
          <w:tab w:val="left" w:pos="593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3893E6F" w14:textId="77777777" w:rsidR="00B72225" w:rsidRDefault="00B72225" w:rsidP="00B72225">
      <w:pPr>
        <w:tabs>
          <w:tab w:val="left" w:pos="593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4A9C98A" w14:textId="77777777" w:rsidR="00B72225" w:rsidRDefault="00B72225" w:rsidP="00B72225">
      <w:pPr>
        <w:tabs>
          <w:tab w:val="left" w:pos="593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5FF0D97" w14:textId="77777777" w:rsidR="00B72225" w:rsidRDefault="00B72225" w:rsidP="00B72225">
      <w:pPr>
        <w:tabs>
          <w:tab w:val="left" w:pos="593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5F8A32" w14:textId="77777777" w:rsidR="00B72225" w:rsidRDefault="00B72225" w:rsidP="00B72225">
      <w:pPr>
        <w:tabs>
          <w:tab w:val="left" w:pos="593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6573CA5" w14:textId="77777777" w:rsidR="00B72225" w:rsidRDefault="00B72225" w:rsidP="00B72225">
      <w:pPr>
        <w:tabs>
          <w:tab w:val="left" w:pos="593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D4E5CCA" w14:textId="77777777" w:rsidR="00B72225" w:rsidRDefault="00B72225" w:rsidP="00B72225">
      <w:pPr>
        <w:tabs>
          <w:tab w:val="left" w:pos="593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32A6018" w14:textId="77777777" w:rsidR="00B72225" w:rsidRDefault="00B72225" w:rsidP="00B72225">
      <w:pPr>
        <w:tabs>
          <w:tab w:val="left" w:pos="593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47967F" w14:textId="77777777" w:rsidR="00B72225" w:rsidRDefault="00B72225" w:rsidP="00B72225">
      <w:pPr>
        <w:tabs>
          <w:tab w:val="left" w:pos="593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0A3DA09" w14:textId="77777777" w:rsidR="00B72225" w:rsidRDefault="00B72225" w:rsidP="00B72225">
      <w:pPr>
        <w:tabs>
          <w:tab w:val="left" w:pos="593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67296BA" w14:textId="77777777" w:rsidR="00B72225" w:rsidRDefault="00B72225" w:rsidP="00B72225">
      <w:pPr>
        <w:tabs>
          <w:tab w:val="left" w:pos="593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FE387C3" w14:textId="25AA727C" w:rsidR="00957CD1" w:rsidRDefault="00957CD1" w:rsidP="00B72225">
      <w:pPr>
        <w:tabs>
          <w:tab w:val="left" w:pos="593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4EECE2F" w14:textId="1D8623F2" w:rsidR="00B72225" w:rsidRPr="00956A24" w:rsidRDefault="00956A24" w:rsidP="00956A24">
      <w:pPr>
        <w:tabs>
          <w:tab w:val="left" w:pos="5932"/>
        </w:tabs>
        <w:spacing w:after="0" w:line="240" w:lineRule="aut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79744" behindDoc="0" locked="0" layoutInCell="1" allowOverlap="1" wp14:anchorId="014975F9" wp14:editId="5898B3AC">
            <wp:simplePos x="0" y="0"/>
            <wp:positionH relativeFrom="column">
              <wp:posOffset>-156641</wp:posOffset>
            </wp:positionH>
            <wp:positionV relativeFrom="paragraph">
              <wp:posOffset>0</wp:posOffset>
            </wp:positionV>
            <wp:extent cx="6641465" cy="6337300"/>
            <wp:effectExtent l="0" t="0" r="0" b="0"/>
            <wp:wrapTopAndBottom/>
            <wp:docPr id="20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225" w:rsidRPr="00892D0B">
        <w:rPr>
          <w:rFonts w:ascii="Arial" w:hAnsi="Arial" w:cs="Arial"/>
          <w:b/>
          <w:bCs/>
          <w:smallCaps/>
        </w:rPr>
        <w:t xml:space="preserve"> </w:t>
      </w:r>
      <w:r w:rsidR="00B7222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68923B" wp14:editId="676ABB29">
                <wp:simplePos x="0" y="0"/>
                <wp:positionH relativeFrom="column">
                  <wp:posOffset>4846465</wp:posOffset>
                </wp:positionH>
                <wp:positionV relativeFrom="paragraph">
                  <wp:posOffset>4786630</wp:posOffset>
                </wp:positionV>
                <wp:extent cx="138896" cy="231164"/>
                <wp:effectExtent l="0" t="0" r="127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96" cy="2311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D9DB5D" w14:textId="77777777" w:rsidR="00B72225" w:rsidRPr="001E0A8B" w:rsidRDefault="00B72225" w:rsidP="00B7222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E0A8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ND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8923B" id="Cuadro de texto 8" o:spid="_x0000_s1027" type="#_x0000_t202" style="position:absolute;margin-left:381.6pt;margin-top:376.9pt;width:10.95pt;height:1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" filled="f" stroked="f" strokeweight=".5pt">
                <v:textbox style="layout-flow:vertical;mso-layout-flow-alt:bottom-to-top" inset="0,0,0,0">
                  <w:txbxContent>
                    <w:p w14:paraId="17D9DB5D" w14:textId="77777777" w:rsidR="00B72225" w:rsidRPr="001E0A8B" w:rsidRDefault="00B72225" w:rsidP="00B72225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s-ES"/>
                        </w:rPr>
                      </w:pPr>
                      <w:r w:rsidRPr="001E0A8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es-ES"/>
                        </w:rPr>
                        <w:t>ND</w:t>
                      </w:r>
                    </w:p>
                  </w:txbxContent>
                </v:textbox>
              </v:shape>
            </w:pict>
          </mc:Fallback>
        </mc:AlternateContent>
      </w:r>
    </w:p>
    <w:p w14:paraId="213F8ECA" w14:textId="1699BDE7" w:rsidR="006B7FCC" w:rsidRDefault="006B7FCC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8A5F87" w14:textId="410938CC" w:rsidR="00963049" w:rsidRPr="00956A24" w:rsidRDefault="00110BAE" w:rsidP="00956A24">
      <w:pPr>
        <w:tabs>
          <w:tab w:val="left" w:pos="593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82816" behindDoc="0" locked="0" layoutInCell="1" allowOverlap="1" wp14:anchorId="5F58B664" wp14:editId="63DB4EAF">
            <wp:simplePos x="0" y="0"/>
            <wp:positionH relativeFrom="column">
              <wp:posOffset>-138023</wp:posOffset>
            </wp:positionH>
            <wp:positionV relativeFrom="paragraph">
              <wp:posOffset>85090</wp:posOffset>
            </wp:positionV>
            <wp:extent cx="6641465" cy="6018530"/>
            <wp:effectExtent l="0" t="0" r="0" b="1270"/>
            <wp:wrapTopAndBottom/>
            <wp:docPr id="21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8D7C5" w14:textId="65DF428E" w:rsidR="008D7C0E" w:rsidRPr="00FE74FE" w:rsidRDefault="008D7C0E" w:rsidP="00110BAE">
      <w:pPr>
        <w:spacing w:after="0"/>
        <w:ind w:left="562" w:hanging="562"/>
        <w:jc w:val="both"/>
        <w:rPr>
          <w:rFonts w:ascii="Arial" w:hAnsi="Arial" w:cs="Arial"/>
          <w:color w:val="000000" w:themeColor="dark1"/>
          <w:sz w:val="16"/>
          <w:szCs w:val="16"/>
        </w:rPr>
      </w:pPr>
      <w:r w:rsidRPr="00FE74FE">
        <w:rPr>
          <w:rFonts w:ascii="Arial" w:hAnsi="Arial" w:cs="Arial"/>
          <w:color w:val="000000" w:themeColor="dark1"/>
          <w:sz w:val="16"/>
          <w:szCs w:val="16"/>
        </w:rPr>
        <w:t>Incluye Invitación a cuando menos tres personas o invitación restringida, Licitación pública internacional, Otro y No especificado</w:t>
      </w:r>
    </w:p>
    <w:p w14:paraId="064AA711" w14:textId="77777777" w:rsidR="008D7C0E" w:rsidRPr="00FE74FE" w:rsidRDefault="008D7C0E" w:rsidP="00110BAE">
      <w:pPr>
        <w:spacing w:after="0"/>
        <w:ind w:left="562" w:hanging="562"/>
        <w:jc w:val="both"/>
        <w:rPr>
          <w:rFonts w:ascii="Arial" w:hAnsi="Arial" w:cs="Arial"/>
          <w:color w:val="000000" w:themeColor="dark1"/>
          <w:sz w:val="16"/>
          <w:szCs w:val="16"/>
        </w:rPr>
      </w:pPr>
      <w:r w:rsidRPr="00FE74FE">
        <w:rPr>
          <w:rFonts w:ascii="Arial" w:hAnsi="Arial" w:cs="Arial"/>
          <w:color w:val="000000" w:themeColor="dark1"/>
          <w:sz w:val="16"/>
          <w:szCs w:val="16"/>
        </w:rPr>
        <w:t>ND: No disponible ya que no contó con datos o elementos para responder.</w:t>
      </w:r>
    </w:p>
    <w:p w14:paraId="78F7EC72" w14:textId="77777777" w:rsidR="008D7C0E" w:rsidRPr="00FE74FE" w:rsidRDefault="008D7C0E" w:rsidP="00110BAE">
      <w:pPr>
        <w:spacing w:after="0"/>
        <w:ind w:left="562" w:hanging="562"/>
        <w:jc w:val="both"/>
        <w:textAlignment w:val="baseline"/>
        <w:rPr>
          <w:rFonts w:ascii="Arial" w:hAnsi="Arial" w:cs="Arial"/>
          <w:color w:val="000000" w:themeColor="dark1"/>
          <w:sz w:val="16"/>
          <w:szCs w:val="16"/>
        </w:rPr>
      </w:pPr>
      <w:r w:rsidRPr="00FE74FE">
        <w:rPr>
          <w:rFonts w:ascii="Arial" w:hAnsi="Arial" w:cs="Arial"/>
          <w:color w:val="000000" w:themeColor="dark1"/>
          <w:sz w:val="16"/>
          <w:szCs w:val="16"/>
        </w:rPr>
        <w:t>NA: No aplica el tipo de procedimiento de contratación.</w:t>
      </w:r>
    </w:p>
    <w:p w14:paraId="5A36D73C" w14:textId="77777777" w:rsidR="008D7C0E" w:rsidRPr="00FE74FE" w:rsidRDefault="008D7C0E" w:rsidP="00110BAE">
      <w:pPr>
        <w:spacing w:after="0"/>
        <w:ind w:left="562" w:hanging="562"/>
        <w:jc w:val="both"/>
        <w:rPr>
          <w:rFonts w:ascii="Arial" w:hAnsi="Arial" w:cs="Arial"/>
          <w:color w:val="000000" w:themeColor="dark1"/>
          <w:sz w:val="16"/>
          <w:szCs w:val="16"/>
        </w:rPr>
      </w:pPr>
      <w:r w:rsidRPr="00FE74FE">
        <w:rPr>
          <w:rFonts w:ascii="Arial" w:hAnsi="Arial" w:cs="Arial"/>
          <w:b/>
          <w:bCs/>
          <w:color w:val="000000" w:themeColor="dark1"/>
          <w:sz w:val="16"/>
          <w:szCs w:val="16"/>
        </w:rPr>
        <w:t>Fuente:</w:t>
      </w:r>
      <w:r w:rsidRPr="00FE74FE">
        <w:rPr>
          <w:rFonts w:ascii="Arial" w:hAnsi="Arial" w:cs="Arial"/>
          <w:color w:val="000000" w:themeColor="dark1"/>
          <w:sz w:val="16"/>
          <w:szCs w:val="16"/>
        </w:rPr>
        <w:t xml:space="preserve"> Censo Nacional de Gobiernos Estatales (CNGE) 2021; Censo Nacional de Gobiernos Municipales y Demarcaciones Territoriales de la Ciudad de México (CNGMD) 2021.</w:t>
      </w:r>
    </w:p>
    <w:p w14:paraId="2DB34181" w14:textId="18770D0F" w:rsidR="00963049" w:rsidRDefault="00963049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67E1D1" w14:textId="77777777" w:rsidR="00E610C7" w:rsidRDefault="00E610C7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EAE319" w14:textId="638D8264" w:rsidR="00E610C7" w:rsidRDefault="00E610C7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D02931" w14:textId="3AC92819" w:rsidR="00522923" w:rsidRDefault="00522923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14251E" w14:textId="69E0C829" w:rsidR="00522923" w:rsidRDefault="00522923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6BCC0C" w14:textId="77777777" w:rsidR="00522923" w:rsidRDefault="00522923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6BD5ED" w14:textId="297F602F" w:rsidR="00315E96" w:rsidRDefault="00C20739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Los datos provenientes </w:t>
      </w:r>
      <w:r w:rsidR="00B0552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los </w:t>
      </w:r>
      <w:r w:rsidR="00DB161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ensos de </w:t>
      </w:r>
      <w:r w:rsidR="00DB1615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obierno documenta</w:t>
      </w:r>
      <w:r w:rsidR="00E254AF">
        <w:rPr>
          <w:rFonts w:ascii="Arial" w:hAnsi="Arial" w:cs="Arial"/>
          <w:sz w:val="24"/>
          <w:szCs w:val="24"/>
        </w:rPr>
        <w:t xml:space="preserve">n </w:t>
      </w:r>
      <w:r w:rsidR="00206A52">
        <w:rPr>
          <w:rFonts w:ascii="Arial" w:hAnsi="Arial" w:cs="Arial"/>
          <w:sz w:val="24"/>
          <w:szCs w:val="24"/>
        </w:rPr>
        <w:t>los recursos humanos y financieros con lo</w:t>
      </w:r>
      <w:r w:rsidR="00315E96">
        <w:rPr>
          <w:rFonts w:ascii="Arial" w:hAnsi="Arial" w:cs="Arial"/>
          <w:sz w:val="24"/>
          <w:szCs w:val="24"/>
        </w:rPr>
        <w:t>s</w:t>
      </w:r>
      <w:r w:rsidR="00206A52">
        <w:rPr>
          <w:rFonts w:ascii="Arial" w:hAnsi="Arial" w:cs="Arial"/>
          <w:sz w:val="24"/>
          <w:szCs w:val="24"/>
        </w:rPr>
        <w:t xml:space="preserve"> que cuentan </w:t>
      </w:r>
      <w:r w:rsidR="00573BF9" w:rsidRPr="008325B5">
        <w:rPr>
          <w:rFonts w:ascii="Arial" w:hAnsi="Arial" w:cs="Arial"/>
          <w:sz w:val="24"/>
          <w:szCs w:val="24"/>
        </w:rPr>
        <w:t xml:space="preserve">las administraciones públicas </w:t>
      </w:r>
      <w:r w:rsidR="00BA6F0A">
        <w:rPr>
          <w:rFonts w:ascii="Arial" w:hAnsi="Arial" w:cs="Arial"/>
          <w:sz w:val="24"/>
          <w:szCs w:val="24"/>
        </w:rPr>
        <w:t>del país</w:t>
      </w:r>
      <w:r w:rsidR="00206A52">
        <w:rPr>
          <w:rFonts w:ascii="Arial" w:hAnsi="Arial" w:cs="Arial"/>
          <w:sz w:val="24"/>
          <w:szCs w:val="24"/>
        </w:rPr>
        <w:t xml:space="preserve">, así como las diferencias </w:t>
      </w:r>
      <w:r w:rsidR="00BA6F0A">
        <w:rPr>
          <w:rFonts w:ascii="Arial" w:hAnsi="Arial" w:cs="Arial"/>
          <w:sz w:val="24"/>
          <w:szCs w:val="24"/>
        </w:rPr>
        <w:t>que hay entre niveles de gobierno</w:t>
      </w:r>
      <w:r>
        <w:rPr>
          <w:rFonts w:ascii="Arial" w:hAnsi="Arial" w:cs="Arial"/>
          <w:sz w:val="24"/>
          <w:szCs w:val="24"/>
        </w:rPr>
        <w:t xml:space="preserve">. </w:t>
      </w:r>
      <w:r w:rsidR="00897F3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INEGI contribuye a identificar </w:t>
      </w:r>
      <w:r w:rsidR="00E254AF">
        <w:rPr>
          <w:rFonts w:ascii="Arial" w:hAnsi="Arial" w:cs="Arial"/>
          <w:sz w:val="24"/>
          <w:szCs w:val="24"/>
        </w:rPr>
        <w:t xml:space="preserve">los </w:t>
      </w:r>
      <w:r w:rsidR="00573BF9" w:rsidRPr="008325B5">
        <w:rPr>
          <w:rFonts w:ascii="Arial" w:hAnsi="Arial" w:cs="Arial"/>
          <w:sz w:val="24"/>
          <w:szCs w:val="24"/>
        </w:rPr>
        <w:t xml:space="preserve">retos </w:t>
      </w:r>
      <w:r>
        <w:rPr>
          <w:rFonts w:ascii="Arial" w:hAnsi="Arial" w:cs="Arial"/>
          <w:sz w:val="24"/>
          <w:szCs w:val="24"/>
        </w:rPr>
        <w:t xml:space="preserve">que enfrenta la administración pública mexicana, </w:t>
      </w:r>
      <w:r w:rsidR="00205435">
        <w:rPr>
          <w:rFonts w:ascii="Arial" w:hAnsi="Arial" w:cs="Arial"/>
          <w:sz w:val="24"/>
          <w:szCs w:val="24"/>
        </w:rPr>
        <w:t xml:space="preserve">como </w:t>
      </w:r>
      <w:r w:rsidR="00205435" w:rsidRPr="008325B5">
        <w:rPr>
          <w:rFonts w:ascii="Arial" w:hAnsi="Arial" w:cs="Arial"/>
          <w:sz w:val="24"/>
          <w:szCs w:val="24"/>
        </w:rPr>
        <w:t>lograr</w:t>
      </w:r>
      <w:r w:rsidR="003A44B9" w:rsidRPr="008325B5">
        <w:rPr>
          <w:rFonts w:ascii="Arial" w:hAnsi="Arial" w:cs="Arial"/>
          <w:sz w:val="24"/>
          <w:szCs w:val="24"/>
        </w:rPr>
        <w:t xml:space="preserve"> la paridad </w:t>
      </w:r>
      <w:r w:rsidR="00E37483">
        <w:rPr>
          <w:rFonts w:ascii="Arial" w:hAnsi="Arial" w:cs="Arial"/>
          <w:sz w:val="24"/>
          <w:szCs w:val="24"/>
        </w:rPr>
        <w:t xml:space="preserve">laboral </w:t>
      </w:r>
      <w:r w:rsidR="003A44B9" w:rsidRPr="008325B5">
        <w:rPr>
          <w:rFonts w:ascii="Arial" w:hAnsi="Arial" w:cs="Arial"/>
          <w:sz w:val="24"/>
          <w:szCs w:val="24"/>
        </w:rPr>
        <w:t xml:space="preserve">de género en </w:t>
      </w:r>
      <w:r w:rsidR="00322FCC">
        <w:rPr>
          <w:rFonts w:ascii="Arial" w:hAnsi="Arial" w:cs="Arial"/>
          <w:sz w:val="24"/>
          <w:szCs w:val="24"/>
        </w:rPr>
        <w:t xml:space="preserve">el </w:t>
      </w:r>
      <w:r w:rsidR="003A44B9" w:rsidRPr="008325B5">
        <w:rPr>
          <w:rFonts w:ascii="Arial" w:hAnsi="Arial" w:cs="Arial"/>
          <w:sz w:val="24"/>
          <w:szCs w:val="24"/>
        </w:rPr>
        <w:t>ámbito municipal</w:t>
      </w:r>
      <w:r w:rsidR="001E5503" w:rsidRPr="008325B5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 xml:space="preserve">consolidar </w:t>
      </w:r>
      <w:r w:rsidR="001E5503" w:rsidRPr="008325B5">
        <w:rPr>
          <w:rFonts w:ascii="Arial" w:hAnsi="Arial" w:cs="Arial"/>
          <w:sz w:val="24"/>
          <w:szCs w:val="24"/>
        </w:rPr>
        <w:t xml:space="preserve">procesos </w:t>
      </w:r>
      <w:r>
        <w:rPr>
          <w:rFonts w:ascii="Arial" w:hAnsi="Arial" w:cs="Arial"/>
          <w:sz w:val="24"/>
          <w:szCs w:val="24"/>
        </w:rPr>
        <w:t xml:space="preserve">transparentes </w:t>
      </w:r>
      <w:r w:rsidR="001E5503" w:rsidRPr="008325B5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contratación </w:t>
      </w:r>
      <w:r w:rsidR="001E5503" w:rsidRPr="008325B5">
        <w:rPr>
          <w:rFonts w:ascii="Arial" w:hAnsi="Arial" w:cs="Arial"/>
          <w:sz w:val="24"/>
          <w:szCs w:val="24"/>
        </w:rPr>
        <w:t>pública</w:t>
      </w:r>
      <w:r w:rsidR="000D49E6" w:rsidRPr="008325B5">
        <w:rPr>
          <w:rFonts w:ascii="Arial" w:hAnsi="Arial" w:cs="Arial"/>
          <w:sz w:val="24"/>
          <w:szCs w:val="24"/>
        </w:rPr>
        <w:t>.</w:t>
      </w:r>
      <w:r w:rsidR="005F5311">
        <w:rPr>
          <w:rFonts w:ascii="Arial" w:hAnsi="Arial" w:cs="Arial"/>
          <w:sz w:val="24"/>
          <w:szCs w:val="24"/>
        </w:rPr>
        <w:t xml:space="preserve"> </w:t>
      </w:r>
      <w:r w:rsidR="00E254AF">
        <w:rPr>
          <w:rFonts w:ascii="Arial" w:hAnsi="Arial" w:cs="Arial"/>
          <w:sz w:val="24"/>
          <w:szCs w:val="24"/>
        </w:rPr>
        <w:t xml:space="preserve">El </w:t>
      </w:r>
      <w:r w:rsidR="00831716">
        <w:rPr>
          <w:rFonts w:ascii="Arial" w:hAnsi="Arial" w:cs="Arial"/>
          <w:sz w:val="24"/>
          <w:szCs w:val="24"/>
        </w:rPr>
        <w:t>I</w:t>
      </w:r>
      <w:r w:rsidR="005F5311">
        <w:rPr>
          <w:rFonts w:ascii="Arial" w:hAnsi="Arial" w:cs="Arial"/>
          <w:sz w:val="24"/>
          <w:szCs w:val="24"/>
        </w:rPr>
        <w:t xml:space="preserve">NEGI invita a las personas interesadas </w:t>
      </w:r>
      <w:r w:rsidR="00E254AF">
        <w:rPr>
          <w:rFonts w:ascii="Arial" w:hAnsi="Arial" w:cs="Arial"/>
          <w:sz w:val="24"/>
          <w:szCs w:val="24"/>
        </w:rPr>
        <w:t>en</w:t>
      </w:r>
      <w:r w:rsidR="005F5311">
        <w:rPr>
          <w:rFonts w:ascii="Arial" w:hAnsi="Arial" w:cs="Arial"/>
          <w:sz w:val="24"/>
          <w:szCs w:val="24"/>
        </w:rPr>
        <w:t xml:space="preserve"> </w:t>
      </w:r>
      <w:r w:rsidR="00E254AF">
        <w:rPr>
          <w:rFonts w:ascii="Arial" w:hAnsi="Arial" w:cs="Arial"/>
          <w:sz w:val="24"/>
          <w:szCs w:val="24"/>
        </w:rPr>
        <w:t xml:space="preserve">conocer y entender la gestión pública mexicana </w:t>
      </w:r>
      <w:r w:rsidR="005F5311">
        <w:rPr>
          <w:rFonts w:ascii="Arial" w:hAnsi="Arial" w:cs="Arial"/>
          <w:sz w:val="24"/>
          <w:szCs w:val="24"/>
        </w:rPr>
        <w:t xml:space="preserve">a </w:t>
      </w:r>
      <w:r w:rsidR="00E254AF">
        <w:rPr>
          <w:rFonts w:ascii="Arial" w:hAnsi="Arial" w:cs="Arial"/>
          <w:sz w:val="24"/>
          <w:szCs w:val="24"/>
        </w:rPr>
        <w:t xml:space="preserve">consultar </w:t>
      </w:r>
      <w:r w:rsidR="005F5311">
        <w:rPr>
          <w:rFonts w:ascii="Arial" w:hAnsi="Arial" w:cs="Arial"/>
          <w:sz w:val="24"/>
          <w:szCs w:val="24"/>
        </w:rPr>
        <w:t xml:space="preserve">los </w:t>
      </w:r>
      <w:r w:rsidR="00315E96">
        <w:rPr>
          <w:rFonts w:ascii="Arial" w:hAnsi="Arial" w:cs="Arial"/>
          <w:sz w:val="24"/>
          <w:szCs w:val="24"/>
        </w:rPr>
        <w:t>C</w:t>
      </w:r>
      <w:r w:rsidR="00E254AF">
        <w:rPr>
          <w:rFonts w:ascii="Arial" w:hAnsi="Arial" w:cs="Arial"/>
          <w:sz w:val="24"/>
          <w:szCs w:val="24"/>
        </w:rPr>
        <w:t xml:space="preserve">ensos </w:t>
      </w:r>
      <w:r w:rsidR="00315E96">
        <w:rPr>
          <w:rFonts w:ascii="Arial" w:hAnsi="Arial" w:cs="Arial"/>
          <w:sz w:val="24"/>
          <w:szCs w:val="24"/>
        </w:rPr>
        <w:t xml:space="preserve">Nacionales </w:t>
      </w:r>
      <w:r w:rsidR="00E254AF">
        <w:rPr>
          <w:rFonts w:ascii="Arial" w:hAnsi="Arial" w:cs="Arial"/>
          <w:sz w:val="24"/>
          <w:szCs w:val="24"/>
        </w:rPr>
        <w:t xml:space="preserve">de </w:t>
      </w:r>
      <w:r w:rsidR="00315E96">
        <w:rPr>
          <w:rFonts w:ascii="Arial" w:hAnsi="Arial" w:cs="Arial"/>
          <w:sz w:val="24"/>
          <w:szCs w:val="24"/>
        </w:rPr>
        <w:t>G</w:t>
      </w:r>
      <w:r w:rsidR="00E254AF">
        <w:rPr>
          <w:rFonts w:ascii="Arial" w:hAnsi="Arial" w:cs="Arial"/>
          <w:sz w:val="24"/>
          <w:szCs w:val="24"/>
        </w:rPr>
        <w:t xml:space="preserve">obierno </w:t>
      </w:r>
      <w:r w:rsidR="005F5311">
        <w:rPr>
          <w:rFonts w:ascii="Arial" w:hAnsi="Arial" w:cs="Arial"/>
          <w:sz w:val="24"/>
          <w:szCs w:val="24"/>
        </w:rPr>
        <w:t>que están a disposición del público</w:t>
      </w:r>
      <w:r w:rsidR="00E254AF">
        <w:rPr>
          <w:rFonts w:ascii="Arial" w:hAnsi="Arial" w:cs="Arial"/>
          <w:sz w:val="24"/>
          <w:szCs w:val="24"/>
        </w:rPr>
        <w:t xml:space="preserve"> en </w:t>
      </w:r>
      <w:r w:rsidR="00315E96">
        <w:rPr>
          <w:rFonts w:ascii="Arial" w:hAnsi="Arial" w:cs="Arial"/>
          <w:sz w:val="24"/>
          <w:szCs w:val="24"/>
        </w:rPr>
        <w:t xml:space="preserve">el </w:t>
      </w:r>
      <w:r w:rsidR="00B56C5D">
        <w:rPr>
          <w:rFonts w:ascii="Arial" w:hAnsi="Arial" w:cs="Arial"/>
          <w:sz w:val="24"/>
          <w:szCs w:val="24"/>
        </w:rPr>
        <w:t>s</w:t>
      </w:r>
      <w:r w:rsidR="00315E96">
        <w:rPr>
          <w:rFonts w:ascii="Arial" w:hAnsi="Arial" w:cs="Arial"/>
          <w:sz w:val="24"/>
          <w:szCs w:val="24"/>
        </w:rPr>
        <w:t xml:space="preserve">itio del Instituto </w:t>
      </w:r>
      <w:hyperlink r:id="rId18" w:history="1">
        <w:r w:rsidR="006B41B7" w:rsidRPr="006B41B7">
          <w:rPr>
            <w:rStyle w:val="Hipervnculo"/>
            <w:rFonts w:ascii="Arial" w:hAnsi="Arial" w:cs="Arial"/>
            <w:sz w:val="24"/>
            <w:szCs w:val="24"/>
          </w:rPr>
          <w:t>www.</w:t>
        </w:r>
        <w:r w:rsidR="006B41B7" w:rsidRPr="00A32EB1">
          <w:rPr>
            <w:rStyle w:val="Hipervnculo"/>
            <w:rFonts w:ascii="Arial" w:hAnsi="Arial" w:cs="Arial"/>
            <w:sz w:val="24"/>
            <w:szCs w:val="24"/>
          </w:rPr>
          <w:t>inegi.org.mx</w:t>
        </w:r>
      </w:hyperlink>
      <w:r w:rsidR="00315E96">
        <w:rPr>
          <w:rFonts w:ascii="Arial" w:hAnsi="Arial" w:cs="Arial"/>
          <w:sz w:val="24"/>
          <w:szCs w:val="24"/>
        </w:rPr>
        <w:t>.</w:t>
      </w:r>
    </w:p>
    <w:p w14:paraId="15D2144D" w14:textId="157FCB91" w:rsidR="00D04767" w:rsidRDefault="00D04767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B14008" w14:textId="44F26240" w:rsidR="00522923" w:rsidRDefault="00522923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B007F2" w14:textId="792D8875" w:rsidR="00522923" w:rsidRDefault="00522923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D8DD86" w14:textId="34B7429C" w:rsidR="00522923" w:rsidRDefault="00522923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8327D8" w14:textId="439C8D1E" w:rsidR="00522923" w:rsidRDefault="00522923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DE9748" w14:textId="615E87C3" w:rsidR="00522923" w:rsidRDefault="00522923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8B1F2E" w14:textId="2E37EB4C" w:rsidR="00522923" w:rsidRDefault="00522923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4A964F" w14:textId="72751B0E" w:rsidR="00522923" w:rsidRDefault="00522923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9BD76F" w14:textId="22A46DCE" w:rsidR="00522923" w:rsidRDefault="00522923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153F52" w14:textId="5F2AEB34" w:rsidR="00522923" w:rsidRDefault="00522923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8E0F7F" w14:textId="40F53A4D" w:rsidR="00522923" w:rsidRDefault="00522923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CA7A89" w14:textId="64CB9616" w:rsidR="00522923" w:rsidRDefault="00522923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49AC4C" w14:textId="3263C570" w:rsidR="00522923" w:rsidRDefault="00522923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9A2DD5" w14:textId="0DDD1D8C" w:rsidR="00522923" w:rsidRDefault="00522923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C33D2D" w14:textId="3B0EE5D4" w:rsidR="00522923" w:rsidRDefault="00522923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93C0DE" w14:textId="505AF018" w:rsidR="00522923" w:rsidRDefault="00522923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B9B4B1" w14:textId="2E55BA53" w:rsidR="00522923" w:rsidRDefault="00522923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D9DBB1" w14:textId="25CDF177" w:rsidR="00522923" w:rsidRDefault="00522923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B525BD" w14:textId="0875B6C1" w:rsidR="00522923" w:rsidRDefault="00522923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F0BD97" w14:textId="7CA61B86" w:rsidR="00522923" w:rsidRDefault="00522923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7AE370" w14:textId="77777777" w:rsidR="00522923" w:rsidRDefault="00522923" w:rsidP="00D04767">
      <w:pPr>
        <w:tabs>
          <w:tab w:val="left" w:pos="5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93A541" w14:textId="3623D8FA" w:rsidR="00ED7044" w:rsidRPr="00170EC8" w:rsidRDefault="00ED7044" w:rsidP="00D04767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r w:rsidRPr="006030CA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19" w:history="1">
        <w:r w:rsidRPr="006030CA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</w:p>
    <w:p w14:paraId="3237908C" w14:textId="0CF1FAB6" w:rsidR="00ED7044" w:rsidRDefault="00ED7044" w:rsidP="00D04767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2"/>
          <w:szCs w:val="22"/>
        </w:rPr>
      </w:pPr>
      <w:r w:rsidRPr="006030CA">
        <w:rPr>
          <w:rFonts w:ascii="Arial" w:hAnsi="Arial" w:cs="Arial"/>
          <w:sz w:val="22"/>
          <w:szCs w:val="22"/>
        </w:rPr>
        <w:t>o llamar al teléfono (55) 52-78-10-00, exts. 1134, 1260 y 1241.</w:t>
      </w:r>
    </w:p>
    <w:p w14:paraId="23B62D11" w14:textId="62A24D37" w:rsidR="006A525C" w:rsidRDefault="006A525C" w:rsidP="00D04767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2"/>
          <w:szCs w:val="22"/>
        </w:rPr>
      </w:pPr>
    </w:p>
    <w:p w14:paraId="7709C09D" w14:textId="58C65F81" w:rsidR="006D4A95" w:rsidRDefault="006D4A95" w:rsidP="00D04767">
      <w:pPr>
        <w:pStyle w:val="NormalWeb"/>
        <w:spacing w:before="0" w:beforeAutospacing="0" w:after="0" w:afterAutospacing="0"/>
        <w:ind w:left="-567"/>
        <w:contextualSpacing/>
        <w:jc w:val="center"/>
        <w:rPr>
          <w:rFonts w:ascii="Arial" w:hAnsi="Arial" w:cs="Arial"/>
          <w:sz w:val="22"/>
          <w:szCs w:val="22"/>
        </w:rPr>
      </w:pPr>
      <w:r w:rsidRPr="00BB12BE">
        <w:rPr>
          <w:rFonts w:ascii="Arial" w:hAnsi="Arial" w:cs="Arial"/>
          <w:sz w:val="22"/>
          <w:szCs w:val="22"/>
        </w:rPr>
        <w:t>Dirección de Atención a Medios / Dirección General Adjunta de Comunicación</w:t>
      </w:r>
    </w:p>
    <w:p w14:paraId="4BD58C07" w14:textId="6DAFF0A2" w:rsidR="006D4A95" w:rsidRPr="00D820D7" w:rsidRDefault="006D4A95" w:rsidP="004C02CC">
      <w:pPr>
        <w:pStyle w:val="NormalWeb"/>
        <w:spacing w:before="0" w:beforeAutospacing="0" w:after="0" w:afterAutospacing="0"/>
        <w:ind w:right="-518"/>
        <w:contextualSpacing/>
        <w:rPr>
          <w:rFonts w:ascii="Arial" w:hAnsi="Arial" w:cs="Arial"/>
          <w:sz w:val="8"/>
          <w:szCs w:val="8"/>
        </w:rPr>
      </w:pPr>
    </w:p>
    <w:p w14:paraId="7C371B99" w14:textId="2883E8A5" w:rsidR="00ED7044" w:rsidRPr="001872D6" w:rsidRDefault="006D4A95" w:rsidP="001872D6">
      <w:pPr>
        <w:spacing w:before="120"/>
        <w:ind w:left="-425" w:right="-516"/>
        <w:contextualSpacing/>
        <w:jc w:val="center"/>
        <w:rPr>
          <w:noProof/>
          <w:lang w:eastAsia="es-MX"/>
        </w:rPr>
      </w:pPr>
      <w:r w:rsidRPr="00FF1218">
        <w:rPr>
          <w:noProof/>
          <w:lang w:eastAsia="es-MX"/>
        </w:rPr>
        <w:drawing>
          <wp:inline distT="0" distB="0" distL="0" distR="0" wp14:anchorId="28ABC03F" wp14:editId="5FFAF8F7">
            <wp:extent cx="360045" cy="365760"/>
            <wp:effectExtent l="0" t="0" r="1905" b="0"/>
            <wp:docPr id="11" name="Imagen 11" descr="C:\Users\saladeprensa\Desktop\NVOS LOGOS\F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3A2E11E5" wp14:editId="147142D4">
            <wp:extent cx="365760" cy="365760"/>
            <wp:effectExtent l="0" t="0" r="0" b="0"/>
            <wp:docPr id="10" name="Imagen 10" descr="C:\Users\saladeprensa\Desktop\NVOS LOGOS\I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581D812D" wp14:editId="7EF18418">
            <wp:extent cx="365760" cy="365760"/>
            <wp:effectExtent l="0" t="0" r="0" b="0"/>
            <wp:docPr id="13" name="Imagen 13" descr="C:\Users\saladeprensa\Desktop\NVOS LOGOS\T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eastAsia="es-MX"/>
        </w:rPr>
        <w:drawing>
          <wp:inline distT="0" distB="0" distL="0" distR="0" wp14:anchorId="12658A60" wp14:editId="5C7A4FE0">
            <wp:extent cx="365760" cy="365760"/>
            <wp:effectExtent l="0" t="0" r="0" b="0"/>
            <wp:docPr id="14" name="Imagen 14" descr="C:\Users\saladeprensa\Desktop\NVOS LOGOS\Y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eastAsia="es-MX"/>
        </w:rPr>
        <w:drawing>
          <wp:inline distT="0" distB="0" distL="0" distR="0" wp14:anchorId="5B573DC2" wp14:editId="3CE91F35">
            <wp:extent cx="2286000" cy="274320"/>
            <wp:effectExtent l="0" t="0" r="0" b="0"/>
            <wp:docPr id="16" name="Imagen 16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044" w:rsidRPr="001872D6" w:rsidSect="00462C33">
      <w:headerReference w:type="default" r:id="rId30"/>
      <w:footerReference w:type="default" r:id="rId3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078D" w14:textId="77777777" w:rsidR="004D1405" w:rsidRDefault="004D1405" w:rsidP="00262525">
      <w:pPr>
        <w:spacing w:after="0" w:line="240" w:lineRule="auto"/>
      </w:pPr>
      <w:r>
        <w:separator/>
      </w:r>
    </w:p>
  </w:endnote>
  <w:endnote w:type="continuationSeparator" w:id="0">
    <w:p w14:paraId="3FC1E14A" w14:textId="77777777" w:rsidR="004D1405" w:rsidRDefault="004D1405" w:rsidP="0026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7056" w14:textId="73DA769A" w:rsidR="00ED7044" w:rsidRDefault="00ED7044" w:rsidP="0074740E">
    <w:pPr>
      <w:pStyle w:val="Piedepgina"/>
      <w:jc w:val="center"/>
    </w:pPr>
    <w:r w:rsidRPr="00AD2A33">
      <w:rPr>
        <w:rFonts w:ascii="Arial" w:hAnsi="Arial" w:cs="Arial"/>
        <w:b/>
        <w:noProof/>
        <w:color w:val="002060"/>
        <w:sz w:val="20"/>
        <w:szCs w:val="20"/>
        <w:lang w:eastAsia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29F8" w14:textId="77777777" w:rsidR="004D1405" w:rsidRDefault="004D1405" w:rsidP="00262525">
      <w:pPr>
        <w:spacing w:after="0" w:line="240" w:lineRule="auto"/>
      </w:pPr>
      <w:r>
        <w:separator/>
      </w:r>
    </w:p>
  </w:footnote>
  <w:footnote w:type="continuationSeparator" w:id="0">
    <w:p w14:paraId="2093500F" w14:textId="77777777" w:rsidR="004D1405" w:rsidRDefault="004D1405" w:rsidP="00262525">
      <w:pPr>
        <w:spacing w:after="0" w:line="240" w:lineRule="auto"/>
      </w:pPr>
      <w:r>
        <w:continuationSeparator/>
      </w:r>
    </w:p>
  </w:footnote>
  <w:footnote w:id="1">
    <w:p w14:paraId="0ED05B9D" w14:textId="127BAE9A" w:rsidR="000D7FF6" w:rsidRPr="00BF0B73" w:rsidRDefault="000D7FF6">
      <w:pPr>
        <w:pStyle w:val="Textonotapie"/>
        <w:rPr>
          <w:rFonts w:ascii="Arial" w:hAnsi="Arial" w:cs="Arial"/>
          <w:sz w:val="16"/>
          <w:szCs w:val="16"/>
        </w:rPr>
      </w:pPr>
      <w:r w:rsidRPr="00BF0B73">
        <w:rPr>
          <w:rStyle w:val="Refdenotaalpie"/>
          <w:rFonts w:ascii="Arial" w:hAnsi="Arial" w:cs="Arial"/>
          <w:sz w:val="16"/>
          <w:szCs w:val="16"/>
        </w:rPr>
        <w:footnoteRef/>
      </w:r>
      <w:r w:rsidRPr="00BF0B73">
        <w:rPr>
          <w:rFonts w:ascii="Arial" w:hAnsi="Arial" w:cs="Arial"/>
          <w:sz w:val="16"/>
          <w:szCs w:val="16"/>
        </w:rPr>
        <w:t xml:space="preserve"> Naciones Unidas. Resolución 57/277 </w:t>
      </w:r>
      <w:r w:rsidR="001334A3">
        <w:rPr>
          <w:rFonts w:ascii="Arial" w:hAnsi="Arial" w:cs="Arial"/>
          <w:sz w:val="16"/>
          <w:szCs w:val="16"/>
        </w:rPr>
        <w:t>«</w:t>
      </w:r>
      <w:r w:rsidRPr="00BF0B73">
        <w:rPr>
          <w:rFonts w:ascii="Arial" w:hAnsi="Arial" w:cs="Arial"/>
          <w:sz w:val="16"/>
          <w:szCs w:val="16"/>
        </w:rPr>
        <w:t>Administración pública y desarrollo</w:t>
      </w:r>
      <w:r w:rsidR="001334A3">
        <w:rPr>
          <w:rFonts w:ascii="Arial" w:hAnsi="Arial" w:cs="Arial"/>
          <w:sz w:val="16"/>
          <w:szCs w:val="16"/>
        </w:rPr>
        <w:t>»</w:t>
      </w:r>
      <w:r w:rsidRPr="00BF0B73">
        <w:rPr>
          <w:rFonts w:ascii="Arial" w:hAnsi="Arial" w:cs="Arial"/>
          <w:sz w:val="16"/>
          <w:szCs w:val="16"/>
        </w:rPr>
        <w:t>. Asamblea General. Marzo 2003.</w:t>
      </w:r>
    </w:p>
  </w:footnote>
  <w:footnote w:id="2">
    <w:p w14:paraId="790B750A" w14:textId="42C4551C" w:rsidR="00702D4A" w:rsidRPr="00BF0B73" w:rsidRDefault="00702D4A" w:rsidP="00702D4A">
      <w:pPr>
        <w:spacing w:after="0"/>
        <w:rPr>
          <w:rFonts w:ascii="Arial" w:hAnsi="Arial" w:cs="Arial"/>
          <w:sz w:val="16"/>
          <w:szCs w:val="16"/>
        </w:rPr>
      </w:pPr>
      <w:r w:rsidRPr="00BF0B73">
        <w:rPr>
          <w:rStyle w:val="Refdenotaalpie"/>
          <w:rFonts w:ascii="Arial" w:hAnsi="Arial" w:cs="Arial"/>
          <w:sz w:val="16"/>
          <w:szCs w:val="16"/>
        </w:rPr>
        <w:footnoteRef/>
      </w:r>
      <w:r w:rsidRPr="00BF0B73">
        <w:rPr>
          <w:rFonts w:ascii="Arial" w:hAnsi="Arial" w:cs="Arial"/>
          <w:sz w:val="16"/>
          <w:szCs w:val="16"/>
        </w:rPr>
        <w:t xml:space="preserve"> Estos programas</w:t>
      </w:r>
      <w:r>
        <w:rPr>
          <w:rFonts w:ascii="Arial" w:hAnsi="Arial" w:cs="Arial"/>
          <w:sz w:val="16"/>
          <w:szCs w:val="16"/>
        </w:rPr>
        <w:t xml:space="preserve"> de información</w:t>
      </w:r>
      <w:r w:rsidRPr="00BF0B73">
        <w:rPr>
          <w:rFonts w:ascii="Arial" w:hAnsi="Arial" w:cs="Arial"/>
          <w:sz w:val="16"/>
          <w:szCs w:val="16"/>
        </w:rPr>
        <w:t xml:space="preserve"> pueden consultar</w:t>
      </w:r>
      <w:r w:rsidR="000944CF">
        <w:rPr>
          <w:rFonts w:ascii="Arial" w:hAnsi="Arial" w:cs="Arial"/>
          <w:sz w:val="16"/>
          <w:szCs w:val="16"/>
        </w:rPr>
        <w:t>se</w:t>
      </w:r>
      <w:r w:rsidRPr="00BF0B73">
        <w:rPr>
          <w:rFonts w:ascii="Arial" w:hAnsi="Arial" w:cs="Arial"/>
          <w:sz w:val="16"/>
          <w:szCs w:val="16"/>
        </w:rPr>
        <w:t xml:space="preserve"> en los siguientes vínculos:</w:t>
      </w:r>
    </w:p>
    <w:p w14:paraId="4796069B" w14:textId="77777777" w:rsidR="00702D4A" w:rsidRPr="00BF0B73" w:rsidRDefault="00702D4A" w:rsidP="00702D4A">
      <w:pPr>
        <w:spacing w:after="0"/>
        <w:rPr>
          <w:rFonts w:ascii="Arial" w:hAnsi="Arial" w:cs="Arial"/>
          <w:sz w:val="16"/>
          <w:szCs w:val="16"/>
        </w:rPr>
      </w:pPr>
      <w:r w:rsidRPr="00BF0B73">
        <w:rPr>
          <w:rFonts w:ascii="Arial" w:hAnsi="Arial" w:cs="Arial"/>
          <w:sz w:val="16"/>
          <w:szCs w:val="16"/>
        </w:rPr>
        <w:t xml:space="preserve">Censo Nacional de Gobierno, Seguridad Pública y Sistema Penitenciario Estatal </w:t>
      </w:r>
      <w:hyperlink r:id="rId1" w:history="1">
        <w:r w:rsidRPr="00BF0B73">
          <w:rPr>
            <w:rStyle w:val="Hipervnculo"/>
            <w:rFonts w:ascii="Arial" w:hAnsi="Arial" w:cs="Arial"/>
            <w:sz w:val="16"/>
            <w:szCs w:val="16"/>
          </w:rPr>
          <w:t>https://www.inegi.org.mx/programas/cngspspe/2020/</w:t>
        </w:r>
      </w:hyperlink>
      <w:r w:rsidRPr="00BF0B73">
        <w:rPr>
          <w:rFonts w:ascii="Arial" w:hAnsi="Arial" w:cs="Arial"/>
          <w:sz w:val="16"/>
          <w:szCs w:val="16"/>
        </w:rPr>
        <w:t xml:space="preserve"> </w:t>
      </w:r>
    </w:p>
    <w:p w14:paraId="61883974" w14:textId="77777777" w:rsidR="00702D4A" w:rsidRPr="00BF0B73" w:rsidRDefault="00702D4A" w:rsidP="00702D4A">
      <w:pPr>
        <w:spacing w:after="0"/>
        <w:rPr>
          <w:rFonts w:ascii="Arial" w:hAnsi="Arial" w:cs="Arial"/>
          <w:sz w:val="16"/>
          <w:szCs w:val="16"/>
        </w:rPr>
      </w:pPr>
      <w:r w:rsidRPr="00BF0B73">
        <w:rPr>
          <w:rFonts w:ascii="Arial" w:hAnsi="Arial" w:cs="Arial"/>
          <w:sz w:val="16"/>
          <w:szCs w:val="16"/>
        </w:rPr>
        <w:t xml:space="preserve">Censo Nacional de Gobiernos Estatales </w:t>
      </w:r>
      <w:hyperlink r:id="rId2" w:history="1">
        <w:r w:rsidRPr="00BF0B73">
          <w:rPr>
            <w:rStyle w:val="Hipervnculo"/>
            <w:rFonts w:ascii="Arial" w:hAnsi="Arial" w:cs="Arial"/>
            <w:sz w:val="16"/>
            <w:szCs w:val="16"/>
          </w:rPr>
          <w:t>https://www.inegi.org.mx/programas/cnge/2021/</w:t>
        </w:r>
      </w:hyperlink>
      <w:r w:rsidRPr="00BF0B73">
        <w:rPr>
          <w:rFonts w:ascii="Arial" w:hAnsi="Arial" w:cs="Arial"/>
          <w:sz w:val="16"/>
          <w:szCs w:val="16"/>
        </w:rPr>
        <w:t xml:space="preserve"> </w:t>
      </w:r>
    </w:p>
    <w:p w14:paraId="42110C7B" w14:textId="77777777" w:rsidR="00702D4A" w:rsidRPr="00BF0B73" w:rsidRDefault="00702D4A" w:rsidP="00702D4A">
      <w:pPr>
        <w:spacing w:after="0"/>
        <w:rPr>
          <w:rFonts w:ascii="Arial" w:hAnsi="Arial" w:cs="Arial"/>
          <w:sz w:val="16"/>
          <w:szCs w:val="16"/>
        </w:rPr>
      </w:pPr>
      <w:r w:rsidRPr="00BF0B73">
        <w:rPr>
          <w:rFonts w:ascii="Arial" w:hAnsi="Arial" w:cs="Arial"/>
          <w:sz w:val="16"/>
          <w:szCs w:val="16"/>
        </w:rPr>
        <w:t xml:space="preserve">Censo Nacional de Gobiernos Municipales y Demarcaciones Territoriales de la Ciudad de México </w:t>
      </w:r>
      <w:hyperlink r:id="rId3" w:history="1">
        <w:r w:rsidRPr="00BF0B73">
          <w:rPr>
            <w:rStyle w:val="Hipervnculo"/>
            <w:rFonts w:ascii="Arial" w:hAnsi="Arial" w:cs="Arial"/>
            <w:sz w:val="16"/>
            <w:szCs w:val="16"/>
          </w:rPr>
          <w:t>https://www.inegi.org.mx/programas/cngmd/2021/</w:t>
        </w:r>
      </w:hyperlink>
      <w:r w:rsidRPr="00BF0B73">
        <w:rPr>
          <w:rFonts w:ascii="Arial" w:hAnsi="Arial" w:cs="Arial"/>
          <w:sz w:val="16"/>
          <w:szCs w:val="16"/>
        </w:rPr>
        <w:t xml:space="preserve"> </w:t>
      </w:r>
    </w:p>
    <w:p w14:paraId="23188F65" w14:textId="77777777" w:rsidR="00702D4A" w:rsidRPr="00BF0B73" w:rsidRDefault="00702D4A" w:rsidP="00702D4A">
      <w:pPr>
        <w:pStyle w:val="Textonotapie"/>
        <w:rPr>
          <w:rFonts w:ascii="Arial" w:hAnsi="Arial" w:cs="Arial"/>
          <w:sz w:val="16"/>
          <w:szCs w:val="16"/>
        </w:rPr>
      </w:pPr>
      <w:r w:rsidRPr="00BF0B73">
        <w:rPr>
          <w:rFonts w:ascii="Arial" w:hAnsi="Arial" w:cs="Arial"/>
          <w:sz w:val="16"/>
          <w:szCs w:val="16"/>
        </w:rPr>
        <w:t xml:space="preserve">Censo Nacional de Gobierno Federal </w:t>
      </w:r>
      <w:hyperlink r:id="rId4" w:history="1">
        <w:r w:rsidRPr="00BF0B73">
          <w:rPr>
            <w:rStyle w:val="Hipervnculo"/>
            <w:rFonts w:ascii="Arial" w:hAnsi="Arial" w:cs="Arial"/>
            <w:sz w:val="16"/>
            <w:szCs w:val="16"/>
          </w:rPr>
          <w:t>https://www.inegi.org.mx/programas/cngf/2021/</w:t>
        </w:r>
      </w:hyperlink>
    </w:p>
  </w:footnote>
  <w:footnote w:id="3">
    <w:p w14:paraId="09D28328" w14:textId="5D4C7208" w:rsidR="00727798" w:rsidRPr="00727798" w:rsidRDefault="00727798" w:rsidP="009B75D0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727798">
        <w:rPr>
          <w:rStyle w:val="Refdenotaalpie"/>
          <w:rFonts w:ascii="Arial" w:hAnsi="Arial" w:cs="Arial"/>
          <w:sz w:val="16"/>
          <w:szCs w:val="16"/>
        </w:rPr>
        <w:footnoteRef/>
      </w:r>
      <w:r w:rsidRPr="00727798">
        <w:rPr>
          <w:rFonts w:ascii="Arial" w:hAnsi="Arial" w:cs="Arial"/>
          <w:sz w:val="16"/>
          <w:szCs w:val="16"/>
        </w:rPr>
        <w:t xml:space="preserve"> </w:t>
      </w:r>
      <w:r w:rsidR="008E1F38">
        <w:rPr>
          <w:rFonts w:ascii="Arial" w:hAnsi="Arial" w:cs="Arial"/>
          <w:sz w:val="16"/>
          <w:szCs w:val="16"/>
        </w:rPr>
        <w:t xml:space="preserve">Con base en </w:t>
      </w:r>
      <w:r w:rsidRPr="00727798">
        <w:rPr>
          <w:rFonts w:ascii="Arial" w:hAnsi="Arial" w:cs="Arial"/>
          <w:sz w:val="16"/>
          <w:szCs w:val="16"/>
        </w:rPr>
        <w:t xml:space="preserve">la </w:t>
      </w:r>
      <w:r>
        <w:rPr>
          <w:rFonts w:ascii="Arial" w:hAnsi="Arial" w:cs="Arial"/>
          <w:sz w:val="16"/>
          <w:szCs w:val="16"/>
        </w:rPr>
        <w:t xml:space="preserve">Agenda 2030 de Desarrollo Sostenible, </w:t>
      </w:r>
      <w:r w:rsidR="009B75D0">
        <w:rPr>
          <w:rFonts w:ascii="Arial" w:hAnsi="Arial" w:cs="Arial"/>
          <w:sz w:val="16"/>
          <w:szCs w:val="16"/>
        </w:rPr>
        <w:t>la participación de las mujeres en las instituciones gubernentales es un indicador del</w:t>
      </w:r>
      <w:r w:rsidR="009B75D0" w:rsidRPr="009B75D0">
        <w:rPr>
          <w:rFonts w:ascii="Arial" w:hAnsi="Arial" w:cs="Arial"/>
          <w:sz w:val="16"/>
          <w:szCs w:val="16"/>
        </w:rPr>
        <w:t xml:space="preserve"> equilibrio de género</w:t>
      </w:r>
      <w:r w:rsidR="008E1F38">
        <w:rPr>
          <w:rFonts w:ascii="Arial" w:hAnsi="Arial" w:cs="Arial"/>
          <w:sz w:val="16"/>
          <w:szCs w:val="16"/>
        </w:rPr>
        <w:t xml:space="preserve"> que se ha alcanzado</w:t>
      </w:r>
      <w:r w:rsidR="009B75D0">
        <w:rPr>
          <w:rFonts w:ascii="Arial" w:hAnsi="Arial" w:cs="Arial"/>
          <w:sz w:val="16"/>
          <w:szCs w:val="16"/>
        </w:rPr>
        <w:t xml:space="preserve"> y abona a </w:t>
      </w:r>
      <w:r w:rsidR="00A27596">
        <w:rPr>
          <w:rFonts w:ascii="Arial" w:hAnsi="Arial" w:cs="Arial"/>
          <w:sz w:val="16"/>
          <w:szCs w:val="16"/>
        </w:rPr>
        <w:t>sociedades más inclusivas.</w:t>
      </w:r>
    </w:p>
  </w:footnote>
  <w:footnote w:id="4">
    <w:p w14:paraId="060F3A22" w14:textId="2430E35D" w:rsidR="00CD1581" w:rsidRPr="00CD1581" w:rsidRDefault="00CD1581">
      <w:pPr>
        <w:pStyle w:val="Textonotapie"/>
        <w:rPr>
          <w:rFonts w:ascii="Arial" w:hAnsi="Arial" w:cs="Arial"/>
          <w:sz w:val="16"/>
          <w:szCs w:val="16"/>
        </w:rPr>
      </w:pPr>
      <w:r w:rsidRPr="00CD1581">
        <w:rPr>
          <w:rStyle w:val="Refdenotaalpie"/>
          <w:rFonts w:ascii="Arial" w:hAnsi="Arial" w:cs="Arial"/>
          <w:sz w:val="16"/>
          <w:szCs w:val="16"/>
        </w:rPr>
        <w:footnoteRef/>
      </w:r>
      <w:r w:rsidRPr="00CD1581">
        <w:rPr>
          <w:rFonts w:ascii="Arial" w:hAnsi="Arial" w:cs="Arial"/>
          <w:sz w:val="16"/>
          <w:szCs w:val="16"/>
        </w:rPr>
        <w:t xml:space="preserve"> </w:t>
      </w:r>
      <w:r w:rsidRPr="00CD1581">
        <w:rPr>
          <w:rFonts w:ascii="Arial" w:hAnsi="Arial" w:cs="Arial"/>
          <w:sz w:val="16"/>
          <w:szCs w:val="16"/>
          <w:shd w:val="clear" w:color="auto" w:fill="FFFFFF"/>
        </w:rPr>
        <w:t xml:space="preserve">Para el total de titulares no se consideraron las vacantes, solo la suma de hombres, mujeres y </w:t>
      </w:r>
      <w:r w:rsidR="008D673B">
        <w:rPr>
          <w:rFonts w:ascii="Arial" w:hAnsi="Arial" w:cs="Arial"/>
          <w:sz w:val="16"/>
          <w:szCs w:val="16"/>
          <w:shd w:val="clear" w:color="auto" w:fill="FFFFFF"/>
        </w:rPr>
        <w:t xml:space="preserve">sexo </w:t>
      </w:r>
      <w:r w:rsidRPr="00CD1581">
        <w:rPr>
          <w:rFonts w:ascii="Arial" w:hAnsi="Arial" w:cs="Arial"/>
          <w:sz w:val="16"/>
          <w:szCs w:val="16"/>
          <w:shd w:val="clear" w:color="auto" w:fill="FFFFFF"/>
        </w:rPr>
        <w:t>no especificado.</w:t>
      </w:r>
    </w:p>
  </w:footnote>
  <w:footnote w:id="5">
    <w:p w14:paraId="03E0A5CE" w14:textId="6900A4EC" w:rsidR="00BF0B73" w:rsidRPr="00BF0B73" w:rsidRDefault="00BF0B73">
      <w:pPr>
        <w:pStyle w:val="Textonotapie"/>
        <w:rPr>
          <w:rFonts w:ascii="Arial" w:hAnsi="Arial" w:cs="Arial"/>
          <w:sz w:val="16"/>
          <w:szCs w:val="16"/>
        </w:rPr>
      </w:pPr>
      <w:r w:rsidRPr="00BF0B73">
        <w:rPr>
          <w:rStyle w:val="Refdenotaalpie"/>
          <w:rFonts w:ascii="Arial" w:hAnsi="Arial" w:cs="Arial"/>
          <w:sz w:val="16"/>
          <w:szCs w:val="16"/>
        </w:rPr>
        <w:footnoteRef/>
      </w:r>
      <w:r w:rsidRPr="00BF0B73">
        <w:rPr>
          <w:rFonts w:ascii="Arial" w:hAnsi="Arial" w:cs="Arial"/>
          <w:sz w:val="16"/>
          <w:szCs w:val="16"/>
        </w:rPr>
        <w:t xml:space="preserve"> </w:t>
      </w:r>
      <w:r w:rsidR="003B072D">
        <w:rPr>
          <w:rFonts w:ascii="Arial" w:hAnsi="Arial" w:cs="Arial"/>
          <w:sz w:val="16"/>
          <w:szCs w:val="16"/>
        </w:rPr>
        <w:t>Base 2020</w:t>
      </w:r>
      <w:r w:rsidR="00B32FB1">
        <w:rPr>
          <w:rFonts w:ascii="Arial" w:hAnsi="Arial" w:cs="Arial"/>
          <w:sz w:val="16"/>
          <w:szCs w:val="16"/>
        </w:rPr>
        <w:t>,</w:t>
      </w:r>
      <w:r w:rsidR="00DB21D9">
        <w:rPr>
          <w:rFonts w:ascii="Arial" w:hAnsi="Arial" w:cs="Arial"/>
          <w:sz w:val="16"/>
          <w:szCs w:val="16"/>
        </w:rPr>
        <w:t xml:space="preserve"> </w:t>
      </w:r>
      <w:r w:rsidR="008E1F38">
        <w:rPr>
          <w:rFonts w:ascii="Arial" w:hAnsi="Arial" w:cs="Arial"/>
          <w:sz w:val="16"/>
          <w:szCs w:val="16"/>
        </w:rPr>
        <w:t xml:space="preserve">con </w:t>
      </w:r>
      <w:r w:rsidR="00DB21D9">
        <w:rPr>
          <w:rFonts w:ascii="Arial" w:hAnsi="Arial" w:cs="Arial"/>
          <w:sz w:val="16"/>
          <w:szCs w:val="16"/>
        </w:rPr>
        <w:t>el Índice Nacional de Precios al Consumidor base 2013</w:t>
      </w:r>
      <w:r w:rsidR="008E1F38">
        <w:rPr>
          <w:rFonts w:ascii="Arial" w:hAnsi="Arial" w:cs="Arial"/>
          <w:sz w:val="16"/>
          <w:szCs w:val="16"/>
        </w:rPr>
        <w:t xml:space="preserve"> como deflactor</w:t>
      </w:r>
      <w:r w:rsidR="00DB21D9">
        <w:rPr>
          <w:rFonts w:ascii="Arial" w:hAnsi="Arial" w:cs="Arial"/>
          <w:sz w:val="16"/>
          <w:szCs w:val="16"/>
        </w:rPr>
        <w:t>.</w:t>
      </w:r>
    </w:p>
  </w:footnote>
  <w:footnote w:id="6">
    <w:p w14:paraId="2A756402" w14:textId="77777777" w:rsidR="00CE16FE" w:rsidRPr="00BF0B73" w:rsidRDefault="00CE16FE" w:rsidP="00CE16FE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BF0B73">
        <w:rPr>
          <w:rStyle w:val="Refdenotaalpie"/>
          <w:rFonts w:ascii="Arial" w:hAnsi="Arial" w:cs="Arial"/>
          <w:sz w:val="16"/>
          <w:szCs w:val="16"/>
        </w:rPr>
        <w:footnoteRef/>
      </w:r>
      <w:r w:rsidRPr="00BF0B73">
        <w:rPr>
          <w:rFonts w:ascii="Arial" w:hAnsi="Arial" w:cs="Arial"/>
          <w:sz w:val="16"/>
          <w:szCs w:val="16"/>
        </w:rPr>
        <w:t xml:space="preserve"> Como mejores prácticas destaca la </w:t>
      </w:r>
      <w:r w:rsidRPr="00BF0B73">
        <w:rPr>
          <w:rFonts w:ascii="Arial" w:hAnsi="Arial" w:cs="Arial"/>
          <w:i/>
          <w:iCs/>
          <w:sz w:val="16"/>
          <w:szCs w:val="16"/>
        </w:rPr>
        <w:t>Convención de las Naciones Unidas para prevenir la Corrupción</w:t>
      </w:r>
      <w:r w:rsidRPr="00BF0B73">
        <w:rPr>
          <w:rFonts w:ascii="Arial" w:hAnsi="Arial" w:cs="Arial"/>
          <w:sz w:val="16"/>
          <w:szCs w:val="16"/>
        </w:rPr>
        <w:t xml:space="preserve"> y la </w:t>
      </w:r>
      <w:r w:rsidRPr="00BF0B73">
        <w:rPr>
          <w:rFonts w:ascii="Arial" w:hAnsi="Arial" w:cs="Arial"/>
          <w:i/>
          <w:iCs/>
          <w:sz w:val="16"/>
          <w:szCs w:val="16"/>
        </w:rPr>
        <w:t>Recomendación del Consejo sobre Contratación Pública</w:t>
      </w:r>
      <w:r w:rsidRPr="00BF0B73">
        <w:rPr>
          <w:rFonts w:ascii="Arial" w:hAnsi="Arial" w:cs="Arial"/>
          <w:sz w:val="16"/>
          <w:szCs w:val="16"/>
        </w:rPr>
        <w:t xml:space="preserve"> desarrollado por la Organización para la Cooperación y el Desarrollo Económicos (OCDE).</w:t>
      </w:r>
    </w:p>
  </w:footnote>
  <w:footnote w:id="7">
    <w:p w14:paraId="3BFB099B" w14:textId="3E36681F" w:rsidR="0067638E" w:rsidRPr="00BF0B73" w:rsidRDefault="0067638E" w:rsidP="0067638E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BF0B73">
        <w:rPr>
          <w:rStyle w:val="Refdenotaalpie"/>
          <w:rFonts w:ascii="Arial" w:hAnsi="Arial" w:cs="Arial"/>
          <w:sz w:val="16"/>
          <w:szCs w:val="16"/>
        </w:rPr>
        <w:footnoteRef/>
      </w:r>
      <w:r w:rsidRPr="00BF0B73">
        <w:rPr>
          <w:rFonts w:ascii="Arial" w:hAnsi="Arial" w:cs="Arial"/>
          <w:sz w:val="16"/>
          <w:szCs w:val="16"/>
        </w:rPr>
        <w:t xml:space="preserve"> Incluye tanto contrataciones por adquisiciones, arrendamientos y servicios, como contrataciones de obra pública y servicios relacionados con las mismas.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DFB6" w14:textId="689FAE68" w:rsidR="00262525" w:rsidRPr="00914A5B" w:rsidRDefault="00262525" w:rsidP="00262525">
    <w:pPr>
      <w:pStyle w:val="Encabezado"/>
      <w:tabs>
        <w:tab w:val="clear" w:pos="4419"/>
        <w:tab w:val="clear" w:pos="8838"/>
      </w:tabs>
      <w:ind w:left="-567" w:right="49"/>
      <w:jc w:val="right"/>
      <w:rPr>
        <w:rFonts w:ascii="Arial" w:hAnsi="Arial"/>
        <w:b/>
        <w:color w:val="002060"/>
        <w:sz w:val="26"/>
        <w:lang w:val="pt-BR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9428FCE" wp14:editId="2993A216">
          <wp:simplePos x="0" y="0"/>
          <wp:positionH relativeFrom="margin">
            <wp:posOffset>18415</wp:posOffset>
          </wp:positionH>
          <wp:positionV relativeFrom="margin">
            <wp:posOffset>-866775</wp:posOffset>
          </wp:positionV>
          <wp:extent cx="695325" cy="721995"/>
          <wp:effectExtent l="0" t="0" r="9525" b="1905"/>
          <wp:wrapSquare wrapText="bothSides"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3139">
      <w:rPr>
        <w:rFonts w:ascii="Arial" w:hAnsi="Arial"/>
        <w:b/>
        <w:color w:val="002060"/>
        <w:sz w:val="24"/>
      </w:rPr>
      <w:t xml:space="preserve"> </w:t>
    </w:r>
    <w:r w:rsidRPr="00914A5B">
      <w:rPr>
        <w:rFonts w:ascii="Arial" w:hAnsi="Arial"/>
        <w:b/>
        <w:color w:val="002060"/>
        <w:sz w:val="24"/>
      </w:rPr>
      <w:t xml:space="preserve">COMUNICADO DE PRENSA NÚM. </w:t>
    </w:r>
    <w:r w:rsidR="00D04767">
      <w:rPr>
        <w:rFonts w:ascii="Arial" w:hAnsi="Arial"/>
        <w:b/>
        <w:color w:val="002060"/>
        <w:sz w:val="24"/>
      </w:rPr>
      <w:t>329</w:t>
    </w:r>
    <w:r w:rsidRPr="00914A5B">
      <w:rPr>
        <w:rFonts w:ascii="Arial" w:hAnsi="Arial"/>
        <w:b/>
        <w:color w:val="002060"/>
        <w:sz w:val="24"/>
      </w:rPr>
      <w:t>/</w:t>
    </w:r>
    <w:r w:rsidR="00D04767">
      <w:rPr>
        <w:rFonts w:ascii="Arial" w:hAnsi="Arial"/>
        <w:b/>
        <w:color w:val="002060"/>
        <w:sz w:val="24"/>
      </w:rPr>
      <w:t>22</w:t>
    </w:r>
  </w:p>
  <w:p w14:paraId="218FF2B4" w14:textId="63B8C758" w:rsidR="00262525" w:rsidRPr="00914A5B" w:rsidRDefault="00315E96" w:rsidP="00262525">
    <w:pPr>
      <w:pStyle w:val="Encabezado"/>
      <w:tabs>
        <w:tab w:val="clear" w:pos="4419"/>
        <w:tab w:val="clear" w:pos="8838"/>
      </w:tabs>
      <w:ind w:left="-567" w:right="49"/>
      <w:jc w:val="right"/>
      <w:rPr>
        <w:rFonts w:ascii="Arial" w:hAnsi="Arial"/>
        <w:b/>
        <w:color w:val="002060"/>
        <w:sz w:val="26"/>
        <w:lang w:val="pt-BR"/>
      </w:rPr>
    </w:pPr>
    <w:r>
      <w:rPr>
        <w:rFonts w:ascii="Arial" w:hAnsi="Arial"/>
        <w:b/>
        <w:color w:val="002060"/>
        <w:sz w:val="24"/>
        <w:lang w:val="pt-BR"/>
      </w:rPr>
      <w:t>21</w:t>
    </w:r>
    <w:r w:rsidR="00262525" w:rsidRPr="00914A5B">
      <w:rPr>
        <w:rFonts w:ascii="Arial" w:hAnsi="Arial"/>
        <w:b/>
        <w:color w:val="002060"/>
        <w:sz w:val="24"/>
        <w:lang w:val="pt-BR"/>
      </w:rPr>
      <w:t xml:space="preserve"> DE JUNIO DE 202</w:t>
    </w:r>
    <w:r w:rsidR="00262525">
      <w:rPr>
        <w:rFonts w:ascii="Arial" w:hAnsi="Arial"/>
        <w:b/>
        <w:color w:val="002060"/>
        <w:sz w:val="24"/>
        <w:lang w:val="pt-BR"/>
      </w:rPr>
      <w:t>2</w:t>
    </w:r>
  </w:p>
  <w:p w14:paraId="2A5EB5F7" w14:textId="2BBC82A8" w:rsidR="00262525" w:rsidRPr="00914A5B" w:rsidRDefault="00262525" w:rsidP="00262525">
    <w:pPr>
      <w:pStyle w:val="Encabezado"/>
      <w:tabs>
        <w:tab w:val="clear" w:pos="4419"/>
        <w:tab w:val="clear" w:pos="8838"/>
      </w:tabs>
      <w:ind w:left="-567" w:right="49"/>
      <w:jc w:val="right"/>
      <w:rPr>
        <w:rFonts w:ascii="Arial" w:hAnsi="Arial"/>
        <w:b/>
        <w:color w:val="002060"/>
        <w:sz w:val="24"/>
      </w:rPr>
    </w:pPr>
    <w:r w:rsidRPr="00914A5B">
      <w:rPr>
        <w:rFonts w:ascii="Arial" w:hAnsi="Arial"/>
        <w:b/>
        <w:color w:val="002060"/>
        <w:sz w:val="24"/>
      </w:rPr>
      <w:t xml:space="preserve">PÁGINA </w:t>
    </w:r>
    <w:r w:rsidRPr="00914A5B">
      <w:rPr>
        <w:rFonts w:ascii="Arial" w:hAnsi="Arial"/>
        <w:b/>
        <w:color w:val="002060"/>
        <w:sz w:val="24"/>
      </w:rPr>
      <w:fldChar w:fldCharType="begin"/>
    </w:r>
    <w:r w:rsidRPr="00914A5B">
      <w:rPr>
        <w:rFonts w:ascii="Arial" w:hAnsi="Arial"/>
        <w:b/>
        <w:color w:val="002060"/>
        <w:sz w:val="24"/>
      </w:rPr>
      <w:instrText xml:space="preserve"> PAGE  \* Arabic </w:instrText>
    </w:r>
    <w:r w:rsidRPr="00914A5B">
      <w:rPr>
        <w:rFonts w:ascii="Arial" w:hAnsi="Arial"/>
        <w:b/>
        <w:color w:val="002060"/>
        <w:sz w:val="24"/>
      </w:rPr>
      <w:fldChar w:fldCharType="separate"/>
    </w:r>
    <w:r>
      <w:rPr>
        <w:rFonts w:ascii="Arial" w:hAnsi="Arial"/>
        <w:b/>
        <w:color w:val="002060"/>
        <w:sz w:val="24"/>
      </w:rPr>
      <w:t>1</w:t>
    </w:r>
    <w:r w:rsidRPr="00914A5B">
      <w:rPr>
        <w:rFonts w:ascii="Arial" w:hAnsi="Arial"/>
        <w:b/>
        <w:color w:val="002060"/>
        <w:sz w:val="24"/>
      </w:rPr>
      <w:fldChar w:fldCharType="end"/>
    </w:r>
    <w:r w:rsidRPr="00914A5B">
      <w:rPr>
        <w:rFonts w:ascii="Arial" w:hAnsi="Arial"/>
        <w:b/>
        <w:color w:val="002060"/>
        <w:sz w:val="24"/>
      </w:rPr>
      <w:t>/</w:t>
    </w:r>
    <w:r w:rsidR="00A016CD">
      <w:rPr>
        <w:rFonts w:ascii="Arial" w:hAnsi="Arial"/>
        <w:b/>
        <w:color w:val="002060"/>
        <w:sz w:val="24"/>
      </w:rPr>
      <w:t>9</w:t>
    </w:r>
  </w:p>
  <w:p w14:paraId="0E777EA7" w14:textId="77777777" w:rsidR="00262525" w:rsidRPr="004B64BD" w:rsidRDefault="00262525" w:rsidP="00262525">
    <w:pPr>
      <w:pStyle w:val="Encabezado"/>
      <w:tabs>
        <w:tab w:val="clear" w:pos="4419"/>
        <w:tab w:val="clear" w:pos="8838"/>
      </w:tabs>
      <w:ind w:left="567" w:right="-518" w:hanging="11"/>
      <w:jc w:val="right"/>
      <w:rPr>
        <w:rFonts w:ascii="Arial" w:hAnsi="Arial" w:cs="Arial"/>
        <w:b/>
        <w:color w:val="002060"/>
        <w:sz w:val="24"/>
        <w:szCs w:val="24"/>
      </w:rPr>
    </w:pPr>
  </w:p>
  <w:p w14:paraId="24550305" w14:textId="77777777" w:rsidR="00262525" w:rsidRDefault="002625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84C"/>
    <w:multiLevelType w:val="hybridMultilevel"/>
    <w:tmpl w:val="F850D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209F"/>
    <w:multiLevelType w:val="hybridMultilevel"/>
    <w:tmpl w:val="CF34AF3A"/>
    <w:lvl w:ilvl="0" w:tplc="3BB2A7E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2912FD"/>
    <w:multiLevelType w:val="hybridMultilevel"/>
    <w:tmpl w:val="56AC9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A7DF1"/>
    <w:multiLevelType w:val="hybridMultilevel"/>
    <w:tmpl w:val="CCF0BC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071120">
    <w:abstractNumId w:val="0"/>
  </w:num>
  <w:num w:numId="2" w16cid:durableId="560291648">
    <w:abstractNumId w:val="2"/>
  </w:num>
  <w:num w:numId="3" w16cid:durableId="900751685">
    <w:abstractNumId w:val="3"/>
  </w:num>
  <w:num w:numId="4" w16cid:durableId="689987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9E"/>
    <w:rsid w:val="00004B7A"/>
    <w:rsid w:val="0000709E"/>
    <w:rsid w:val="00017474"/>
    <w:rsid w:val="0002187B"/>
    <w:rsid w:val="00027F7A"/>
    <w:rsid w:val="00031F1F"/>
    <w:rsid w:val="000367B9"/>
    <w:rsid w:val="000450C4"/>
    <w:rsid w:val="0004677D"/>
    <w:rsid w:val="00050A99"/>
    <w:rsid w:val="00052028"/>
    <w:rsid w:val="0005781E"/>
    <w:rsid w:val="00064FB6"/>
    <w:rsid w:val="00070E85"/>
    <w:rsid w:val="00071938"/>
    <w:rsid w:val="0007322F"/>
    <w:rsid w:val="00073C3F"/>
    <w:rsid w:val="00075A85"/>
    <w:rsid w:val="00077C9B"/>
    <w:rsid w:val="00081C31"/>
    <w:rsid w:val="000847B0"/>
    <w:rsid w:val="00086976"/>
    <w:rsid w:val="000944CF"/>
    <w:rsid w:val="00097C62"/>
    <w:rsid w:val="000B02A0"/>
    <w:rsid w:val="000B2003"/>
    <w:rsid w:val="000B3B52"/>
    <w:rsid w:val="000B6FD0"/>
    <w:rsid w:val="000C1D2E"/>
    <w:rsid w:val="000C5689"/>
    <w:rsid w:val="000D0CDD"/>
    <w:rsid w:val="000D4276"/>
    <w:rsid w:val="000D49E6"/>
    <w:rsid w:val="000D7FF6"/>
    <w:rsid w:val="000E0EF8"/>
    <w:rsid w:val="000E2BBF"/>
    <w:rsid w:val="000E6071"/>
    <w:rsid w:val="000E70A6"/>
    <w:rsid w:val="000F08C2"/>
    <w:rsid w:val="000F210E"/>
    <w:rsid w:val="000F4A3A"/>
    <w:rsid w:val="000F62D9"/>
    <w:rsid w:val="00100725"/>
    <w:rsid w:val="00110BAE"/>
    <w:rsid w:val="00113E5A"/>
    <w:rsid w:val="001142AC"/>
    <w:rsid w:val="00130083"/>
    <w:rsid w:val="001304B0"/>
    <w:rsid w:val="001334A3"/>
    <w:rsid w:val="0013389A"/>
    <w:rsid w:val="00133B0A"/>
    <w:rsid w:val="00135D9C"/>
    <w:rsid w:val="00146B4C"/>
    <w:rsid w:val="00160BD6"/>
    <w:rsid w:val="00163657"/>
    <w:rsid w:val="00166829"/>
    <w:rsid w:val="00172DAA"/>
    <w:rsid w:val="00173963"/>
    <w:rsid w:val="00174B91"/>
    <w:rsid w:val="00177BAA"/>
    <w:rsid w:val="001803E7"/>
    <w:rsid w:val="00185CF2"/>
    <w:rsid w:val="001872D6"/>
    <w:rsid w:val="00192BCC"/>
    <w:rsid w:val="00195FC2"/>
    <w:rsid w:val="001B1722"/>
    <w:rsid w:val="001B583E"/>
    <w:rsid w:val="001B6AD6"/>
    <w:rsid w:val="001E32DC"/>
    <w:rsid w:val="001E5503"/>
    <w:rsid w:val="001F5FB2"/>
    <w:rsid w:val="001F63AB"/>
    <w:rsid w:val="00205435"/>
    <w:rsid w:val="00206A52"/>
    <w:rsid w:val="00207ECD"/>
    <w:rsid w:val="002118FF"/>
    <w:rsid w:val="00212182"/>
    <w:rsid w:val="00222F53"/>
    <w:rsid w:val="00223D42"/>
    <w:rsid w:val="00234CAF"/>
    <w:rsid w:val="002406E1"/>
    <w:rsid w:val="00245449"/>
    <w:rsid w:val="00260668"/>
    <w:rsid w:val="00262525"/>
    <w:rsid w:val="002850DC"/>
    <w:rsid w:val="00285182"/>
    <w:rsid w:val="0028587D"/>
    <w:rsid w:val="00286AE1"/>
    <w:rsid w:val="00287BCD"/>
    <w:rsid w:val="002973C6"/>
    <w:rsid w:val="002A1A84"/>
    <w:rsid w:val="002C01DC"/>
    <w:rsid w:val="002D2FFC"/>
    <w:rsid w:val="002D733A"/>
    <w:rsid w:val="002E43CD"/>
    <w:rsid w:val="002E7192"/>
    <w:rsid w:val="002E7E75"/>
    <w:rsid w:val="0030345C"/>
    <w:rsid w:val="00307E74"/>
    <w:rsid w:val="00311BB5"/>
    <w:rsid w:val="00314AA0"/>
    <w:rsid w:val="00315E96"/>
    <w:rsid w:val="00322290"/>
    <w:rsid w:val="00322FCC"/>
    <w:rsid w:val="00324046"/>
    <w:rsid w:val="003275F3"/>
    <w:rsid w:val="003402BE"/>
    <w:rsid w:val="003415E3"/>
    <w:rsid w:val="00374712"/>
    <w:rsid w:val="00374FD1"/>
    <w:rsid w:val="00381B63"/>
    <w:rsid w:val="00382038"/>
    <w:rsid w:val="00387A79"/>
    <w:rsid w:val="003A0989"/>
    <w:rsid w:val="003A1653"/>
    <w:rsid w:val="003A44B9"/>
    <w:rsid w:val="003B072D"/>
    <w:rsid w:val="003B0EA4"/>
    <w:rsid w:val="003B2BA6"/>
    <w:rsid w:val="003B5C91"/>
    <w:rsid w:val="003C0162"/>
    <w:rsid w:val="003C1346"/>
    <w:rsid w:val="003C5D19"/>
    <w:rsid w:val="003C61C1"/>
    <w:rsid w:val="003D41D4"/>
    <w:rsid w:val="003E418B"/>
    <w:rsid w:val="003E6663"/>
    <w:rsid w:val="003F14D6"/>
    <w:rsid w:val="003F3BED"/>
    <w:rsid w:val="00400625"/>
    <w:rsid w:val="004008B8"/>
    <w:rsid w:val="00411A45"/>
    <w:rsid w:val="00411D3C"/>
    <w:rsid w:val="004126BA"/>
    <w:rsid w:val="0041593E"/>
    <w:rsid w:val="004171ED"/>
    <w:rsid w:val="00421AD0"/>
    <w:rsid w:val="004324CD"/>
    <w:rsid w:val="0044337B"/>
    <w:rsid w:val="00445343"/>
    <w:rsid w:val="00446938"/>
    <w:rsid w:val="004501EC"/>
    <w:rsid w:val="00462C33"/>
    <w:rsid w:val="00467659"/>
    <w:rsid w:val="0047355B"/>
    <w:rsid w:val="00474DF7"/>
    <w:rsid w:val="004812AF"/>
    <w:rsid w:val="004844EF"/>
    <w:rsid w:val="004968E6"/>
    <w:rsid w:val="004A2C24"/>
    <w:rsid w:val="004B6464"/>
    <w:rsid w:val="004C02CC"/>
    <w:rsid w:val="004C1649"/>
    <w:rsid w:val="004C58A1"/>
    <w:rsid w:val="004D1405"/>
    <w:rsid w:val="004E083E"/>
    <w:rsid w:val="004E0FDF"/>
    <w:rsid w:val="004E1D1A"/>
    <w:rsid w:val="004E5CCE"/>
    <w:rsid w:val="004F7B04"/>
    <w:rsid w:val="00507E0D"/>
    <w:rsid w:val="005150D1"/>
    <w:rsid w:val="00517176"/>
    <w:rsid w:val="00522923"/>
    <w:rsid w:val="0052689A"/>
    <w:rsid w:val="00531875"/>
    <w:rsid w:val="00535461"/>
    <w:rsid w:val="005373FC"/>
    <w:rsid w:val="005418BC"/>
    <w:rsid w:val="005465C3"/>
    <w:rsid w:val="00547494"/>
    <w:rsid w:val="00550311"/>
    <w:rsid w:val="005511ED"/>
    <w:rsid w:val="00553AF9"/>
    <w:rsid w:val="005569A5"/>
    <w:rsid w:val="00565630"/>
    <w:rsid w:val="00573A3B"/>
    <w:rsid w:val="00573BF9"/>
    <w:rsid w:val="00576FA1"/>
    <w:rsid w:val="005816AD"/>
    <w:rsid w:val="00581CDE"/>
    <w:rsid w:val="00584FD9"/>
    <w:rsid w:val="005931E7"/>
    <w:rsid w:val="005934A1"/>
    <w:rsid w:val="0059494F"/>
    <w:rsid w:val="005969DF"/>
    <w:rsid w:val="005A2E86"/>
    <w:rsid w:val="005B3F9B"/>
    <w:rsid w:val="005B5327"/>
    <w:rsid w:val="005C65D6"/>
    <w:rsid w:val="005D4602"/>
    <w:rsid w:val="005E120E"/>
    <w:rsid w:val="005F3017"/>
    <w:rsid w:val="005F5311"/>
    <w:rsid w:val="00600206"/>
    <w:rsid w:val="0060165F"/>
    <w:rsid w:val="006046B8"/>
    <w:rsid w:val="00606C9B"/>
    <w:rsid w:val="00610B4A"/>
    <w:rsid w:val="006132B5"/>
    <w:rsid w:val="00620FDD"/>
    <w:rsid w:val="00621D80"/>
    <w:rsid w:val="00623171"/>
    <w:rsid w:val="00643BFA"/>
    <w:rsid w:val="00661461"/>
    <w:rsid w:val="0066360A"/>
    <w:rsid w:val="00664020"/>
    <w:rsid w:val="006731F1"/>
    <w:rsid w:val="00675B58"/>
    <w:rsid w:val="0067638E"/>
    <w:rsid w:val="00697667"/>
    <w:rsid w:val="0069798C"/>
    <w:rsid w:val="006A525C"/>
    <w:rsid w:val="006A6535"/>
    <w:rsid w:val="006B41B7"/>
    <w:rsid w:val="006B7932"/>
    <w:rsid w:val="006B7FCC"/>
    <w:rsid w:val="006C3CC8"/>
    <w:rsid w:val="006C4386"/>
    <w:rsid w:val="006C5C8F"/>
    <w:rsid w:val="006D425A"/>
    <w:rsid w:val="006D4A95"/>
    <w:rsid w:val="006D629B"/>
    <w:rsid w:val="006E0A6C"/>
    <w:rsid w:val="006E2F72"/>
    <w:rsid w:val="006F00C3"/>
    <w:rsid w:val="006F1676"/>
    <w:rsid w:val="006F29E3"/>
    <w:rsid w:val="00702068"/>
    <w:rsid w:val="00702D4A"/>
    <w:rsid w:val="00706AA1"/>
    <w:rsid w:val="00713561"/>
    <w:rsid w:val="0072313D"/>
    <w:rsid w:val="00727798"/>
    <w:rsid w:val="00732181"/>
    <w:rsid w:val="00734071"/>
    <w:rsid w:val="0073454F"/>
    <w:rsid w:val="0074203C"/>
    <w:rsid w:val="0074740E"/>
    <w:rsid w:val="007539AB"/>
    <w:rsid w:val="00755413"/>
    <w:rsid w:val="007557C2"/>
    <w:rsid w:val="00757553"/>
    <w:rsid w:val="00757B1D"/>
    <w:rsid w:val="007663B8"/>
    <w:rsid w:val="007818FE"/>
    <w:rsid w:val="00793E4F"/>
    <w:rsid w:val="007953C8"/>
    <w:rsid w:val="007A4015"/>
    <w:rsid w:val="007A580E"/>
    <w:rsid w:val="007B64D0"/>
    <w:rsid w:val="007C6D95"/>
    <w:rsid w:val="007D07B5"/>
    <w:rsid w:val="007D779F"/>
    <w:rsid w:val="007E1730"/>
    <w:rsid w:val="007E2906"/>
    <w:rsid w:val="007F1C28"/>
    <w:rsid w:val="007F2632"/>
    <w:rsid w:val="007F52F7"/>
    <w:rsid w:val="007F7F97"/>
    <w:rsid w:val="00800622"/>
    <w:rsid w:val="00801EBA"/>
    <w:rsid w:val="00803EC7"/>
    <w:rsid w:val="008078C9"/>
    <w:rsid w:val="008107BE"/>
    <w:rsid w:val="00813005"/>
    <w:rsid w:val="0081647A"/>
    <w:rsid w:val="00816641"/>
    <w:rsid w:val="008174D4"/>
    <w:rsid w:val="00830C39"/>
    <w:rsid w:val="00831716"/>
    <w:rsid w:val="008325B5"/>
    <w:rsid w:val="008354F5"/>
    <w:rsid w:val="00843FB2"/>
    <w:rsid w:val="008519EB"/>
    <w:rsid w:val="0085369F"/>
    <w:rsid w:val="008604EE"/>
    <w:rsid w:val="00861E4F"/>
    <w:rsid w:val="008648E8"/>
    <w:rsid w:val="00866A77"/>
    <w:rsid w:val="00866B5B"/>
    <w:rsid w:val="00870CC2"/>
    <w:rsid w:val="00893A95"/>
    <w:rsid w:val="00897F30"/>
    <w:rsid w:val="008A0CE3"/>
    <w:rsid w:val="008A2EBD"/>
    <w:rsid w:val="008A2FB0"/>
    <w:rsid w:val="008B2DE2"/>
    <w:rsid w:val="008B5632"/>
    <w:rsid w:val="008D0E77"/>
    <w:rsid w:val="008D673B"/>
    <w:rsid w:val="008D796B"/>
    <w:rsid w:val="008D7C0E"/>
    <w:rsid w:val="008E0EE0"/>
    <w:rsid w:val="008E1F38"/>
    <w:rsid w:val="008E2F8E"/>
    <w:rsid w:val="008E4CF5"/>
    <w:rsid w:val="008E562F"/>
    <w:rsid w:val="008F1FC2"/>
    <w:rsid w:val="008F66EE"/>
    <w:rsid w:val="008F7946"/>
    <w:rsid w:val="00900420"/>
    <w:rsid w:val="00901D5F"/>
    <w:rsid w:val="00905A64"/>
    <w:rsid w:val="00912536"/>
    <w:rsid w:val="00921A27"/>
    <w:rsid w:val="009226E3"/>
    <w:rsid w:val="0092366A"/>
    <w:rsid w:val="00923A1E"/>
    <w:rsid w:val="00923B26"/>
    <w:rsid w:val="00931836"/>
    <w:rsid w:val="00935B66"/>
    <w:rsid w:val="009360FD"/>
    <w:rsid w:val="0093701B"/>
    <w:rsid w:val="009372AD"/>
    <w:rsid w:val="00937B4E"/>
    <w:rsid w:val="009415AF"/>
    <w:rsid w:val="00942346"/>
    <w:rsid w:val="00952E9E"/>
    <w:rsid w:val="0095334B"/>
    <w:rsid w:val="0095504F"/>
    <w:rsid w:val="00956A24"/>
    <w:rsid w:val="00957CD1"/>
    <w:rsid w:val="0096054D"/>
    <w:rsid w:val="00963049"/>
    <w:rsid w:val="0097175D"/>
    <w:rsid w:val="00982C58"/>
    <w:rsid w:val="00985E97"/>
    <w:rsid w:val="00986036"/>
    <w:rsid w:val="00986A0D"/>
    <w:rsid w:val="00991C4B"/>
    <w:rsid w:val="00997B2E"/>
    <w:rsid w:val="009A05B7"/>
    <w:rsid w:val="009A1295"/>
    <w:rsid w:val="009A3B6C"/>
    <w:rsid w:val="009A5D36"/>
    <w:rsid w:val="009B57D4"/>
    <w:rsid w:val="009B5864"/>
    <w:rsid w:val="009B75D0"/>
    <w:rsid w:val="009C19E9"/>
    <w:rsid w:val="009C2C7D"/>
    <w:rsid w:val="009C41E0"/>
    <w:rsid w:val="009D258A"/>
    <w:rsid w:val="009D40A5"/>
    <w:rsid w:val="009D4243"/>
    <w:rsid w:val="009F3AE1"/>
    <w:rsid w:val="00A00FF5"/>
    <w:rsid w:val="00A016CD"/>
    <w:rsid w:val="00A06FA2"/>
    <w:rsid w:val="00A27596"/>
    <w:rsid w:val="00A32B55"/>
    <w:rsid w:val="00A32EB1"/>
    <w:rsid w:val="00A407C7"/>
    <w:rsid w:val="00A41766"/>
    <w:rsid w:val="00A41DF2"/>
    <w:rsid w:val="00A4522C"/>
    <w:rsid w:val="00A515CA"/>
    <w:rsid w:val="00A55178"/>
    <w:rsid w:val="00A85B63"/>
    <w:rsid w:val="00A90CC7"/>
    <w:rsid w:val="00A9259E"/>
    <w:rsid w:val="00A9620F"/>
    <w:rsid w:val="00AA6765"/>
    <w:rsid w:val="00AA684F"/>
    <w:rsid w:val="00AA7DD8"/>
    <w:rsid w:val="00AB1D0C"/>
    <w:rsid w:val="00AB7D57"/>
    <w:rsid w:val="00AC0D17"/>
    <w:rsid w:val="00AC3061"/>
    <w:rsid w:val="00AD0079"/>
    <w:rsid w:val="00AD2E32"/>
    <w:rsid w:val="00AD34F9"/>
    <w:rsid w:val="00AD7166"/>
    <w:rsid w:val="00AE168B"/>
    <w:rsid w:val="00AE4CE8"/>
    <w:rsid w:val="00AE5BDF"/>
    <w:rsid w:val="00AE73C1"/>
    <w:rsid w:val="00AF299F"/>
    <w:rsid w:val="00AF654C"/>
    <w:rsid w:val="00B0134D"/>
    <w:rsid w:val="00B05524"/>
    <w:rsid w:val="00B12492"/>
    <w:rsid w:val="00B17BD7"/>
    <w:rsid w:val="00B32FB1"/>
    <w:rsid w:val="00B37017"/>
    <w:rsid w:val="00B47ADC"/>
    <w:rsid w:val="00B556C8"/>
    <w:rsid w:val="00B55957"/>
    <w:rsid w:val="00B56C5D"/>
    <w:rsid w:val="00B66378"/>
    <w:rsid w:val="00B66D56"/>
    <w:rsid w:val="00B70DC6"/>
    <w:rsid w:val="00B715D4"/>
    <w:rsid w:val="00B719AE"/>
    <w:rsid w:val="00B72225"/>
    <w:rsid w:val="00B76021"/>
    <w:rsid w:val="00B76484"/>
    <w:rsid w:val="00B96015"/>
    <w:rsid w:val="00BA5CDE"/>
    <w:rsid w:val="00BA6F0A"/>
    <w:rsid w:val="00BB2DDF"/>
    <w:rsid w:val="00BB43E5"/>
    <w:rsid w:val="00BD307C"/>
    <w:rsid w:val="00BD3C9A"/>
    <w:rsid w:val="00BD66C3"/>
    <w:rsid w:val="00BD6D0C"/>
    <w:rsid w:val="00BF0B73"/>
    <w:rsid w:val="00BF2F6A"/>
    <w:rsid w:val="00BF33E3"/>
    <w:rsid w:val="00BF75E9"/>
    <w:rsid w:val="00C0034C"/>
    <w:rsid w:val="00C03339"/>
    <w:rsid w:val="00C133EC"/>
    <w:rsid w:val="00C15324"/>
    <w:rsid w:val="00C1603B"/>
    <w:rsid w:val="00C20739"/>
    <w:rsid w:val="00C222B3"/>
    <w:rsid w:val="00C2272E"/>
    <w:rsid w:val="00C232E4"/>
    <w:rsid w:val="00C371FF"/>
    <w:rsid w:val="00C4578B"/>
    <w:rsid w:val="00C612A8"/>
    <w:rsid w:val="00C625FE"/>
    <w:rsid w:val="00C651CD"/>
    <w:rsid w:val="00C6567D"/>
    <w:rsid w:val="00C65D23"/>
    <w:rsid w:val="00C66E4A"/>
    <w:rsid w:val="00C839FC"/>
    <w:rsid w:val="00CA089E"/>
    <w:rsid w:val="00CA16C4"/>
    <w:rsid w:val="00CA5E6A"/>
    <w:rsid w:val="00CC14DA"/>
    <w:rsid w:val="00CC4A4E"/>
    <w:rsid w:val="00CD1581"/>
    <w:rsid w:val="00CD169F"/>
    <w:rsid w:val="00CD713C"/>
    <w:rsid w:val="00CE16FE"/>
    <w:rsid w:val="00CE2213"/>
    <w:rsid w:val="00CE7274"/>
    <w:rsid w:val="00CE7B84"/>
    <w:rsid w:val="00CE7E31"/>
    <w:rsid w:val="00CF3FB0"/>
    <w:rsid w:val="00CF4FAF"/>
    <w:rsid w:val="00D04767"/>
    <w:rsid w:val="00D15C23"/>
    <w:rsid w:val="00D15FB6"/>
    <w:rsid w:val="00D35146"/>
    <w:rsid w:val="00D40AD3"/>
    <w:rsid w:val="00D50AC6"/>
    <w:rsid w:val="00D578C4"/>
    <w:rsid w:val="00D6230B"/>
    <w:rsid w:val="00D62D56"/>
    <w:rsid w:val="00D738B6"/>
    <w:rsid w:val="00D74E05"/>
    <w:rsid w:val="00D9789E"/>
    <w:rsid w:val="00DA660C"/>
    <w:rsid w:val="00DA7157"/>
    <w:rsid w:val="00DA7FC3"/>
    <w:rsid w:val="00DB1615"/>
    <w:rsid w:val="00DB21D9"/>
    <w:rsid w:val="00DB6929"/>
    <w:rsid w:val="00DC14F7"/>
    <w:rsid w:val="00DC439C"/>
    <w:rsid w:val="00DC541B"/>
    <w:rsid w:val="00DD62F6"/>
    <w:rsid w:val="00DD6AC4"/>
    <w:rsid w:val="00DE6F5C"/>
    <w:rsid w:val="00DF437B"/>
    <w:rsid w:val="00E01B23"/>
    <w:rsid w:val="00E023C3"/>
    <w:rsid w:val="00E151EC"/>
    <w:rsid w:val="00E254AF"/>
    <w:rsid w:val="00E37483"/>
    <w:rsid w:val="00E37ACB"/>
    <w:rsid w:val="00E52C12"/>
    <w:rsid w:val="00E53311"/>
    <w:rsid w:val="00E610C7"/>
    <w:rsid w:val="00E65F14"/>
    <w:rsid w:val="00E74523"/>
    <w:rsid w:val="00E8197E"/>
    <w:rsid w:val="00E82566"/>
    <w:rsid w:val="00E8462E"/>
    <w:rsid w:val="00E8585E"/>
    <w:rsid w:val="00E97677"/>
    <w:rsid w:val="00EA0E11"/>
    <w:rsid w:val="00EA1091"/>
    <w:rsid w:val="00EA1D7B"/>
    <w:rsid w:val="00EA6EEB"/>
    <w:rsid w:val="00EA7091"/>
    <w:rsid w:val="00EA7FFE"/>
    <w:rsid w:val="00EB09C8"/>
    <w:rsid w:val="00EC0478"/>
    <w:rsid w:val="00ED16A1"/>
    <w:rsid w:val="00ED7044"/>
    <w:rsid w:val="00ED7098"/>
    <w:rsid w:val="00EE1DCD"/>
    <w:rsid w:val="00EE3DED"/>
    <w:rsid w:val="00EE5033"/>
    <w:rsid w:val="00EE63B2"/>
    <w:rsid w:val="00EF4095"/>
    <w:rsid w:val="00F00D6C"/>
    <w:rsid w:val="00F021D8"/>
    <w:rsid w:val="00F128D9"/>
    <w:rsid w:val="00F132B3"/>
    <w:rsid w:val="00F15DAC"/>
    <w:rsid w:val="00F17C2E"/>
    <w:rsid w:val="00F20BDA"/>
    <w:rsid w:val="00F32F48"/>
    <w:rsid w:val="00F50829"/>
    <w:rsid w:val="00F667FD"/>
    <w:rsid w:val="00F66C01"/>
    <w:rsid w:val="00F67F5F"/>
    <w:rsid w:val="00F71160"/>
    <w:rsid w:val="00F718AC"/>
    <w:rsid w:val="00F72B0F"/>
    <w:rsid w:val="00F75274"/>
    <w:rsid w:val="00F85A54"/>
    <w:rsid w:val="00F86C23"/>
    <w:rsid w:val="00F91F70"/>
    <w:rsid w:val="00F921EF"/>
    <w:rsid w:val="00F952A1"/>
    <w:rsid w:val="00FA12A5"/>
    <w:rsid w:val="00FA672B"/>
    <w:rsid w:val="00FA6A60"/>
    <w:rsid w:val="00FB4B74"/>
    <w:rsid w:val="00FC0EB8"/>
    <w:rsid w:val="00FC1F91"/>
    <w:rsid w:val="00FD1745"/>
    <w:rsid w:val="00FF2DDE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45FE"/>
  <w15:chartTrackingRefBased/>
  <w15:docId w15:val="{C897FDA8-CCE3-485D-B89E-713F1A2D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5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525"/>
  </w:style>
  <w:style w:type="paragraph" w:styleId="Piedepgina">
    <w:name w:val="footer"/>
    <w:basedOn w:val="Normal"/>
    <w:link w:val="PiedepginaCar"/>
    <w:uiPriority w:val="99"/>
    <w:unhideWhenUsed/>
    <w:rsid w:val="002625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525"/>
  </w:style>
  <w:style w:type="paragraph" w:styleId="Prrafodelista">
    <w:name w:val="List Paragraph"/>
    <w:basedOn w:val="Normal"/>
    <w:uiPriority w:val="34"/>
    <w:qFormat/>
    <w:rsid w:val="0026252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0D7F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7F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D7FF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00D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00D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00D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0D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0D6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5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8D796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D704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478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15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hyperlink" Target="http://www.inegi.org.mx" TargetMode="External"/><Relationship Id="rId26" Type="http://schemas.openxmlformats.org/officeDocument/2006/relationships/hyperlink" Target="https://www.youtube.com/user/INEGIInforma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.jpeg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image" Target="media/image3.jpe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hyperlink" Target="https://www.facebook.com/INEGIInforma/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hyperlink" Target="https://twitter.com/INEGI_INFORMA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23" Type="http://schemas.openxmlformats.org/officeDocument/2006/relationships/image" Target="media/image2.jpeg"/><Relationship Id="rId28" Type="http://schemas.openxmlformats.org/officeDocument/2006/relationships/hyperlink" Target="http://www.inegi.org.mx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comunicacionsocial@inegi.org.mx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hyperlink" Target="https://www.instagram.com/inegi_informa/" TargetMode="External"/><Relationship Id="rId27" Type="http://schemas.openxmlformats.org/officeDocument/2006/relationships/image" Target="media/image4.jpeg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egi.org.mx/programas/cngmd/2021/" TargetMode="External"/><Relationship Id="rId2" Type="http://schemas.openxmlformats.org/officeDocument/2006/relationships/hyperlink" Target="https://www.inegi.org.mx/programas/cnge/2021/" TargetMode="External"/><Relationship Id="rId1" Type="http://schemas.openxmlformats.org/officeDocument/2006/relationships/hyperlink" Target="https://www.inegi.org.mx/programas/cngspspe/2020/" TargetMode="External"/><Relationship Id="rId4" Type="http://schemas.openxmlformats.org/officeDocument/2006/relationships/hyperlink" Target="https://www.inegi.org.mx/programas/cngf/202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INEGI\Boletines\Bolet&#237;n%20AP\2022\Redacci&#243;n%20bolet&#237;n\20220616_ajustes%20difusi&#243;n\20220617_Gr&#225;ficas_Bolet&#237;n%20AP2022_nvoformato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INEGI\Boletines\Bolet&#237;n%20AP\2022\Redacci&#243;n%20bolet&#237;n\20220616_ajustes%20difusi&#243;n\20220617_Gr&#225;ficas_Bolet&#237;n%20AP2022_nvoformato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INEGI\Boletines\Bolet&#237;n%20AP\2022\Redacci&#243;n%20bolet&#237;n\20220616_ajustes%20difusi&#243;n\20220617_Gr&#225;ficas_Bolet&#237;n%20AP2022_nvoformato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D:\INEGI\Boletines\Bolet&#237;n%20AP\2022\Redacci&#243;n%20bolet&#237;n\20220616_ajustes%20difusi&#243;n\20220617_Gr&#225;ficas_Bolet&#237;n%20AP2022_nvoformato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6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 sz="1200" b="1"/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/>
            </a:pPr>
            <a:r>
              <a:rPr lang="es-MX" sz="1200" b="1"/>
              <a:t>Federal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96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3.8875745423501355E-2"/>
          <c:y val="0"/>
          <c:w val="0.92414018848223556"/>
          <c:h val="0.84006775734588057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'Gráfica 1'!$C$3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rgbClr val="0070C0">
                <a:alpha val="15000"/>
              </a:srgbClr>
            </a:solidFill>
            <a:ln w="25400">
              <a:solidFill>
                <a:srgbClr val="0070C0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0486EBE0-A1ED-49B1-A84C-F886D1A9CD17}" type="CELLRANGE">
                      <a:rPr lang="en-US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D9B6-B042-9A7F-34746E98908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7017FF7-CC3D-4A96-961A-5161AE89E13C}" type="CELLRANGE">
                      <a:rPr lang="es-MX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D9B6-B042-9A7F-34746E98908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E0E05065-00FF-4849-8CE2-A7C7D0CD0AB5}" type="CELLRANGE">
                      <a:rPr lang="es-MX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D9B6-B042-9A7F-34746E98908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BBA6498-2BF1-4379-87F7-948F0358D9F0}" type="CELLRANGE">
                      <a:rPr lang="es-MX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D9B6-B042-9A7F-34746E98908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2AECF624-D5A2-44C3-8529-35BFFED269C3}" type="CELLRANGE">
                      <a:rPr lang="es-MX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D9B6-B042-9A7F-34746E9890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numRef>
              <c:f>'Gráfica 1'!$A$18:$A$22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'Gráfica 1'!$C$18:$C$22</c:f>
              <c:numCache>
                <c:formatCode>0.000</c:formatCode>
                <c:ptCount val="5"/>
                <c:pt idx="0">
                  <c:v>800.16300000000001</c:v>
                </c:pt>
                <c:pt idx="1">
                  <c:v>867.78000000000009</c:v>
                </c:pt>
                <c:pt idx="2">
                  <c:v>726.54100000000005</c:v>
                </c:pt>
                <c:pt idx="3">
                  <c:v>831.61699999999985</c:v>
                </c:pt>
                <c:pt idx="4">
                  <c:v>789.58100000000002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'Gráfica 1'!$E$18:$E$22</c15:f>
                <c15:dlblRangeCache>
                  <c:ptCount val="5"/>
                  <c:pt idx="0">
                    <c:v>51.1</c:v>
                  </c:pt>
                  <c:pt idx="1">
                    <c:v>51.1</c:v>
                  </c:pt>
                  <c:pt idx="2">
                    <c:v>49.2</c:v>
                  </c:pt>
                  <c:pt idx="3">
                    <c:v>51.8</c:v>
                  </c:pt>
                  <c:pt idx="4">
                    <c:v>49.9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5-D9B6-B042-9A7F-34746E98908E}"/>
            </c:ext>
          </c:extLst>
        </c:ser>
        <c:ser>
          <c:idx val="2"/>
          <c:order val="2"/>
          <c:tx>
            <c:strRef>
              <c:f>'Gráfica 1'!$D$3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rgbClr val="2ED9D4">
                <a:alpha val="15000"/>
              </a:srgbClr>
            </a:solidFill>
            <a:ln w="25400">
              <a:solidFill>
                <a:srgbClr val="2ED9D4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BCE20BFF-10F3-4838-AD6D-E66633F97233}" type="CELLRANGE">
                      <a:rPr lang="en-US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D9B6-B042-9A7F-34746E98908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2249E78-8859-4A14-B198-F825C34B9259}" type="CELLRANGE">
                      <a:rPr lang="es-MX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D9B6-B042-9A7F-34746E98908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344E8923-19A5-489F-93AE-29B0E4521EF7}" type="CELLRANGE">
                      <a:rPr lang="es-MX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D9B6-B042-9A7F-34746E98908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B348982D-3AFA-4144-856B-AB4F4D8A5F86}" type="CELLRANGE">
                      <a:rPr lang="es-MX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D9B6-B042-9A7F-34746E98908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8218CA0A-5AD9-42A2-8412-A187C3426B91}" type="CELLRANGE">
                      <a:rPr lang="es-MX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A-D9B6-B042-9A7F-34746E98908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numRef>
              <c:f>'Gráfica 1'!$A$18:$A$22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'Gráfica 1'!$D$18:$D$22</c:f>
              <c:numCache>
                <c:formatCode>0.000</c:formatCode>
                <c:ptCount val="5"/>
                <c:pt idx="0">
                  <c:v>767.21800000000007</c:v>
                </c:pt>
                <c:pt idx="1">
                  <c:v>829.56500000000017</c:v>
                </c:pt>
                <c:pt idx="2">
                  <c:v>749.93700000000013</c:v>
                </c:pt>
                <c:pt idx="3">
                  <c:v>775.18299999999999</c:v>
                </c:pt>
                <c:pt idx="4">
                  <c:v>793.774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'Gráfica 1'!$F$18:$F$22</c15:f>
                <c15:dlblRangeCache>
                  <c:ptCount val="5"/>
                  <c:pt idx="0">
                    <c:v>48.9</c:v>
                  </c:pt>
                  <c:pt idx="1">
                    <c:v>48.9</c:v>
                  </c:pt>
                  <c:pt idx="2">
                    <c:v>50.8</c:v>
                  </c:pt>
                  <c:pt idx="3">
                    <c:v>48.2</c:v>
                  </c:pt>
                  <c:pt idx="4">
                    <c:v>50.1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B-D9B6-B042-9A7F-34746E9890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overlap val="100"/>
        <c:axId val="2100208191"/>
        <c:axId val="2100205279"/>
      </c:barChart>
      <c:lineChart>
        <c:grouping val="stacked"/>
        <c:varyColors val="0"/>
        <c:ser>
          <c:idx val="0"/>
          <c:order val="0"/>
          <c:tx>
            <c:strRef>
              <c:f>'Gráfica 1'!$B$3</c:f>
              <c:strCache>
                <c:ptCount val="1"/>
                <c:pt idx="0">
                  <c:v>Total (cifras en miles)</c:v>
                </c:pt>
              </c:strCache>
            </c:strRef>
          </c:tx>
          <c:spPr>
            <a:ln w="25400" cap="rnd">
              <a:solidFill>
                <a:srgbClr val="CA0CAE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A0CAE"/>
              </a:solidFill>
              <a:ln w="25400">
                <a:solidFill>
                  <a:srgbClr val="CA0CAE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'Gráfica 1'!$A$18:$A$22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'Gráfica 1'!$B$18:$B$22</c:f>
              <c:numCache>
                <c:formatCode>#\ ###</c:formatCode>
                <c:ptCount val="5"/>
                <c:pt idx="0">
                  <c:v>1567.3810000000003</c:v>
                </c:pt>
                <c:pt idx="1">
                  <c:v>1697.3449999999998</c:v>
                </c:pt>
                <c:pt idx="2">
                  <c:v>1476.4780000000001</c:v>
                </c:pt>
                <c:pt idx="3">
                  <c:v>1606.8</c:v>
                </c:pt>
                <c:pt idx="4">
                  <c:v>1583.355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D9B6-B042-9A7F-34746E9890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0208191"/>
        <c:axId val="2100205279"/>
      </c:lineChart>
      <c:catAx>
        <c:axId val="21002081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100205279"/>
        <c:crosses val="autoZero"/>
        <c:auto val="1"/>
        <c:lblAlgn val="ctr"/>
        <c:lblOffset val="100"/>
        <c:noMultiLvlLbl val="0"/>
      </c:catAx>
      <c:valAx>
        <c:axId val="2100205279"/>
        <c:scaling>
          <c:orientation val="minMax"/>
          <c:max val="3000"/>
        </c:scaling>
        <c:delete val="1"/>
        <c:axPos val="l"/>
        <c:numFmt formatCode="0.000" sourceLinked="1"/>
        <c:majorTickMark val="out"/>
        <c:minorTickMark val="none"/>
        <c:tickLblPos val="nextTo"/>
        <c:crossAx val="21002081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4891882768676105"/>
          <c:y val="0.95291002458684759"/>
          <c:w val="0.50216234462647802"/>
          <c:h val="4.34399138293521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200" b="1"/>
              <a:t>Municipal</a:t>
            </a:r>
          </a:p>
        </c:rich>
      </c:tx>
      <c:layout>
        <c:manualLayout>
          <c:xMode val="edge"/>
          <c:yMode val="edge"/>
          <c:x val="0.4369059864225468"/>
          <c:y val="0.406867780062523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3.3968740432852196E-2"/>
          <c:y val="5.601433967095576E-4"/>
          <c:w val="0.9350319998315374"/>
          <c:h val="0.83787657640355928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'Gráfica 1'!$C$3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rgbClr val="0070C0">
                <a:alpha val="15000"/>
              </a:srgbClr>
            </a:solidFill>
            <a:ln w="25400">
              <a:solidFill>
                <a:srgbClr val="0070C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6517552068559638E-2"/>
                </c:manualLayout>
              </c:layout>
              <c:tx>
                <c:rich>
                  <a:bodyPr/>
                  <a:lstStyle/>
                  <a:p>
                    <a:fld id="{E1B0182F-4C1F-4C6D-A1F8-8555DE2A6602}" type="CELLRANGE">
                      <a:rPr lang="en-US"/>
                      <a:pPr/>
                      <a:t>[CELLRANGE]</a:t>
                    </a:fld>
                    <a:endParaRPr lang="es-MX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35D1-9D44-B8C6-EFDAE3281B0F}"/>
                </c:ext>
              </c:extLst>
            </c:dLbl>
            <c:dLbl>
              <c:idx val="1"/>
              <c:layout>
                <c:manualLayout>
                  <c:x val="0"/>
                  <c:y val="2.3759693442311824E-2"/>
                </c:manualLayout>
              </c:layout>
              <c:tx>
                <c:rich>
                  <a:bodyPr/>
                  <a:lstStyle/>
                  <a:p>
                    <a:fld id="{E340E454-123F-4F12-AB0D-2FBEC82026A9}" type="CELLRANGE">
                      <a:rPr lang="en-US"/>
                      <a:pPr/>
                      <a:t>[CELLRANGE]</a:t>
                    </a:fld>
                    <a:endParaRPr lang="es-MX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35D1-9D44-B8C6-EFDAE3281B0F}"/>
                </c:ext>
              </c:extLst>
            </c:dLbl>
            <c:dLbl>
              <c:idx val="2"/>
              <c:layout>
                <c:manualLayout>
                  <c:x val="0"/>
                  <c:y val="1.204814630282651E-2"/>
                </c:manualLayout>
              </c:layout>
              <c:tx>
                <c:rich>
                  <a:bodyPr/>
                  <a:lstStyle/>
                  <a:p>
                    <a:fld id="{00FFB80C-8B48-49D4-A2DE-8BDE1469921A}" type="CELLRANGE">
                      <a:rPr lang="en-US"/>
                      <a:pPr/>
                      <a:t>[CELLRANGE]</a:t>
                    </a:fld>
                    <a:endParaRPr lang="es-MX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35D1-9D44-B8C6-EFDAE3281B0F}"/>
                </c:ext>
              </c:extLst>
            </c:dLbl>
            <c:dLbl>
              <c:idx val="3"/>
              <c:layout>
                <c:manualLayout>
                  <c:x val="0"/>
                  <c:y val="1.1509587641481219E-2"/>
                </c:manualLayout>
              </c:layout>
              <c:tx>
                <c:rich>
                  <a:bodyPr/>
                  <a:lstStyle/>
                  <a:p>
                    <a:fld id="{DB01A7D6-C855-4ACA-A227-A92C6A273347}" type="CELLRANGE">
                      <a:rPr lang="en-US"/>
                      <a:pPr/>
                      <a:t>[CELLRANGE]</a:t>
                    </a:fld>
                    <a:endParaRPr lang="es-MX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35D1-9D44-B8C6-EFDAE3281B0F}"/>
                </c:ext>
              </c:extLst>
            </c:dLbl>
            <c:dLbl>
              <c:idx val="4"/>
              <c:layout>
                <c:manualLayout>
                  <c:x val="-1.2154621288453618E-16"/>
                  <c:y val="1.2523943245173572E-2"/>
                </c:manualLayout>
              </c:layout>
              <c:tx>
                <c:rich>
                  <a:bodyPr/>
                  <a:lstStyle/>
                  <a:p>
                    <a:fld id="{276E4335-EF58-43E4-869B-6ED72013C9C8}" type="CELLRANGE">
                      <a:rPr lang="en-US"/>
                      <a:pPr/>
                      <a:t>[CELLRANGE]</a:t>
                    </a:fld>
                    <a:endParaRPr lang="es-MX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35D1-9D44-B8C6-EFDAE3281B0F}"/>
                </c:ext>
              </c:extLst>
            </c:dLbl>
            <c:dLbl>
              <c:idx val="5"/>
              <c:layout>
                <c:manualLayout>
                  <c:x val="0"/>
                  <c:y val="8.5391000249994999E-3"/>
                </c:manualLayout>
              </c:layout>
              <c:tx>
                <c:rich>
                  <a:bodyPr/>
                  <a:lstStyle/>
                  <a:p>
                    <a:fld id="{9CA6D0C1-0DBC-451B-80BE-B79B3D0F2CAF}" type="CELLRANGE">
                      <a:rPr lang="en-US"/>
                      <a:pPr/>
                      <a:t>[CELLRANGE]</a:t>
                    </a:fld>
                    <a:endParaRPr lang="es-MX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35D1-9D44-B8C6-EFDAE3281B0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numRef>
              <c:f>'Gráfica 1'!$A$26:$A$31</c:f>
              <c:numCache>
                <c:formatCode>General</c:formatCode>
                <c:ptCount val="6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2016</c:v>
                </c:pt>
                <c:pt idx="4">
                  <c:v>2018</c:v>
                </c:pt>
                <c:pt idx="5">
                  <c:v>2020</c:v>
                </c:pt>
              </c:numCache>
            </c:numRef>
          </c:cat>
          <c:val>
            <c:numRef>
              <c:f>'Gráfica 1'!$C$26:$C$31</c:f>
              <c:numCache>
                <c:formatCode>0.000</c:formatCode>
                <c:ptCount val="6"/>
                <c:pt idx="0">
                  <c:v>538.96699999999998</c:v>
                </c:pt>
                <c:pt idx="1">
                  <c:v>637.01099999999997</c:v>
                </c:pt>
                <c:pt idx="2">
                  <c:v>663.0379999999999</c:v>
                </c:pt>
                <c:pt idx="3">
                  <c:v>668.03200000000015</c:v>
                </c:pt>
                <c:pt idx="4">
                  <c:v>658.62400000000002</c:v>
                </c:pt>
                <c:pt idx="5">
                  <c:v>695.58899999999983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'Gráfica 1'!$F$26:$F$31</c15:f>
                <c15:dlblRangeCache>
                  <c:ptCount val="6"/>
                  <c:pt idx="0">
                    <c:v>63.2</c:v>
                  </c:pt>
                  <c:pt idx="1">
                    <c:v>67.5</c:v>
                  </c:pt>
                  <c:pt idx="2">
                    <c:v>66.7</c:v>
                  </c:pt>
                  <c:pt idx="3">
                    <c:v>66.0</c:v>
                  </c:pt>
                  <c:pt idx="4">
                    <c:v>64.6</c:v>
                  </c:pt>
                  <c:pt idx="5">
                    <c:v>64.6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6-35D1-9D44-B8C6-EFDAE3281B0F}"/>
            </c:ext>
          </c:extLst>
        </c:ser>
        <c:ser>
          <c:idx val="2"/>
          <c:order val="2"/>
          <c:tx>
            <c:strRef>
              <c:f>'Gráfica 1'!$D$3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rgbClr val="2ED9D4">
                <a:alpha val="15000"/>
              </a:srgbClr>
            </a:solidFill>
            <a:ln w="25400">
              <a:solidFill>
                <a:srgbClr val="2ED9D4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8.1636041514552348E-17"/>
                </c:manualLayout>
              </c:layout>
              <c:tx>
                <c:rich>
                  <a:bodyPr/>
                  <a:lstStyle/>
                  <a:p>
                    <a:fld id="{D42C01C2-3DA8-4D13-819F-990D64B4C17A}" type="CELLRANGE">
                      <a:rPr lang="en-US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35D1-9D44-B8C6-EFDAE3281B0F}"/>
                </c:ext>
              </c:extLst>
            </c:dLbl>
            <c:dLbl>
              <c:idx val="1"/>
              <c:layout>
                <c:manualLayout>
                  <c:x val="0"/>
                  <c:y val="2.2264632158473609E-2"/>
                </c:manualLayout>
              </c:layout>
              <c:tx>
                <c:rich>
                  <a:bodyPr/>
                  <a:lstStyle/>
                  <a:p>
                    <a:fld id="{64EB05E0-D620-4034-8BDB-15A5C92B89B5}" type="CELLRANGE">
                      <a:rPr lang="en-US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8-35D1-9D44-B8C6-EFDAE3281B0F}"/>
                </c:ext>
              </c:extLst>
            </c:dLbl>
            <c:dLbl>
              <c:idx val="2"/>
              <c:layout>
                <c:manualLayout>
                  <c:x val="0"/>
                  <c:y val="1.3358779295084134E-2"/>
                </c:manualLayout>
              </c:layout>
              <c:tx>
                <c:rich>
                  <a:bodyPr/>
                  <a:lstStyle/>
                  <a:p>
                    <a:fld id="{C6E7EB55-F104-420F-88DD-FF6CA0D11EA4}" type="CELLRANGE">
                      <a:rPr lang="en-US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35D1-9D44-B8C6-EFDAE3281B0F}"/>
                </c:ext>
              </c:extLst>
            </c:dLbl>
            <c:dLbl>
              <c:idx val="3"/>
              <c:layout>
                <c:manualLayout>
                  <c:x val="0"/>
                  <c:y val="1.3358779295084215E-2"/>
                </c:manualLayout>
              </c:layout>
              <c:tx>
                <c:rich>
                  <a:bodyPr/>
                  <a:lstStyle/>
                  <a:p>
                    <a:fld id="{9C41382F-5950-44C1-9D07-FCE4046281CA}" type="CELLRANGE">
                      <a:rPr lang="en-US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A-35D1-9D44-B8C6-EFDAE3281B0F}"/>
                </c:ext>
              </c:extLst>
            </c:dLbl>
            <c:dLbl>
              <c:idx val="4"/>
              <c:layout>
                <c:manualLayout>
                  <c:x val="6.6298700180050562E-3"/>
                  <c:y val="4.4529264316947384E-3"/>
                </c:manualLayout>
              </c:layout>
              <c:tx>
                <c:rich>
                  <a:bodyPr/>
                  <a:lstStyle/>
                  <a:p>
                    <a:fld id="{B484A9F4-8D92-489D-BA7E-D775A7070B89}" type="CELLRANGE">
                      <a:rPr lang="en-US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B-35D1-9D44-B8C6-EFDAE3281B0F}"/>
                </c:ext>
              </c:extLst>
            </c:dLbl>
            <c:dLbl>
              <c:idx val="5"/>
              <c:layout>
                <c:manualLayout>
                  <c:x val="-6.6298700180051776E-3"/>
                  <c:y val="1.7811705726778954E-2"/>
                </c:manualLayout>
              </c:layout>
              <c:tx>
                <c:rich>
                  <a:bodyPr/>
                  <a:lstStyle/>
                  <a:p>
                    <a:fld id="{9EC4B479-6282-4999-80B9-E6CB2EEC7592}" type="CELLRANGE">
                      <a:rPr lang="en-US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C-35D1-9D44-B8C6-EFDAE3281B0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numRef>
              <c:f>'Gráfica 1'!$A$26:$A$31</c:f>
              <c:numCache>
                <c:formatCode>General</c:formatCode>
                <c:ptCount val="6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2016</c:v>
                </c:pt>
                <c:pt idx="4">
                  <c:v>2018</c:v>
                </c:pt>
                <c:pt idx="5">
                  <c:v>2020</c:v>
                </c:pt>
              </c:numCache>
            </c:numRef>
          </c:cat>
          <c:val>
            <c:numRef>
              <c:f>'Gráfica 1'!$D$26:$D$31</c:f>
              <c:numCache>
                <c:formatCode>0.000</c:formatCode>
                <c:ptCount val="6"/>
                <c:pt idx="0">
                  <c:v>230.964</c:v>
                </c:pt>
                <c:pt idx="1">
                  <c:v>293.27699999999999</c:v>
                </c:pt>
                <c:pt idx="2">
                  <c:v>326.89999999999992</c:v>
                </c:pt>
                <c:pt idx="3">
                  <c:v>341.94899999999996</c:v>
                </c:pt>
                <c:pt idx="4">
                  <c:v>357.73399999999998</c:v>
                </c:pt>
                <c:pt idx="5">
                  <c:v>380.04899999999992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'Gráfica 1'!$G$26:$G$31</c15:f>
                <c15:dlblRangeCache>
                  <c:ptCount val="6"/>
                  <c:pt idx="0">
                    <c:v>27.1</c:v>
                  </c:pt>
                  <c:pt idx="1">
                    <c:v>31.1</c:v>
                  </c:pt>
                  <c:pt idx="2">
                    <c:v>32.9</c:v>
                  </c:pt>
                  <c:pt idx="3">
                    <c:v>33.8</c:v>
                  </c:pt>
                  <c:pt idx="4">
                    <c:v>35.1</c:v>
                  </c:pt>
                  <c:pt idx="5">
                    <c:v>35.3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D-35D1-9D44-B8C6-EFDAE3281B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2100208191"/>
        <c:axId val="2100205279"/>
      </c:barChart>
      <c:lineChart>
        <c:grouping val="stacked"/>
        <c:varyColors val="0"/>
        <c:ser>
          <c:idx val="0"/>
          <c:order val="0"/>
          <c:tx>
            <c:strRef>
              <c:f>'Gráfica 1'!$B$3</c:f>
              <c:strCache>
                <c:ptCount val="1"/>
                <c:pt idx="0">
                  <c:v>Total (cifras en miles)</c:v>
                </c:pt>
              </c:strCache>
            </c:strRef>
          </c:tx>
          <c:spPr>
            <a:ln w="25400" cap="rnd">
              <a:solidFill>
                <a:srgbClr val="CA0CAE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A0CAE"/>
              </a:solidFill>
              <a:ln w="25400">
                <a:solidFill>
                  <a:srgbClr val="CA0CAE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'Gráfica 1'!$A$26:$A$31</c:f>
              <c:numCache>
                <c:formatCode>General</c:formatCode>
                <c:ptCount val="6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2016</c:v>
                </c:pt>
                <c:pt idx="4">
                  <c:v>2018</c:v>
                </c:pt>
                <c:pt idx="5">
                  <c:v>2020</c:v>
                </c:pt>
              </c:numCache>
            </c:numRef>
          </c:cat>
          <c:val>
            <c:numRef>
              <c:f>'Gráfica 1'!$B$26:$B$31</c:f>
              <c:numCache>
                <c:formatCode>#\ ###</c:formatCode>
                <c:ptCount val="6"/>
                <c:pt idx="0">
                  <c:v>853.07600000000002</c:v>
                </c:pt>
                <c:pt idx="1">
                  <c:v>944.23400000000004</c:v>
                </c:pt>
                <c:pt idx="2">
                  <c:v>993.58299999999997</c:v>
                </c:pt>
                <c:pt idx="3">
                  <c:v>1012.348</c:v>
                </c:pt>
                <c:pt idx="4">
                  <c:v>1018.926</c:v>
                </c:pt>
                <c:pt idx="5">
                  <c:v>1075.989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35D1-9D44-B8C6-EFDAE3281B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0208191"/>
        <c:axId val="2100205279"/>
      </c:lineChart>
      <c:catAx>
        <c:axId val="21002081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100205279"/>
        <c:crosses val="autoZero"/>
        <c:auto val="1"/>
        <c:lblAlgn val="ctr"/>
        <c:lblOffset val="100"/>
        <c:noMultiLvlLbl val="0"/>
      </c:catAx>
      <c:valAx>
        <c:axId val="2100205279"/>
        <c:scaling>
          <c:orientation val="minMax"/>
          <c:max val="3000"/>
        </c:scaling>
        <c:delete val="1"/>
        <c:axPos val="l"/>
        <c:numFmt formatCode="0.000" sourceLinked="1"/>
        <c:majorTickMark val="out"/>
        <c:minorTickMark val="none"/>
        <c:tickLblPos val="nextTo"/>
        <c:crossAx val="21002081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s-MX" sz="1200" b="1"/>
              <a:t>Estatal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1.0311125617069894E-2"/>
          <c:y val="8.9543070170688494E-2"/>
          <c:w val="0.98968887438293007"/>
          <c:h val="0.6462698680049257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'Gráfica 1'!$C$3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rgbClr val="0070C0">
                <a:alpha val="15000"/>
              </a:srgbClr>
            </a:solidFill>
            <a:ln w="25400">
              <a:solidFill>
                <a:srgbClr val="00B0F0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644592B6-F8C9-49C0-A6FC-99A71A22EE7C}" type="CELLRANGE">
                      <a:rPr lang="en-US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16C5-4989-B99C-A63F093528C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307B2E4-96B4-4AF0-BFEC-9EB2392F2AD5}" type="CELLRANGE">
                      <a:rPr lang="es-MX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16C5-4989-B99C-A63F093528C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08A7019-3CA8-4E30-ADD1-F774009787AB}" type="CELLRANGE">
                      <a:rPr lang="es-MX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16C5-4989-B99C-A63F093528C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7988CEA-5538-481C-BADA-99A3BC5C8C23}" type="CELLRANGE">
                      <a:rPr lang="es-MX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16C5-4989-B99C-A63F093528C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5755BD18-B386-4E9E-A0E5-21A8018F57AA}" type="CELLRANGE">
                      <a:rPr lang="es-MX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16C5-4989-B99C-A63F093528C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3ED1F597-A6A7-447D-8A9B-DA4B594F237C}" type="CELLRANGE">
                      <a:rPr lang="es-MX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16C5-4989-B99C-A63F093528C0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7B5F954E-F6A5-41DC-B8DC-5CBC9D56A135}" type="CELLRANGE">
                      <a:rPr lang="es-MX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16C5-4989-B99C-A63F093528C0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0A433047-5CE6-470C-8560-AEE9D6778CC4}" type="CELLRANGE">
                      <a:rPr lang="es-MX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16C5-4989-B99C-A63F093528C0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65B0FC7F-1C43-4D74-9581-DAE6FF772950}" type="CELLRANGE">
                      <a:rPr lang="es-MX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16C5-4989-B99C-A63F093528C0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DE328708-ECC5-4680-B52E-86E486736A7B}" type="CELLRANGE">
                      <a:rPr lang="es-MX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16C5-4989-B99C-A63F093528C0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8CE15D2A-0D82-4F92-8915-7BFCF839AD67}" type="CELLRANGE">
                      <a:rPr lang="es-MX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A-16C5-4989-B99C-A63F093528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numRef>
              <c:f>'Gráfica 1'!$A$4:$A$14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'Gráfica 1'!$C$4:$C$14</c:f>
              <c:numCache>
                <c:formatCode>0.000</c:formatCode>
                <c:ptCount val="11"/>
                <c:pt idx="0">
                  <c:v>852.90300000000002</c:v>
                </c:pt>
                <c:pt idx="1">
                  <c:v>843.82399999999996</c:v>
                </c:pt>
                <c:pt idx="2">
                  <c:v>932.5</c:v>
                </c:pt>
                <c:pt idx="3">
                  <c:v>1018.751</c:v>
                </c:pt>
                <c:pt idx="4">
                  <c:v>1129.8059999999998</c:v>
                </c:pt>
                <c:pt idx="5">
                  <c:v>1080.4739999999999</c:v>
                </c:pt>
                <c:pt idx="6">
                  <c:v>1124.9949999999999</c:v>
                </c:pt>
                <c:pt idx="7">
                  <c:v>1157.47</c:v>
                </c:pt>
                <c:pt idx="8">
                  <c:v>1145.8440000000001</c:v>
                </c:pt>
                <c:pt idx="9">
                  <c:v>1153.5339999999999</c:v>
                </c:pt>
                <c:pt idx="10">
                  <c:v>1043.2569999999998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'Gráfica 1'!$F$4:$F$14</c15:f>
                <c15:dlblRangeCache>
                  <c:ptCount val="11"/>
                  <c:pt idx="0">
                    <c:v>50.0</c:v>
                  </c:pt>
                  <c:pt idx="1">
                    <c:v>50.3</c:v>
                  </c:pt>
                  <c:pt idx="2">
                    <c:v>48.0</c:v>
                  </c:pt>
                  <c:pt idx="3">
                    <c:v>45.6</c:v>
                  </c:pt>
                  <c:pt idx="4">
                    <c:v>47.2</c:v>
                  </c:pt>
                  <c:pt idx="5">
                    <c:v>47.3</c:v>
                  </c:pt>
                  <c:pt idx="6">
                    <c:v>46.7</c:v>
                  </c:pt>
                  <c:pt idx="7">
                    <c:v>46.3</c:v>
                  </c:pt>
                  <c:pt idx="8">
                    <c:v>45.7</c:v>
                  </c:pt>
                  <c:pt idx="9">
                    <c:v>44.9</c:v>
                  </c:pt>
                  <c:pt idx="10">
                    <c:v>43.7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B-16C5-4989-B99C-A63F093528C0}"/>
            </c:ext>
          </c:extLst>
        </c:ser>
        <c:ser>
          <c:idx val="2"/>
          <c:order val="2"/>
          <c:tx>
            <c:strRef>
              <c:f>'Gráfica 1'!$D$3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rgbClr val="2ED9D4">
                <a:alpha val="15000"/>
              </a:srgbClr>
            </a:solidFill>
            <a:ln w="25400">
              <a:solidFill>
                <a:srgbClr val="2ED9D4"/>
              </a:solidFill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8145CCFB-499C-4F9B-9601-16383D894BFC}" type="CELLRANGE">
                      <a:rPr lang="en-US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C-16C5-4989-B99C-A63F093528C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8B7F66A8-2498-4F6B-9080-34F0080C8623}" type="CELLRANGE">
                      <a:rPr lang="es-MX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16C5-4989-B99C-A63F093528C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CDB1C76-0F36-4ED9-B2F2-4BF738976D84}" type="CELLRANGE">
                      <a:rPr lang="es-MX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E-16C5-4989-B99C-A63F093528C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0BDCF62B-4D26-42E0-8B60-93044023FD24}" type="CELLRANGE">
                      <a:rPr lang="es-MX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F-16C5-4989-B99C-A63F093528C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1D9F1874-BEFE-4317-B16E-CAA409628F0E}" type="CELLRANGE">
                      <a:rPr lang="es-MX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0-16C5-4989-B99C-A63F093528C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AA89A91E-29F7-48B9-849D-B5E78D4305B2}" type="CELLRANGE">
                      <a:rPr lang="es-MX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1-16C5-4989-B99C-A63F093528C0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C8DBE6CF-CA4B-4464-8A61-86A9E709F105}" type="CELLRANGE">
                      <a:rPr lang="es-MX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2-16C5-4989-B99C-A63F093528C0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390CCD02-4F04-4A19-A409-B4146D949333}" type="CELLRANGE">
                      <a:rPr lang="es-MX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3-16C5-4989-B99C-A63F093528C0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6F43B7FD-777E-4F04-8F04-CBFF447E201B}" type="CELLRANGE">
                      <a:rPr lang="es-MX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4-16C5-4989-B99C-A63F093528C0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39DC6FE3-2920-48C9-80BE-7A1D74B9C244}" type="CELLRANGE">
                      <a:rPr lang="es-MX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5-16C5-4989-B99C-A63F093528C0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27CA750B-D684-4624-9DC2-545AF21626EB}" type="CELLRANGE">
                      <a:rPr lang="es-MX"/>
                      <a:pPr/>
                      <a:t>[CELLRANGE]</a:t>
                    </a:fld>
                    <a:endParaRPr lang="es-MX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6-16C5-4989-B99C-A63F093528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numRef>
              <c:f>'Gráfica 1'!$A$4:$A$14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'Gráfica 1'!$D$4:$D$14</c:f>
              <c:numCache>
                <c:formatCode>0.000</c:formatCode>
                <c:ptCount val="11"/>
                <c:pt idx="0">
                  <c:v>851.66499999999996</c:v>
                </c:pt>
                <c:pt idx="1">
                  <c:v>834.70399999999995</c:v>
                </c:pt>
                <c:pt idx="2">
                  <c:v>981.67500000000007</c:v>
                </c:pt>
                <c:pt idx="3">
                  <c:v>1104.864</c:v>
                </c:pt>
                <c:pt idx="4">
                  <c:v>1264.829</c:v>
                </c:pt>
                <c:pt idx="5">
                  <c:v>1203.1780000000001</c:v>
                </c:pt>
                <c:pt idx="6">
                  <c:v>1282.9480000000003</c:v>
                </c:pt>
                <c:pt idx="7">
                  <c:v>1344.0309999999999</c:v>
                </c:pt>
                <c:pt idx="8">
                  <c:v>1361.7139999999999</c:v>
                </c:pt>
                <c:pt idx="9">
                  <c:v>1416.9090000000001</c:v>
                </c:pt>
                <c:pt idx="10">
                  <c:v>1342.9490000000003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'Gráfica 1'!$G$4:$G$14</c15:f>
                <c15:dlblRangeCache>
                  <c:ptCount val="11"/>
                  <c:pt idx="0">
                    <c:v>50.0</c:v>
                  </c:pt>
                  <c:pt idx="1">
                    <c:v>49.7</c:v>
                  </c:pt>
                  <c:pt idx="2">
                    <c:v>50.6</c:v>
                  </c:pt>
                  <c:pt idx="3">
                    <c:v>49.5</c:v>
                  </c:pt>
                  <c:pt idx="4">
                    <c:v>52.8</c:v>
                  </c:pt>
                  <c:pt idx="5">
                    <c:v>52.7</c:v>
                  </c:pt>
                  <c:pt idx="6">
                    <c:v>53.3</c:v>
                  </c:pt>
                  <c:pt idx="7">
                    <c:v>53.7</c:v>
                  </c:pt>
                  <c:pt idx="8">
                    <c:v>54.3</c:v>
                  </c:pt>
                  <c:pt idx="9">
                    <c:v>55.1</c:v>
                  </c:pt>
                  <c:pt idx="10">
                    <c:v>56.3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7-16C5-4989-B99C-A63F093528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"/>
        <c:overlap val="100"/>
        <c:axId val="2100208191"/>
        <c:axId val="2100205279"/>
      </c:barChart>
      <c:lineChart>
        <c:grouping val="standard"/>
        <c:varyColors val="0"/>
        <c:ser>
          <c:idx val="0"/>
          <c:order val="0"/>
          <c:tx>
            <c:strRef>
              <c:f>'Gráfica 1'!$B$3</c:f>
              <c:strCache>
                <c:ptCount val="1"/>
                <c:pt idx="0">
                  <c:v>Total (cifras en miles)</c:v>
                </c:pt>
              </c:strCache>
            </c:strRef>
          </c:tx>
          <c:spPr>
            <a:ln w="19050" cap="rnd">
              <a:solidFill>
                <a:srgbClr val="CA0CAE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A0CAE"/>
              </a:solidFill>
              <a:ln w="9525">
                <a:solidFill>
                  <a:srgbClr val="CA0CAE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'Gráfica 1'!$A$4:$A$14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'Gráfica 1'!$B$4:$B$14</c:f>
              <c:numCache>
                <c:formatCode>#\ ###</c:formatCode>
                <c:ptCount val="11"/>
                <c:pt idx="0">
                  <c:v>1704.5679999999998</c:v>
                </c:pt>
                <c:pt idx="1">
                  <c:v>1678.528</c:v>
                </c:pt>
                <c:pt idx="2">
                  <c:v>1941.0709999999999</c:v>
                </c:pt>
                <c:pt idx="3">
                  <c:v>2233.7489999999998</c:v>
                </c:pt>
                <c:pt idx="4">
                  <c:v>2394.6350000000002</c:v>
                </c:pt>
                <c:pt idx="5">
                  <c:v>2283.652</c:v>
                </c:pt>
                <c:pt idx="6">
                  <c:v>2407.9430000000002</c:v>
                </c:pt>
                <c:pt idx="7">
                  <c:v>2501.5010000000002</c:v>
                </c:pt>
                <c:pt idx="8">
                  <c:v>2507.558</c:v>
                </c:pt>
                <c:pt idx="9">
                  <c:v>2570.4430000000002</c:v>
                </c:pt>
                <c:pt idx="10">
                  <c:v>2386.2060000000001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16C5-4989-B99C-A63F093528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0208191"/>
        <c:axId val="2100205279"/>
      </c:lineChart>
      <c:catAx>
        <c:axId val="21002081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100205279"/>
        <c:crosses val="autoZero"/>
        <c:auto val="1"/>
        <c:lblAlgn val="ctr"/>
        <c:lblOffset val="100"/>
        <c:noMultiLvlLbl val="0"/>
      </c:catAx>
      <c:valAx>
        <c:axId val="2100205279"/>
        <c:scaling>
          <c:orientation val="minMax"/>
        </c:scaling>
        <c:delete val="1"/>
        <c:axPos val="l"/>
        <c:numFmt formatCode="0.000" sourceLinked="1"/>
        <c:majorTickMark val="out"/>
        <c:minorTickMark val="none"/>
        <c:tickLblPos val="nextTo"/>
        <c:crossAx val="21002081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8796540328831954"/>
          <c:y val="0.84312606403867885"/>
          <c:w val="0.67314022275712948"/>
          <c:h val="6.62960715132139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5673947209697288E-2"/>
          <c:y val="0.22526502860355416"/>
          <c:w val="0.96361051720522328"/>
          <c:h val="0.33304488736567406"/>
        </c:manualLayout>
      </c:layout>
      <c:lineChart>
        <c:grouping val="standard"/>
        <c:varyColors val="0"/>
        <c:ser>
          <c:idx val="1"/>
          <c:order val="0"/>
          <c:tx>
            <c:strRef>
              <c:f>'Gráfica 2'!$L$3</c:f>
              <c:strCache>
                <c:ptCount val="1"/>
                <c:pt idx="0">
                  <c:v>Federal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solidFill>
                  <a:srgbClr val="00B0F0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'Gráfica 2'!$J$4:$J$6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'Gráfica 2'!$L$4:$L$6</c:f>
              <c:numCache>
                <c:formatCode>#\ ###\ ###.0</c:formatCode>
                <c:ptCount val="3"/>
                <c:pt idx="0">
                  <c:v>3376657.5276803225</c:v>
                </c:pt>
                <c:pt idx="1">
                  <c:v>3314710.4526808197</c:v>
                </c:pt>
                <c:pt idx="2">
                  <c:v>3410635.4886073601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CD9-4DA6-A91A-6C3DE058DBEA}"/>
            </c:ext>
          </c:extLst>
        </c:ser>
        <c:ser>
          <c:idx val="0"/>
          <c:order val="1"/>
          <c:tx>
            <c:strRef>
              <c:f>'Gráfica 2'!$K$3</c:f>
              <c:strCache>
                <c:ptCount val="1"/>
                <c:pt idx="0">
                  <c:v>Estatal</c:v>
                </c:pt>
              </c:strCache>
            </c:strRef>
          </c:tx>
          <c:spPr>
            <a:ln w="28575" cap="rnd">
              <a:solidFill>
                <a:srgbClr val="9214B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9214B3"/>
              </a:solidFill>
              <a:ln w="9525">
                <a:solidFill>
                  <a:srgbClr val="9214B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'Gráfica 2'!$J$4:$J$6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'Gráfica 2'!$K$4:$K$6</c:f>
              <c:numCache>
                <c:formatCode>#\ ###\ ###.0</c:formatCode>
                <c:ptCount val="3"/>
                <c:pt idx="0">
                  <c:v>2079026.6614316185</c:v>
                </c:pt>
                <c:pt idx="1">
                  <c:v>1934526.1274445627</c:v>
                </c:pt>
                <c:pt idx="2">
                  <c:v>1799264.0423527299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CD9-4DA6-A91A-6C3DE058DBEA}"/>
            </c:ext>
          </c:extLst>
        </c:ser>
        <c:ser>
          <c:idx val="2"/>
          <c:order val="2"/>
          <c:tx>
            <c:strRef>
              <c:f>'Gráfica 2'!$M$3</c:f>
              <c:strCache>
                <c:ptCount val="1"/>
                <c:pt idx="0">
                  <c:v>Municipal</c:v>
                </c:pt>
              </c:strCache>
            </c:strRef>
          </c:tx>
          <c:spPr>
            <a:ln w="28575" cap="rnd">
              <a:solidFill>
                <a:srgbClr val="2ED9D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2ED9D4"/>
              </a:solidFill>
              <a:ln w="9525">
                <a:solidFill>
                  <a:srgbClr val="2ED9D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'Gráfica 2'!$J$4:$J$6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'Gráfica 2'!$M$4:$M$6</c:f>
              <c:numCache>
                <c:formatCode>General</c:formatCode>
                <c:ptCount val="3"/>
                <c:pt idx="0" formatCode="#\ ###\ ###.0">
                  <c:v>533566.7817360597</c:v>
                </c:pt>
                <c:pt idx="2" formatCode="#\ ###\ ###.0">
                  <c:v>536620.44295583991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CD9-4DA6-A91A-6C3DE058DB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1743840"/>
        <c:axId val="1451766304"/>
      </c:lineChart>
      <c:catAx>
        <c:axId val="1451743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451766304"/>
        <c:crosses val="autoZero"/>
        <c:auto val="1"/>
        <c:lblAlgn val="ctr"/>
        <c:lblOffset val="100"/>
        <c:noMultiLvlLbl val="0"/>
      </c:catAx>
      <c:valAx>
        <c:axId val="1451766304"/>
        <c:scaling>
          <c:orientation val="minMax"/>
        </c:scaling>
        <c:delete val="1"/>
        <c:axPos val="l"/>
        <c:numFmt formatCode="#\ ###\ ###.0" sourceLinked="1"/>
        <c:majorTickMark val="none"/>
        <c:minorTickMark val="none"/>
        <c:tickLblPos val="nextTo"/>
        <c:crossAx val="1451743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3125231320915476"/>
          <c:y val="0.61901027472237102"/>
          <c:w val="0.54372496758331157"/>
          <c:h val="9.40651889899791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4">
    <c:autoUpdate val="0"/>
  </c:externalData>
  <c:userShapes r:id="rId5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000" b="0" cap="none" spc="0" baseline="0">
                <a:solidFill>
                  <a:schemeClr val="tx1"/>
                </a:solidFill>
                <a:effectLst/>
                <a:latin typeface="Arial" panose="020B0604020202020204" pitchFamily="34" charset="0"/>
              </a:rPr>
              <a:t>Gráfica 3</a:t>
            </a:r>
          </a:p>
          <a:p>
            <a:pPr>
              <a:defRPr/>
            </a:pPr>
            <a:r>
              <a:rPr lang="es-MX" sz="1100" b="1" cap="small" spc="0" baseline="0">
                <a:solidFill>
                  <a:schemeClr val="tx1"/>
                </a:solidFill>
                <a:effectLst/>
                <a:latin typeface="Arial" panose="020B0604020202020204" pitchFamily="34" charset="0"/>
              </a:rPr>
              <a:t>Presupuesto ejercido por las administraciones públicas</a:t>
            </a:r>
            <a:endParaRPr lang="es-MX" sz="1100" cap="small" spc="0" baseline="0">
              <a:solidFill>
                <a:schemeClr val="tx1"/>
              </a:solidFill>
              <a:effectLst/>
              <a:latin typeface="Arial" panose="020B0604020202020204" pitchFamily="34" charset="0"/>
            </a:endParaRPr>
          </a:p>
          <a:p>
            <a:pPr>
              <a:defRPr/>
            </a:pPr>
            <a:r>
              <a:rPr lang="es-MX" sz="1100" b="1" cap="small" spc="0" baseline="0">
                <a:solidFill>
                  <a:schemeClr val="tx1"/>
                </a:solidFill>
                <a:effectLst/>
                <a:latin typeface="Arial" panose="020B0604020202020204" pitchFamily="34" charset="0"/>
              </a:rPr>
              <a:t>según capítulo del Clasificador por Objeto del Gasto, 2020</a:t>
            </a:r>
            <a:endParaRPr lang="es-MX" sz="1100" cap="small" spc="0" baseline="0">
              <a:solidFill>
                <a:schemeClr val="tx1"/>
              </a:solidFill>
              <a:effectLst/>
              <a:latin typeface="Arial" panose="020B0604020202020204" pitchFamily="34" charset="0"/>
            </a:endParaRPr>
          </a:p>
          <a:p>
            <a:pPr>
              <a:defRPr/>
            </a:pPr>
            <a:r>
              <a:rPr lang="es-MX" sz="900" b="0" cap="none" spc="0" baseline="0">
                <a:solidFill>
                  <a:schemeClr val="tx1"/>
                </a:solidFill>
                <a:effectLst/>
                <a:latin typeface="Arial" panose="020B0604020202020204" pitchFamily="34" charset="0"/>
              </a:rPr>
              <a:t>(Porcentajes)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2.5462962962962962E-2"/>
          <c:y val="0"/>
          <c:w val="0.94907407407407407"/>
          <c:h val="0.8699881117801451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1000. Servicios personales</c:v>
                </c:pt>
              </c:strCache>
            </c:strRef>
          </c:tx>
          <c:spPr>
            <a:solidFill>
              <a:schemeClr val="tx1">
                <a:lumMod val="50000"/>
                <a:lumOff val="50000"/>
                <a:alpha val="15000"/>
              </a:schemeClr>
            </a:solidFill>
            <a:ln w="25400"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Federal</c:v>
                </c:pt>
                <c:pt idx="1">
                  <c:v>Estatal</c:v>
                </c:pt>
                <c:pt idx="2">
                  <c:v>Municipal</c:v>
                </c:pt>
              </c:strCache>
            </c:strRef>
          </c:cat>
          <c:val>
            <c:numRef>
              <c:f>Hoja1!$B$2:$B$4</c:f>
              <c:numCache>
                <c:formatCode>0.0</c:formatCode>
                <c:ptCount val="3"/>
                <c:pt idx="0" formatCode="General">
                  <c:v>21.7</c:v>
                </c:pt>
                <c:pt idx="1">
                  <c:v>32</c:v>
                </c:pt>
                <c:pt idx="2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81-0B4E-B431-2A4D8F20CBC2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2000. Materiales y suministros</c:v>
                </c:pt>
              </c:strCache>
            </c:strRef>
          </c:tx>
          <c:spPr>
            <a:solidFill>
              <a:schemeClr val="bg1">
                <a:lumMod val="65000"/>
                <a:alpha val="15000"/>
              </a:schemeClr>
            </a:solidFill>
            <a:ln w="25400">
              <a:solidFill>
                <a:schemeClr val="bg1">
                  <a:lumMod val="6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Federal</c:v>
                </c:pt>
                <c:pt idx="1">
                  <c:v>Estatal</c:v>
                </c:pt>
                <c:pt idx="2">
                  <c:v>Municipal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10.199999999999999</c:v>
                </c:pt>
                <c:pt idx="1">
                  <c:v>2.5</c:v>
                </c:pt>
                <c:pt idx="2">
                  <c:v>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81-0B4E-B431-2A4D8F20CBC2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3000. Servicios generales2</c:v>
                </c:pt>
              </c:strCache>
            </c:strRef>
          </c:tx>
          <c:spPr>
            <a:solidFill>
              <a:srgbClr val="2ED9D4">
                <a:alpha val="15000"/>
              </a:srgbClr>
            </a:solidFill>
            <a:ln w="25400">
              <a:solidFill>
                <a:srgbClr val="2ED9D4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Federal</c:v>
                </c:pt>
                <c:pt idx="1">
                  <c:v>Estatal</c:v>
                </c:pt>
                <c:pt idx="2">
                  <c:v>Municipal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9.1</c:v>
                </c:pt>
                <c:pt idx="1">
                  <c:v>6.8</c:v>
                </c:pt>
                <c:pt idx="2">
                  <c:v>17.100000000000001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81-0B4E-B431-2A4D8F20CBC2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4000. Transferencias*</c:v>
                </c:pt>
              </c:strCache>
            </c:strRef>
          </c:tx>
          <c:spPr>
            <a:solidFill>
              <a:srgbClr val="00B0F0">
                <a:alpha val="15000"/>
              </a:srgbClr>
            </a:solidFill>
            <a:ln w="25400">
              <a:solidFill>
                <a:srgbClr val="00B0F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Federal</c:v>
                </c:pt>
                <c:pt idx="1">
                  <c:v>Estatal</c:v>
                </c:pt>
                <c:pt idx="2">
                  <c:v>Municipal</c:v>
                </c:pt>
              </c:strCache>
            </c:strRef>
          </c:cat>
          <c:val>
            <c:numRef>
              <c:f>Hoja1!$E$2:$E$4</c:f>
              <c:numCache>
                <c:formatCode>General</c:formatCode>
                <c:ptCount val="3"/>
                <c:pt idx="0">
                  <c:v>45.6</c:v>
                </c:pt>
                <c:pt idx="1">
                  <c:v>37.299999999999997</c:v>
                </c:pt>
                <c:pt idx="2">
                  <c:v>9.6999999999999993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181-0B4E-B431-2A4D8F20CBC2}"/>
            </c:ext>
          </c:extLst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5000. Bienes muebles, inmuebles e intangibles</c:v>
                </c:pt>
              </c:strCache>
            </c:strRef>
          </c:tx>
          <c:spPr>
            <a:solidFill>
              <a:srgbClr val="0070C0">
                <a:alpha val="15000"/>
              </a:srgbClr>
            </a:solidFill>
            <a:ln w="25400">
              <a:solidFill>
                <a:srgbClr val="0070C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0.11574074074074076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181-0B4E-B431-2A4D8F20CBC2}"/>
                </c:ext>
              </c:extLst>
            </c:dLbl>
            <c:dLbl>
              <c:idx val="1"/>
              <c:layout>
                <c:manualLayout>
                  <c:x val="-0.11574074074074074"/>
                  <c:y val="3.5947297152056452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181-0B4E-B431-2A4D8F20CB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Federal</c:v>
                </c:pt>
                <c:pt idx="1">
                  <c:v>Estatal</c:v>
                </c:pt>
                <c:pt idx="2">
                  <c:v>Municipal</c:v>
                </c:pt>
              </c:strCache>
            </c:strRef>
          </c:cat>
          <c:val>
            <c:numRef>
              <c:f>Hoja1!$F$2:$F$4</c:f>
              <c:numCache>
                <c:formatCode>General</c:formatCode>
                <c:ptCount val="3"/>
                <c:pt idx="0">
                  <c:v>1.2</c:v>
                </c:pt>
                <c:pt idx="1">
                  <c:v>0.8</c:v>
                </c:pt>
                <c:pt idx="2" formatCode="0.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181-0B4E-B431-2A4D8F20CBC2}"/>
            </c:ext>
          </c:extLst>
        </c:ser>
        <c:ser>
          <c:idx val="5"/>
          <c:order val="5"/>
          <c:tx>
            <c:strRef>
              <c:f>Hoja1!$G$1</c:f>
              <c:strCache>
                <c:ptCount val="1"/>
                <c:pt idx="0">
                  <c:v>6000. Inversión pública</c:v>
                </c:pt>
              </c:strCache>
            </c:strRef>
          </c:tx>
          <c:spPr>
            <a:solidFill>
              <a:srgbClr val="9214B3">
                <a:alpha val="15000"/>
              </a:srgbClr>
            </a:solidFill>
            <a:ln w="25400">
              <a:solidFill>
                <a:srgbClr val="9214B3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Federal</c:v>
                </c:pt>
                <c:pt idx="1">
                  <c:v>Estatal</c:v>
                </c:pt>
                <c:pt idx="2">
                  <c:v>Municipal</c:v>
                </c:pt>
              </c:strCache>
            </c:strRef>
          </c:cat>
          <c:val>
            <c:numRef>
              <c:f>Hoja1!$G$2:$G$4</c:f>
              <c:numCache>
                <c:formatCode>General</c:formatCode>
                <c:ptCount val="3"/>
                <c:pt idx="0" formatCode="0.0">
                  <c:v>8</c:v>
                </c:pt>
                <c:pt idx="1">
                  <c:v>4.9000000000000004</c:v>
                </c:pt>
                <c:pt idx="2">
                  <c:v>20.5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181-0B4E-B431-2A4D8F20CBC2}"/>
            </c:ext>
          </c:extLst>
        </c:ser>
        <c:ser>
          <c:idx val="6"/>
          <c:order val="6"/>
          <c:tx>
            <c:strRef>
              <c:f>Hoja1!$H$1</c:f>
              <c:strCache>
                <c:ptCount val="1"/>
                <c:pt idx="0">
                  <c:v>7000. Inversiones financieras y otras provisiones</c:v>
                </c:pt>
              </c:strCache>
            </c:strRef>
          </c:tx>
          <c:spPr>
            <a:solidFill>
              <a:srgbClr val="D53DBE">
                <a:alpha val="15000"/>
              </a:srgbClr>
            </a:solidFill>
            <a:ln w="25400">
              <a:solidFill>
                <a:srgbClr val="D53DBE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-0.11574074074074074"/>
                  <c:y val="-3.5947297152056452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181-0B4E-B431-2A4D8F20CBC2}"/>
                </c:ext>
              </c:extLst>
            </c:dLbl>
            <c:dLbl>
              <c:idx val="2"/>
              <c:layout>
                <c:manualLayout>
                  <c:x val="0.11574074074074074"/>
                  <c:y val="1.568627450980392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181-0B4E-B431-2A4D8F20CB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Federal</c:v>
                </c:pt>
                <c:pt idx="1">
                  <c:v>Estatal</c:v>
                </c:pt>
                <c:pt idx="2">
                  <c:v>Municipal</c:v>
                </c:pt>
              </c:strCache>
            </c:strRef>
          </c:cat>
          <c:val>
            <c:numRef>
              <c:f>Hoja1!$H$2:$H$4</c:f>
              <c:numCache>
                <c:formatCode>General</c:formatCode>
                <c:ptCount val="3"/>
                <c:pt idx="0">
                  <c:v>3.2</c:v>
                </c:pt>
                <c:pt idx="1">
                  <c:v>1.3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181-0B4E-B431-2A4D8F20CBC2}"/>
            </c:ext>
          </c:extLst>
        </c:ser>
        <c:ser>
          <c:idx val="7"/>
          <c:order val="7"/>
          <c:tx>
            <c:strRef>
              <c:f>Hoja1!$I$1</c:f>
              <c:strCache>
                <c:ptCount val="1"/>
                <c:pt idx="0">
                  <c:v>8000. Participaciones y aportaciones</c:v>
                </c:pt>
              </c:strCache>
            </c:strRef>
          </c:tx>
          <c:spPr>
            <a:solidFill>
              <a:srgbClr val="980983">
                <a:alpha val="15000"/>
              </a:srgbClr>
            </a:solidFill>
            <a:ln w="25400">
              <a:solidFill>
                <a:srgbClr val="980983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0.11574074074074076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181-0B4E-B431-2A4D8F20CBC2}"/>
                </c:ext>
              </c:extLst>
            </c:dLbl>
            <c:dLbl>
              <c:idx val="2"/>
              <c:layout>
                <c:manualLayout>
                  <c:x val="0.11574074074074074"/>
                  <c:y val="-7.843137254901960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181-0B4E-B431-2A4D8F20CB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Federal</c:v>
                </c:pt>
                <c:pt idx="1">
                  <c:v>Estatal</c:v>
                </c:pt>
                <c:pt idx="2">
                  <c:v>Municipal</c:v>
                </c:pt>
              </c:strCache>
            </c:strRef>
          </c:cat>
          <c:val>
            <c:numRef>
              <c:f>Hoja1!$I$2:$I$4</c:f>
              <c:numCache>
                <c:formatCode>General</c:formatCode>
                <c:ptCount val="3"/>
                <c:pt idx="0">
                  <c:v>1.1000000000000001</c:v>
                </c:pt>
                <c:pt idx="1">
                  <c:v>9.1</c:v>
                </c:pt>
                <c:pt idx="2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181-0B4E-B431-2A4D8F20CBC2}"/>
            </c:ext>
          </c:extLst>
        </c:ser>
        <c:ser>
          <c:idx val="8"/>
          <c:order val="8"/>
          <c:tx>
            <c:strRef>
              <c:f>Hoja1!$J$1</c:f>
              <c:strCache>
                <c:ptCount val="1"/>
                <c:pt idx="0">
                  <c:v>9000. Deuda pública</c:v>
                </c:pt>
              </c:strCache>
            </c:strRef>
          </c:tx>
          <c:spPr>
            <a:solidFill>
              <a:srgbClr val="650657">
                <a:alpha val="15000"/>
              </a:srgbClr>
            </a:solidFill>
            <a:ln w="25400">
              <a:solidFill>
                <a:srgbClr val="650657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2.1218890680033321E-17"/>
                  <c:y val="-1.960784313725491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181-0B4E-B431-2A4D8F20CB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Federal</c:v>
                </c:pt>
                <c:pt idx="1">
                  <c:v>Estatal</c:v>
                </c:pt>
                <c:pt idx="2">
                  <c:v>Municipal</c:v>
                </c:pt>
              </c:strCache>
            </c:strRef>
          </c:cat>
          <c:val>
            <c:numRef>
              <c:f>Hoja1!$J$2:$J$4</c:f>
              <c:numCache>
                <c:formatCode>General</c:formatCode>
                <c:ptCount val="3"/>
                <c:pt idx="0">
                  <c:v>0.1</c:v>
                </c:pt>
                <c:pt idx="1">
                  <c:v>4.3</c:v>
                </c:pt>
                <c:pt idx="2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181-0B4E-B431-2A4D8F20CBC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116788735"/>
        <c:axId val="2093250224"/>
      </c:barChart>
      <c:catAx>
        <c:axId val="1167887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093250224"/>
        <c:crosses val="autoZero"/>
        <c:auto val="1"/>
        <c:lblAlgn val="ctr"/>
        <c:lblOffset val="100"/>
        <c:noMultiLvlLbl val="0"/>
      </c:catAx>
      <c:valAx>
        <c:axId val="20932502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6788735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.92570281124497988"/>
          <c:w val="0.99920056867891494"/>
          <c:h val="7.22891566265060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000">
                <a:solidFill>
                  <a:schemeClr val="tx1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Gáfica 4</a:t>
            </a:r>
          </a:p>
          <a:p>
            <a:pPr>
              <a:defRPr/>
            </a:pPr>
            <a:r>
              <a:rPr lang="es-MX" sz="1100" b="1" cap="small">
                <a:solidFill>
                  <a:schemeClr val="tx1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Montos asociados a los contratos realizados por las administraciones públicas estatales con proveedores y/o contratistas, por tipo de procedimiento, 2020</a:t>
            </a:r>
          </a:p>
          <a:p>
            <a:pPr>
              <a:defRPr/>
            </a:pPr>
            <a:r>
              <a:rPr lang="es-MX" sz="900" b="0" cap="none" baseline="0">
                <a:solidFill>
                  <a:schemeClr val="tx1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(Porcentajes)</a:t>
            </a:r>
          </a:p>
        </c:rich>
      </c:tx>
      <c:layout>
        <c:manualLayout>
          <c:xMode val="edge"/>
          <c:yMode val="edge"/>
          <c:x val="0.1206616311310832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2.1028484037468934E-2"/>
          <c:y val="0"/>
          <c:w val="0.95794303192506214"/>
          <c:h val="0.7841272334723745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Adjudicación directa</c:v>
                </c:pt>
              </c:strCache>
            </c:strRef>
          </c:tx>
          <c:spPr>
            <a:solidFill>
              <a:schemeClr val="bg1">
                <a:lumMod val="65000"/>
                <a:alpha val="15000"/>
              </a:schemeClr>
            </a:solidFill>
            <a:ln w="9525">
              <a:solidFill>
                <a:schemeClr val="bg1">
                  <a:lumMod val="65000"/>
                </a:schemeClr>
              </a:solidFill>
            </a:ln>
            <a:effectLst/>
          </c:spPr>
          <c:invertIfNegative val="0"/>
          <c:dLbls>
            <c:dLbl>
              <c:idx val="2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0EB-EB40-8D5A-B1ADEDA9E3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Hoja1!$A$2:$A$34</c:f>
              <c:strCache>
                <c:ptCount val="33"/>
                <c:pt idx="0">
                  <c:v>Nacional</c:v>
                </c:pt>
                <c:pt idx="1">
                  <c:v>Chiapas</c:v>
                </c:pt>
                <c:pt idx="2">
                  <c:v>Guerrero</c:v>
                </c:pt>
                <c:pt idx="3">
                  <c:v>Baja California</c:v>
                </c:pt>
                <c:pt idx="4">
                  <c:v>Hidalgo</c:v>
                </c:pt>
                <c:pt idx="5">
                  <c:v>Sinaloa</c:v>
                </c:pt>
                <c:pt idx="6">
                  <c:v>Morelos</c:v>
                </c:pt>
                <c:pt idx="7">
                  <c:v>Zacatecas</c:v>
                </c:pt>
                <c:pt idx="8">
                  <c:v>Sonora</c:v>
                </c:pt>
                <c:pt idx="9">
                  <c:v>Guanajuato</c:v>
                </c:pt>
                <c:pt idx="10">
                  <c:v>Michoacán</c:v>
                </c:pt>
                <c:pt idx="11">
                  <c:v>Ciudad de México</c:v>
                </c:pt>
                <c:pt idx="12">
                  <c:v>San Luis Potosí</c:v>
                </c:pt>
                <c:pt idx="13">
                  <c:v>Durango</c:v>
                </c:pt>
                <c:pt idx="14">
                  <c:v>Chihuahua</c:v>
                </c:pt>
                <c:pt idx="15">
                  <c:v>Aguascalientes</c:v>
                </c:pt>
                <c:pt idx="16">
                  <c:v>México</c:v>
                </c:pt>
                <c:pt idx="17">
                  <c:v>Tabasco</c:v>
                </c:pt>
                <c:pt idx="18">
                  <c:v>Tlaxcala</c:v>
                </c:pt>
                <c:pt idx="19">
                  <c:v>Coahuila</c:v>
                </c:pt>
                <c:pt idx="20">
                  <c:v>Querétaro</c:v>
                </c:pt>
                <c:pt idx="21">
                  <c:v>Veracruz</c:v>
                </c:pt>
                <c:pt idx="22">
                  <c:v>Quintana Roo</c:v>
                </c:pt>
                <c:pt idx="23">
                  <c:v>Campeche</c:v>
                </c:pt>
                <c:pt idx="24">
                  <c:v>Jalisco</c:v>
                </c:pt>
                <c:pt idx="25">
                  <c:v>Oaxaca</c:v>
                </c:pt>
                <c:pt idx="26">
                  <c:v>Nuevo León</c:v>
                </c:pt>
                <c:pt idx="27">
                  <c:v>Yucatán</c:v>
                </c:pt>
                <c:pt idx="28">
                  <c:v>Puebla</c:v>
                </c:pt>
                <c:pt idx="29">
                  <c:v>Colima</c:v>
                </c:pt>
                <c:pt idx="30">
                  <c:v>Nayarit</c:v>
                </c:pt>
                <c:pt idx="31">
                  <c:v>Tamaulipas</c:v>
                </c:pt>
                <c:pt idx="32">
                  <c:v>Baja California Sur</c:v>
                </c:pt>
              </c:strCache>
            </c:strRef>
          </c:cat>
          <c:val>
            <c:numRef>
              <c:f>Hoja1!$B$2:$B$34</c:f>
              <c:numCache>
                <c:formatCode>General</c:formatCode>
                <c:ptCount val="33"/>
                <c:pt idx="0">
                  <c:v>35</c:v>
                </c:pt>
                <c:pt idx="1">
                  <c:v>61</c:v>
                </c:pt>
                <c:pt idx="2">
                  <c:v>38</c:v>
                </c:pt>
                <c:pt idx="3">
                  <c:v>44</c:v>
                </c:pt>
                <c:pt idx="4">
                  <c:v>23</c:v>
                </c:pt>
                <c:pt idx="5">
                  <c:v>17</c:v>
                </c:pt>
                <c:pt idx="6">
                  <c:v>18</c:v>
                </c:pt>
                <c:pt idx="7">
                  <c:v>33</c:v>
                </c:pt>
                <c:pt idx="8">
                  <c:v>14</c:v>
                </c:pt>
                <c:pt idx="9">
                  <c:v>29</c:v>
                </c:pt>
                <c:pt idx="10">
                  <c:v>7</c:v>
                </c:pt>
                <c:pt idx="11">
                  <c:v>63</c:v>
                </c:pt>
                <c:pt idx="12">
                  <c:v>37</c:v>
                </c:pt>
                <c:pt idx="13">
                  <c:v>11</c:v>
                </c:pt>
                <c:pt idx="14">
                  <c:v>35</c:v>
                </c:pt>
                <c:pt idx="15">
                  <c:v>27</c:v>
                </c:pt>
                <c:pt idx="16">
                  <c:v>36</c:v>
                </c:pt>
                <c:pt idx="17">
                  <c:v>18</c:v>
                </c:pt>
                <c:pt idx="18">
                  <c:v>4</c:v>
                </c:pt>
                <c:pt idx="19">
                  <c:v>9</c:v>
                </c:pt>
                <c:pt idx="20">
                  <c:v>3</c:v>
                </c:pt>
                <c:pt idx="21">
                  <c:v>55</c:v>
                </c:pt>
                <c:pt idx="22">
                  <c:v>34</c:v>
                </c:pt>
                <c:pt idx="23">
                  <c:v>7</c:v>
                </c:pt>
                <c:pt idx="24">
                  <c:v>6</c:v>
                </c:pt>
                <c:pt idx="25">
                  <c:v>0</c:v>
                </c:pt>
                <c:pt idx="26">
                  <c:v>25</c:v>
                </c:pt>
                <c:pt idx="27">
                  <c:v>41</c:v>
                </c:pt>
                <c:pt idx="28">
                  <c:v>16</c:v>
                </c:pt>
                <c:pt idx="29">
                  <c:v>31</c:v>
                </c:pt>
                <c:pt idx="30">
                  <c:v>65</c:v>
                </c:pt>
                <c:pt idx="31">
                  <c:v>11</c:v>
                </c:pt>
                <c:pt idx="32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EB-EB40-8D5A-B1ADEDA9E36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Licitación pública nacional</c:v>
                </c:pt>
              </c:strCache>
            </c:strRef>
          </c:tx>
          <c:spPr>
            <a:solidFill>
              <a:srgbClr val="CA0CAE">
                <a:alpha val="15000"/>
              </a:srgbClr>
            </a:solidFill>
            <a:ln w="12700">
              <a:solidFill>
                <a:srgbClr val="CA0CAE"/>
              </a:solidFill>
            </a:ln>
            <a:effectLst/>
          </c:spPr>
          <c:invertIfNegative val="0"/>
          <c:dPt>
            <c:idx val="32"/>
            <c:invertIfNegative val="0"/>
            <c:bubble3D val="0"/>
            <c:spPr>
              <a:solidFill>
                <a:srgbClr val="CA0CAE">
                  <a:alpha val="15000"/>
                </a:srgbClr>
              </a:solidFill>
              <a:ln w="9525">
                <a:solidFill>
                  <a:srgbClr val="CA0CAE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0EB-EB40-8D5A-B1ADEDA9E36F}"/>
              </c:ext>
            </c:extLst>
          </c:dPt>
          <c:dLbls>
            <c:dLbl>
              <c:idx val="2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0EB-EB40-8D5A-B1ADEDA9E3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Hoja1!$A$2:$A$34</c:f>
              <c:strCache>
                <c:ptCount val="33"/>
                <c:pt idx="0">
                  <c:v>Nacional</c:v>
                </c:pt>
                <c:pt idx="1">
                  <c:v>Chiapas</c:v>
                </c:pt>
                <c:pt idx="2">
                  <c:v>Guerrero</c:v>
                </c:pt>
                <c:pt idx="3">
                  <c:v>Baja California</c:v>
                </c:pt>
                <c:pt idx="4">
                  <c:v>Hidalgo</c:v>
                </c:pt>
                <c:pt idx="5">
                  <c:v>Sinaloa</c:v>
                </c:pt>
                <c:pt idx="6">
                  <c:v>Morelos</c:v>
                </c:pt>
                <c:pt idx="7">
                  <c:v>Zacatecas</c:v>
                </c:pt>
                <c:pt idx="8">
                  <c:v>Sonora</c:v>
                </c:pt>
                <c:pt idx="9">
                  <c:v>Guanajuato</c:v>
                </c:pt>
                <c:pt idx="10">
                  <c:v>Michoacán</c:v>
                </c:pt>
                <c:pt idx="11">
                  <c:v>Ciudad de México</c:v>
                </c:pt>
                <c:pt idx="12">
                  <c:v>San Luis Potosí</c:v>
                </c:pt>
                <c:pt idx="13">
                  <c:v>Durango</c:v>
                </c:pt>
                <c:pt idx="14">
                  <c:v>Chihuahua</c:v>
                </c:pt>
                <c:pt idx="15">
                  <c:v>Aguascalientes</c:v>
                </c:pt>
                <c:pt idx="16">
                  <c:v>México</c:v>
                </c:pt>
                <c:pt idx="17">
                  <c:v>Tabasco</c:v>
                </c:pt>
                <c:pt idx="18">
                  <c:v>Tlaxcala</c:v>
                </c:pt>
                <c:pt idx="19">
                  <c:v>Coahuila</c:v>
                </c:pt>
                <c:pt idx="20">
                  <c:v>Querétaro</c:v>
                </c:pt>
                <c:pt idx="21">
                  <c:v>Veracruz</c:v>
                </c:pt>
                <c:pt idx="22">
                  <c:v>Quintana Roo</c:v>
                </c:pt>
                <c:pt idx="23">
                  <c:v>Campeche</c:v>
                </c:pt>
                <c:pt idx="24">
                  <c:v>Jalisco</c:v>
                </c:pt>
                <c:pt idx="25">
                  <c:v>Oaxaca</c:v>
                </c:pt>
                <c:pt idx="26">
                  <c:v>Nuevo León</c:v>
                </c:pt>
                <c:pt idx="27">
                  <c:v>Yucatán</c:v>
                </c:pt>
                <c:pt idx="28">
                  <c:v>Puebla</c:v>
                </c:pt>
                <c:pt idx="29">
                  <c:v>Colima</c:v>
                </c:pt>
                <c:pt idx="30">
                  <c:v>Nayarit</c:v>
                </c:pt>
                <c:pt idx="31">
                  <c:v>Tamaulipas</c:v>
                </c:pt>
                <c:pt idx="32">
                  <c:v>Baja California Sur</c:v>
                </c:pt>
              </c:strCache>
            </c:strRef>
          </c:cat>
          <c:val>
            <c:numRef>
              <c:f>Hoja1!$C$2:$C$34</c:f>
              <c:numCache>
                <c:formatCode>General</c:formatCode>
                <c:ptCount val="33"/>
                <c:pt idx="0">
                  <c:v>48</c:v>
                </c:pt>
                <c:pt idx="1">
                  <c:v>14</c:v>
                </c:pt>
                <c:pt idx="2">
                  <c:v>53</c:v>
                </c:pt>
                <c:pt idx="3">
                  <c:v>22</c:v>
                </c:pt>
                <c:pt idx="4">
                  <c:v>73</c:v>
                </c:pt>
                <c:pt idx="5">
                  <c:v>65</c:v>
                </c:pt>
                <c:pt idx="6">
                  <c:v>51</c:v>
                </c:pt>
                <c:pt idx="7">
                  <c:v>47</c:v>
                </c:pt>
                <c:pt idx="8">
                  <c:v>59</c:v>
                </c:pt>
                <c:pt idx="9">
                  <c:v>64</c:v>
                </c:pt>
                <c:pt idx="10">
                  <c:v>87</c:v>
                </c:pt>
                <c:pt idx="11">
                  <c:v>24</c:v>
                </c:pt>
                <c:pt idx="12">
                  <c:v>2</c:v>
                </c:pt>
                <c:pt idx="13">
                  <c:v>71</c:v>
                </c:pt>
                <c:pt idx="14">
                  <c:v>65</c:v>
                </c:pt>
                <c:pt idx="15">
                  <c:v>61</c:v>
                </c:pt>
                <c:pt idx="16">
                  <c:v>64</c:v>
                </c:pt>
                <c:pt idx="17">
                  <c:v>45</c:v>
                </c:pt>
                <c:pt idx="18">
                  <c:v>88</c:v>
                </c:pt>
                <c:pt idx="19">
                  <c:v>55</c:v>
                </c:pt>
                <c:pt idx="20">
                  <c:v>62</c:v>
                </c:pt>
                <c:pt idx="21">
                  <c:v>26</c:v>
                </c:pt>
                <c:pt idx="22">
                  <c:v>56</c:v>
                </c:pt>
                <c:pt idx="23">
                  <c:v>18</c:v>
                </c:pt>
                <c:pt idx="24">
                  <c:v>56</c:v>
                </c:pt>
                <c:pt idx="25">
                  <c:v>0</c:v>
                </c:pt>
                <c:pt idx="26">
                  <c:v>49</c:v>
                </c:pt>
                <c:pt idx="27">
                  <c:v>58</c:v>
                </c:pt>
                <c:pt idx="28">
                  <c:v>43</c:v>
                </c:pt>
                <c:pt idx="29">
                  <c:v>46</c:v>
                </c:pt>
                <c:pt idx="30">
                  <c:v>0</c:v>
                </c:pt>
                <c:pt idx="31">
                  <c:v>68</c:v>
                </c:pt>
                <c:pt idx="32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0EB-EB40-8D5A-B1ADEDA9E36F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Otro*</c:v>
                </c:pt>
              </c:strCache>
            </c:strRef>
          </c:tx>
          <c:spPr>
            <a:solidFill>
              <a:srgbClr val="2ED9D4">
                <a:alpha val="15000"/>
              </a:srgbClr>
            </a:solidFill>
            <a:ln w="9525">
              <a:solidFill>
                <a:srgbClr val="2ED9D4"/>
              </a:solidFill>
            </a:ln>
            <a:effectLst/>
          </c:spPr>
          <c:invertIfNegative val="0"/>
          <c:dLbls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0EB-EB40-8D5A-B1ADEDA9E36F}"/>
                </c:ext>
              </c:extLst>
            </c:dLbl>
            <c:dLbl>
              <c:idx val="2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0EB-EB40-8D5A-B1ADEDA9E3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Hoja1!$A$2:$A$34</c:f>
              <c:strCache>
                <c:ptCount val="33"/>
                <c:pt idx="0">
                  <c:v>Nacional</c:v>
                </c:pt>
                <c:pt idx="1">
                  <c:v>Chiapas</c:v>
                </c:pt>
                <c:pt idx="2">
                  <c:v>Guerrero</c:v>
                </c:pt>
                <c:pt idx="3">
                  <c:v>Baja California</c:v>
                </c:pt>
                <c:pt idx="4">
                  <c:v>Hidalgo</c:v>
                </c:pt>
                <c:pt idx="5">
                  <c:v>Sinaloa</c:v>
                </c:pt>
                <c:pt idx="6">
                  <c:v>Morelos</c:v>
                </c:pt>
                <c:pt idx="7">
                  <c:v>Zacatecas</c:v>
                </c:pt>
                <c:pt idx="8">
                  <c:v>Sonora</c:v>
                </c:pt>
                <c:pt idx="9">
                  <c:v>Guanajuato</c:v>
                </c:pt>
                <c:pt idx="10">
                  <c:v>Michoacán</c:v>
                </c:pt>
                <c:pt idx="11">
                  <c:v>Ciudad de México</c:v>
                </c:pt>
                <c:pt idx="12">
                  <c:v>San Luis Potosí</c:v>
                </c:pt>
                <c:pt idx="13">
                  <c:v>Durango</c:v>
                </c:pt>
                <c:pt idx="14">
                  <c:v>Chihuahua</c:v>
                </c:pt>
                <c:pt idx="15">
                  <c:v>Aguascalientes</c:v>
                </c:pt>
                <c:pt idx="16">
                  <c:v>México</c:v>
                </c:pt>
                <c:pt idx="17">
                  <c:v>Tabasco</c:v>
                </c:pt>
                <c:pt idx="18">
                  <c:v>Tlaxcala</c:v>
                </c:pt>
                <c:pt idx="19">
                  <c:v>Coahuila</c:v>
                </c:pt>
                <c:pt idx="20">
                  <c:v>Querétaro</c:v>
                </c:pt>
                <c:pt idx="21">
                  <c:v>Veracruz</c:v>
                </c:pt>
                <c:pt idx="22">
                  <c:v>Quintana Roo</c:v>
                </c:pt>
                <c:pt idx="23">
                  <c:v>Campeche</c:v>
                </c:pt>
                <c:pt idx="24">
                  <c:v>Jalisco</c:v>
                </c:pt>
                <c:pt idx="25">
                  <c:v>Oaxaca</c:v>
                </c:pt>
                <c:pt idx="26">
                  <c:v>Nuevo León</c:v>
                </c:pt>
                <c:pt idx="27">
                  <c:v>Yucatán</c:v>
                </c:pt>
                <c:pt idx="28">
                  <c:v>Puebla</c:v>
                </c:pt>
                <c:pt idx="29">
                  <c:v>Colima</c:v>
                </c:pt>
                <c:pt idx="30">
                  <c:v>Nayarit</c:v>
                </c:pt>
                <c:pt idx="31">
                  <c:v>Tamaulipas</c:v>
                </c:pt>
                <c:pt idx="32">
                  <c:v>Baja California Sur</c:v>
                </c:pt>
              </c:strCache>
            </c:strRef>
          </c:cat>
          <c:val>
            <c:numRef>
              <c:f>Hoja1!$D$2:$D$34</c:f>
              <c:numCache>
                <c:formatCode>General</c:formatCode>
                <c:ptCount val="33"/>
                <c:pt idx="0">
                  <c:v>17</c:v>
                </c:pt>
                <c:pt idx="1">
                  <c:v>25</c:v>
                </c:pt>
                <c:pt idx="2">
                  <c:v>9</c:v>
                </c:pt>
                <c:pt idx="3">
                  <c:v>33</c:v>
                </c:pt>
                <c:pt idx="4">
                  <c:v>4</c:v>
                </c:pt>
                <c:pt idx="5">
                  <c:v>18</c:v>
                </c:pt>
                <c:pt idx="6">
                  <c:v>31</c:v>
                </c:pt>
                <c:pt idx="7">
                  <c:v>20</c:v>
                </c:pt>
                <c:pt idx="8">
                  <c:v>28</c:v>
                </c:pt>
                <c:pt idx="9">
                  <c:v>6</c:v>
                </c:pt>
                <c:pt idx="10">
                  <c:v>5</c:v>
                </c:pt>
                <c:pt idx="11">
                  <c:v>13</c:v>
                </c:pt>
                <c:pt idx="12">
                  <c:v>61</c:v>
                </c:pt>
                <c:pt idx="13">
                  <c:v>18</c:v>
                </c:pt>
                <c:pt idx="14">
                  <c:v>1</c:v>
                </c:pt>
                <c:pt idx="15">
                  <c:v>12</c:v>
                </c:pt>
                <c:pt idx="16">
                  <c:v>0</c:v>
                </c:pt>
                <c:pt idx="17">
                  <c:v>36</c:v>
                </c:pt>
                <c:pt idx="18">
                  <c:v>8</c:v>
                </c:pt>
                <c:pt idx="19">
                  <c:v>36</c:v>
                </c:pt>
                <c:pt idx="20">
                  <c:v>35</c:v>
                </c:pt>
                <c:pt idx="21">
                  <c:v>19</c:v>
                </c:pt>
                <c:pt idx="22">
                  <c:v>10</c:v>
                </c:pt>
                <c:pt idx="23">
                  <c:v>75</c:v>
                </c:pt>
                <c:pt idx="24">
                  <c:v>38</c:v>
                </c:pt>
                <c:pt idx="25">
                  <c:v>0</c:v>
                </c:pt>
                <c:pt idx="26">
                  <c:v>25</c:v>
                </c:pt>
                <c:pt idx="27">
                  <c:v>1</c:v>
                </c:pt>
                <c:pt idx="28">
                  <c:v>41</c:v>
                </c:pt>
                <c:pt idx="29">
                  <c:v>23</c:v>
                </c:pt>
                <c:pt idx="30">
                  <c:v>35</c:v>
                </c:pt>
                <c:pt idx="31">
                  <c:v>22</c:v>
                </c:pt>
                <c:pt idx="3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0EB-EB40-8D5A-B1ADEDA9E36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35"/>
        <c:overlap val="100"/>
        <c:axId val="199737535"/>
        <c:axId val="199739183"/>
      </c:barChart>
      <c:catAx>
        <c:axId val="1997375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99739183"/>
        <c:crosses val="autoZero"/>
        <c:auto val="1"/>
        <c:lblAlgn val="ctr"/>
        <c:lblOffset val="100"/>
        <c:noMultiLvlLbl val="0"/>
      </c:catAx>
      <c:valAx>
        <c:axId val="19973918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97375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523383018656275"/>
          <c:y val="0.96439097254645234"/>
          <c:w val="0.62127422187725145"/>
          <c:h val="3.36558927179892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000" b="0" i="0" u="none" strike="noStrike" cap="none" baseline="0">
                <a:solidFill>
                  <a:schemeClr val="tx1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Gráfica 5</a:t>
            </a:r>
          </a:p>
          <a:p>
            <a:pPr>
              <a:defRPr/>
            </a:pPr>
            <a:r>
              <a:rPr lang="es-MX" sz="1100" b="1" i="0" u="none" strike="noStrike" cap="small" baseline="0">
                <a:solidFill>
                  <a:schemeClr val="tx1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Montos asociados a los contratos realizados por las administraciones públicas municipales con proveedores y/o contratistas, por tipo de procedimiento, 2020</a:t>
            </a:r>
            <a:endParaRPr lang="es-MX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183047716128896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2.1028484037468934E-2"/>
          <c:y val="0"/>
          <c:w val="0.95794303192506214"/>
          <c:h val="0.7841272334723745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Adjudicación directa</c:v>
                </c:pt>
              </c:strCache>
            </c:strRef>
          </c:tx>
          <c:spPr>
            <a:solidFill>
              <a:schemeClr val="bg1">
                <a:lumMod val="65000"/>
                <a:alpha val="15000"/>
              </a:schemeClr>
            </a:solidFill>
            <a:ln w="9525">
              <a:solidFill>
                <a:schemeClr val="bg1">
                  <a:lumMod val="65000"/>
                </a:schemeClr>
              </a:solidFill>
            </a:ln>
            <a:effectLst/>
          </c:spPr>
          <c:invertIfNegative val="0"/>
          <c:dLbls>
            <c:dLbl>
              <c:idx val="2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623-C645-AC50-647EA9DCB3B6}"/>
                </c:ext>
              </c:extLst>
            </c:dLbl>
            <c:dLbl>
              <c:idx val="3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23-C645-AC50-647EA9DCB3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Hoja1!$A$2:$A$34</c:f>
              <c:strCache>
                <c:ptCount val="33"/>
                <c:pt idx="0">
                  <c:v>Nacional</c:v>
                </c:pt>
                <c:pt idx="1">
                  <c:v>Chiapas</c:v>
                </c:pt>
                <c:pt idx="2">
                  <c:v>Guerrero</c:v>
                </c:pt>
                <c:pt idx="3">
                  <c:v>Baja California</c:v>
                </c:pt>
                <c:pt idx="4">
                  <c:v>Hidalgo</c:v>
                </c:pt>
                <c:pt idx="5">
                  <c:v>Sinaloa</c:v>
                </c:pt>
                <c:pt idx="6">
                  <c:v>Morelos</c:v>
                </c:pt>
                <c:pt idx="7">
                  <c:v>Zacatecas</c:v>
                </c:pt>
                <c:pt idx="8">
                  <c:v>Sonora</c:v>
                </c:pt>
                <c:pt idx="9">
                  <c:v>Guanajuato</c:v>
                </c:pt>
                <c:pt idx="10">
                  <c:v>Michoacán</c:v>
                </c:pt>
                <c:pt idx="11">
                  <c:v>Ciudad de México</c:v>
                </c:pt>
                <c:pt idx="12">
                  <c:v>San Luis Potosí</c:v>
                </c:pt>
                <c:pt idx="13">
                  <c:v>Durango</c:v>
                </c:pt>
                <c:pt idx="14">
                  <c:v>Chihuahua</c:v>
                </c:pt>
                <c:pt idx="15">
                  <c:v>Aguascalientes</c:v>
                </c:pt>
                <c:pt idx="16">
                  <c:v>México</c:v>
                </c:pt>
                <c:pt idx="17">
                  <c:v>Tabasco</c:v>
                </c:pt>
                <c:pt idx="18">
                  <c:v>Tlaxcala</c:v>
                </c:pt>
                <c:pt idx="19">
                  <c:v>Coahuila</c:v>
                </c:pt>
                <c:pt idx="20">
                  <c:v>Querétaro</c:v>
                </c:pt>
                <c:pt idx="21">
                  <c:v>Veracruz</c:v>
                </c:pt>
                <c:pt idx="22">
                  <c:v>Quintana Roo</c:v>
                </c:pt>
                <c:pt idx="23">
                  <c:v>Campeche</c:v>
                </c:pt>
                <c:pt idx="24">
                  <c:v>Jalisco</c:v>
                </c:pt>
                <c:pt idx="25">
                  <c:v>Oaxaca</c:v>
                </c:pt>
                <c:pt idx="26">
                  <c:v>Nuevo León</c:v>
                </c:pt>
                <c:pt idx="27">
                  <c:v>Yucatán</c:v>
                </c:pt>
                <c:pt idx="28">
                  <c:v>Puebla</c:v>
                </c:pt>
                <c:pt idx="29">
                  <c:v>Colima</c:v>
                </c:pt>
                <c:pt idx="30">
                  <c:v>Nayarit</c:v>
                </c:pt>
                <c:pt idx="31">
                  <c:v>Tamaulipas</c:v>
                </c:pt>
                <c:pt idx="32">
                  <c:v>Baja California Sur</c:v>
                </c:pt>
              </c:strCache>
            </c:strRef>
          </c:cat>
          <c:val>
            <c:numRef>
              <c:f>Hoja1!$B$2:$B$34</c:f>
              <c:numCache>
                <c:formatCode>General</c:formatCode>
                <c:ptCount val="33"/>
                <c:pt idx="0">
                  <c:v>41</c:v>
                </c:pt>
                <c:pt idx="1">
                  <c:v>88</c:v>
                </c:pt>
                <c:pt idx="2">
                  <c:v>73</c:v>
                </c:pt>
                <c:pt idx="3">
                  <c:v>72</c:v>
                </c:pt>
                <c:pt idx="4">
                  <c:v>70</c:v>
                </c:pt>
                <c:pt idx="5">
                  <c:v>62</c:v>
                </c:pt>
                <c:pt idx="6">
                  <c:v>58</c:v>
                </c:pt>
                <c:pt idx="7">
                  <c:v>57</c:v>
                </c:pt>
                <c:pt idx="8">
                  <c:v>55</c:v>
                </c:pt>
                <c:pt idx="9">
                  <c:v>53</c:v>
                </c:pt>
                <c:pt idx="10">
                  <c:v>51</c:v>
                </c:pt>
                <c:pt idx="11">
                  <c:v>50</c:v>
                </c:pt>
                <c:pt idx="12">
                  <c:v>46</c:v>
                </c:pt>
                <c:pt idx="13">
                  <c:v>45</c:v>
                </c:pt>
                <c:pt idx="14">
                  <c:v>41</c:v>
                </c:pt>
                <c:pt idx="15">
                  <c:v>36</c:v>
                </c:pt>
                <c:pt idx="16">
                  <c:v>35</c:v>
                </c:pt>
                <c:pt idx="17">
                  <c:v>34</c:v>
                </c:pt>
                <c:pt idx="18">
                  <c:v>27</c:v>
                </c:pt>
                <c:pt idx="19">
                  <c:v>27</c:v>
                </c:pt>
                <c:pt idx="20">
                  <c:v>25</c:v>
                </c:pt>
                <c:pt idx="21">
                  <c:v>25</c:v>
                </c:pt>
                <c:pt idx="22">
                  <c:v>24</c:v>
                </c:pt>
                <c:pt idx="23">
                  <c:v>23</c:v>
                </c:pt>
                <c:pt idx="24">
                  <c:v>23</c:v>
                </c:pt>
                <c:pt idx="25">
                  <c:v>21</c:v>
                </c:pt>
                <c:pt idx="26">
                  <c:v>18</c:v>
                </c:pt>
                <c:pt idx="27">
                  <c:v>16</c:v>
                </c:pt>
                <c:pt idx="28">
                  <c:v>16</c:v>
                </c:pt>
                <c:pt idx="29">
                  <c:v>16</c:v>
                </c:pt>
                <c:pt idx="30">
                  <c:v>9</c:v>
                </c:pt>
                <c:pt idx="31">
                  <c:v>8</c:v>
                </c:pt>
                <c:pt idx="3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23-C645-AC50-647EA9DCB3B6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Licitación pública nacional</c:v>
                </c:pt>
              </c:strCache>
            </c:strRef>
          </c:tx>
          <c:spPr>
            <a:solidFill>
              <a:srgbClr val="CA0CAE">
                <a:alpha val="15000"/>
              </a:srgbClr>
            </a:solidFill>
            <a:ln w="9525">
              <a:solidFill>
                <a:srgbClr val="CA0CAE"/>
              </a:solidFill>
            </a:ln>
            <a:effectLst/>
          </c:spPr>
          <c:invertIfNegative val="0"/>
          <c:dLbls>
            <c:dLbl>
              <c:idx val="2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623-C645-AC50-647EA9DCB3B6}"/>
                </c:ext>
              </c:extLst>
            </c:dLbl>
            <c:dLbl>
              <c:idx val="3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623-C645-AC50-647EA9DCB3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Hoja1!$A$2:$A$34</c:f>
              <c:strCache>
                <c:ptCount val="33"/>
                <c:pt idx="0">
                  <c:v>Nacional</c:v>
                </c:pt>
                <c:pt idx="1">
                  <c:v>Chiapas</c:v>
                </c:pt>
                <c:pt idx="2">
                  <c:v>Guerrero</c:v>
                </c:pt>
                <c:pt idx="3">
                  <c:v>Baja California</c:v>
                </c:pt>
                <c:pt idx="4">
                  <c:v>Hidalgo</c:v>
                </c:pt>
                <c:pt idx="5">
                  <c:v>Sinaloa</c:v>
                </c:pt>
                <c:pt idx="6">
                  <c:v>Morelos</c:v>
                </c:pt>
                <c:pt idx="7">
                  <c:v>Zacatecas</c:v>
                </c:pt>
                <c:pt idx="8">
                  <c:v>Sonora</c:v>
                </c:pt>
                <c:pt idx="9">
                  <c:v>Guanajuato</c:v>
                </c:pt>
                <c:pt idx="10">
                  <c:v>Michoacán</c:v>
                </c:pt>
                <c:pt idx="11">
                  <c:v>Ciudad de México</c:v>
                </c:pt>
                <c:pt idx="12">
                  <c:v>San Luis Potosí</c:v>
                </c:pt>
                <c:pt idx="13">
                  <c:v>Durango</c:v>
                </c:pt>
                <c:pt idx="14">
                  <c:v>Chihuahua</c:v>
                </c:pt>
                <c:pt idx="15">
                  <c:v>Aguascalientes</c:v>
                </c:pt>
                <c:pt idx="16">
                  <c:v>México</c:v>
                </c:pt>
                <c:pt idx="17">
                  <c:v>Tabasco</c:v>
                </c:pt>
                <c:pt idx="18">
                  <c:v>Tlaxcala</c:v>
                </c:pt>
                <c:pt idx="19">
                  <c:v>Coahuila</c:v>
                </c:pt>
                <c:pt idx="20">
                  <c:v>Querétaro</c:v>
                </c:pt>
                <c:pt idx="21">
                  <c:v>Veracruz</c:v>
                </c:pt>
                <c:pt idx="22">
                  <c:v>Quintana Roo</c:v>
                </c:pt>
                <c:pt idx="23">
                  <c:v>Campeche</c:v>
                </c:pt>
                <c:pt idx="24">
                  <c:v>Jalisco</c:v>
                </c:pt>
                <c:pt idx="25">
                  <c:v>Oaxaca</c:v>
                </c:pt>
                <c:pt idx="26">
                  <c:v>Nuevo León</c:v>
                </c:pt>
                <c:pt idx="27">
                  <c:v>Yucatán</c:v>
                </c:pt>
                <c:pt idx="28">
                  <c:v>Puebla</c:v>
                </c:pt>
                <c:pt idx="29">
                  <c:v>Colima</c:v>
                </c:pt>
                <c:pt idx="30">
                  <c:v>Nayarit</c:v>
                </c:pt>
                <c:pt idx="31">
                  <c:v>Tamaulipas</c:v>
                </c:pt>
                <c:pt idx="32">
                  <c:v>Baja California Sur</c:v>
                </c:pt>
              </c:strCache>
            </c:strRef>
          </c:cat>
          <c:val>
            <c:numRef>
              <c:f>Hoja1!$C$2:$C$34</c:f>
              <c:numCache>
                <c:formatCode>General</c:formatCode>
                <c:ptCount val="33"/>
                <c:pt idx="0">
                  <c:v>25</c:v>
                </c:pt>
                <c:pt idx="1">
                  <c:v>1</c:v>
                </c:pt>
                <c:pt idx="2">
                  <c:v>5</c:v>
                </c:pt>
                <c:pt idx="3">
                  <c:v>12</c:v>
                </c:pt>
                <c:pt idx="4">
                  <c:v>4</c:v>
                </c:pt>
                <c:pt idx="5">
                  <c:v>23</c:v>
                </c:pt>
                <c:pt idx="6">
                  <c:v>0</c:v>
                </c:pt>
                <c:pt idx="7">
                  <c:v>11</c:v>
                </c:pt>
                <c:pt idx="8">
                  <c:v>22</c:v>
                </c:pt>
                <c:pt idx="9">
                  <c:v>22</c:v>
                </c:pt>
                <c:pt idx="10">
                  <c:v>4</c:v>
                </c:pt>
                <c:pt idx="11">
                  <c:v>32</c:v>
                </c:pt>
                <c:pt idx="12">
                  <c:v>29</c:v>
                </c:pt>
                <c:pt idx="13">
                  <c:v>11</c:v>
                </c:pt>
                <c:pt idx="14">
                  <c:v>45</c:v>
                </c:pt>
                <c:pt idx="15">
                  <c:v>39</c:v>
                </c:pt>
                <c:pt idx="16">
                  <c:v>27</c:v>
                </c:pt>
                <c:pt idx="17">
                  <c:v>13</c:v>
                </c:pt>
                <c:pt idx="18">
                  <c:v>30</c:v>
                </c:pt>
                <c:pt idx="19">
                  <c:v>17</c:v>
                </c:pt>
                <c:pt idx="20">
                  <c:v>36</c:v>
                </c:pt>
                <c:pt idx="21">
                  <c:v>3</c:v>
                </c:pt>
                <c:pt idx="22">
                  <c:v>65</c:v>
                </c:pt>
                <c:pt idx="23">
                  <c:v>26</c:v>
                </c:pt>
                <c:pt idx="24">
                  <c:v>53</c:v>
                </c:pt>
                <c:pt idx="25">
                  <c:v>3</c:v>
                </c:pt>
                <c:pt idx="26">
                  <c:v>64</c:v>
                </c:pt>
                <c:pt idx="27">
                  <c:v>74</c:v>
                </c:pt>
                <c:pt idx="28">
                  <c:v>19</c:v>
                </c:pt>
                <c:pt idx="29">
                  <c:v>27</c:v>
                </c:pt>
                <c:pt idx="30">
                  <c:v>10</c:v>
                </c:pt>
                <c:pt idx="31">
                  <c:v>57</c:v>
                </c:pt>
                <c:pt idx="3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623-C645-AC50-647EA9DCB3B6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Otro*</c:v>
                </c:pt>
              </c:strCache>
            </c:strRef>
          </c:tx>
          <c:spPr>
            <a:solidFill>
              <a:srgbClr val="2ED9D4">
                <a:alpha val="15000"/>
              </a:srgbClr>
            </a:solidFill>
            <a:ln w="9525">
              <a:solidFill>
                <a:srgbClr val="2ED9D4"/>
              </a:solidFill>
            </a:ln>
            <a:effectLst/>
          </c:spPr>
          <c:invertIfNegative val="0"/>
          <c:dLbls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623-C645-AC50-647EA9DCB3B6}"/>
                </c:ext>
              </c:extLst>
            </c:dLbl>
            <c:dLbl>
              <c:idx val="2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623-C645-AC50-647EA9DCB3B6}"/>
                </c:ext>
              </c:extLst>
            </c:dLbl>
            <c:dLbl>
              <c:idx val="3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623-C645-AC50-647EA9DCB3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Hoja1!$A$2:$A$34</c:f>
              <c:strCache>
                <c:ptCount val="33"/>
                <c:pt idx="0">
                  <c:v>Nacional</c:v>
                </c:pt>
                <c:pt idx="1">
                  <c:v>Chiapas</c:v>
                </c:pt>
                <c:pt idx="2">
                  <c:v>Guerrero</c:v>
                </c:pt>
                <c:pt idx="3">
                  <c:v>Baja California</c:v>
                </c:pt>
                <c:pt idx="4">
                  <c:v>Hidalgo</c:v>
                </c:pt>
                <c:pt idx="5">
                  <c:v>Sinaloa</c:v>
                </c:pt>
                <c:pt idx="6">
                  <c:v>Morelos</c:v>
                </c:pt>
                <c:pt idx="7">
                  <c:v>Zacatecas</c:v>
                </c:pt>
                <c:pt idx="8">
                  <c:v>Sonora</c:v>
                </c:pt>
                <c:pt idx="9">
                  <c:v>Guanajuato</c:v>
                </c:pt>
                <c:pt idx="10">
                  <c:v>Michoacán</c:v>
                </c:pt>
                <c:pt idx="11">
                  <c:v>Ciudad de México</c:v>
                </c:pt>
                <c:pt idx="12">
                  <c:v>San Luis Potosí</c:v>
                </c:pt>
                <c:pt idx="13">
                  <c:v>Durango</c:v>
                </c:pt>
                <c:pt idx="14">
                  <c:v>Chihuahua</c:v>
                </c:pt>
                <c:pt idx="15">
                  <c:v>Aguascalientes</c:v>
                </c:pt>
                <c:pt idx="16">
                  <c:v>México</c:v>
                </c:pt>
                <c:pt idx="17">
                  <c:v>Tabasco</c:v>
                </c:pt>
                <c:pt idx="18">
                  <c:v>Tlaxcala</c:v>
                </c:pt>
                <c:pt idx="19">
                  <c:v>Coahuila</c:v>
                </c:pt>
                <c:pt idx="20">
                  <c:v>Querétaro</c:v>
                </c:pt>
                <c:pt idx="21">
                  <c:v>Veracruz</c:v>
                </c:pt>
                <c:pt idx="22">
                  <c:v>Quintana Roo</c:v>
                </c:pt>
                <c:pt idx="23">
                  <c:v>Campeche</c:v>
                </c:pt>
                <c:pt idx="24">
                  <c:v>Jalisco</c:v>
                </c:pt>
                <c:pt idx="25">
                  <c:v>Oaxaca</c:v>
                </c:pt>
                <c:pt idx="26">
                  <c:v>Nuevo León</c:v>
                </c:pt>
                <c:pt idx="27">
                  <c:v>Yucatán</c:v>
                </c:pt>
                <c:pt idx="28">
                  <c:v>Puebla</c:v>
                </c:pt>
                <c:pt idx="29">
                  <c:v>Colima</c:v>
                </c:pt>
                <c:pt idx="30">
                  <c:v>Nayarit</c:v>
                </c:pt>
                <c:pt idx="31">
                  <c:v>Tamaulipas</c:v>
                </c:pt>
                <c:pt idx="32">
                  <c:v>Baja California Sur</c:v>
                </c:pt>
              </c:strCache>
            </c:strRef>
          </c:cat>
          <c:val>
            <c:numRef>
              <c:f>Hoja1!$D$2:$D$34</c:f>
              <c:numCache>
                <c:formatCode>General</c:formatCode>
                <c:ptCount val="33"/>
                <c:pt idx="0">
                  <c:v>34</c:v>
                </c:pt>
                <c:pt idx="1">
                  <c:v>11</c:v>
                </c:pt>
                <c:pt idx="2">
                  <c:v>21</c:v>
                </c:pt>
                <c:pt idx="3">
                  <c:v>16</c:v>
                </c:pt>
                <c:pt idx="4">
                  <c:v>26</c:v>
                </c:pt>
                <c:pt idx="5">
                  <c:v>15</c:v>
                </c:pt>
                <c:pt idx="6">
                  <c:v>42</c:v>
                </c:pt>
                <c:pt idx="7">
                  <c:v>32</c:v>
                </c:pt>
                <c:pt idx="8">
                  <c:v>23</c:v>
                </c:pt>
                <c:pt idx="9">
                  <c:v>25</c:v>
                </c:pt>
                <c:pt idx="10">
                  <c:v>45</c:v>
                </c:pt>
                <c:pt idx="11">
                  <c:v>19</c:v>
                </c:pt>
                <c:pt idx="12">
                  <c:v>25</c:v>
                </c:pt>
                <c:pt idx="13">
                  <c:v>44</c:v>
                </c:pt>
                <c:pt idx="14">
                  <c:v>15</c:v>
                </c:pt>
                <c:pt idx="15">
                  <c:v>25</c:v>
                </c:pt>
                <c:pt idx="16">
                  <c:v>38</c:v>
                </c:pt>
                <c:pt idx="17">
                  <c:v>53</c:v>
                </c:pt>
                <c:pt idx="18">
                  <c:v>43</c:v>
                </c:pt>
                <c:pt idx="19">
                  <c:v>56</c:v>
                </c:pt>
                <c:pt idx="20">
                  <c:v>39</c:v>
                </c:pt>
                <c:pt idx="21">
                  <c:v>72</c:v>
                </c:pt>
                <c:pt idx="22">
                  <c:v>11</c:v>
                </c:pt>
                <c:pt idx="23">
                  <c:v>51</c:v>
                </c:pt>
                <c:pt idx="24">
                  <c:v>24</c:v>
                </c:pt>
                <c:pt idx="25">
                  <c:v>77</c:v>
                </c:pt>
                <c:pt idx="26">
                  <c:v>18</c:v>
                </c:pt>
                <c:pt idx="27">
                  <c:v>10</c:v>
                </c:pt>
                <c:pt idx="28">
                  <c:v>66</c:v>
                </c:pt>
                <c:pt idx="29">
                  <c:v>58</c:v>
                </c:pt>
                <c:pt idx="30">
                  <c:v>82</c:v>
                </c:pt>
                <c:pt idx="31">
                  <c:v>35</c:v>
                </c:pt>
                <c:pt idx="3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623-C645-AC50-647EA9DCB3B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35"/>
        <c:overlap val="100"/>
        <c:axId val="199737535"/>
        <c:axId val="199739183"/>
      </c:barChart>
      <c:catAx>
        <c:axId val="1997375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99739183"/>
        <c:crosses val="autoZero"/>
        <c:auto val="1"/>
        <c:lblAlgn val="ctr"/>
        <c:lblOffset val="100"/>
        <c:noMultiLvlLbl val="0"/>
      </c:catAx>
      <c:valAx>
        <c:axId val="19973918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97375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179237562796762"/>
          <c:y val="0.9663441072820107"/>
          <c:w val="0.59641524874406471"/>
          <c:h val="3.36558927179892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0.17352</cdr:x>
      <cdr:y>0.51064</cdr:y>
    </cdr:from>
    <cdr:to>
      <cdr:x>0.81606</cdr:x>
      <cdr:y>0.51112</cdr:y>
    </cdr:to>
    <cdr:cxnSp macro="">
      <cdr:nvCxnSpPr>
        <cdr:cNvPr id="2" name="Conector recto 1">
          <a:extLst xmlns:a="http://schemas.openxmlformats.org/drawingml/2006/main">
            <a:ext uri="{FF2B5EF4-FFF2-40B4-BE49-F238E27FC236}">
              <a16:creationId xmlns:a16="http://schemas.microsoft.com/office/drawing/2014/main" id="{E74B10A6-5A06-4D62-85B2-D2AFB2A68724}"/>
            </a:ext>
          </a:extLst>
        </cdr:cNvPr>
        <cdr:cNvCxnSpPr/>
      </cdr:nvCxnSpPr>
      <cdr:spPr>
        <a:xfrm xmlns:a="http://schemas.openxmlformats.org/drawingml/2006/main">
          <a:off x="1024477" y="1691229"/>
          <a:ext cx="3793557" cy="1589"/>
        </a:xfrm>
        <a:prstGeom xmlns:a="http://schemas.openxmlformats.org/drawingml/2006/main" prst="line">
          <a:avLst/>
        </a:prstGeom>
        <a:ln xmlns:a="http://schemas.openxmlformats.org/drawingml/2006/main" w="28575" cap="flat" cmpd="sng" algn="ctr">
          <a:solidFill>
            <a:srgbClr val="2ED9D4"/>
          </a:solidFill>
          <a:prstDash val="solid"/>
          <a:round/>
          <a:headEnd type="none" w="med" len="med"/>
          <a:tailEnd type="none" w="med" len="med"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</cdr:x>
      <cdr:y>0.71969</cdr:y>
    </cdr:from>
    <cdr:to>
      <cdr:x>1</cdr:x>
      <cdr:y>1</cdr:y>
    </cdr:to>
    <cdr:sp macro="" textlink="">
      <cdr:nvSpPr>
        <cdr:cNvPr id="3" name="CuadroTexto 3">
          <a:extLst xmlns:a="http://schemas.openxmlformats.org/drawingml/2006/main">
            <a:ext uri="{FF2B5EF4-FFF2-40B4-BE49-F238E27FC236}">
              <a16:creationId xmlns:a16="http://schemas.microsoft.com/office/drawing/2014/main" id="{9130E65D-BF34-4289-BB34-46DDFD76E0EF}"/>
            </a:ext>
          </a:extLst>
        </cdr:cNvPr>
        <cdr:cNvSpPr txBox="1"/>
      </cdr:nvSpPr>
      <cdr:spPr>
        <a:xfrm xmlns:a="http://schemas.openxmlformats.org/drawingml/2006/main">
          <a:off x="0" y="2383276"/>
          <a:ext cx="5903595" cy="9282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360000" indent="-457200" algn="just">
            <a:lnSpc>
              <a:spcPct val="90000"/>
            </a:lnSpc>
          </a:pPr>
          <a:r>
            <a:rPr lang="es-MX" sz="800" b="1">
              <a:solidFill>
                <a:schemeClr val="dk1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Nota: 	</a:t>
          </a:r>
          <a:r>
            <a:rPr lang="es-MX" sz="800" b="0">
              <a:solidFill>
                <a:schemeClr val="dk1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</a:t>
          </a:r>
          <a:r>
            <a:rPr lang="es-MX" sz="800">
              <a:solidFill>
                <a:schemeClr val="dk1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ara el año 2019 no existe información a nivel municipal. En el ámbito estatal, para el año 2020,</a:t>
          </a:r>
          <a:r>
            <a:rPr lang="es-MX" sz="800" baseline="0">
              <a:solidFill>
                <a:schemeClr val="dk1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es-MX" sz="800">
              <a:solidFill>
                <a:schemeClr val="dk1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no se incluye información de Tamaulipas ya que no contó con datos o elementos para responder. En el ámbito municipal, para el año 2020 n</a:t>
          </a:r>
          <a:r>
            <a:rPr lang="es-MX" sz="800" baseline="0">
              <a:solidFill>
                <a:schemeClr val="dk1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o se incluye información de 61 municipios que no contaron con datos o elementos para responder y 195 para el año 2018.</a:t>
          </a:r>
          <a:endParaRPr lang="es-MX" sz="800">
            <a:solidFill>
              <a:schemeClr val="dk1"/>
            </a:solidFill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 xmlns:a="http://schemas.openxmlformats.org/drawingml/2006/main">
          <a:pPr marL="360000" indent="-457200" algn="just">
            <a:lnSpc>
              <a:spcPct val="90000"/>
            </a:lnSpc>
          </a:pPr>
          <a:r>
            <a:rPr lang="es-MX" sz="800">
              <a:solidFill>
                <a:schemeClr val="dk1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* </a:t>
          </a:r>
          <a:r>
            <a:rPr lang="es-MX" sz="800" baseline="0">
              <a:solidFill>
                <a:schemeClr val="dk1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Base 2020 tomando como deflactor el Índice Nacional de Precios al Consumidor base 2013.</a:t>
          </a:r>
          <a:endParaRPr lang="es-MX" sz="800">
            <a:solidFill>
              <a:schemeClr val="dk1"/>
            </a:solidFill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 xmlns:a="http://schemas.openxmlformats.org/drawingml/2006/main">
          <a:pPr marL="360000" marR="0" lvl="0" indent="-457200" algn="just" defTabSz="914400" eaLnBrk="1" fontAlgn="auto" latinLnBrk="0" hangingPunct="1">
            <a:lnSpc>
              <a:spcPct val="9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800" b="1">
              <a:solidFill>
                <a:schemeClr val="dk1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Fuente:</a:t>
          </a:r>
          <a:r>
            <a:rPr lang="es-MX" sz="800" b="1" baseline="0">
              <a:solidFill>
                <a:schemeClr val="dk1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es-MX" sz="800" b="0" i="0">
              <a:solidFill>
                <a:schemeClr val="dk1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Censo Nacional de Gobierno, Seguridad Pública y Sistema Penitenciario Estatales</a:t>
          </a:r>
          <a:r>
            <a:rPr lang="es-MX" sz="800" b="0" i="0" baseline="0">
              <a:solidFill>
                <a:schemeClr val="dk1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es-MX" sz="800" b="0" i="0">
              <a:solidFill>
                <a:schemeClr val="dk1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(CNGSPSPE)</a:t>
          </a:r>
          <a:r>
            <a:rPr lang="es-MX" sz="800" b="0" i="0" baseline="0">
              <a:solidFill>
                <a:schemeClr val="dk1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2019 - 2020; Censo Nacional de Gobiernos Estatales (CNGE) 2021; Censo Nacional de Gobierno Federal (CNGF) 2019 - 2021; Censo Nacional de Gobiernos Municipales y Demarcaciones Territoriales de la Ciudad de México (CNGMD) 2019 y 2021.</a:t>
          </a:r>
          <a:endParaRPr lang="es-MX" sz="8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pPr algn="just"/>
          <a:endParaRPr lang="es-MX" sz="800">
            <a:effectLst/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1</cdr:x>
      <cdr:y>0.2018</cdr:y>
    </cdr:to>
    <cdr:sp macro="" textlink="">
      <cdr:nvSpPr>
        <cdr:cNvPr id="5" name="CuadroTexto 6">
          <a:extLst xmlns:a="http://schemas.openxmlformats.org/drawingml/2006/main">
            <a:ext uri="{FF2B5EF4-FFF2-40B4-BE49-F238E27FC236}">
              <a16:creationId xmlns:a16="http://schemas.microsoft.com/office/drawing/2014/main" id="{639E3646-4AA4-407A-BF9A-442DFC4953DF}"/>
            </a:ext>
          </a:extLst>
        </cdr:cNvPr>
        <cdr:cNvSpPr txBox="1"/>
      </cdr:nvSpPr>
      <cdr:spPr>
        <a:xfrm xmlns:a="http://schemas.openxmlformats.org/drawingml/2006/main">
          <a:off x="0" y="0"/>
          <a:ext cx="5904001" cy="66836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1000" b="0" cap="small">
              <a:solidFill>
                <a:schemeClr val="dk1"/>
              </a:solidFill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Gráfica 2</a:t>
          </a:r>
        </a:p>
        <a:p xmlns:a="http://schemas.openxmlformats.org/drawingml/2006/main">
          <a:pPr marL="0" marR="0" lvl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s-MX" sz="1100" b="1" cap="small" baseline="0">
              <a:latin typeface="Arial" panose="020B0604020202020204" pitchFamily="34" charset="0"/>
              <a:cs typeface="Arial" panose="020B0604020202020204" pitchFamily="34" charset="0"/>
            </a:rPr>
            <a:t>Presupuesto ejercido por las administraciones públicas</a:t>
          </a:r>
        </a:p>
        <a:p xmlns:a="http://schemas.openxmlformats.org/drawingml/2006/main">
          <a:pPr algn="ctr"/>
          <a:r>
            <a:rPr lang="es-MX" sz="900" b="0">
              <a:latin typeface="Arial" panose="020B0604020202020204" pitchFamily="34" charset="0"/>
              <a:cs typeface="Arial" panose="020B0604020202020204" pitchFamily="34" charset="0"/>
            </a:rPr>
            <a:t>(Millones de pesos)*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0.90278</cdr:x>
      <cdr:y>0.17647</cdr:y>
    </cdr:from>
    <cdr:to>
      <cdr:x>0.91512</cdr:x>
      <cdr:y>0.18301</cdr:y>
    </cdr:to>
    <cdr:cxnSp macro="">
      <cdr:nvCxnSpPr>
        <cdr:cNvPr id="3" name="Conector recto 2"/>
        <cdr:cNvCxnSpPr/>
      </cdr:nvCxnSpPr>
      <cdr:spPr>
        <a:xfrm xmlns:a="http://schemas.openxmlformats.org/drawingml/2006/main" flipH="1">
          <a:off x="4953000" y="1143000"/>
          <a:ext cx="67733" cy="42334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1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0.90278</cdr:x>
      <cdr:y>0.18824</cdr:y>
    </cdr:from>
    <cdr:to>
      <cdr:x>0.91667</cdr:x>
      <cdr:y>0.20392</cdr:y>
    </cdr:to>
    <cdr:cxnSp macro="">
      <cdr:nvCxnSpPr>
        <cdr:cNvPr id="5" name="Conector recto 4"/>
        <cdr:cNvCxnSpPr/>
      </cdr:nvCxnSpPr>
      <cdr:spPr>
        <a:xfrm xmlns:a="http://schemas.openxmlformats.org/drawingml/2006/main" flipH="1" flipV="1">
          <a:off x="4953000" y="1219200"/>
          <a:ext cx="76200" cy="10160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1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0.40123</cdr:x>
      <cdr:y>0.29804</cdr:y>
    </cdr:from>
    <cdr:to>
      <cdr:x>0.4135</cdr:x>
      <cdr:y>0.29804</cdr:y>
    </cdr:to>
    <cdr:cxnSp macro="">
      <cdr:nvCxnSpPr>
        <cdr:cNvPr id="7" name="Conector recto 6"/>
        <cdr:cNvCxnSpPr/>
      </cdr:nvCxnSpPr>
      <cdr:spPr>
        <a:xfrm xmlns:a="http://schemas.openxmlformats.org/drawingml/2006/main">
          <a:off x="2201333" y="1930400"/>
          <a:ext cx="67310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1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0.08025</cdr:x>
      <cdr:y>0.14771</cdr:y>
    </cdr:from>
    <cdr:to>
      <cdr:x>0.09568</cdr:x>
      <cdr:y>0.14771</cdr:y>
    </cdr:to>
    <cdr:cxnSp macro="">
      <cdr:nvCxnSpPr>
        <cdr:cNvPr id="9" name="Conector recto 8"/>
        <cdr:cNvCxnSpPr/>
      </cdr:nvCxnSpPr>
      <cdr:spPr>
        <a:xfrm xmlns:a="http://schemas.openxmlformats.org/drawingml/2006/main">
          <a:off x="440267" y="956734"/>
          <a:ext cx="84666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1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0.08179</cdr:x>
      <cdr:y>0.23922</cdr:y>
    </cdr:from>
    <cdr:to>
      <cdr:x>0.09722</cdr:x>
      <cdr:y>0.23922</cdr:y>
    </cdr:to>
    <cdr:cxnSp macro="">
      <cdr:nvCxnSpPr>
        <cdr:cNvPr id="13" name="Conector recto 12"/>
        <cdr:cNvCxnSpPr/>
      </cdr:nvCxnSpPr>
      <cdr:spPr>
        <a:xfrm xmlns:a="http://schemas.openxmlformats.org/drawingml/2006/main">
          <a:off x="448733" y="1549400"/>
          <a:ext cx="84667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1">
              <a:lumMod val="7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Transmisión de listas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Transmisión de listas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Transmisión de listas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Transmisión de listas">
    <a:dk1>
      <a:sysClr val="windowText" lastClr="000000"/>
    </a:dk1>
    <a:lt1>
      <a:sysClr val="window" lastClr="FFFFFF"/>
    </a:lt1>
    <a:dk2>
      <a:srgbClr val="212745"/>
    </a:dk2>
    <a:lt2>
      <a:srgbClr val="B4DCFA"/>
    </a:lt2>
    <a:accent1>
      <a:srgbClr val="4E67C8"/>
    </a:accent1>
    <a:accent2>
      <a:srgbClr val="5ECCF3"/>
    </a:accent2>
    <a:accent3>
      <a:srgbClr val="A7EA52"/>
    </a:accent3>
    <a:accent4>
      <a:srgbClr val="5DCEAF"/>
    </a:accent4>
    <a:accent5>
      <a:srgbClr val="FF8021"/>
    </a:accent5>
    <a:accent6>
      <a:srgbClr val="F14124"/>
    </a:accent6>
    <a:hlink>
      <a:srgbClr val="56C7AA"/>
    </a:hlink>
    <a:folHlink>
      <a:srgbClr val="59A8D1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60ADD2F1DFF4A9942B708C9B52C3A" ma:contentTypeVersion="12" ma:contentTypeDescription="Create a new document." ma:contentTypeScope="" ma:versionID="df36a9489d2a9a6a719aace5570be654">
  <xsd:schema xmlns:xsd="http://www.w3.org/2001/XMLSchema" xmlns:xs="http://www.w3.org/2001/XMLSchema" xmlns:p="http://schemas.microsoft.com/office/2006/metadata/properties" xmlns:ns3="abd82f08-da84-4abc-b6c0-90d2c08ae21d" xmlns:ns4="3863571c-1a6a-4417-8f19-59236f1e02e9" targetNamespace="http://schemas.microsoft.com/office/2006/metadata/properties" ma:root="true" ma:fieldsID="fe64d11ed34c1133c8bb373ec3dae916" ns3:_="" ns4:_="">
    <xsd:import namespace="abd82f08-da84-4abc-b6c0-90d2c08ae21d"/>
    <xsd:import namespace="3863571c-1a6a-4417-8f19-59236f1e02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82f08-da84-4abc-b6c0-90d2c08ae2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3571c-1a6a-4417-8f19-59236f1e0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FBAD8-F52F-4F2D-879E-D771E2C0E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96576-7362-4333-B507-DDD64FB2DB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9570AA-A5EC-4EE1-8983-72EBB1FB2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82f08-da84-4abc-b6c0-90d2c08ae21d"/>
    <ds:schemaRef ds:uri="3863571c-1a6a-4417-8f19-59236f1e0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4BD3E5-7DC5-4F68-94ED-E28B5468F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1286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 FLORES RUBEN ALEJANDRO</dc:creator>
  <cp:keywords/>
  <dc:description/>
  <cp:lastModifiedBy>MORONES RUIZ FABIOLA CRISTINA</cp:lastModifiedBy>
  <cp:revision>2</cp:revision>
  <dcterms:created xsi:type="dcterms:W3CDTF">2022-06-21T15:04:00Z</dcterms:created>
  <dcterms:modified xsi:type="dcterms:W3CDTF">2022-06-21T15:04:00Z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0x0101002C360ADD2F1DFF4A9942B708C9B52C3A</vt:lpwstr>
  </property>
</Properties>
</file>