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B2017" w14:textId="77777777" w:rsidR="002B21D7" w:rsidRPr="002B21D7" w:rsidRDefault="002B21D7" w:rsidP="000458F7">
      <w:pPr>
        <w:jc w:val="center"/>
        <w:rPr>
          <w:b/>
          <w:color w:val="000000"/>
          <w:sz w:val="16"/>
          <w:szCs w:val="16"/>
        </w:rPr>
      </w:pPr>
    </w:p>
    <w:p w14:paraId="1D6AD87E" w14:textId="77777777" w:rsidR="000458F7" w:rsidRPr="007E7EC1" w:rsidRDefault="000458F7" w:rsidP="00683225">
      <w:pPr>
        <w:jc w:val="center"/>
        <w:rPr>
          <w:b/>
          <w:color w:val="000000"/>
          <w:sz w:val="24"/>
        </w:rPr>
      </w:pPr>
      <w:r w:rsidRPr="007E7EC1">
        <w:rPr>
          <w:b/>
          <w:color w:val="000000"/>
          <w:sz w:val="24"/>
        </w:rPr>
        <w:t xml:space="preserve">ESTADÍSTICAS A PROPÓSITO </w:t>
      </w:r>
      <w:r w:rsidR="00793A6E">
        <w:rPr>
          <w:b/>
          <w:color w:val="000000"/>
          <w:sz w:val="24"/>
        </w:rPr>
        <w:t>D</w:t>
      </w:r>
      <w:r w:rsidRPr="007E7EC1">
        <w:rPr>
          <w:b/>
          <w:color w:val="000000"/>
          <w:sz w:val="24"/>
        </w:rPr>
        <w:t xml:space="preserve">EL DÍA MUNDIAL CONTRA EL CÁNCER </w:t>
      </w:r>
    </w:p>
    <w:p w14:paraId="27000DDA" w14:textId="77777777" w:rsidR="000458F7" w:rsidRDefault="000458F7" w:rsidP="00683225">
      <w:pPr>
        <w:ind w:left="-567"/>
        <w:contextualSpacing/>
        <w:jc w:val="center"/>
        <w:rPr>
          <w:b/>
          <w:color w:val="000000"/>
          <w:sz w:val="24"/>
        </w:rPr>
      </w:pPr>
      <w:r w:rsidRPr="007E7EC1">
        <w:rPr>
          <w:b/>
          <w:color w:val="000000"/>
          <w:sz w:val="24"/>
        </w:rPr>
        <w:t>(4 DE FEBRERO)</w:t>
      </w:r>
    </w:p>
    <w:p w14:paraId="482020E3" w14:textId="77777777" w:rsidR="000458F7" w:rsidRDefault="000458F7" w:rsidP="00683225">
      <w:pPr>
        <w:ind w:left="-567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DATOS NACIONALES</w:t>
      </w:r>
    </w:p>
    <w:p w14:paraId="139A8341" w14:textId="77777777" w:rsidR="00A10EAA" w:rsidRDefault="00A10EAA" w:rsidP="00683225">
      <w:pPr>
        <w:ind w:left="-567"/>
        <w:jc w:val="center"/>
        <w:rPr>
          <w:b/>
          <w:color w:val="000000"/>
          <w:sz w:val="24"/>
        </w:rPr>
      </w:pPr>
    </w:p>
    <w:p w14:paraId="29A9FF79" w14:textId="77777777" w:rsidR="000458F7" w:rsidRPr="004572E3" w:rsidRDefault="000458F7" w:rsidP="00683225">
      <w:pPr>
        <w:rPr>
          <w:rFonts w:eastAsiaTheme="minorHAnsi" w:cs="Arial"/>
          <w:b/>
          <w:sz w:val="2"/>
          <w:szCs w:val="2"/>
          <w:lang w:val="es-MX" w:eastAsia="en-US"/>
        </w:rPr>
      </w:pPr>
    </w:p>
    <w:p w14:paraId="79BA9AE6" w14:textId="77777777" w:rsidR="000458F7" w:rsidRPr="00765F57" w:rsidRDefault="000458F7" w:rsidP="00683225">
      <w:pPr>
        <w:pStyle w:val="ListParagraph"/>
        <w:numPr>
          <w:ilvl w:val="0"/>
          <w:numId w:val="1"/>
        </w:numPr>
        <w:ind w:left="851" w:right="616" w:hanging="284"/>
        <w:contextualSpacing w:val="0"/>
        <w:jc w:val="both"/>
        <w:rPr>
          <w:rFonts w:ascii="Arial" w:hAnsi="Arial" w:cs="Arial"/>
          <w:bCs/>
          <w:sz w:val="23"/>
          <w:szCs w:val="23"/>
          <w:lang w:val="es-MX"/>
        </w:rPr>
      </w:pPr>
      <w:r w:rsidRPr="00765F57">
        <w:rPr>
          <w:rFonts w:ascii="Arial" w:hAnsi="Arial" w:cs="Arial"/>
          <w:bCs/>
          <w:sz w:val="23"/>
          <w:szCs w:val="23"/>
          <w:lang w:val="es-MX"/>
        </w:rPr>
        <w:t>En 2020 se registraron 1</w:t>
      </w:r>
      <w:r w:rsidR="00C15147" w:rsidRPr="00765F57">
        <w:rPr>
          <w:rFonts w:ascii="Arial" w:hAnsi="Arial" w:cs="Arial"/>
          <w:bCs/>
          <w:sz w:val="23"/>
          <w:szCs w:val="23"/>
          <w:lang w:val="es-MX"/>
        </w:rPr>
        <w:t>,</w:t>
      </w:r>
      <w:r w:rsidRPr="00765F57">
        <w:rPr>
          <w:rFonts w:ascii="Arial" w:hAnsi="Arial" w:cs="Arial"/>
          <w:bCs/>
          <w:sz w:val="23"/>
          <w:szCs w:val="23"/>
          <w:lang w:val="es-MX"/>
        </w:rPr>
        <w:t>086</w:t>
      </w:r>
      <w:r w:rsidR="00C15147" w:rsidRPr="00765F57">
        <w:rPr>
          <w:rFonts w:ascii="Arial" w:hAnsi="Arial" w:cs="Arial"/>
          <w:bCs/>
          <w:sz w:val="23"/>
          <w:szCs w:val="23"/>
          <w:lang w:val="es-MX"/>
        </w:rPr>
        <w:t>,</w:t>
      </w:r>
      <w:r w:rsidRPr="00765F57">
        <w:rPr>
          <w:rFonts w:ascii="Arial" w:hAnsi="Arial" w:cs="Arial"/>
          <w:bCs/>
          <w:sz w:val="23"/>
          <w:szCs w:val="23"/>
          <w:lang w:val="es-MX"/>
        </w:rPr>
        <w:t xml:space="preserve">743 defunciones en el país, </w:t>
      </w:r>
      <w:r w:rsidR="00133563" w:rsidRPr="00765F57">
        <w:rPr>
          <w:rFonts w:ascii="Arial" w:hAnsi="Arial" w:cs="Arial"/>
          <w:bCs/>
          <w:sz w:val="23"/>
          <w:szCs w:val="23"/>
          <w:lang w:val="es-MX"/>
        </w:rPr>
        <w:t xml:space="preserve">de las cuales </w:t>
      </w:r>
      <w:r w:rsidRPr="00765F57">
        <w:rPr>
          <w:rFonts w:ascii="Arial" w:hAnsi="Arial" w:cs="Arial"/>
          <w:bCs/>
          <w:sz w:val="23"/>
          <w:szCs w:val="23"/>
          <w:lang w:val="es-MX"/>
        </w:rPr>
        <w:t>8% (90</w:t>
      </w:r>
      <w:r w:rsidR="00C15147" w:rsidRPr="00765F57">
        <w:rPr>
          <w:rFonts w:ascii="Arial" w:hAnsi="Arial" w:cs="Arial"/>
          <w:bCs/>
          <w:sz w:val="23"/>
          <w:szCs w:val="23"/>
          <w:lang w:val="es-MX"/>
        </w:rPr>
        <w:t>,</w:t>
      </w:r>
      <w:r w:rsidRPr="00765F57">
        <w:rPr>
          <w:rFonts w:ascii="Arial" w:hAnsi="Arial" w:cs="Arial"/>
          <w:bCs/>
          <w:sz w:val="23"/>
          <w:szCs w:val="23"/>
          <w:lang w:val="es-MX"/>
        </w:rPr>
        <w:t xml:space="preserve">603) </w:t>
      </w:r>
      <w:r w:rsidR="00133563" w:rsidRPr="00765F57">
        <w:rPr>
          <w:rFonts w:ascii="Arial" w:hAnsi="Arial" w:cs="Arial"/>
          <w:bCs/>
          <w:sz w:val="23"/>
          <w:szCs w:val="23"/>
          <w:lang w:val="es-MX"/>
        </w:rPr>
        <w:t>se debieron</w:t>
      </w:r>
      <w:r w:rsidR="008B0F66" w:rsidRPr="00765F57">
        <w:rPr>
          <w:rFonts w:ascii="Arial" w:hAnsi="Arial" w:cs="Arial"/>
          <w:bCs/>
          <w:sz w:val="23"/>
          <w:szCs w:val="23"/>
          <w:lang w:val="es-MX"/>
        </w:rPr>
        <w:t xml:space="preserve"> a </w:t>
      </w:r>
      <w:r w:rsidRPr="00765F57">
        <w:rPr>
          <w:rFonts w:ascii="Arial" w:hAnsi="Arial" w:cs="Arial"/>
          <w:bCs/>
          <w:sz w:val="23"/>
          <w:szCs w:val="23"/>
          <w:lang w:val="es-MX"/>
        </w:rPr>
        <w:t>tumores malignos.</w:t>
      </w:r>
    </w:p>
    <w:p w14:paraId="06D55083" w14:textId="2B2A77E3" w:rsidR="000458F7" w:rsidRPr="00765F57" w:rsidRDefault="00683225" w:rsidP="00683225">
      <w:pPr>
        <w:pStyle w:val="ListParagraph"/>
        <w:numPr>
          <w:ilvl w:val="0"/>
          <w:numId w:val="1"/>
        </w:numPr>
        <w:ind w:left="851" w:right="616" w:hanging="284"/>
        <w:contextualSpacing w:val="0"/>
        <w:jc w:val="both"/>
        <w:rPr>
          <w:rFonts w:ascii="Arial" w:hAnsi="Arial" w:cs="Arial"/>
          <w:bCs/>
          <w:sz w:val="23"/>
          <w:szCs w:val="23"/>
          <w:lang w:val="es-MX"/>
        </w:rPr>
      </w:pPr>
      <w:r>
        <w:rPr>
          <w:rFonts w:ascii="Arial" w:hAnsi="Arial" w:cs="Arial"/>
          <w:bCs/>
          <w:sz w:val="23"/>
          <w:szCs w:val="23"/>
          <w:lang w:val="es-MX"/>
        </w:rPr>
        <w:t>L</w:t>
      </w:r>
      <w:r w:rsidR="000458F7" w:rsidRPr="00765F57">
        <w:rPr>
          <w:rFonts w:ascii="Arial" w:hAnsi="Arial" w:cs="Arial"/>
          <w:bCs/>
          <w:sz w:val="23"/>
          <w:szCs w:val="23"/>
          <w:lang w:val="es-MX"/>
        </w:rPr>
        <w:t>a tasa de defunciones por tumores malignos aumentó en la última década, al pasar de 6.18 defunciones por cada 10 mil personas en 2010 a 7.17 por cada 10 mil</w:t>
      </w:r>
      <w:r>
        <w:rPr>
          <w:rFonts w:ascii="Arial" w:hAnsi="Arial" w:cs="Arial"/>
          <w:bCs/>
          <w:sz w:val="23"/>
          <w:szCs w:val="23"/>
          <w:lang w:val="es-MX"/>
        </w:rPr>
        <w:t xml:space="preserve"> en 2020</w:t>
      </w:r>
      <w:r w:rsidR="004B5540">
        <w:rPr>
          <w:rFonts w:ascii="Arial" w:hAnsi="Arial" w:cs="Arial"/>
          <w:bCs/>
          <w:sz w:val="23"/>
          <w:szCs w:val="23"/>
          <w:lang w:val="es-MX"/>
        </w:rPr>
        <w:t>.</w:t>
      </w:r>
      <w:bookmarkStart w:id="0" w:name="_GoBack"/>
      <w:bookmarkEnd w:id="0"/>
    </w:p>
    <w:p w14:paraId="407E54E2" w14:textId="77777777" w:rsidR="000458F7" w:rsidRPr="00765F57" w:rsidRDefault="00381736" w:rsidP="00683225">
      <w:pPr>
        <w:pStyle w:val="ListParagraph"/>
        <w:numPr>
          <w:ilvl w:val="0"/>
          <w:numId w:val="1"/>
        </w:numPr>
        <w:ind w:left="851" w:right="616" w:hanging="284"/>
        <w:contextualSpacing w:val="0"/>
        <w:jc w:val="both"/>
        <w:rPr>
          <w:rFonts w:ascii="Arial" w:hAnsi="Arial" w:cs="Arial"/>
          <w:bCs/>
          <w:sz w:val="23"/>
          <w:szCs w:val="23"/>
          <w:lang w:val="es-MX"/>
        </w:rPr>
      </w:pPr>
      <w:r w:rsidRPr="00765F57">
        <w:rPr>
          <w:rFonts w:ascii="Arial" w:hAnsi="Arial" w:cs="Arial"/>
          <w:bCs/>
          <w:sz w:val="23"/>
          <w:szCs w:val="23"/>
          <w:lang w:val="es-MX"/>
        </w:rPr>
        <w:t>En 2020, l</w:t>
      </w:r>
      <w:r w:rsidR="000458F7" w:rsidRPr="00765F57">
        <w:rPr>
          <w:rFonts w:ascii="Arial" w:hAnsi="Arial" w:cs="Arial"/>
          <w:bCs/>
          <w:sz w:val="23"/>
          <w:szCs w:val="23"/>
          <w:lang w:val="es-MX"/>
        </w:rPr>
        <w:t xml:space="preserve">a Ciudad de México, Sonora, Chihuahua, Morelos, Veracruz y Colima </w:t>
      </w:r>
      <w:r w:rsidRPr="00765F57">
        <w:rPr>
          <w:rFonts w:ascii="Arial" w:hAnsi="Arial" w:cs="Arial"/>
          <w:bCs/>
          <w:sz w:val="23"/>
          <w:szCs w:val="23"/>
          <w:lang w:val="es-MX"/>
        </w:rPr>
        <w:t xml:space="preserve">fueron </w:t>
      </w:r>
      <w:r w:rsidR="000458F7" w:rsidRPr="00765F57">
        <w:rPr>
          <w:rFonts w:ascii="Arial" w:hAnsi="Arial" w:cs="Arial"/>
          <w:bCs/>
          <w:sz w:val="23"/>
          <w:szCs w:val="23"/>
          <w:lang w:val="es-MX"/>
        </w:rPr>
        <w:t>las entidades con</w:t>
      </w:r>
      <w:r w:rsidR="008D38E1" w:rsidRPr="00765F57">
        <w:rPr>
          <w:rFonts w:ascii="Arial" w:hAnsi="Arial" w:cs="Arial"/>
          <w:bCs/>
          <w:sz w:val="23"/>
          <w:szCs w:val="23"/>
          <w:lang w:val="es-MX"/>
        </w:rPr>
        <w:t xml:space="preserve"> </w:t>
      </w:r>
      <w:r w:rsidR="009655F0" w:rsidRPr="00765F57">
        <w:rPr>
          <w:rFonts w:ascii="Arial" w:hAnsi="Arial" w:cs="Arial"/>
          <w:bCs/>
          <w:sz w:val="23"/>
          <w:szCs w:val="23"/>
          <w:lang w:val="es-MX"/>
        </w:rPr>
        <w:t xml:space="preserve">las </w:t>
      </w:r>
      <w:r w:rsidR="00874088" w:rsidRPr="00765F57">
        <w:rPr>
          <w:rFonts w:ascii="Arial" w:hAnsi="Arial" w:cs="Arial"/>
          <w:bCs/>
          <w:sz w:val="23"/>
          <w:szCs w:val="23"/>
          <w:lang w:val="es-MX"/>
        </w:rPr>
        <w:t>tasa</w:t>
      </w:r>
      <w:r w:rsidR="00C62746" w:rsidRPr="00765F57">
        <w:rPr>
          <w:rFonts w:ascii="Arial" w:hAnsi="Arial" w:cs="Arial"/>
          <w:bCs/>
          <w:sz w:val="23"/>
          <w:szCs w:val="23"/>
          <w:lang w:val="es-MX"/>
        </w:rPr>
        <w:t>s</w:t>
      </w:r>
      <w:r w:rsidR="00874088" w:rsidRPr="00765F57">
        <w:rPr>
          <w:rFonts w:ascii="Arial" w:hAnsi="Arial" w:cs="Arial"/>
          <w:bCs/>
          <w:sz w:val="23"/>
          <w:szCs w:val="23"/>
          <w:lang w:val="es-MX"/>
        </w:rPr>
        <w:t xml:space="preserve"> </w:t>
      </w:r>
      <w:r w:rsidR="000458F7" w:rsidRPr="00765F57">
        <w:rPr>
          <w:rFonts w:ascii="Arial" w:hAnsi="Arial" w:cs="Arial"/>
          <w:bCs/>
          <w:sz w:val="23"/>
          <w:szCs w:val="23"/>
          <w:lang w:val="es-MX"/>
        </w:rPr>
        <w:t>de defunciones por tumores malignos</w:t>
      </w:r>
      <w:r w:rsidR="008B0F66" w:rsidRPr="00765F57">
        <w:rPr>
          <w:rFonts w:ascii="Arial" w:hAnsi="Arial" w:cs="Arial"/>
          <w:bCs/>
          <w:sz w:val="23"/>
          <w:szCs w:val="23"/>
          <w:lang w:val="es-MX"/>
        </w:rPr>
        <w:t xml:space="preserve"> </w:t>
      </w:r>
      <w:r w:rsidR="009655F0" w:rsidRPr="00765F57">
        <w:rPr>
          <w:rFonts w:ascii="Arial" w:hAnsi="Arial" w:cs="Arial"/>
          <w:bCs/>
          <w:sz w:val="23"/>
          <w:szCs w:val="23"/>
          <w:lang w:val="es-MX"/>
        </w:rPr>
        <w:t xml:space="preserve">más altas </w:t>
      </w:r>
      <w:r w:rsidR="008B0F66" w:rsidRPr="00765F57">
        <w:rPr>
          <w:rFonts w:ascii="Arial" w:hAnsi="Arial" w:cs="Arial"/>
          <w:bCs/>
          <w:sz w:val="23"/>
          <w:szCs w:val="23"/>
          <w:lang w:val="es-MX"/>
        </w:rPr>
        <w:t>en el país</w:t>
      </w:r>
      <w:r w:rsidR="000458F7" w:rsidRPr="00765F57">
        <w:rPr>
          <w:rFonts w:ascii="Arial" w:hAnsi="Arial" w:cs="Arial"/>
          <w:bCs/>
          <w:sz w:val="23"/>
          <w:szCs w:val="23"/>
          <w:lang w:val="es-MX"/>
        </w:rPr>
        <w:t>.</w:t>
      </w:r>
    </w:p>
    <w:p w14:paraId="498B2AC8" w14:textId="77777777" w:rsidR="000458F7" w:rsidRPr="00765F57" w:rsidRDefault="000458F7" w:rsidP="00683225">
      <w:pPr>
        <w:pStyle w:val="ListParagraph"/>
        <w:ind w:left="-148"/>
        <w:jc w:val="both"/>
        <w:rPr>
          <w:rFonts w:ascii="Arial" w:hAnsi="Arial" w:cs="Arial"/>
          <w:sz w:val="23"/>
          <w:szCs w:val="23"/>
        </w:rPr>
      </w:pPr>
    </w:p>
    <w:p w14:paraId="7AF51BD6" w14:textId="2CF34C03" w:rsidR="000458F7" w:rsidRPr="00765F57" w:rsidRDefault="000458F7" w:rsidP="00683225">
      <w:pPr>
        <w:rPr>
          <w:rFonts w:cs="Arial"/>
          <w:bCs/>
          <w:sz w:val="23"/>
          <w:szCs w:val="23"/>
          <w:lang w:val="es-MX"/>
        </w:rPr>
      </w:pPr>
      <w:r w:rsidRPr="00765F57">
        <w:rPr>
          <w:rFonts w:cs="Arial"/>
          <w:bCs/>
          <w:sz w:val="23"/>
          <w:szCs w:val="23"/>
          <w:lang w:val="es-MX"/>
        </w:rPr>
        <w:t>El cáncer se vincula con la multiplicación rápida de células anormales que se extienden más allá de sus límites habituales y pueden invadir partes adyacentes del cuerpo</w:t>
      </w:r>
      <w:r w:rsidR="00C15147" w:rsidRPr="00765F57">
        <w:rPr>
          <w:rFonts w:cs="Arial"/>
          <w:bCs/>
          <w:sz w:val="23"/>
          <w:szCs w:val="23"/>
          <w:lang w:val="es-MX"/>
        </w:rPr>
        <w:t>. Este</w:t>
      </w:r>
      <w:r w:rsidRPr="00765F57">
        <w:rPr>
          <w:rFonts w:cs="Arial"/>
          <w:bCs/>
          <w:sz w:val="23"/>
          <w:szCs w:val="23"/>
          <w:lang w:val="es-MX"/>
        </w:rPr>
        <w:t xml:space="preserve"> proceso se denomina “metástasis” </w:t>
      </w:r>
      <w:r w:rsidR="00C15147" w:rsidRPr="00765F57">
        <w:rPr>
          <w:rFonts w:cs="Arial"/>
          <w:bCs/>
          <w:sz w:val="23"/>
          <w:szCs w:val="23"/>
          <w:lang w:val="es-MX"/>
        </w:rPr>
        <w:t>y</w:t>
      </w:r>
      <w:r w:rsidRPr="00765F57">
        <w:rPr>
          <w:rFonts w:cs="Arial"/>
          <w:bCs/>
          <w:sz w:val="23"/>
          <w:szCs w:val="23"/>
          <w:lang w:val="es-MX"/>
        </w:rPr>
        <w:t xml:space="preserve"> es la principal causa de muerte por cáncer</w:t>
      </w:r>
      <w:r w:rsidRPr="00765F57">
        <w:rPr>
          <w:rStyle w:val="FootnoteReference"/>
          <w:rFonts w:cs="Arial"/>
          <w:iCs/>
          <w:sz w:val="23"/>
          <w:szCs w:val="23"/>
        </w:rPr>
        <w:footnoteReference w:id="2"/>
      </w:r>
      <w:r w:rsidRPr="00765F57">
        <w:rPr>
          <w:rFonts w:cs="Arial"/>
          <w:bCs/>
          <w:sz w:val="23"/>
          <w:szCs w:val="23"/>
          <w:lang w:val="es-MX"/>
        </w:rPr>
        <w:t xml:space="preserve">. Con motivo del Día </w:t>
      </w:r>
      <w:r w:rsidR="00AF6F64">
        <w:rPr>
          <w:rFonts w:cs="Arial"/>
          <w:bCs/>
          <w:sz w:val="23"/>
          <w:szCs w:val="23"/>
          <w:lang w:val="es-MX"/>
        </w:rPr>
        <w:t>M</w:t>
      </w:r>
      <w:r w:rsidRPr="00765F57">
        <w:rPr>
          <w:rFonts w:cs="Arial"/>
          <w:bCs/>
          <w:sz w:val="23"/>
          <w:szCs w:val="23"/>
          <w:lang w:val="es-MX"/>
        </w:rPr>
        <w:t xml:space="preserve">undial </w:t>
      </w:r>
      <w:r w:rsidR="00AF6F64">
        <w:rPr>
          <w:rFonts w:cs="Arial"/>
          <w:bCs/>
          <w:sz w:val="23"/>
          <w:szCs w:val="23"/>
          <w:lang w:val="es-MX"/>
        </w:rPr>
        <w:t>C</w:t>
      </w:r>
      <w:r w:rsidRPr="00765F57">
        <w:rPr>
          <w:rFonts w:cs="Arial"/>
          <w:bCs/>
          <w:sz w:val="23"/>
          <w:szCs w:val="23"/>
          <w:lang w:val="es-MX"/>
        </w:rPr>
        <w:t xml:space="preserve">ontra el </w:t>
      </w:r>
      <w:r w:rsidR="00AF6F64">
        <w:rPr>
          <w:rFonts w:cs="Arial"/>
          <w:bCs/>
          <w:sz w:val="23"/>
          <w:szCs w:val="23"/>
          <w:lang w:val="es-MX"/>
        </w:rPr>
        <w:t>C</w:t>
      </w:r>
      <w:r w:rsidRPr="00765F57">
        <w:rPr>
          <w:rFonts w:cs="Arial"/>
          <w:bCs/>
          <w:sz w:val="23"/>
          <w:szCs w:val="23"/>
          <w:lang w:val="es-MX"/>
        </w:rPr>
        <w:t xml:space="preserve">áncer, el Instituto Nacional de Estadística y Geografía (INEGI) </w:t>
      </w:r>
      <w:r w:rsidR="00381736" w:rsidRPr="00765F57">
        <w:rPr>
          <w:rFonts w:cs="Arial"/>
          <w:bCs/>
          <w:sz w:val="23"/>
          <w:szCs w:val="23"/>
          <w:lang w:val="es-MX"/>
        </w:rPr>
        <w:t>ofrece información de</w:t>
      </w:r>
      <w:r w:rsidRPr="00765F57">
        <w:rPr>
          <w:rFonts w:cs="Arial"/>
          <w:bCs/>
          <w:sz w:val="23"/>
          <w:szCs w:val="23"/>
          <w:lang w:val="es-MX"/>
        </w:rPr>
        <w:t xml:space="preserve"> los principales indicadores sobre la mortalidad causada por tumores malignos en la población mexicana. </w:t>
      </w:r>
    </w:p>
    <w:p w14:paraId="2839D123" w14:textId="77777777" w:rsidR="000458F7" w:rsidRPr="00765F57" w:rsidRDefault="000458F7" w:rsidP="00A10EAA">
      <w:pPr>
        <w:rPr>
          <w:rFonts w:cs="Arial"/>
          <w:bCs/>
          <w:sz w:val="23"/>
          <w:szCs w:val="23"/>
          <w:lang w:val="es-MX"/>
        </w:rPr>
      </w:pPr>
    </w:p>
    <w:p w14:paraId="4D18F0E0" w14:textId="77777777" w:rsidR="00A10EAA" w:rsidRPr="00A10EAA" w:rsidRDefault="00381736" w:rsidP="00A10EAA">
      <w:pPr>
        <w:rPr>
          <w:rFonts w:cs="Arial"/>
          <w:sz w:val="24"/>
        </w:rPr>
      </w:pPr>
      <w:r w:rsidRPr="00765F57">
        <w:rPr>
          <w:rFonts w:cs="Arial"/>
          <w:sz w:val="23"/>
          <w:szCs w:val="23"/>
        </w:rPr>
        <w:t>En</w:t>
      </w:r>
      <w:r w:rsidR="004D378F" w:rsidRPr="00765F57">
        <w:rPr>
          <w:rFonts w:cs="Arial"/>
          <w:sz w:val="23"/>
          <w:szCs w:val="23"/>
        </w:rPr>
        <w:t xml:space="preserve"> 2020 se registraron 1,086,743 defunciones en </w:t>
      </w:r>
      <w:r w:rsidRPr="00765F57">
        <w:rPr>
          <w:rFonts w:cs="Arial"/>
          <w:sz w:val="23"/>
          <w:szCs w:val="23"/>
        </w:rPr>
        <w:t>México</w:t>
      </w:r>
      <w:r w:rsidR="004D378F" w:rsidRPr="00765F57">
        <w:rPr>
          <w:rFonts w:cs="Arial"/>
          <w:sz w:val="23"/>
          <w:szCs w:val="23"/>
        </w:rPr>
        <w:t>, de las cuales 8% fueron por tumores malignos (90,603 casos). La tasa de defunciones por esta causa aumentó durante la última década, al pasar de 6.18 defunciones por cada 10 mil personas en 2010 a 7.17 por cada 10 mil personas en 2020.</w:t>
      </w:r>
    </w:p>
    <w:p w14:paraId="50DD8DF3" w14:textId="77777777" w:rsidR="000458F7" w:rsidRPr="002B7666" w:rsidRDefault="000458F7" w:rsidP="000458F7">
      <w:pPr>
        <w:rPr>
          <w:b/>
          <w:bCs/>
          <w:sz w:val="20"/>
          <w:szCs w:val="20"/>
          <w:lang w:val="es-MX"/>
        </w:rPr>
      </w:pPr>
    </w:p>
    <w:p w14:paraId="5E9B958B" w14:textId="77777777" w:rsidR="000458F7" w:rsidRPr="007C7BC1" w:rsidRDefault="000458F7" w:rsidP="007C7BC1">
      <w:pPr>
        <w:ind w:left="709"/>
        <w:jc w:val="center"/>
        <w:rPr>
          <w:b/>
          <w:bCs/>
          <w:smallCaps/>
          <w:szCs w:val="20"/>
        </w:rPr>
      </w:pPr>
      <w:r w:rsidRPr="007C7BC1">
        <w:rPr>
          <w:b/>
          <w:bCs/>
          <w:smallCaps/>
          <w:szCs w:val="20"/>
        </w:rPr>
        <w:t>Tasa de defunciones por tumores malignos por año de registro</w:t>
      </w:r>
    </w:p>
    <w:p w14:paraId="11C4CF6A" w14:textId="77777777" w:rsidR="000458F7" w:rsidRPr="007C7BC1" w:rsidRDefault="000458F7" w:rsidP="007C7BC1">
      <w:pPr>
        <w:ind w:left="709"/>
        <w:jc w:val="center"/>
        <w:rPr>
          <w:sz w:val="18"/>
          <w:szCs w:val="18"/>
        </w:rPr>
      </w:pPr>
      <w:r w:rsidRPr="007C7BC1">
        <w:rPr>
          <w:sz w:val="18"/>
          <w:szCs w:val="18"/>
        </w:rPr>
        <w:t>(Defunciones por cada 10 mil habitantes para cada año de registro)</w:t>
      </w:r>
    </w:p>
    <w:p w14:paraId="4655C7C9" w14:textId="77777777" w:rsidR="000458F7" w:rsidRPr="002B7666" w:rsidRDefault="002978BD" w:rsidP="000458F7">
      <w:pPr>
        <w:ind w:left="709"/>
        <w:rPr>
          <w:szCs w:val="20"/>
        </w:rPr>
      </w:pPr>
      <w:r>
        <w:rPr>
          <w:noProof/>
          <w:sz w:val="20"/>
          <w:szCs w:val="20"/>
        </w:rPr>
        <w:object w:dxaOrig="7980" w:dyaOrig="5805" w14:anchorId="30B61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426.9pt;height:208.4pt;mso-width-percent:0;mso-height-percent:0;mso-width-percent:0;mso-height-percent:0" o:ole="">
            <v:imagedata r:id="rId8" o:title=""/>
          </v:shape>
          <o:OLEObject Type="Embed" ProgID="PBrush" ShapeID="_x0000_i1026" DrawAspect="Content" ObjectID="_1705296926" r:id="rId9"/>
        </w:object>
      </w:r>
    </w:p>
    <w:p w14:paraId="63DE3F49" w14:textId="77777777" w:rsidR="000458F7" w:rsidRDefault="000458F7" w:rsidP="000458F7">
      <w:pPr>
        <w:spacing w:before="120" w:after="60"/>
        <w:ind w:left="1134" w:right="616" w:hanging="425"/>
        <w:rPr>
          <w:sz w:val="16"/>
          <w:szCs w:val="16"/>
        </w:rPr>
      </w:pPr>
      <w:r w:rsidRPr="00037143">
        <w:rPr>
          <w:sz w:val="16"/>
          <w:szCs w:val="16"/>
        </w:rPr>
        <w:t>Nota:</w:t>
      </w:r>
      <w:r w:rsidRPr="00037143">
        <w:rPr>
          <w:sz w:val="16"/>
          <w:szCs w:val="16"/>
        </w:rPr>
        <w:tab/>
        <w:t>Comprende el total de registros con códigos de causa básica de tumores malignos (C00-C96) según la Clasificación Estadística Internacional de Enfermedades y Problemas Relacionados con la Salud, Décima Revisión (CIE-10).</w:t>
      </w:r>
    </w:p>
    <w:p w14:paraId="602EC87B" w14:textId="77777777" w:rsidR="002B21D7" w:rsidRDefault="002B21D7" w:rsidP="002B21D7">
      <w:pPr>
        <w:spacing w:after="60"/>
        <w:ind w:left="1134" w:right="616"/>
        <w:rPr>
          <w:sz w:val="16"/>
          <w:szCs w:val="16"/>
        </w:rPr>
      </w:pPr>
      <w:r w:rsidRPr="00037143">
        <w:rPr>
          <w:sz w:val="16"/>
          <w:szCs w:val="16"/>
        </w:rPr>
        <w:t xml:space="preserve">Los </w:t>
      </w:r>
      <w:r>
        <w:rPr>
          <w:sz w:val="16"/>
          <w:szCs w:val="16"/>
        </w:rPr>
        <w:t xml:space="preserve">denominadores de </w:t>
      </w:r>
      <w:r w:rsidRPr="00037143">
        <w:rPr>
          <w:sz w:val="16"/>
          <w:szCs w:val="16"/>
        </w:rPr>
        <w:t xml:space="preserve">2010 a 2019 </w:t>
      </w:r>
      <w:r>
        <w:rPr>
          <w:sz w:val="16"/>
          <w:szCs w:val="16"/>
        </w:rPr>
        <w:t xml:space="preserve">provienen de </w:t>
      </w:r>
      <w:r w:rsidRPr="00037143">
        <w:rPr>
          <w:sz w:val="16"/>
          <w:szCs w:val="16"/>
        </w:rPr>
        <w:t xml:space="preserve">las proyecciones de población 2016-2050 y </w:t>
      </w:r>
      <w:r>
        <w:rPr>
          <w:sz w:val="16"/>
          <w:szCs w:val="16"/>
        </w:rPr>
        <w:t xml:space="preserve">para </w:t>
      </w:r>
      <w:r w:rsidRPr="00037143">
        <w:rPr>
          <w:sz w:val="16"/>
          <w:szCs w:val="16"/>
        </w:rPr>
        <w:t xml:space="preserve">2020 </w:t>
      </w:r>
      <w:r w:rsidRPr="004D5C26">
        <w:rPr>
          <w:rFonts w:cs="Arial"/>
          <w:sz w:val="16"/>
          <w:szCs w:val="16"/>
        </w:rPr>
        <w:t>se ajusta a la estimación de población elaborada por el INEGI con base en el Marco de Muestreo de Viviendas.</w:t>
      </w:r>
    </w:p>
    <w:p w14:paraId="7DCE0546" w14:textId="77777777" w:rsidR="009655F0" w:rsidRDefault="009655F0" w:rsidP="009655F0">
      <w:pPr>
        <w:ind w:left="709"/>
        <w:rPr>
          <w:rFonts w:cs="Arial"/>
          <w:color w:val="000000" w:themeColor="text1"/>
          <w:sz w:val="16"/>
          <w:szCs w:val="16"/>
        </w:rPr>
      </w:pPr>
      <w:bookmarkStart w:id="1" w:name="_Hlk92267502"/>
      <w:r w:rsidRPr="00443EEE">
        <w:rPr>
          <w:sz w:val="16"/>
          <w:szCs w:val="16"/>
        </w:rPr>
        <w:t xml:space="preserve">Fuentes: INEGI. </w:t>
      </w:r>
      <w:r>
        <w:rPr>
          <w:rFonts w:cs="Arial"/>
          <w:color w:val="000000" w:themeColor="text1"/>
          <w:sz w:val="16"/>
          <w:szCs w:val="16"/>
        </w:rPr>
        <w:t>Estadísticas de mortalidad.</w:t>
      </w:r>
      <w:r w:rsidR="002B21D7">
        <w:rPr>
          <w:rFonts w:cs="Arial"/>
          <w:color w:val="000000" w:themeColor="text1"/>
          <w:sz w:val="16"/>
          <w:szCs w:val="16"/>
        </w:rPr>
        <w:t xml:space="preserve"> </w:t>
      </w:r>
      <w:r>
        <w:rPr>
          <w:rFonts w:cs="Arial"/>
          <w:color w:val="000000" w:themeColor="text1"/>
          <w:sz w:val="16"/>
          <w:szCs w:val="16"/>
        </w:rPr>
        <w:t xml:space="preserve">Tabulados </w:t>
      </w:r>
      <w:r w:rsidRPr="00EF71D8">
        <w:rPr>
          <w:rFonts w:cs="Arial"/>
          <w:color w:val="000000" w:themeColor="text1"/>
          <w:sz w:val="16"/>
          <w:szCs w:val="16"/>
        </w:rPr>
        <w:t>interactiv</w:t>
      </w:r>
      <w:r>
        <w:rPr>
          <w:rFonts w:cs="Arial"/>
          <w:color w:val="000000" w:themeColor="text1"/>
          <w:sz w:val="16"/>
          <w:szCs w:val="16"/>
        </w:rPr>
        <w:t>os</w:t>
      </w:r>
      <w:r w:rsidRPr="00EF71D8">
        <w:rPr>
          <w:rFonts w:cs="Arial"/>
          <w:color w:val="000000" w:themeColor="text1"/>
          <w:sz w:val="16"/>
          <w:szCs w:val="16"/>
        </w:rPr>
        <w:t>. SNIEG. Información de Interés Nacional.</w:t>
      </w:r>
    </w:p>
    <w:p w14:paraId="63AD5287" w14:textId="77777777" w:rsidR="009655F0" w:rsidRDefault="009655F0" w:rsidP="009655F0">
      <w:pPr>
        <w:ind w:left="1276"/>
        <w:rPr>
          <w:sz w:val="16"/>
          <w:szCs w:val="16"/>
        </w:rPr>
      </w:pPr>
      <w:r>
        <w:rPr>
          <w:sz w:val="16"/>
          <w:szCs w:val="16"/>
        </w:rPr>
        <w:t xml:space="preserve">  Consejo Nacional de Población</w:t>
      </w:r>
      <w:r w:rsidRPr="00580E48">
        <w:rPr>
          <w:sz w:val="16"/>
          <w:szCs w:val="16"/>
        </w:rPr>
        <w:t>. Proyecciones de la Población de México y de las Entidades Federativas, 2016-2050.</w:t>
      </w:r>
    </w:p>
    <w:p w14:paraId="0B43E7E0" w14:textId="77777777" w:rsidR="00AD73F8" w:rsidRDefault="00AD73F8" w:rsidP="000458F7">
      <w:pPr>
        <w:rPr>
          <w:rFonts w:cs="Arial"/>
          <w:sz w:val="23"/>
          <w:szCs w:val="23"/>
        </w:rPr>
      </w:pPr>
      <w:bookmarkStart w:id="2" w:name="_Hlk92271837"/>
      <w:bookmarkEnd w:id="1"/>
    </w:p>
    <w:p w14:paraId="47234641" w14:textId="77777777" w:rsidR="000458F7" w:rsidRPr="00765F57" w:rsidRDefault="00381736" w:rsidP="000458F7">
      <w:pPr>
        <w:rPr>
          <w:sz w:val="23"/>
          <w:szCs w:val="23"/>
        </w:rPr>
      </w:pPr>
      <w:r w:rsidRPr="00765F57">
        <w:rPr>
          <w:rFonts w:cs="Arial"/>
          <w:sz w:val="23"/>
          <w:szCs w:val="23"/>
        </w:rPr>
        <w:t>En 2020, l</w:t>
      </w:r>
      <w:r w:rsidR="000458F7" w:rsidRPr="00765F57">
        <w:rPr>
          <w:rFonts w:cs="Arial"/>
          <w:sz w:val="23"/>
          <w:szCs w:val="23"/>
        </w:rPr>
        <w:t xml:space="preserve">as entidades federativas con las tasas más altas de defunciones por tumores malignos </w:t>
      </w:r>
      <w:r w:rsidRPr="00765F57">
        <w:rPr>
          <w:rFonts w:cs="Arial"/>
          <w:sz w:val="23"/>
          <w:szCs w:val="23"/>
        </w:rPr>
        <w:t>fueron</w:t>
      </w:r>
      <w:r w:rsidR="000458F7" w:rsidRPr="00765F57">
        <w:rPr>
          <w:rFonts w:cs="Arial"/>
          <w:sz w:val="23"/>
          <w:szCs w:val="23"/>
        </w:rPr>
        <w:t>: Ciudad de México, Sonora, Chihuahua, Morelos, Veracruz y Colima</w:t>
      </w:r>
      <w:r w:rsidR="00E00120" w:rsidRPr="00765F57">
        <w:rPr>
          <w:rFonts w:cs="Arial"/>
          <w:sz w:val="23"/>
          <w:szCs w:val="23"/>
        </w:rPr>
        <w:t>,</w:t>
      </w:r>
      <w:r w:rsidR="000458F7" w:rsidRPr="00765F57">
        <w:rPr>
          <w:rFonts w:cs="Arial"/>
          <w:sz w:val="23"/>
          <w:szCs w:val="23"/>
        </w:rPr>
        <w:t xml:space="preserve"> con tasas de 9.</w:t>
      </w:r>
      <w:r w:rsidR="00346883" w:rsidRPr="00765F57">
        <w:rPr>
          <w:rFonts w:cs="Arial"/>
          <w:sz w:val="23"/>
          <w:szCs w:val="23"/>
        </w:rPr>
        <w:t>7 a 7.8</w:t>
      </w:r>
      <w:r w:rsidR="000458F7" w:rsidRPr="00765F57">
        <w:rPr>
          <w:rFonts w:cs="Arial"/>
          <w:sz w:val="23"/>
          <w:szCs w:val="23"/>
        </w:rPr>
        <w:t xml:space="preserve"> defunciones por cada 10 mil habitantes. En contraste, las entidades con las tasas más bajas </w:t>
      </w:r>
      <w:r w:rsidRPr="00765F57">
        <w:rPr>
          <w:rFonts w:cs="Arial"/>
          <w:sz w:val="23"/>
          <w:szCs w:val="23"/>
        </w:rPr>
        <w:t>fueron</w:t>
      </w:r>
      <w:r w:rsidR="007A72CF" w:rsidRPr="00765F57">
        <w:rPr>
          <w:rFonts w:cs="Arial"/>
          <w:sz w:val="23"/>
          <w:szCs w:val="23"/>
        </w:rPr>
        <w:t>:</w:t>
      </w:r>
      <w:r w:rsidR="000458F7" w:rsidRPr="00765F57">
        <w:rPr>
          <w:rFonts w:cs="Arial"/>
          <w:sz w:val="23"/>
          <w:szCs w:val="23"/>
        </w:rPr>
        <w:t xml:space="preserve"> Quintana Roo,</w:t>
      </w:r>
      <w:r w:rsidR="000458F7" w:rsidRPr="00765F57">
        <w:rPr>
          <w:sz w:val="23"/>
          <w:szCs w:val="23"/>
        </w:rPr>
        <w:t xml:space="preserve"> </w:t>
      </w:r>
      <w:r w:rsidR="000458F7" w:rsidRPr="00765F57">
        <w:rPr>
          <w:rFonts w:cs="Arial"/>
          <w:sz w:val="23"/>
          <w:szCs w:val="23"/>
        </w:rPr>
        <w:t>Guerrero, Querétaro, Yucatán, Durango, Guanajuato, Tlaxcala, Tabasco, México, Puebla y Aguascalientes</w:t>
      </w:r>
      <w:r w:rsidR="001706EA" w:rsidRPr="00765F57">
        <w:rPr>
          <w:rFonts w:cs="Arial"/>
          <w:sz w:val="23"/>
          <w:szCs w:val="23"/>
        </w:rPr>
        <w:t>,</w:t>
      </w:r>
      <w:r w:rsidR="000458F7" w:rsidRPr="00765F57">
        <w:rPr>
          <w:rFonts w:cs="Arial"/>
          <w:sz w:val="23"/>
          <w:szCs w:val="23"/>
        </w:rPr>
        <w:t xml:space="preserve"> </w:t>
      </w:r>
      <w:r w:rsidR="00C15147" w:rsidRPr="00765F57">
        <w:rPr>
          <w:rFonts w:cs="Arial"/>
          <w:sz w:val="23"/>
          <w:szCs w:val="23"/>
        </w:rPr>
        <w:t xml:space="preserve">con tasas de </w:t>
      </w:r>
      <w:r w:rsidR="00346883" w:rsidRPr="00765F57">
        <w:rPr>
          <w:rFonts w:cs="Arial"/>
          <w:sz w:val="23"/>
          <w:szCs w:val="23"/>
        </w:rPr>
        <w:t>4.5 a 6.4</w:t>
      </w:r>
      <w:r w:rsidR="000458F7" w:rsidRPr="00765F57">
        <w:rPr>
          <w:rFonts w:cs="Arial"/>
          <w:sz w:val="23"/>
          <w:szCs w:val="23"/>
        </w:rPr>
        <w:t xml:space="preserve"> defunciones por cada 10 mil habitantes.</w:t>
      </w:r>
    </w:p>
    <w:bookmarkEnd w:id="2"/>
    <w:p w14:paraId="2F4B0933" w14:textId="77777777" w:rsidR="000458F7" w:rsidRPr="00765F57" w:rsidRDefault="000458F7" w:rsidP="000458F7">
      <w:pPr>
        <w:ind w:right="990" w:hanging="567"/>
        <w:jc w:val="left"/>
        <w:rPr>
          <w:sz w:val="23"/>
          <w:szCs w:val="23"/>
        </w:rPr>
      </w:pPr>
    </w:p>
    <w:p w14:paraId="6CACBE58" w14:textId="77777777" w:rsidR="000458F7" w:rsidRPr="007C7BC1" w:rsidRDefault="000458F7" w:rsidP="007C7BC1">
      <w:pPr>
        <w:ind w:left="142"/>
        <w:jc w:val="center"/>
        <w:rPr>
          <w:b/>
          <w:bCs/>
          <w:smallCaps/>
          <w:szCs w:val="20"/>
        </w:rPr>
      </w:pPr>
      <w:r w:rsidRPr="007C7BC1">
        <w:rPr>
          <w:b/>
          <w:bCs/>
          <w:smallCaps/>
          <w:szCs w:val="20"/>
        </w:rPr>
        <w:t>Tasa de defunciones por tumores malignos por entidad federativa, 2020</w:t>
      </w:r>
    </w:p>
    <w:p w14:paraId="3A0F277C" w14:textId="77777777" w:rsidR="000458F7" w:rsidRPr="007C7BC1" w:rsidRDefault="000458F7" w:rsidP="007C7BC1">
      <w:pPr>
        <w:ind w:left="142"/>
        <w:jc w:val="center"/>
        <w:rPr>
          <w:sz w:val="18"/>
          <w:szCs w:val="18"/>
        </w:rPr>
      </w:pPr>
      <w:r w:rsidRPr="007C7BC1">
        <w:rPr>
          <w:sz w:val="18"/>
          <w:szCs w:val="18"/>
        </w:rPr>
        <w:t>(Defunciones por cada 10 mil habitantes)</w:t>
      </w:r>
    </w:p>
    <w:p w14:paraId="726AA114" w14:textId="77777777" w:rsidR="00BD19EF" w:rsidRDefault="002978BD" w:rsidP="00A10EAA">
      <w:pPr>
        <w:spacing w:before="120" w:after="60"/>
        <w:ind w:left="851" w:right="992" w:hanging="851"/>
        <w:rPr>
          <w:sz w:val="16"/>
          <w:szCs w:val="16"/>
        </w:rPr>
      </w:pPr>
      <w:r>
        <w:rPr>
          <w:noProof/>
          <w:sz w:val="16"/>
          <w:szCs w:val="16"/>
        </w:rPr>
        <w:object w:dxaOrig="8940" w:dyaOrig="5760" w14:anchorId="3480F561">
          <v:shape id="_x0000_i1025" type="#_x0000_t75" alt="" style="width:493pt;height:353.2pt;mso-width-percent:0;mso-height-percent:0;mso-width-percent:0;mso-height-percent:0" o:ole="">
            <v:imagedata r:id="rId10" o:title=""/>
          </v:shape>
          <o:OLEObject Type="Embed" ProgID="PBrush" ShapeID="_x0000_i1025" DrawAspect="Content" ObjectID="_1705296927" r:id="rId11"/>
        </w:object>
      </w:r>
    </w:p>
    <w:p w14:paraId="7FB25EB8" w14:textId="77777777" w:rsidR="000458F7" w:rsidRPr="00037143" w:rsidRDefault="000458F7" w:rsidP="00A10EAA">
      <w:pPr>
        <w:spacing w:before="120" w:after="60"/>
        <w:ind w:left="567" w:right="992" w:hanging="425"/>
        <w:rPr>
          <w:sz w:val="16"/>
          <w:szCs w:val="16"/>
        </w:rPr>
      </w:pPr>
      <w:r w:rsidRPr="00037143">
        <w:rPr>
          <w:sz w:val="16"/>
          <w:szCs w:val="16"/>
        </w:rPr>
        <w:t>Nota:</w:t>
      </w:r>
      <w:r w:rsidRPr="00037143">
        <w:rPr>
          <w:sz w:val="16"/>
          <w:szCs w:val="16"/>
        </w:rPr>
        <w:tab/>
      </w:r>
      <w:bookmarkStart w:id="3" w:name="_Hlk92703687"/>
      <w:r w:rsidRPr="00037143">
        <w:rPr>
          <w:sz w:val="16"/>
          <w:szCs w:val="16"/>
        </w:rPr>
        <w:t>Comprende el total de registros con códigos de causa básica de tumores malignos (C00-C96) según la Clasificación Estadística Internacional de Enfermedades y Problemas Relacionados con la Salud, Décima Revisión. (CIE-10).</w:t>
      </w:r>
    </w:p>
    <w:p w14:paraId="78E8ACC1" w14:textId="77777777" w:rsidR="000458F7" w:rsidRDefault="000458F7" w:rsidP="00A10EAA">
      <w:pPr>
        <w:spacing w:after="60"/>
        <w:ind w:left="851" w:right="992" w:hanging="709"/>
        <w:rPr>
          <w:rFonts w:cs="Arial"/>
        </w:rPr>
      </w:pPr>
      <w:r w:rsidRPr="00037143">
        <w:rPr>
          <w:sz w:val="16"/>
          <w:szCs w:val="16"/>
        </w:rPr>
        <w:t>Fuente</w:t>
      </w:r>
      <w:r>
        <w:rPr>
          <w:sz w:val="16"/>
          <w:szCs w:val="16"/>
        </w:rPr>
        <w:t>s</w:t>
      </w:r>
      <w:r w:rsidRPr="00037143">
        <w:rPr>
          <w:sz w:val="16"/>
          <w:szCs w:val="16"/>
        </w:rPr>
        <w:t>:</w:t>
      </w:r>
      <w:r w:rsidRPr="00037143">
        <w:rPr>
          <w:sz w:val="16"/>
          <w:szCs w:val="16"/>
        </w:rPr>
        <w:tab/>
        <w:t>INEGI. Estadísticas de mortalidad 2020. Consulta interactiva de datos. SNIEG. Información de Interés Nacional y Estimación de población elaborada por el INEGI con base en el Marco de Muestreo de Viviendas 2020.</w:t>
      </w:r>
      <w:bookmarkEnd w:id="3"/>
    </w:p>
    <w:p w14:paraId="11386852" w14:textId="77777777" w:rsidR="007975A2" w:rsidRDefault="007975A2" w:rsidP="000458F7">
      <w:pPr>
        <w:rPr>
          <w:rFonts w:cs="Arial"/>
          <w:sz w:val="24"/>
        </w:rPr>
      </w:pPr>
    </w:p>
    <w:p w14:paraId="3C06BD2C" w14:textId="77777777" w:rsidR="00A10EAA" w:rsidRPr="00AD73F8" w:rsidRDefault="000458F7" w:rsidP="000458F7">
      <w:pPr>
        <w:rPr>
          <w:rFonts w:cs="Arial"/>
          <w:sz w:val="23"/>
          <w:szCs w:val="23"/>
        </w:rPr>
      </w:pPr>
      <w:r w:rsidRPr="00AD73F8">
        <w:rPr>
          <w:rFonts w:cs="Arial"/>
          <w:sz w:val="23"/>
          <w:szCs w:val="23"/>
        </w:rPr>
        <w:t>De acuerdo con la Organización Mundial de la Salud (OMS)</w:t>
      </w:r>
      <w:r w:rsidR="00E00120" w:rsidRPr="00AD73F8">
        <w:rPr>
          <w:rFonts w:cs="Arial"/>
          <w:sz w:val="23"/>
          <w:szCs w:val="23"/>
        </w:rPr>
        <w:t>,</w:t>
      </w:r>
      <w:r w:rsidRPr="00AD73F8">
        <w:rPr>
          <w:rFonts w:cs="Arial"/>
          <w:sz w:val="23"/>
          <w:szCs w:val="23"/>
        </w:rPr>
        <w:t xml:space="preserve"> la manifestación de esta enfermedad incrementa con la edad, debido a que se van acumulando factores de </w:t>
      </w:r>
      <w:r w:rsidR="0014161D" w:rsidRPr="00AD73F8">
        <w:rPr>
          <w:rFonts w:cs="Arial"/>
          <w:sz w:val="23"/>
          <w:szCs w:val="23"/>
        </w:rPr>
        <w:t>riesgo que</w:t>
      </w:r>
      <w:r w:rsidRPr="00AD73F8">
        <w:rPr>
          <w:rFonts w:cs="Arial"/>
          <w:sz w:val="23"/>
          <w:szCs w:val="23"/>
        </w:rPr>
        <w:t xml:space="preserve"> se combinan con la pérdida de eficacia de los mecanismos de reparación celular que suele ocurrir con la edad</w:t>
      </w:r>
      <w:r w:rsidRPr="00AD73F8">
        <w:rPr>
          <w:rStyle w:val="FootnoteReference"/>
          <w:rFonts w:cs="Arial"/>
          <w:sz w:val="23"/>
          <w:szCs w:val="23"/>
        </w:rPr>
        <w:footnoteReference w:id="3"/>
      </w:r>
      <w:r w:rsidRPr="00AD73F8">
        <w:rPr>
          <w:rFonts w:cs="Arial"/>
          <w:sz w:val="23"/>
          <w:szCs w:val="23"/>
        </w:rPr>
        <w:t>. Esta tendencia se observa en</w:t>
      </w:r>
      <w:r w:rsidRPr="00AD73F8">
        <w:rPr>
          <w:rFonts w:cs="Arial"/>
          <w:color w:val="FF0000"/>
          <w:sz w:val="23"/>
          <w:szCs w:val="23"/>
        </w:rPr>
        <w:t xml:space="preserve"> </w:t>
      </w:r>
      <w:r w:rsidRPr="00AD73F8">
        <w:rPr>
          <w:rFonts w:cs="Arial"/>
          <w:sz w:val="23"/>
          <w:szCs w:val="23"/>
        </w:rPr>
        <w:t>la</w:t>
      </w:r>
      <w:r w:rsidRPr="00AD73F8">
        <w:rPr>
          <w:rFonts w:cs="Arial"/>
          <w:color w:val="FF0000"/>
          <w:sz w:val="23"/>
          <w:szCs w:val="23"/>
        </w:rPr>
        <w:t xml:space="preserve"> </w:t>
      </w:r>
      <w:r w:rsidRPr="00AD73F8">
        <w:rPr>
          <w:rFonts w:cs="Arial"/>
          <w:sz w:val="23"/>
          <w:szCs w:val="23"/>
        </w:rPr>
        <w:t>información de las defunciones de 2020</w:t>
      </w:r>
      <w:r w:rsidR="00A10EAA" w:rsidRPr="00AD73F8">
        <w:rPr>
          <w:rFonts w:cs="Arial"/>
          <w:sz w:val="23"/>
          <w:szCs w:val="23"/>
        </w:rPr>
        <w:t>.</w:t>
      </w:r>
    </w:p>
    <w:p w14:paraId="69942157" w14:textId="77777777" w:rsidR="00A10EAA" w:rsidRDefault="00A10EAA" w:rsidP="000458F7">
      <w:pPr>
        <w:rPr>
          <w:rFonts w:cs="Arial"/>
          <w:sz w:val="24"/>
        </w:rPr>
      </w:pPr>
    </w:p>
    <w:p w14:paraId="72CFF712" w14:textId="77777777" w:rsidR="00AD73F8" w:rsidRDefault="00AD73F8" w:rsidP="000458F7">
      <w:pPr>
        <w:rPr>
          <w:rFonts w:cs="Arial"/>
          <w:sz w:val="23"/>
          <w:szCs w:val="23"/>
        </w:rPr>
      </w:pPr>
    </w:p>
    <w:p w14:paraId="2F466008" w14:textId="77777777" w:rsidR="00AD73F8" w:rsidRDefault="00AD73F8" w:rsidP="000458F7">
      <w:pPr>
        <w:rPr>
          <w:rFonts w:cs="Arial"/>
          <w:sz w:val="23"/>
          <w:szCs w:val="23"/>
        </w:rPr>
      </w:pPr>
    </w:p>
    <w:p w14:paraId="39DEDB5D" w14:textId="77777777" w:rsidR="00AD73F8" w:rsidRDefault="00AD73F8" w:rsidP="000458F7">
      <w:pPr>
        <w:rPr>
          <w:rFonts w:cs="Arial"/>
          <w:sz w:val="23"/>
          <w:szCs w:val="23"/>
        </w:rPr>
      </w:pPr>
    </w:p>
    <w:p w14:paraId="35924B10" w14:textId="77777777" w:rsidR="000458F7" w:rsidRPr="00AD73F8" w:rsidRDefault="00A10EAA" w:rsidP="000458F7">
      <w:pPr>
        <w:rPr>
          <w:rFonts w:cs="Arial"/>
          <w:bCs/>
          <w:sz w:val="23"/>
          <w:szCs w:val="23"/>
          <w:lang w:val="es-MX"/>
        </w:rPr>
      </w:pPr>
      <w:r w:rsidRPr="00AD73F8">
        <w:rPr>
          <w:rFonts w:cs="Arial"/>
          <w:sz w:val="23"/>
          <w:szCs w:val="23"/>
        </w:rPr>
        <w:t>A</w:t>
      </w:r>
      <w:r w:rsidR="000458F7" w:rsidRPr="00AD73F8">
        <w:rPr>
          <w:rFonts w:cs="Arial"/>
          <w:sz w:val="23"/>
          <w:szCs w:val="23"/>
        </w:rPr>
        <w:t xml:space="preserve"> partir </w:t>
      </w:r>
      <w:r w:rsidR="000458F7" w:rsidRPr="00AD73F8">
        <w:rPr>
          <w:rFonts w:cs="Arial"/>
          <w:bCs/>
          <w:sz w:val="23"/>
          <w:szCs w:val="23"/>
          <w:lang w:val="es-MX"/>
        </w:rPr>
        <w:t>de los 50 años</w:t>
      </w:r>
      <w:r w:rsidRPr="00AD73F8">
        <w:rPr>
          <w:rFonts w:cs="Arial"/>
          <w:bCs/>
          <w:sz w:val="23"/>
          <w:szCs w:val="23"/>
          <w:lang w:val="es-MX"/>
        </w:rPr>
        <w:t xml:space="preserve"> de edad</w:t>
      </w:r>
      <w:r w:rsidR="000458F7" w:rsidRPr="00AD73F8">
        <w:rPr>
          <w:rFonts w:cs="Arial"/>
          <w:bCs/>
          <w:sz w:val="23"/>
          <w:szCs w:val="23"/>
          <w:lang w:val="es-MX"/>
        </w:rPr>
        <w:t xml:space="preserve"> hay un incremento </w:t>
      </w:r>
      <w:r w:rsidR="0014161D" w:rsidRPr="00AD73F8">
        <w:rPr>
          <w:rFonts w:cs="Arial"/>
          <w:bCs/>
          <w:sz w:val="23"/>
          <w:szCs w:val="23"/>
          <w:lang w:val="es-MX"/>
        </w:rPr>
        <w:t>más dinámico en</w:t>
      </w:r>
      <w:r w:rsidR="000458F7" w:rsidRPr="00AD73F8">
        <w:rPr>
          <w:rFonts w:cs="Arial"/>
          <w:bCs/>
          <w:sz w:val="23"/>
          <w:szCs w:val="23"/>
          <w:lang w:val="es-MX"/>
        </w:rPr>
        <w:t xml:space="preserve"> la tasa de </w:t>
      </w:r>
      <w:r w:rsidR="000415C5" w:rsidRPr="00AD73F8">
        <w:rPr>
          <w:rFonts w:cs="Arial"/>
          <w:bCs/>
          <w:sz w:val="23"/>
          <w:szCs w:val="23"/>
          <w:lang w:val="es-MX"/>
        </w:rPr>
        <w:t>defunción</w:t>
      </w:r>
      <w:r w:rsidR="000458F7" w:rsidRPr="00AD73F8">
        <w:rPr>
          <w:rFonts w:cs="Arial"/>
          <w:bCs/>
          <w:sz w:val="23"/>
          <w:szCs w:val="23"/>
          <w:lang w:val="es-MX"/>
        </w:rPr>
        <w:t xml:space="preserve"> por tumores malignos, </w:t>
      </w:r>
      <w:r w:rsidR="000415C5" w:rsidRPr="00AD73F8">
        <w:rPr>
          <w:rFonts w:cs="Arial"/>
          <w:bCs/>
          <w:sz w:val="23"/>
          <w:szCs w:val="23"/>
          <w:lang w:val="es-MX"/>
        </w:rPr>
        <w:t>tanto en</w:t>
      </w:r>
      <w:r w:rsidR="000458F7" w:rsidRPr="00AD73F8">
        <w:rPr>
          <w:rFonts w:cs="Arial"/>
          <w:bCs/>
          <w:sz w:val="23"/>
          <w:szCs w:val="23"/>
          <w:lang w:val="es-MX"/>
        </w:rPr>
        <w:t xml:space="preserve"> hombre</w:t>
      </w:r>
      <w:r w:rsidR="00E00120" w:rsidRPr="00AD73F8">
        <w:rPr>
          <w:rFonts w:cs="Arial"/>
          <w:bCs/>
          <w:sz w:val="23"/>
          <w:szCs w:val="23"/>
          <w:lang w:val="es-MX"/>
        </w:rPr>
        <w:t>s</w:t>
      </w:r>
      <w:r w:rsidR="000458F7" w:rsidRPr="00AD73F8">
        <w:rPr>
          <w:rFonts w:cs="Arial"/>
          <w:bCs/>
          <w:sz w:val="23"/>
          <w:szCs w:val="23"/>
          <w:lang w:val="es-MX"/>
        </w:rPr>
        <w:t xml:space="preserve"> </w:t>
      </w:r>
      <w:r w:rsidR="000415C5" w:rsidRPr="00AD73F8">
        <w:rPr>
          <w:rFonts w:cs="Arial"/>
          <w:bCs/>
          <w:sz w:val="23"/>
          <w:szCs w:val="23"/>
          <w:lang w:val="es-MX"/>
        </w:rPr>
        <w:t>como en</w:t>
      </w:r>
      <w:r w:rsidR="000458F7" w:rsidRPr="00AD73F8">
        <w:rPr>
          <w:rFonts w:cs="Arial"/>
          <w:bCs/>
          <w:sz w:val="23"/>
          <w:szCs w:val="23"/>
          <w:lang w:val="es-MX"/>
        </w:rPr>
        <w:t xml:space="preserve"> mujeres, aunque a partir de los 60 años</w:t>
      </w:r>
      <w:r w:rsidRPr="00AD73F8">
        <w:rPr>
          <w:rFonts w:cs="Arial"/>
          <w:bCs/>
          <w:sz w:val="23"/>
          <w:szCs w:val="23"/>
          <w:lang w:val="es-MX"/>
        </w:rPr>
        <w:t>,</w:t>
      </w:r>
      <w:r w:rsidR="000458F7" w:rsidRPr="00AD73F8">
        <w:rPr>
          <w:rFonts w:cs="Arial"/>
          <w:bCs/>
          <w:sz w:val="23"/>
          <w:szCs w:val="23"/>
          <w:lang w:val="es-MX"/>
        </w:rPr>
        <w:t xml:space="preserve"> los hombres </w:t>
      </w:r>
      <w:r w:rsidR="00683225">
        <w:rPr>
          <w:rFonts w:cs="Arial"/>
          <w:bCs/>
          <w:sz w:val="23"/>
          <w:szCs w:val="23"/>
          <w:lang w:val="es-MX"/>
        </w:rPr>
        <w:t>registra</w:t>
      </w:r>
      <w:r w:rsidR="000458F7" w:rsidRPr="00AD73F8">
        <w:rPr>
          <w:rFonts w:cs="Arial"/>
          <w:bCs/>
          <w:sz w:val="23"/>
          <w:szCs w:val="23"/>
          <w:lang w:val="es-MX"/>
        </w:rPr>
        <w:t>n tasas mayores a la</w:t>
      </w:r>
      <w:r w:rsidR="00E00120" w:rsidRPr="00AD73F8">
        <w:rPr>
          <w:rFonts w:cs="Arial"/>
          <w:bCs/>
          <w:sz w:val="23"/>
          <w:szCs w:val="23"/>
          <w:lang w:val="es-MX"/>
        </w:rPr>
        <w:t>s</w:t>
      </w:r>
      <w:r w:rsidR="000458F7" w:rsidRPr="00AD73F8">
        <w:rPr>
          <w:rFonts w:cs="Arial"/>
          <w:bCs/>
          <w:sz w:val="23"/>
          <w:szCs w:val="23"/>
          <w:lang w:val="es-MX"/>
        </w:rPr>
        <w:t xml:space="preserve"> de las mujeres.</w:t>
      </w:r>
    </w:p>
    <w:p w14:paraId="48567B34" w14:textId="77777777" w:rsidR="0011150C" w:rsidRPr="00AD73F8" w:rsidRDefault="0011150C" w:rsidP="0011150C">
      <w:pPr>
        <w:rPr>
          <w:rFonts w:cs="Arial"/>
          <w:bCs/>
          <w:sz w:val="23"/>
          <w:szCs w:val="23"/>
          <w:lang w:val="es-MX"/>
        </w:rPr>
      </w:pPr>
    </w:p>
    <w:p w14:paraId="38C1644A" w14:textId="77777777" w:rsidR="0011150C" w:rsidRPr="00037143" w:rsidRDefault="0011150C" w:rsidP="0011150C">
      <w:pPr>
        <w:ind w:left="1276"/>
        <w:rPr>
          <w:b/>
          <w:bCs/>
          <w:sz w:val="20"/>
          <w:szCs w:val="20"/>
        </w:rPr>
      </w:pPr>
    </w:p>
    <w:p w14:paraId="6E314206" w14:textId="77777777" w:rsidR="0011150C" w:rsidRPr="007C7BC1" w:rsidRDefault="0011150C" w:rsidP="00683225">
      <w:pPr>
        <w:jc w:val="center"/>
        <w:rPr>
          <w:b/>
          <w:bCs/>
          <w:smallCaps/>
          <w:szCs w:val="20"/>
        </w:rPr>
      </w:pPr>
      <w:r w:rsidRPr="007C7BC1">
        <w:rPr>
          <w:b/>
          <w:bCs/>
          <w:smallCaps/>
          <w:szCs w:val="20"/>
        </w:rPr>
        <w:t>Tasa de defunciones por tumores malignos por grupo decenal de edad y sexo, 2020</w:t>
      </w:r>
    </w:p>
    <w:p w14:paraId="72BEC388" w14:textId="77777777" w:rsidR="0011150C" w:rsidRPr="007C7BC1" w:rsidRDefault="0011150C" w:rsidP="00683225">
      <w:pPr>
        <w:jc w:val="center"/>
        <w:rPr>
          <w:sz w:val="20"/>
          <w:szCs w:val="20"/>
        </w:rPr>
      </w:pPr>
      <w:r w:rsidRPr="002E6DA1"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39B174A9" wp14:editId="67D542EC">
            <wp:simplePos x="0" y="0"/>
            <wp:positionH relativeFrom="margin">
              <wp:posOffset>390271</wp:posOffset>
            </wp:positionH>
            <wp:positionV relativeFrom="paragraph">
              <wp:posOffset>180746</wp:posOffset>
            </wp:positionV>
            <wp:extent cx="5624830" cy="2583815"/>
            <wp:effectExtent l="0" t="0" r="0" b="698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BC1">
        <w:rPr>
          <w:sz w:val="20"/>
          <w:szCs w:val="20"/>
        </w:rPr>
        <w:t>(</w:t>
      </w:r>
      <w:r w:rsidRPr="007C7BC1">
        <w:rPr>
          <w:sz w:val="20"/>
          <w:szCs w:val="20"/>
        </w:rPr>
        <w:t>Defunciones por cada 10 mil habitantes)</w:t>
      </w:r>
    </w:p>
    <w:p w14:paraId="1B603337" w14:textId="77777777" w:rsidR="0011150C" w:rsidRPr="00037143" w:rsidRDefault="0011150C" w:rsidP="0011150C">
      <w:pPr>
        <w:spacing w:before="60" w:after="60"/>
        <w:ind w:left="993" w:right="616" w:hanging="426"/>
        <w:jc w:val="left"/>
        <w:rPr>
          <w:sz w:val="16"/>
          <w:szCs w:val="16"/>
        </w:rPr>
      </w:pPr>
      <w:r w:rsidRPr="00037143">
        <w:rPr>
          <w:sz w:val="16"/>
          <w:szCs w:val="16"/>
        </w:rPr>
        <w:t>Nota:</w:t>
      </w:r>
      <w:r w:rsidRPr="00037143">
        <w:rPr>
          <w:sz w:val="16"/>
          <w:szCs w:val="16"/>
        </w:rPr>
        <w:tab/>
        <w:t>Comprende el total de registros con códigos de causa básica de tumores malignos (C00-C96) según la Clasificación Estadística Internacional de Enfermedades y Problemas Relacionados con la Salud, Décima Revisión (CIE-10).</w:t>
      </w:r>
    </w:p>
    <w:p w14:paraId="549993BB" w14:textId="77777777" w:rsidR="0011150C" w:rsidRPr="00037143" w:rsidRDefault="0011150C" w:rsidP="0011150C">
      <w:pPr>
        <w:spacing w:after="60"/>
        <w:ind w:left="1276" w:right="616" w:hanging="709"/>
        <w:jc w:val="left"/>
        <w:rPr>
          <w:sz w:val="16"/>
          <w:szCs w:val="16"/>
        </w:rPr>
      </w:pPr>
      <w:r w:rsidRPr="00037143">
        <w:rPr>
          <w:sz w:val="16"/>
          <w:szCs w:val="16"/>
        </w:rPr>
        <w:t>Fuente</w:t>
      </w:r>
      <w:r>
        <w:rPr>
          <w:sz w:val="16"/>
          <w:szCs w:val="16"/>
        </w:rPr>
        <w:t>s</w:t>
      </w:r>
      <w:r w:rsidRPr="00037143">
        <w:rPr>
          <w:sz w:val="16"/>
          <w:szCs w:val="16"/>
        </w:rPr>
        <w:t>:</w:t>
      </w:r>
      <w:r w:rsidRPr="00037143">
        <w:rPr>
          <w:sz w:val="16"/>
          <w:szCs w:val="16"/>
        </w:rPr>
        <w:tab/>
        <w:t>INEGI. Estadísticas de mortalidad 2020. Consulta interactiva de datos. SNIEG. Información de Interés Nacional y Estimación de población elaborada por el INEGI con base en el Marco de Muestreo de Viviendas 2020.</w:t>
      </w:r>
    </w:p>
    <w:p w14:paraId="22C5431A" w14:textId="77777777" w:rsidR="000458F7" w:rsidRDefault="000458F7" w:rsidP="000458F7">
      <w:pPr>
        <w:spacing w:before="120"/>
        <w:rPr>
          <w:rFonts w:cs="Arial"/>
          <w:bCs/>
          <w:sz w:val="24"/>
          <w:lang w:val="es-MX"/>
        </w:rPr>
      </w:pPr>
    </w:p>
    <w:p w14:paraId="04AC11F1" w14:textId="77777777" w:rsidR="00A10EAA" w:rsidRPr="00AD73F8" w:rsidRDefault="00A10EAA" w:rsidP="00A10EAA">
      <w:pPr>
        <w:rPr>
          <w:rFonts w:cs="Arial"/>
          <w:bCs/>
          <w:sz w:val="23"/>
          <w:szCs w:val="23"/>
          <w:lang w:val="es-MX"/>
        </w:rPr>
      </w:pPr>
    </w:p>
    <w:p w14:paraId="583907B1" w14:textId="77777777" w:rsidR="00A10EAA" w:rsidRPr="00AD73F8" w:rsidRDefault="00683225" w:rsidP="00A10EAA">
      <w:pPr>
        <w:rPr>
          <w:rFonts w:cs="Arial"/>
          <w:bCs/>
          <w:sz w:val="23"/>
          <w:szCs w:val="23"/>
          <w:lang w:val="es-MX"/>
        </w:rPr>
      </w:pPr>
      <w:r>
        <w:rPr>
          <w:rFonts w:cs="Arial"/>
          <w:bCs/>
          <w:sz w:val="23"/>
          <w:szCs w:val="23"/>
          <w:lang w:val="es-MX"/>
        </w:rPr>
        <w:t>En 2020, d</w:t>
      </w:r>
      <w:r w:rsidR="000458F7" w:rsidRPr="00AD73F8">
        <w:rPr>
          <w:rFonts w:cs="Arial"/>
          <w:bCs/>
          <w:sz w:val="23"/>
          <w:szCs w:val="23"/>
          <w:lang w:val="es-MX"/>
        </w:rPr>
        <w:t>e acuerdo con registros administrativos, 20% de las personas fallecidas por tumores malignos no disponían de derechohabiencia en alguna institución de salud (18</w:t>
      </w:r>
      <w:r w:rsidR="000415C5" w:rsidRPr="00AD73F8">
        <w:rPr>
          <w:rFonts w:cs="Arial"/>
          <w:bCs/>
          <w:sz w:val="23"/>
          <w:szCs w:val="23"/>
          <w:lang w:val="es-MX"/>
        </w:rPr>
        <w:t>,</w:t>
      </w:r>
      <w:r w:rsidR="000458F7" w:rsidRPr="00AD73F8">
        <w:rPr>
          <w:rFonts w:cs="Arial"/>
          <w:bCs/>
          <w:sz w:val="23"/>
          <w:szCs w:val="23"/>
          <w:lang w:val="es-MX"/>
        </w:rPr>
        <w:t xml:space="preserve">310), mientras que 67% sí </w:t>
      </w:r>
      <w:r w:rsidR="000539AB" w:rsidRPr="00AD73F8">
        <w:rPr>
          <w:rFonts w:cs="Arial"/>
          <w:bCs/>
          <w:sz w:val="23"/>
          <w:szCs w:val="23"/>
          <w:lang w:val="es-MX"/>
        </w:rPr>
        <w:t>la</w:t>
      </w:r>
      <w:r w:rsidR="000458F7" w:rsidRPr="00AD73F8">
        <w:rPr>
          <w:rFonts w:cs="Arial"/>
          <w:bCs/>
          <w:sz w:val="23"/>
          <w:szCs w:val="23"/>
          <w:lang w:val="es-MX"/>
        </w:rPr>
        <w:t xml:space="preserve"> tenían (60</w:t>
      </w:r>
      <w:r w:rsidR="000415C5" w:rsidRPr="00AD73F8">
        <w:rPr>
          <w:rFonts w:cs="Arial"/>
          <w:bCs/>
          <w:sz w:val="23"/>
          <w:szCs w:val="23"/>
          <w:lang w:val="es-MX"/>
        </w:rPr>
        <w:t>,</w:t>
      </w:r>
      <w:r w:rsidR="000458F7" w:rsidRPr="00AD73F8">
        <w:rPr>
          <w:rFonts w:cs="Arial"/>
          <w:bCs/>
          <w:sz w:val="23"/>
          <w:szCs w:val="23"/>
          <w:lang w:val="es-MX"/>
        </w:rPr>
        <w:t>897)</w:t>
      </w:r>
      <w:r w:rsidR="000458F7" w:rsidRPr="00AD73F8">
        <w:rPr>
          <w:rStyle w:val="FootnoteReference"/>
          <w:rFonts w:cs="Arial"/>
          <w:bCs/>
          <w:sz w:val="23"/>
          <w:szCs w:val="23"/>
          <w:lang w:val="es-MX"/>
        </w:rPr>
        <w:footnoteReference w:id="4"/>
      </w:r>
      <w:r w:rsidR="00A10EAA" w:rsidRPr="00AD73F8">
        <w:rPr>
          <w:rFonts w:cs="Arial"/>
          <w:bCs/>
          <w:sz w:val="23"/>
          <w:szCs w:val="23"/>
          <w:lang w:val="es-MX"/>
        </w:rPr>
        <w:t xml:space="preserve">. </w:t>
      </w:r>
    </w:p>
    <w:p w14:paraId="1EE8F389" w14:textId="77777777" w:rsidR="00A10EAA" w:rsidRPr="00AD73F8" w:rsidRDefault="00A10EAA" w:rsidP="00A10EAA">
      <w:pPr>
        <w:rPr>
          <w:rFonts w:cs="Arial"/>
          <w:bCs/>
          <w:sz w:val="23"/>
          <w:szCs w:val="23"/>
          <w:lang w:val="es-MX"/>
        </w:rPr>
      </w:pPr>
    </w:p>
    <w:p w14:paraId="69D38743" w14:textId="77777777" w:rsidR="000458F7" w:rsidRPr="00AD73F8" w:rsidRDefault="00A10EAA" w:rsidP="00A10EAA">
      <w:pPr>
        <w:rPr>
          <w:rFonts w:cs="Arial"/>
          <w:bCs/>
          <w:sz w:val="23"/>
          <w:szCs w:val="23"/>
          <w:lang w:val="es-MX"/>
        </w:rPr>
      </w:pPr>
      <w:r w:rsidRPr="00AD73F8">
        <w:rPr>
          <w:rFonts w:cs="Arial"/>
          <w:bCs/>
          <w:sz w:val="23"/>
          <w:szCs w:val="23"/>
          <w:lang w:val="es-MX"/>
        </w:rPr>
        <w:t xml:space="preserve">De la población derechohabiente a alguna institución de salud, </w:t>
      </w:r>
      <w:r w:rsidR="000458F7" w:rsidRPr="00AD73F8">
        <w:rPr>
          <w:rFonts w:cs="Arial"/>
          <w:bCs/>
          <w:sz w:val="23"/>
          <w:szCs w:val="23"/>
          <w:lang w:val="es-MX"/>
        </w:rPr>
        <w:t xml:space="preserve">62% estaban </w:t>
      </w:r>
      <w:r w:rsidR="00367519" w:rsidRPr="00AD73F8">
        <w:rPr>
          <w:rFonts w:cs="Arial"/>
          <w:bCs/>
          <w:sz w:val="23"/>
          <w:szCs w:val="23"/>
          <w:lang w:val="es-MX"/>
        </w:rPr>
        <w:t>afiliadas</w:t>
      </w:r>
      <w:r w:rsidR="000458F7" w:rsidRPr="00AD73F8">
        <w:rPr>
          <w:rFonts w:cs="Arial"/>
          <w:bCs/>
          <w:sz w:val="23"/>
          <w:szCs w:val="23"/>
          <w:lang w:val="es-MX"/>
        </w:rPr>
        <w:t xml:space="preserve"> </w:t>
      </w:r>
      <w:r w:rsidR="00E00120" w:rsidRPr="00AD73F8">
        <w:rPr>
          <w:rFonts w:cs="Arial"/>
          <w:bCs/>
          <w:sz w:val="23"/>
          <w:szCs w:val="23"/>
          <w:lang w:val="es-MX"/>
        </w:rPr>
        <w:t>a</w:t>
      </w:r>
      <w:r w:rsidR="000458F7" w:rsidRPr="00AD73F8">
        <w:rPr>
          <w:rFonts w:cs="Arial"/>
          <w:bCs/>
          <w:sz w:val="23"/>
          <w:szCs w:val="23"/>
          <w:lang w:val="es-MX"/>
        </w:rPr>
        <w:t xml:space="preserve">l Instituto Mexicano del Seguro Social (IMSS), 16% </w:t>
      </w:r>
      <w:r w:rsidR="00E00120" w:rsidRPr="00AD73F8">
        <w:rPr>
          <w:rFonts w:cs="Arial"/>
          <w:bCs/>
          <w:sz w:val="23"/>
          <w:szCs w:val="23"/>
          <w:lang w:val="es-MX"/>
        </w:rPr>
        <w:t>a</w:t>
      </w:r>
      <w:r w:rsidR="000458F7" w:rsidRPr="00AD73F8">
        <w:rPr>
          <w:rFonts w:cs="Arial"/>
          <w:bCs/>
          <w:sz w:val="23"/>
          <w:szCs w:val="23"/>
          <w:lang w:val="es-MX"/>
        </w:rPr>
        <w:t xml:space="preserve">l Seguro Popular y 14% </w:t>
      </w:r>
      <w:r w:rsidR="00E00120" w:rsidRPr="00AD73F8">
        <w:rPr>
          <w:rFonts w:cs="Arial"/>
          <w:bCs/>
          <w:sz w:val="23"/>
          <w:szCs w:val="23"/>
          <w:lang w:val="es-MX"/>
        </w:rPr>
        <w:t>a</w:t>
      </w:r>
      <w:r w:rsidR="000458F7" w:rsidRPr="00AD73F8">
        <w:rPr>
          <w:rFonts w:cs="Arial"/>
          <w:bCs/>
          <w:sz w:val="23"/>
          <w:szCs w:val="23"/>
          <w:lang w:val="es-MX"/>
        </w:rPr>
        <w:t>l Instituto de Seguridad y Servicios Sociales de los Trabajadores del Estado (ISSSTE).</w:t>
      </w:r>
    </w:p>
    <w:p w14:paraId="72F913E4" w14:textId="77777777" w:rsidR="000458F7" w:rsidRPr="00140818" w:rsidRDefault="000458F7" w:rsidP="000458F7">
      <w:pPr>
        <w:rPr>
          <w:rFonts w:cs="Arial"/>
          <w:bCs/>
          <w:szCs w:val="22"/>
          <w:lang w:val="es-MX"/>
        </w:rPr>
      </w:pPr>
      <w:r w:rsidRPr="00140818">
        <w:rPr>
          <w:rFonts w:cs="Arial"/>
          <w:bCs/>
          <w:szCs w:val="22"/>
          <w:lang w:val="es-MX"/>
        </w:rPr>
        <w:br w:type="page"/>
      </w:r>
    </w:p>
    <w:p w14:paraId="587D0A03" w14:textId="77777777" w:rsidR="007975A2" w:rsidRDefault="007975A2" w:rsidP="000458F7">
      <w:pPr>
        <w:ind w:left="993"/>
        <w:jc w:val="left"/>
        <w:rPr>
          <w:b/>
          <w:bCs/>
          <w:szCs w:val="20"/>
        </w:rPr>
      </w:pPr>
    </w:p>
    <w:p w14:paraId="4FF5FC6A" w14:textId="77777777" w:rsidR="007C7BC1" w:rsidRDefault="000458F7" w:rsidP="007C7BC1">
      <w:pPr>
        <w:jc w:val="center"/>
        <w:rPr>
          <w:b/>
          <w:bCs/>
          <w:smallCaps/>
          <w:szCs w:val="20"/>
        </w:rPr>
      </w:pPr>
      <w:r w:rsidRPr="007C7BC1">
        <w:rPr>
          <w:b/>
          <w:bCs/>
          <w:smallCaps/>
          <w:szCs w:val="20"/>
        </w:rPr>
        <w:t xml:space="preserve">Distribución porcentual de </w:t>
      </w:r>
      <w:r w:rsidR="008B0F66" w:rsidRPr="007C7BC1">
        <w:rPr>
          <w:b/>
          <w:bCs/>
          <w:smallCaps/>
          <w:szCs w:val="20"/>
        </w:rPr>
        <w:t>f</w:t>
      </w:r>
      <w:r w:rsidRPr="007C7BC1">
        <w:rPr>
          <w:b/>
          <w:bCs/>
          <w:smallCaps/>
          <w:szCs w:val="20"/>
        </w:rPr>
        <w:t xml:space="preserve">allecidos por tumores malignos con </w:t>
      </w:r>
      <w:proofErr w:type="spellStart"/>
      <w:r w:rsidRPr="007C7BC1">
        <w:rPr>
          <w:b/>
          <w:bCs/>
          <w:smallCaps/>
          <w:szCs w:val="20"/>
        </w:rPr>
        <w:t>derechohabiencia</w:t>
      </w:r>
      <w:proofErr w:type="spellEnd"/>
      <w:r w:rsidRPr="007C7BC1">
        <w:rPr>
          <w:b/>
          <w:bCs/>
          <w:smallCaps/>
          <w:szCs w:val="20"/>
        </w:rPr>
        <w:t xml:space="preserve"> </w:t>
      </w:r>
    </w:p>
    <w:p w14:paraId="2AE15ADB" w14:textId="77777777" w:rsidR="000458F7" w:rsidRPr="007C7BC1" w:rsidRDefault="000458F7" w:rsidP="007C7BC1">
      <w:pPr>
        <w:jc w:val="center"/>
        <w:rPr>
          <w:b/>
          <w:bCs/>
          <w:smallCaps/>
          <w:szCs w:val="20"/>
        </w:rPr>
      </w:pPr>
      <w:r w:rsidRPr="007C7BC1">
        <w:rPr>
          <w:b/>
          <w:bCs/>
          <w:smallCaps/>
          <w:szCs w:val="20"/>
        </w:rPr>
        <w:t>según institución de salu</w:t>
      </w:r>
      <w:r w:rsidR="007C7BC1">
        <w:rPr>
          <w:b/>
          <w:bCs/>
          <w:smallCaps/>
          <w:szCs w:val="20"/>
        </w:rPr>
        <w:t>d, 2020</w:t>
      </w:r>
    </w:p>
    <w:p w14:paraId="22675010" w14:textId="77777777" w:rsidR="00CB2FE2" w:rsidRDefault="00CB2FE2" w:rsidP="000458F7">
      <w:pPr>
        <w:ind w:left="993"/>
        <w:jc w:val="left"/>
        <w:rPr>
          <w:b/>
          <w:bCs/>
          <w:noProof/>
          <w:szCs w:val="20"/>
          <w:lang w:val="es-MX" w:eastAsia="es-MX"/>
        </w:rPr>
      </w:pPr>
    </w:p>
    <w:p w14:paraId="70773ABE" w14:textId="77777777" w:rsidR="000458F7" w:rsidRPr="00EF491A" w:rsidRDefault="002B21D7" w:rsidP="000458F7">
      <w:pPr>
        <w:ind w:left="993"/>
        <w:jc w:val="left"/>
        <w:rPr>
          <w:b/>
          <w:bCs/>
          <w:szCs w:val="20"/>
        </w:rPr>
      </w:pPr>
      <w:r>
        <w:rPr>
          <w:noProof/>
          <w:sz w:val="16"/>
          <w:szCs w:val="16"/>
          <w:vertAlign w:val="superscript"/>
          <w:lang w:val="es-MX" w:eastAsia="es-MX"/>
        </w:rPr>
        <w:drawing>
          <wp:inline distT="0" distB="0" distL="0" distR="0" wp14:anchorId="7B75352B" wp14:editId="5A859FDE">
            <wp:extent cx="4267200" cy="343617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829" cy="343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58F6C" w14:textId="77777777" w:rsidR="007975A2" w:rsidRDefault="007975A2" w:rsidP="000458F7">
      <w:pPr>
        <w:spacing w:before="120" w:after="60"/>
        <w:ind w:left="1418" w:right="992" w:hanging="425"/>
        <w:jc w:val="left"/>
        <w:rPr>
          <w:sz w:val="16"/>
          <w:szCs w:val="16"/>
          <w:vertAlign w:val="superscript"/>
        </w:rPr>
      </w:pPr>
    </w:p>
    <w:p w14:paraId="3B2BFA93" w14:textId="77777777" w:rsidR="000458F7" w:rsidRPr="00037143" w:rsidRDefault="000458F7" w:rsidP="000458F7">
      <w:pPr>
        <w:spacing w:before="120" w:after="60"/>
        <w:ind w:left="1418" w:right="992" w:hanging="425"/>
        <w:jc w:val="left"/>
        <w:rPr>
          <w:sz w:val="16"/>
          <w:szCs w:val="16"/>
        </w:rPr>
      </w:pPr>
      <w:r w:rsidRPr="00037143">
        <w:rPr>
          <w:sz w:val="16"/>
          <w:szCs w:val="16"/>
          <w:vertAlign w:val="superscript"/>
        </w:rPr>
        <w:t>1</w:t>
      </w:r>
      <w:r w:rsidRPr="00037143">
        <w:rPr>
          <w:sz w:val="16"/>
          <w:szCs w:val="16"/>
        </w:rPr>
        <w:t xml:space="preserve"> </w:t>
      </w:r>
      <w:r w:rsidR="009655F0">
        <w:rPr>
          <w:sz w:val="16"/>
          <w:szCs w:val="16"/>
        </w:rPr>
        <w:t>I</w:t>
      </w:r>
      <w:r w:rsidRPr="00037143">
        <w:rPr>
          <w:sz w:val="16"/>
          <w:szCs w:val="16"/>
        </w:rPr>
        <w:t>ncluye PEMEX, SEDENA, SEMAR, IMSS PROSPERA</w:t>
      </w:r>
      <w:r>
        <w:rPr>
          <w:sz w:val="16"/>
          <w:szCs w:val="16"/>
        </w:rPr>
        <w:t>,</w:t>
      </w:r>
      <w:r w:rsidRPr="00037143">
        <w:rPr>
          <w:sz w:val="16"/>
          <w:szCs w:val="16"/>
        </w:rPr>
        <w:t xml:space="preserve"> entre otros.</w:t>
      </w:r>
    </w:p>
    <w:p w14:paraId="2138B92A" w14:textId="77777777" w:rsidR="000458F7" w:rsidRPr="00037143" w:rsidRDefault="000458F7" w:rsidP="00AB316C">
      <w:pPr>
        <w:tabs>
          <w:tab w:val="left" w:pos="8789"/>
        </w:tabs>
        <w:spacing w:before="60" w:after="60"/>
        <w:ind w:left="1418" w:right="474" w:hanging="425"/>
        <w:rPr>
          <w:sz w:val="16"/>
          <w:szCs w:val="16"/>
        </w:rPr>
      </w:pPr>
      <w:r w:rsidRPr="00037143">
        <w:rPr>
          <w:sz w:val="16"/>
          <w:szCs w:val="16"/>
        </w:rPr>
        <w:t>Nota:</w:t>
      </w:r>
      <w:r w:rsidRPr="00037143">
        <w:rPr>
          <w:sz w:val="16"/>
          <w:szCs w:val="16"/>
        </w:rPr>
        <w:tab/>
        <w:t>Comprende el total de registros con códigos de causa básica de tumores malignos (C00-C96) según la Clasificación Estadística Internacional de Enfermedades y Problemas Relacionados con la Salud, Décima Revisión. (CIE-10).</w:t>
      </w:r>
    </w:p>
    <w:p w14:paraId="182438FB" w14:textId="77777777" w:rsidR="000458F7" w:rsidRPr="00037143" w:rsidRDefault="000458F7" w:rsidP="00AB316C">
      <w:pPr>
        <w:tabs>
          <w:tab w:val="left" w:pos="8789"/>
        </w:tabs>
        <w:ind w:left="1560" w:right="474" w:hanging="567"/>
        <w:rPr>
          <w:sz w:val="16"/>
          <w:szCs w:val="16"/>
        </w:rPr>
      </w:pPr>
      <w:r w:rsidRPr="00FD6EE0">
        <w:rPr>
          <w:sz w:val="16"/>
          <w:szCs w:val="16"/>
        </w:rPr>
        <w:t>Fuente:</w:t>
      </w:r>
      <w:r w:rsidRPr="00FD6EE0">
        <w:rPr>
          <w:sz w:val="16"/>
          <w:szCs w:val="16"/>
        </w:rPr>
        <w:tab/>
      </w:r>
      <w:r w:rsidRPr="00037143">
        <w:rPr>
          <w:sz w:val="16"/>
          <w:szCs w:val="16"/>
        </w:rPr>
        <w:t>INEGI. Estadísticas de mortalidad 2020. Consulta interactiva de datos. SNIEG. Información de Interés Nacional.</w:t>
      </w:r>
    </w:p>
    <w:p w14:paraId="40AABBEB" w14:textId="77777777" w:rsidR="000458F7" w:rsidRPr="00037143" w:rsidRDefault="000458F7" w:rsidP="000458F7">
      <w:pPr>
        <w:ind w:right="990"/>
        <w:jc w:val="left"/>
        <w:rPr>
          <w:sz w:val="16"/>
          <w:szCs w:val="16"/>
        </w:rPr>
      </w:pPr>
    </w:p>
    <w:p w14:paraId="70F7EBD4" w14:textId="77777777" w:rsidR="00AB316C" w:rsidRDefault="00AB316C" w:rsidP="000458F7">
      <w:pPr>
        <w:rPr>
          <w:rFonts w:cs="Arial"/>
          <w:bCs/>
          <w:sz w:val="24"/>
          <w:lang w:val="es-MX"/>
        </w:rPr>
      </w:pPr>
    </w:p>
    <w:p w14:paraId="721F0C77" w14:textId="77777777" w:rsidR="000458F7" w:rsidRPr="00AD73F8" w:rsidRDefault="000458F7" w:rsidP="000458F7">
      <w:pPr>
        <w:rPr>
          <w:rFonts w:cs="Arial"/>
          <w:bCs/>
          <w:sz w:val="23"/>
          <w:szCs w:val="23"/>
          <w:lang w:val="es-MX"/>
        </w:rPr>
      </w:pPr>
      <w:r w:rsidRPr="00AD73F8">
        <w:rPr>
          <w:rFonts w:cs="Arial"/>
          <w:bCs/>
          <w:sz w:val="23"/>
          <w:szCs w:val="23"/>
          <w:lang w:val="es-MX"/>
        </w:rPr>
        <w:t xml:space="preserve">Al analizar las defunciones por grupos de edad y tipo de tumores malignos, destaca </w:t>
      </w:r>
      <w:r w:rsidR="00E00120" w:rsidRPr="00AD73F8">
        <w:rPr>
          <w:rFonts w:cs="Arial"/>
          <w:bCs/>
          <w:sz w:val="23"/>
          <w:szCs w:val="23"/>
          <w:lang w:val="es-MX"/>
        </w:rPr>
        <w:t>que,</w:t>
      </w:r>
      <w:r w:rsidRPr="00AD73F8">
        <w:rPr>
          <w:rFonts w:cs="Arial"/>
          <w:bCs/>
          <w:sz w:val="23"/>
          <w:szCs w:val="23"/>
          <w:lang w:val="es-MX"/>
        </w:rPr>
        <w:t xml:space="preserve"> entre </w:t>
      </w:r>
      <w:r w:rsidR="003D5088" w:rsidRPr="00AD73F8">
        <w:rPr>
          <w:rFonts w:cs="Arial"/>
          <w:bCs/>
          <w:sz w:val="23"/>
          <w:szCs w:val="23"/>
          <w:lang w:val="es-MX"/>
        </w:rPr>
        <w:t>los principales tipos de cáncer que afecta</w:t>
      </w:r>
      <w:r w:rsidR="00683225">
        <w:rPr>
          <w:rFonts w:cs="Arial"/>
          <w:bCs/>
          <w:sz w:val="23"/>
          <w:szCs w:val="23"/>
          <w:lang w:val="es-MX"/>
        </w:rPr>
        <w:t>ro</w:t>
      </w:r>
      <w:r w:rsidR="003D5088" w:rsidRPr="00AD73F8">
        <w:rPr>
          <w:rFonts w:cs="Arial"/>
          <w:bCs/>
          <w:sz w:val="23"/>
          <w:szCs w:val="23"/>
          <w:lang w:val="es-MX"/>
        </w:rPr>
        <w:t xml:space="preserve">n a </w:t>
      </w:r>
      <w:r w:rsidRPr="00AD73F8">
        <w:rPr>
          <w:rFonts w:cs="Arial"/>
          <w:bCs/>
          <w:sz w:val="23"/>
          <w:szCs w:val="23"/>
          <w:lang w:val="es-MX"/>
        </w:rPr>
        <w:t>la población infantil de 0 a 14 años son: leucemia; tumor maligno de las meninges, del encéfalo y de otras partes del sistema nervioso central; tumor maligno del hígado y de las vías biliares intrahepáticas</w:t>
      </w:r>
      <w:r w:rsidR="00CB2FE2" w:rsidRPr="00AD73F8">
        <w:rPr>
          <w:rFonts w:cs="Arial"/>
          <w:bCs/>
          <w:sz w:val="23"/>
          <w:szCs w:val="23"/>
          <w:lang w:val="es-MX"/>
        </w:rPr>
        <w:t>,</w:t>
      </w:r>
      <w:r w:rsidRPr="00AD73F8">
        <w:rPr>
          <w:rFonts w:cs="Arial"/>
          <w:bCs/>
          <w:sz w:val="23"/>
          <w:szCs w:val="23"/>
          <w:lang w:val="es-MX"/>
        </w:rPr>
        <w:t xml:space="preserve"> así como de linfoma no Hodgkin. </w:t>
      </w:r>
    </w:p>
    <w:p w14:paraId="2C2E132A" w14:textId="77777777" w:rsidR="007975A2" w:rsidRPr="00AD73F8" w:rsidRDefault="007975A2" w:rsidP="000458F7">
      <w:pPr>
        <w:rPr>
          <w:rFonts w:cs="Arial"/>
          <w:bCs/>
          <w:sz w:val="23"/>
          <w:szCs w:val="23"/>
          <w:lang w:val="es-MX"/>
        </w:rPr>
      </w:pPr>
    </w:p>
    <w:p w14:paraId="7EA1F551" w14:textId="77777777" w:rsidR="000458F7" w:rsidRPr="00AD73F8" w:rsidRDefault="000458F7" w:rsidP="000458F7">
      <w:pPr>
        <w:rPr>
          <w:rFonts w:cs="Arial"/>
          <w:bCs/>
          <w:sz w:val="23"/>
          <w:szCs w:val="23"/>
          <w:lang w:val="es-MX"/>
        </w:rPr>
      </w:pPr>
      <w:r w:rsidRPr="00AD73F8">
        <w:rPr>
          <w:rFonts w:cs="Arial"/>
          <w:bCs/>
          <w:sz w:val="23"/>
          <w:szCs w:val="23"/>
          <w:lang w:val="es-MX"/>
        </w:rPr>
        <w:t xml:space="preserve">Entre los jóvenes de 15 a 29 años la principal causa de defunción por tipo de cáncer </w:t>
      </w:r>
      <w:r w:rsidR="00683225">
        <w:rPr>
          <w:rFonts w:cs="Arial"/>
          <w:bCs/>
          <w:sz w:val="23"/>
          <w:szCs w:val="23"/>
          <w:lang w:val="es-MX"/>
        </w:rPr>
        <w:t>fue</w:t>
      </w:r>
      <w:r w:rsidRPr="00AD73F8">
        <w:rPr>
          <w:rFonts w:cs="Arial"/>
          <w:bCs/>
          <w:sz w:val="23"/>
          <w:szCs w:val="23"/>
          <w:lang w:val="es-MX"/>
        </w:rPr>
        <w:t xml:space="preserve"> la leucemia, con una tasa de 0.36 por cada 10 mil hombres y </w:t>
      </w:r>
      <w:r w:rsidR="003D5088" w:rsidRPr="00AD73F8">
        <w:rPr>
          <w:rFonts w:cs="Arial"/>
          <w:bCs/>
          <w:sz w:val="23"/>
          <w:szCs w:val="23"/>
          <w:lang w:val="es-MX"/>
        </w:rPr>
        <w:t xml:space="preserve">de </w:t>
      </w:r>
      <w:r w:rsidRPr="00AD73F8">
        <w:rPr>
          <w:rFonts w:cs="Arial"/>
          <w:bCs/>
          <w:sz w:val="23"/>
          <w:szCs w:val="23"/>
          <w:lang w:val="es-MX"/>
        </w:rPr>
        <w:t xml:space="preserve">0.25 por cada 10 mil mujeres. Después de esta causa, </w:t>
      </w:r>
      <w:r w:rsidR="002C1A24" w:rsidRPr="00AD73F8">
        <w:rPr>
          <w:rFonts w:cs="Arial"/>
          <w:bCs/>
          <w:sz w:val="23"/>
          <w:szCs w:val="23"/>
          <w:lang w:val="es-MX"/>
        </w:rPr>
        <w:t>hay</w:t>
      </w:r>
      <w:r w:rsidRPr="00AD73F8">
        <w:rPr>
          <w:rFonts w:cs="Arial"/>
          <w:bCs/>
          <w:sz w:val="23"/>
          <w:szCs w:val="23"/>
          <w:lang w:val="es-MX"/>
        </w:rPr>
        <w:t xml:space="preserve"> diferencias por sexo</w:t>
      </w:r>
      <w:r w:rsidR="002C1A24" w:rsidRPr="00AD73F8">
        <w:rPr>
          <w:rFonts w:cs="Arial"/>
          <w:bCs/>
          <w:sz w:val="23"/>
          <w:szCs w:val="23"/>
          <w:lang w:val="es-MX"/>
        </w:rPr>
        <w:t>:</w:t>
      </w:r>
      <w:r w:rsidRPr="00AD73F8">
        <w:rPr>
          <w:rFonts w:cs="Arial"/>
          <w:bCs/>
          <w:sz w:val="23"/>
          <w:szCs w:val="23"/>
          <w:lang w:val="es-MX"/>
        </w:rPr>
        <w:t xml:space="preserve"> en los hombres destaca</w:t>
      </w:r>
      <w:r w:rsidR="00683225">
        <w:rPr>
          <w:rFonts w:cs="Arial"/>
          <w:bCs/>
          <w:sz w:val="23"/>
          <w:szCs w:val="23"/>
          <w:lang w:val="es-MX"/>
        </w:rPr>
        <w:t>ro</w:t>
      </w:r>
      <w:r w:rsidRPr="00AD73F8">
        <w:rPr>
          <w:rFonts w:cs="Arial"/>
          <w:bCs/>
          <w:sz w:val="23"/>
          <w:szCs w:val="23"/>
          <w:lang w:val="es-MX"/>
        </w:rPr>
        <w:t>n las defunciones por tumor maligno de las meninges, del encéfalo y de otras partes del sistema nervioso central; linfoma</w:t>
      </w:r>
      <w:r w:rsidR="00CB2FE2" w:rsidRPr="00AD73F8">
        <w:rPr>
          <w:rFonts w:cs="Arial"/>
          <w:bCs/>
          <w:sz w:val="23"/>
          <w:szCs w:val="23"/>
          <w:lang w:val="es-MX"/>
        </w:rPr>
        <w:t xml:space="preserve"> </w:t>
      </w:r>
      <w:r w:rsidRPr="00AD73F8">
        <w:rPr>
          <w:rFonts w:cs="Arial"/>
          <w:bCs/>
          <w:sz w:val="23"/>
          <w:szCs w:val="23"/>
          <w:lang w:val="es-MX"/>
        </w:rPr>
        <w:t>no Hodgkin y tumor maligno del estómago. En las mujeres, le sigu</w:t>
      </w:r>
      <w:r w:rsidR="00683225">
        <w:rPr>
          <w:rFonts w:cs="Arial"/>
          <w:bCs/>
          <w:sz w:val="23"/>
          <w:szCs w:val="23"/>
          <w:lang w:val="es-MX"/>
        </w:rPr>
        <w:t>iero</w:t>
      </w:r>
      <w:r w:rsidRPr="00AD73F8">
        <w:rPr>
          <w:rFonts w:cs="Arial"/>
          <w:bCs/>
          <w:sz w:val="23"/>
          <w:szCs w:val="23"/>
          <w:lang w:val="es-MX"/>
        </w:rPr>
        <w:t xml:space="preserve">n </w:t>
      </w:r>
      <w:r w:rsidR="002C1A24" w:rsidRPr="00AD73F8">
        <w:rPr>
          <w:rFonts w:cs="Arial"/>
          <w:bCs/>
          <w:sz w:val="23"/>
          <w:szCs w:val="23"/>
          <w:lang w:val="es-MX"/>
        </w:rPr>
        <w:t xml:space="preserve">por orden de importancia </w:t>
      </w:r>
      <w:r w:rsidRPr="00AD73F8">
        <w:rPr>
          <w:rFonts w:cs="Arial"/>
          <w:bCs/>
          <w:sz w:val="23"/>
          <w:szCs w:val="23"/>
          <w:lang w:val="es-MX"/>
        </w:rPr>
        <w:t>el tumor maligno del ovario; tumor maligno del cuello del útero y el tumor maligno de las meninges, del encéfalo y de otras partes del sistema nervioso central.</w:t>
      </w:r>
    </w:p>
    <w:p w14:paraId="264D1412" w14:textId="77777777" w:rsidR="000458F7" w:rsidRPr="00AD73F8" w:rsidRDefault="000458F7" w:rsidP="000458F7">
      <w:pPr>
        <w:rPr>
          <w:b/>
          <w:bCs/>
          <w:sz w:val="23"/>
          <w:szCs w:val="23"/>
        </w:rPr>
      </w:pPr>
      <w:r w:rsidRPr="00AD73F8">
        <w:rPr>
          <w:b/>
          <w:bCs/>
          <w:sz w:val="23"/>
          <w:szCs w:val="23"/>
        </w:rPr>
        <w:br w:type="page"/>
      </w:r>
    </w:p>
    <w:p w14:paraId="7607C2E3" w14:textId="77777777" w:rsidR="00AD73F8" w:rsidRDefault="00AD73F8" w:rsidP="000458F7">
      <w:pPr>
        <w:ind w:left="142" w:right="565"/>
        <w:jc w:val="left"/>
        <w:rPr>
          <w:b/>
          <w:bCs/>
          <w:szCs w:val="20"/>
        </w:rPr>
      </w:pPr>
    </w:p>
    <w:p w14:paraId="22CC8231" w14:textId="77777777" w:rsidR="000458F7" w:rsidRPr="007C7BC1" w:rsidRDefault="000458F7" w:rsidP="007C7BC1">
      <w:pPr>
        <w:ind w:left="142" w:right="565"/>
        <w:jc w:val="center"/>
        <w:rPr>
          <w:b/>
          <w:bCs/>
          <w:smallCaps/>
          <w:szCs w:val="20"/>
        </w:rPr>
      </w:pPr>
      <w:r w:rsidRPr="007C7BC1">
        <w:rPr>
          <w:b/>
          <w:bCs/>
          <w:smallCaps/>
          <w:szCs w:val="20"/>
        </w:rPr>
        <w:t>Tasa de defunciones por causas de tumor maligno por grupos de edad y sexo, 2020</w:t>
      </w:r>
    </w:p>
    <w:p w14:paraId="1AAB51DE" w14:textId="77777777" w:rsidR="000458F7" w:rsidRPr="007C7BC1" w:rsidRDefault="000458F7" w:rsidP="007C7BC1">
      <w:pPr>
        <w:ind w:left="142" w:right="423"/>
        <w:jc w:val="center"/>
        <w:rPr>
          <w:sz w:val="18"/>
          <w:szCs w:val="18"/>
        </w:rPr>
      </w:pPr>
      <w:r w:rsidRPr="007C7BC1">
        <w:rPr>
          <w:noProof/>
          <w:sz w:val="18"/>
          <w:szCs w:val="18"/>
          <w:lang w:val="es-MX" w:eastAsia="es-MX"/>
        </w:rPr>
        <w:drawing>
          <wp:anchor distT="0" distB="0" distL="114300" distR="114300" simplePos="0" relativeHeight="251656192" behindDoc="0" locked="0" layoutInCell="1" allowOverlap="1" wp14:anchorId="5352DB31" wp14:editId="2CAFD4F2">
            <wp:simplePos x="0" y="0"/>
            <wp:positionH relativeFrom="margin">
              <wp:posOffset>51435</wp:posOffset>
            </wp:positionH>
            <wp:positionV relativeFrom="paragraph">
              <wp:posOffset>239395</wp:posOffset>
            </wp:positionV>
            <wp:extent cx="6271895" cy="396684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895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BC1">
        <w:rPr>
          <w:sz w:val="18"/>
          <w:szCs w:val="18"/>
        </w:rPr>
        <w:t>(Defunciones por cada 10 mil habitantes)</w:t>
      </w:r>
    </w:p>
    <w:p w14:paraId="397070BD" w14:textId="77777777" w:rsidR="000458F7" w:rsidRPr="00037143" w:rsidRDefault="000458F7" w:rsidP="00AB316C">
      <w:pPr>
        <w:spacing w:before="60" w:after="60"/>
        <w:ind w:left="426" w:right="425" w:hanging="425"/>
        <w:rPr>
          <w:sz w:val="20"/>
          <w:szCs w:val="20"/>
        </w:rPr>
      </w:pPr>
      <w:r w:rsidRPr="00037143">
        <w:rPr>
          <w:sz w:val="16"/>
          <w:szCs w:val="16"/>
        </w:rPr>
        <w:t>Nota:</w:t>
      </w:r>
      <w:r w:rsidRPr="00037143">
        <w:rPr>
          <w:sz w:val="16"/>
          <w:szCs w:val="16"/>
        </w:rPr>
        <w:tab/>
        <w:t>Comprende el total de registros con códigos de causa básica de tumores malignos (C00-C96) según la Clasificación Estadística Internacional de Enfermedades y Problemas Relacionados con la Salud, Décima Revisión. (CIE-10).</w:t>
      </w:r>
    </w:p>
    <w:p w14:paraId="29A1DA41" w14:textId="77777777" w:rsidR="000458F7" w:rsidRPr="00037143" w:rsidRDefault="000458F7" w:rsidP="00AB316C">
      <w:pPr>
        <w:spacing w:after="60"/>
        <w:ind w:left="709" w:right="140" w:hanging="709"/>
        <w:rPr>
          <w:sz w:val="16"/>
          <w:szCs w:val="16"/>
        </w:rPr>
      </w:pPr>
      <w:r w:rsidRPr="00037143">
        <w:rPr>
          <w:sz w:val="16"/>
          <w:szCs w:val="16"/>
        </w:rPr>
        <w:t>Fuente</w:t>
      </w:r>
      <w:r>
        <w:rPr>
          <w:sz w:val="16"/>
          <w:szCs w:val="16"/>
        </w:rPr>
        <w:t>s</w:t>
      </w:r>
      <w:r w:rsidRPr="00037143">
        <w:rPr>
          <w:sz w:val="16"/>
          <w:szCs w:val="16"/>
        </w:rPr>
        <w:t>:</w:t>
      </w:r>
      <w:r w:rsidRPr="00037143">
        <w:rPr>
          <w:sz w:val="16"/>
          <w:szCs w:val="16"/>
        </w:rPr>
        <w:tab/>
        <w:t>INEGI. Estadísticas de mortalidad 2020. Consulta interactiva de datos. SNIEG. Información de Interés Nacional y Estimación de población elaborada por el INEGI con base en el Marco de Muestreo de Viviendas 2020.</w:t>
      </w:r>
    </w:p>
    <w:p w14:paraId="413EB00D" w14:textId="77777777" w:rsidR="000458F7" w:rsidRPr="00037143" w:rsidRDefault="000458F7" w:rsidP="000458F7">
      <w:pPr>
        <w:ind w:right="990" w:hanging="567"/>
        <w:jc w:val="left"/>
        <w:rPr>
          <w:sz w:val="16"/>
          <w:szCs w:val="16"/>
        </w:rPr>
      </w:pPr>
    </w:p>
    <w:p w14:paraId="1CF4C4A8" w14:textId="77777777" w:rsidR="000458F7" w:rsidRPr="00AD73F8" w:rsidRDefault="000458F7" w:rsidP="000458F7">
      <w:pPr>
        <w:rPr>
          <w:rFonts w:cs="Arial"/>
          <w:bCs/>
          <w:sz w:val="23"/>
          <w:szCs w:val="23"/>
          <w:lang w:val="es-MX"/>
        </w:rPr>
      </w:pPr>
      <w:r w:rsidRPr="00AD73F8">
        <w:rPr>
          <w:rFonts w:cs="Arial"/>
          <w:bCs/>
          <w:sz w:val="23"/>
          <w:szCs w:val="23"/>
          <w:lang w:val="es-MX"/>
        </w:rPr>
        <w:t>Entre los hombres de 30 a 59 años destaca</w:t>
      </w:r>
      <w:r w:rsidR="00683225">
        <w:rPr>
          <w:rFonts w:cs="Arial"/>
          <w:bCs/>
          <w:sz w:val="23"/>
          <w:szCs w:val="23"/>
          <w:lang w:val="es-MX"/>
        </w:rPr>
        <w:t>ro</w:t>
      </w:r>
      <w:r w:rsidRPr="00AD73F8">
        <w:rPr>
          <w:rFonts w:cs="Arial"/>
          <w:bCs/>
          <w:sz w:val="23"/>
          <w:szCs w:val="23"/>
          <w:lang w:val="es-MX"/>
        </w:rPr>
        <w:t>n las defunciones por tumor maligno del colon, del recto y del ano, con una tasa de 0.55 defunciones por cada 10 mil varones, seguido de los tumores malignos del estómago con una tasa de 0.47 por cada 10 mil hombres</w:t>
      </w:r>
      <w:r w:rsidR="002C1A24" w:rsidRPr="00AD73F8">
        <w:rPr>
          <w:rFonts w:cs="Arial"/>
          <w:bCs/>
          <w:sz w:val="23"/>
          <w:szCs w:val="23"/>
          <w:lang w:val="es-MX"/>
        </w:rPr>
        <w:t>.</w:t>
      </w:r>
      <w:r w:rsidRPr="00AD73F8">
        <w:rPr>
          <w:rFonts w:cs="Arial"/>
          <w:bCs/>
          <w:sz w:val="23"/>
          <w:szCs w:val="23"/>
          <w:lang w:val="es-MX"/>
        </w:rPr>
        <w:t xml:space="preserve"> Entre las mujeres</w:t>
      </w:r>
      <w:r w:rsidR="00765F57" w:rsidRPr="00AD73F8">
        <w:rPr>
          <w:rFonts w:cs="Arial"/>
          <w:bCs/>
          <w:sz w:val="23"/>
          <w:szCs w:val="23"/>
          <w:lang w:val="es-MX"/>
        </w:rPr>
        <w:t xml:space="preserve"> de este grupo de edad, </w:t>
      </w:r>
      <w:r w:rsidRPr="00AD73F8">
        <w:rPr>
          <w:rFonts w:cs="Arial"/>
          <w:bCs/>
          <w:sz w:val="23"/>
          <w:szCs w:val="23"/>
          <w:lang w:val="es-MX"/>
        </w:rPr>
        <w:t>l</w:t>
      </w:r>
      <w:r w:rsidR="00E00120" w:rsidRPr="00AD73F8">
        <w:rPr>
          <w:rFonts w:cs="Arial"/>
          <w:bCs/>
          <w:sz w:val="23"/>
          <w:szCs w:val="23"/>
          <w:lang w:val="es-MX"/>
        </w:rPr>
        <w:t>a causa</w:t>
      </w:r>
      <w:r w:rsidRPr="00AD73F8">
        <w:rPr>
          <w:rFonts w:cs="Arial"/>
          <w:bCs/>
          <w:sz w:val="23"/>
          <w:szCs w:val="23"/>
          <w:lang w:val="es-MX"/>
        </w:rPr>
        <w:t xml:space="preserve"> principal </w:t>
      </w:r>
      <w:r w:rsidR="00683225">
        <w:rPr>
          <w:rFonts w:cs="Arial"/>
          <w:bCs/>
          <w:sz w:val="23"/>
          <w:szCs w:val="23"/>
          <w:lang w:val="es-MX"/>
        </w:rPr>
        <w:t>fue</w:t>
      </w:r>
      <w:r w:rsidRPr="00AD73F8">
        <w:rPr>
          <w:rFonts w:cs="Arial"/>
          <w:bCs/>
          <w:sz w:val="23"/>
          <w:szCs w:val="23"/>
          <w:lang w:val="es-MX"/>
        </w:rPr>
        <w:t xml:space="preserve"> el tumor maligno de la mama, así como el del cuello del útero</w:t>
      </w:r>
      <w:r w:rsidR="00E00120" w:rsidRPr="00AD73F8">
        <w:rPr>
          <w:rFonts w:cs="Arial"/>
          <w:bCs/>
          <w:sz w:val="23"/>
          <w:szCs w:val="23"/>
          <w:lang w:val="es-MX"/>
        </w:rPr>
        <w:t>,</w:t>
      </w:r>
      <w:r w:rsidRPr="00AD73F8">
        <w:rPr>
          <w:rFonts w:cs="Arial"/>
          <w:bCs/>
          <w:sz w:val="23"/>
          <w:szCs w:val="23"/>
          <w:lang w:val="es-MX"/>
        </w:rPr>
        <w:t xml:space="preserve"> con tasas de 1.56 y 0.86 defunciones por cada 10 mil mujeres, respectivamente.</w:t>
      </w:r>
    </w:p>
    <w:p w14:paraId="75292404" w14:textId="77777777" w:rsidR="000458F7" w:rsidRPr="00AD73F8" w:rsidRDefault="000458F7" w:rsidP="000458F7">
      <w:pPr>
        <w:rPr>
          <w:rFonts w:cs="Arial"/>
          <w:bCs/>
          <w:sz w:val="23"/>
          <w:szCs w:val="23"/>
          <w:lang w:val="es-MX"/>
        </w:rPr>
      </w:pPr>
    </w:p>
    <w:p w14:paraId="46579621" w14:textId="77777777" w:rsidR="00765F57" w:rsidRPr="00AD73F8" w:rsidRDefault="000458F7">
      <w:pPr>
        <w:rPr>
          <w:rFonts w:cs="Arial"/>
          <w:bCs/>
          <w:sz w:val="23"/>
          <w:szCs w:val="23"/>
          <w:lang w:val="es-MX"/>
        </w:rPr>
      </w:pPr>
      <w:r w:rsidRPr="00AD73F8">
        <w:rPr>
          <w:rFonts w:cs="Arial"/>
          <w:bCs/>
          <w:sz w:val="23"/>
          <w:szCs w:val="23"/>
          <w:lang w:val="es-MX"/>
        </w:rPr>
        <w:t>Para las personas adultas mayores (60 años y más) que fallecieron por tumores malignos, la principal causa en los hombres fue por tumor maligno de la próstata, seguida de los tumores malignos de la tráquea, de los bronquios y del pulmón con tasa</w:t>
      </w:r>
      <w:r w:rsidR="002C1A24" w:rsidRPr="00AD73F8">
        <w:rPr>
          <w:rFonts w:cs="Arial"/>
          <w:bCs/>
          <w:sz w:val="23"/>
          <w:szCs w:val="23"/>
          <w:lang w:val="es-MX"/>
        </w:rPr>
        <w:t>s</w:t>
      </w:r>
      <w:r w:rsidRPr="00AD73F8">
        <w:rPr>
          <w:rFonts w:cs="Arial"/>
          <w:bCs/>
          <w:sz w:val="23"/>
          <w:szCs w:val="23"/>
          <w:lang w:val="es-MX"/>
        </w:rPr>
        <w:t xml:space="preserve"> de 10.89 y 4.79 defunciones por cada 10 mil </w:t>
      </w:r>
      <w:r w:rsidR="00765F57" w:rsidRPr="00AD73F8">
        <w:rPr>
          <w:rFonts w:cs="Arial"/>
          <w:bCs/>
          <w:sz w:val="23"/>
          <w:szCs w:val="23"/>
          <w:lang w:val="es-MX"/>
        </w:rPr>
        <w:t>hombre</w:t>
      </w:r>
      <w:r w:rsidRPr="00AD73F8">
        <w:rPr>
          <w:rFonts w:cs="Arial"/>
          <w:bCs/>
          <w:sz w:val="23"/>
          <w:szCs w:val="23"/>
          <w:lang w:val="es-MX"/>
        </w:rPr>
        <w:t>s, respectivamente. Entre las mujeres</w:t>
      </w:r>
      <w:r w:rsidR="00765F57" w:rsidRPr="00AD73F8">
        <w:rPr>
          <w:rFonts w:cs="Arial"/>
          <w:bCs/>
          <w:sz w:val="23"/>
          <w:szCs w:val="23"/>
          <w:lang w:val="es-MX"/>
        </w:rPr>
        <w:t xml:space="preserve"> de 60 años y más</w:t>
      </w:r>
      <w:r w:rsidRPr="00AD73F8">
        <w:rPr>
          <w:rFonts w:cs="Arial"/>
          <w:bCs/>
          <w:sz w:val="23"/>
          <w:szCs w:val="23"/>
          <w:lang w:val="es-MX"/>
        </w:rPr>
        <w:t xml:space="preserve">, la tasa más alta se </w:t>
      </w:r>
      <w:r w:rsidR="00683225">
        <w:rPr>
          <w:rFonts w:cs="Arial"/>
          <w:bCs/>
          <w:sz w:val="23"/>
          <w:szCs w:val="23"/>
          <w:lang w:val="es-MX"/>
        </w:rPr>
        <w:t>debió</w:t>
      </w:r>
      <w:r w:rsidRPr="00AD73F8">
        <w:rPr>
          <w:rFonts w:cs="Arial"/>
          <w:bCs/>
          <w:sz w:val="23"/>
          <w:szCs w:val="23"/>
          <w:lang w:val="es-MX"/>
        </w:rPr>
        <w:t xml:space="preserve"> </w:t>
      </w:r>
      <w:r w:rsidR="00683225">
        <w:rPr>
          <w:rFonts w:cs="Arial"/>
          <w:bCs/>
          <w:sz w:val="23"/>
          <w:szCs w:val="23"/>
          <w:lang w:val="es-MX"/>
        </w:rPr>
        <w:t>a</w:t>
      </w:r>
      <w:r w:rsidRPr="00AD73F8">
        <w:rPr>
          <w:rFonts w:cs="Arial"/>
          <w:bCs/>
          <w:sz w:val="23"/>
          <w:szCs w:val="23"/>
          <w:lang w:val="es-MX"/>
        </w:rPr>
        <w:t xml:space="preserve"> tumores malignos de la mama</w:t>
      </w:r>
      <w:r w:rsidR="007975A2" w:rsidRPr="00AD73F8">
        <w:rPr>
          <w:rFonts w:cs="Arial"/>
          <w:bCs/>
          <w:sz w:val="23"/>
          <w:szCs w:val="23"/>
          <w:lang w:val="es-MX"/>
        </w:rPr>
        <w:t>,</w:t>
      </w:r>
      <w:r w:rsidRPr="00AD73F8">
        <w:rPr>
          <w:rFonts w:cs="Arial"/>
          <w:bCs/>
          <w:sz w:val="23"/>
          <w:szCs w:val="23"/>
          <w:lang w:val="es-MX"/>
        </w:rPr>
        <w:t xml:space="preserve"> 4.71 defunciones por cada 10 mil mujeres, seguida por los tumores malignos del hígado y de las vías biliares intrahepáticas con una tasa de 3.34 defunciones por cada </w:t>
      </w:r>
      <w:r w:rsidR="00336F29" w:rsidRPr="00AD73F8">
        <w:rPr>
          <w:rFonts w:cs="Arial"/>
          <w:bCs/>
          <w:sz w:val="23"/>
          <w:szCs w:val="23"/>
          <w:lang w:val="es-MX"/>
        </w:rPr>
        <w:t xml:space="preserve">10 </w:t>
      </w:r>
      <w:r w:rsidRPr="00AD73F8">
        <w:rPr>
          <w:rFonts w:cs="Arial"/>
          <w:bCs/>
          <w:sz w:val="23"/>
          <w:szCs w:val="23"/>
          <w:lang w:val="es-MX"/>
        </w:rPr>
        <w:t>mil mujeres.</w:t>
      </w:r>
    </w:p>
    <w:p w14:paraId="29274063" w14:textId="77777777" w:rsidR="00765F57" w:rsidRDefault="00765F57">
      <w:pPr>
        <w:rPr>
          <w:rFonts w:cs="Arial"/>
          <w:bCs/>
          <w:sz w:val="24"/>
          <w:lang w:val="es-MX"/>
        </w:rPr>
      </w:pPr>
    </w:p>
    <w:p w14:paraId="61DDEBFB" w14:textId="77777777" w:rsidR="00765F57" w:rsidRPr="00270E17" w:rsidRDefault="00765F57" w:rsidP="00765F5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270E17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5" w:history="1">
        <w:r w:rsidRPr="00270E17">
          <w:rPr>
            <w:rStyle w:val="Hyperlink"/>
            <w:rFonts w:ascii="Arial" w:hAnsi="Arial" w:cs="Arial"/>
            <w:sz w:val="22"/>
            <w:szCs w:val="22"/>
          </w:rPr>
          <w:t>comunicacionsocial@inegi.org.mx</w:t>
        </w:r>
      </w:hyperlink>
      <w:r w:rsidRPr="00270E17">
        <w:rPr>
          <w:rFonts w:ascii="Arial" w:hAnsi="Arial" w:cs="Arial"/>
          <w:sz w:val="22"/>
          <w:szCs w:val="22"/>
        </w:rPr>
        <w:t xml:space="preserve"> </w:t>
      </w:r>
    </w:p>
    <w:p w14:paraId="19B2EA1B" w14:textId="77777777" w:rsidR="00765F57" w:rsidRDefault="00765F57" w:rsidP="00765F5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270E17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7FCBD330" w14:textId="77777777" w:rsidR="00AD73F8" w:rsidRPr="00270E17" w:rsidRDefault="00AD73F8" w:rsidP="00765F5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4971E048" w14:textId="77777777" w:rsidR="00765F57" w:rsidRPr="00765F57" w:rsidRDefault="00765F57" w:rsidP="00AD73F8">
      <w:pPr>
        <w:ind w:left="-425" w:right="-516"/>
        <w:contextualSpacing/>
        <w:jc w:val="center"/>
        <w:rPr>
          <w:rFonts w:cs="Arial"/>
          <w:bCs/>
          <w:sz w:val="24"/>
          <w:lang w:val="es-MX"/>
        </w:rPr>
      </w:pPr>
      <w:r w:rsidRPr="00270E17">
        <w:rPr>
          <w:noProof/>
          <w:lang w:val="es-MX" w:eastAsia="es-MX"/>
        </w:rPr>
        <w:drawing>
          <wp:inline distT="0" distB="0" distL="0" distR="0" wp14:anchorId="70892233" wp14:editId="57F1FA02">
            <wp:extent cx="182562" cy="190500"/>
            <wp:effectExtent l="0" t="0" r="8255" b="0"/>
            <wp:docPr id="14" name="Imagen 14" descr="C:\Users\saladeprensa\Desktop\NVOS LOGOS\F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60" cy="19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val="es-MX" w:eastAsia="es-MX"/>
        </w:rPr>
        <w:drawing>
          <wp:inline distT="0" distB="0" distL="0" distR="0" wp14:anchorId="791105C0" wp14:editId="1D168D97">
            <wp:extent cx="190500" cy="190500"/>
            <wp:effectExtent l="0" t="0" r="0" b="0"/>
            <wp:docPr id="4" name="Imagen 4" descr="C:\Users\saladeprensa\Desktop\NVOS LOGOS\I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val="es-MX" w:eastAsia="es-MX"/>
        </w:rPr>
        <w:drawing>
          <wp:inline distT="0" distB="0" distL="0" distR="0" wp14:anchorId="054290A2" wp14:editId="65B341DC">
            <wp:extent cx="180975" cy="180975"/>
            <wp:effectExtent l="0" t="0" r="9525" b="9525"/>
            <wp:docPr id="16" name="Imagen 16" descr="C:\Users\saladeprensa\Desktop\NVOS LOGOS\T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79" cy="18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val="es-MX" w:eastAsia="es-MX"/>
        </w:rPr>
        <w:drawing>
          <wp:inline distT="0" distB="0" distL="0" distR="0" wp14:anchorId="28F278CE" wp14:editId="79112F2E">
            <wp:extent cx="183356" cy="183356"/>
            <wp:effectExtent l="0" t="0" r="7620" b="7620"/>
            <wp:docPr id="17" name="Imagen 17" descr="C:\Users\saladeprensa\Desktop\NVOS LOGOS\Y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88" cy="18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sz w:val="14"/>
          <w:szCs w:val="18"/>
          <w:lang w:val="es-MX" w:eastAsia="es-MX"/>
        </w:rPr>
        <w:drawing>
          <wp:inline distT="0" distB="0" distL="0" distR="0" wp14:anchorId="234BE855" wp14:editId="321CB8A8">
            <wp:extent cx="1628775" cy="195452"/>
            <wp:effectExtent l="0" t="0" r="0" b="0"/>
            <wp:docPr id="18" name="Imagen 18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43" cy="21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5F57" w:rsidRPr="00765F57" w:rsidSect="00381736">
      <w:headerReference w:type="default" r:id="rId26"/>
      <w:footerReference w:type="default" r:id="rId27"/>
      <w:pgSz w:w="12240" w:h="15840"/>
      <w:pgMar w:top="1276" w:right="1134" w:bottom="851" w:left="1134" w:header="567" w:footer="1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9A1B0" w14:textId="77777777" w:rsidR="002978BD" w:rsidRDefault="002978BD" w:rsidP="000458F7">
      <w:r>
        <w:separator/>
      </w:r>
    </w:p>
  </w:endnote>
  <w:endnote w:type="continuationSeparator" w:id="0">
    <w:p w14:paraId="1E53AC21" w14:textId="77777777" w:rsidR="002978BD" w:rsidRDefault="002978BD" w:rsidP="000458F7">
      <w:r>
        <w:continuationSeparator/>
      </w:r>
    </w:p>
  </w:endnote>
  <w:endnote w:type="continuationNotice" w:id="1">
    <w:p w14:paraId="78BF2362" w14:textId="77777777" w:rsidR="002978BD" w:rsidRDefault="00297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olor w:val="002060"/>
        <w:sz w:val="20"/>
        <w:szCs w:val="20"/>
      </w:rPr>
      <w:id w:val="991748238"/>
      <w:docPartObj>
        <w:docPartGallery w:val="Page Numbers (Bottom of Page)"/>
        <w:docPartUnique/>
      </w:docPartObj>
    </w:sdtPr>
    <w:sdtEndPr>
      <w:rPr>
        <w:b w:val="0"/>
        <w:color w:val="auto"/>
        <w:sz w:val="22"/>
        <w:szCs w:val="24"/>
      </w:rPr>
    </w:sdtEndPr>
    <w:sdtContent>
      <w:p w14:paraId="031392BA" w14:textId="77777777" w:rsidR="007975A2" w:rsidRDefault="00381736" w:rsidP="00381736">
        <w:pPr>
          <w:pStyle w:val="Footer"/>
          <w:jc w:val="center"/>
        </w:pPr>
        <w:r w:rsidRPr="00381736">
          <w:rPr>
            <w:b/>
            <w:color w:val="002060"/>
            <w:sz w:val="20"/>
            <w:szCs w:val="20"/>
          </w:rPr>
          <w:t>COMUNICACIÓN SOCIAL</w:t>
        </w:r>
      </w:p>
    </w:sdtContent>
  </w:sdt>
  <w:p w14:paraId="20F0A105" w14:textId="77777777" w:rsidR="007975A2" w:rsidRDefault="00797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1AD0D" w14:textId="77777777" w:rsidR="002978BD" w:rsidRDefault="002978BD" w:rsidP="000458F7">
      <w:r>
        <w:separator/>
      </w:r>
    </w:p>
  </w:footnote>
  <w:footnote w:type="continuationSeparator" w:id="0">
    <w:p w14:paraId="438F6AA4" w14:textId="77777777" w:rsidR="002978BD" w:rsidRDefault="002978BD" w:rsidP="000458F7">
      <w:r>
        <w:continuationSeparator/>
      </w:r>
    </w:p>
  </w:footnote>
  <w:footnote w:type="continuationNotice" w:id="1">
    <w:p w14:paraId="0A971856" w14:textId="77777777" w:rsidR="002978BD" w:rsidRDefault="002978BD"/>
  </w:footnote>
  <w:footnote w:id="2">
    <w:p w14:paraId="45ABD820" w14:textId="77777777" w:rsidR="000458F7" w:rsidRPr="00E77B31" w:rsidRDefault="000458F7" w:rsidP="000458F7">
      <w:pPr>
        <w:pStyle w:val="FootnoteText"/>
        <w:rPr>
          <w:rFonts w:cs="Arial"/>
          <w:sz w:val="16"/>
          <w:szCs w:val="16"/>
          <w:lang w:val="es-MX"/>
        </w:rPr>
      </w:pPr>
      <w:r w:rsidRPr="00E77B31">
        <w:rPr>
          <w:rStyle w:val="FootnoteReference"/>
          <w:rFonts w:cs="Arial"/>
        </w:rPr>
        <w:footnoteRef/>
      </w:r>
      <w:r w:rsidRPr="00E77B31">
        <w:rPr>
          <w:rFonts w:cs="Arial"/>
          <w:sz w:val="16"/>
          <w:szCs w:val="16"/>
        </w:rPr>
        <w:t xml:space="preserve"> Organización Mundial de la Salud (2021). </w:t>
      </w:r>
      <w:r w:rsidRPr="00E77B31">
        <w:rPr>
          <w:rFonts w:cs="Arial"/>
          <w:i/>
          <w:iCs/>
          <w:sz w:val="16"/>
          <w:szCs w:val="16"/>
        </w:rPr>
        <w:t xml:space="preserve">Cáncer. </w:t>
      </w:r>
      <w:hyperlink r:id="rId1" w:history="1">
        <w:r w:rsidRPr="00E77B31">
          <w:rPr>
            <w:rStyle w:val="Hyperlink"/>
            <w:rFonts w:cs="Arial"/>
            <w:sz w:val="16"/>
            <w:szCs w:val="16"/>
          </w:rPr>
          <w:t>https://www.who.int/es/news-room/fact-sheets/detail/cancer</w:t>
        </w:r>
      </w:hyperlink>
    </w:p>
  </w:footnote>
  <w:footnote w:id="3">
    <w:p w14:paraId="6C8F1A04" w14:textId="77777777" w:rsidR="000458F7" w:rsidRPr="00BD4609" w:rsidRDefault="000458F7" w:rsidP="000458F7">
      <w:pPr>
        <w:rPr>
          <w:lang w:val="es-MX"/>
        </w:rPr>
      </w:pPr>
      <w:r w:rsidRPr="00F640EA">
        <w:rPr>
          <w:rStyle w:val="FootnoteReference"/>
          <w:sz w:val="20"/>
          <w:szCs w:val="20"/>
        </w:rPr>
        <w:footnoteRef/>
      </w:r>
      <w:r w:rsidRPr="00F640EA">
        <w:rPr>
          <w:sz w:val="20"/>
          <w:szCs w:val="20"/>
        </w:rPr>
        <w:t xml:space="preserve"> </w:t>
      </w:r>
      <w:r w:rsidRPr="00F640EA">
        <w:rPr>
          <w:sz w:val="16"/>
          <w:szCs w:val="16"/>
        </w:rPr>
        <w:t xml:space="preserve">Organización Mundial de Salud (2021). </w:t>
      </w:r>
      <w:r w:rsidRPr="00F640EA">
        <w:rPr>
          <w:i/>
          <w:iCs/>
          <w:sz w:val="16"/>
          <w:szCs w:val="16"/>
        </w:rPr>
        <w:t xml:space="preserve">Cáncer. </w:t>
      </w:r>
      <w:hyperlink r:id="rId2" w:history="1">
        <w:r w:rsidRPr="00F640EA">
          <w:rPr>
            <w:rStyle w:val="Hyperlink"/>
            <w:sz w:val="16"/>
            <w:szCs w:val="16"/>
          </w:rPr>
          <w:t>https://www.who.int/es/news-room/fact-sheets/detail/cancer</w:t>
        </w:r>
      </w:hyperlink>
    </w:p>
  </w:footnote>
  <w:footnote w:id="4">
    <w:p w14:paraId="48E5F5DA" w14:textId="77777777" w:rsidR="000458F7" w:rsidRPr="00901E5A" w:rsidRDefault="000458F7" w:rsidP="000458F7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>
        <w:t xml:space="preserve"> </w:t>
      </w:r>
      <w:r w:rsidRPr="00901E5A">
        <w:rPr>
          <w:sz w:val="16"/>
          <w:szCs w:val="16"/>
        </w:rPr>
        <w:t xml:space="preserve">Hay </w:t>
      </w:r>
      <w:r>
        <w:rPr>
          <w:sz w:val="16"/>
          <w:szCs w:val="16"/>
        </w:rPr>
        <w:t xml:space="preserve">13% de las </w:t>
      </w:r>
      <w:r w:rsidRPr="00FD6EE0">
        <w:rPr>
          <w:sz w:val="16"/>
          <w:szCs w:val="16"/>
        </w:rPr>
        <w:t xml:space="preserve">defunciones por tumores malignos </w:t>
      </w:r>
      <w:r>
        <w:rPr>
          <w:sz w:val="16"/>
          <w:szCs w:val="16"/>
        </w:rPr>
        <w:t xml:space="preserve">clasificadas como no especificado en </w:t>
      </w:r>
      <w:proofErr w:type="spellStart"/>
      <w:r>
        <w:rPr>
          <w:sz w:val="16"/>
          <w:szCs w:val="16"/>
        </w:rPr>
        <w:t>derechohabiencia</w:t>
      </w:r>
      <w:proofErr w:type="spellEnd"/>
      <w:r>
        <w:rPr>
          <w:sz w:val="16"/>
          <w:szCs w:val="16"/>
        </w:rPr>
        <w:t xml:space="preserve"> (11</w:t>
      </w:r>
      <w:r w:rsidR="00765F57">
        <w:rPr>
          <w:sz w:val="16"/>
          <w:szCs w:val="16"/>
        </w:rPr>
        <w:t>,</w:t>
      </w:r>
      <w:r>
        <w:rPr>
          <w:sz w:val="16"/>
          <w:szCs w:val="16"/>
        </w:rPr>
        <w:t>396).</w:t>
      </w:r>
      <w:r w:rsidRPr="00901E5A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363B5" w14:textId="4602BB39" w:rsidR="00381736" w:rsidRPr="00CE3882" w:rsidRDefault="00381736" w:rsidP="00381736">
    <w:pPr>
      <w:tabs>
        <w:tab w:val="left" w:pos="5103"/>
      </w:tabs>
      <w:spacing w:line="265" w:lineRule="exact"/>
      <w:ind w:right="49"/>
      <w:jc w:val="right"/>
      <w:rPr>
        <w:rFonts w:eastAsia="Arial" w:cs="Arial"/>
        <w:sz w:val="24"/>
      </w:rPr>
    </w:pPr>
    <w:r w:rsidRPr="00CE3882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D04CC98" wp14:editId="5C29ABAC">
          <wp:simplePos x="0" y="0"/>
          <wp:positionH relativeFrom="margin">
            <wp:align>left</wp:align>
          </wp:positionH>
          <wp:positionV relativeFrom="margin">
            <wp:posOffset>-741680</wp:posOffset>
          </wp:positionV>
          <wp:extent cx="676275" cy="701675"/>
          <wp:effectExtent l="0" t="0" r="9525" b="317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3882">
      <w:rPr>
        <w:b/>
        <w:color w:val="002060"/>
        <w:sz w:val="24"/>
      </w:rPr>
      <w:t>COMUNICADO</w:t>
    </w:r>
    <w:r w:rsidRPr="00CE3882">
      <w:rPr>
        <w:b/>
        <w:color w:val="002060"/>
        <w:spacing w:val="-11"/>
        <w:sz w:val="24"/>
      </w:rPr>
      <w:t xml:space="preserve"> </w:t>
    </w:r>
    <w:r w:rsidRPr="00CE3882">
      <w:rPr>
        <w:b/>
        <w:color w:val="002060"/>
        <w:sz w:val="24"/>
      </w:rPr>
      <w:t>DE</w:t>
    </w:r>
    <w:r w:rsidRPr="00CE3882">
      <w:rPr>
        <w:b/>
        <w:color w:val="002060"/>
        <w:spacing w:val="-11"/>
        <w:sz w:val="24"/>
      </w:rPr>
      <w:t xml:space="preserve"> P</w:t>
    </w:r>
    <w:r w:rsidRPr="00CE3882">
      <w:rPr>
        <w:b/>
        <w:color w:val="002060"/>
        <w:spacing w:val="-1"/>
        <w:sz w:val="24"/>
      </w:rPr>
      <w:t>RENSA</w:t>
    </w:r>
    <w:r w:rsidRPr="00CE3882">
      <w:rPr>
        <w:b/>
        <w:color w:val="002060"/>
        <w:spacing w:val="-11"/>
        <w:sz w:val="24"/>
      </w:rPr>
      <w:t xml:space="preserve"> </w:t>
    </w:r>
    <w:r w:rsidRPr="00CE3882">
      <w:rPr>
        <w:b/>
        <w:color w:val="002060"/>
        <w:sz w:val="24"/>
      </w:rPr>
      <w:t>NÚM.</w:t>
    </w:r>
    <w:r>
      <w:rPr>
        <w:b/>
        <w:color w:val="002060"/>
        <w:sz w:val="24"/>
      </w:rPr>
      <w:t xml:space="preserve"> </w:t>
    </w:r>
    <w:r w:rsidR="007F19B1" w:rsidRPr="007F19B1">
      <w:rPr>
        <w:b/>
        <w:color w:val="002060"/>
        <w:sz w:val="24"/>
      </w:rPr>
      <w:t>74</w:t>
    </w:r>
    <w:r w:rsidRPr="007F19B1">
      <w:rPr>
        <w:b/>
        <w:color w:val="002060"/>
        <w:sz w:val="24"/>
      </w:rPr>
      <w:t>/22</w:t>
    </w:r>
  </w:p>
  <w:p w14:paraId="54E51E99" w14:textId="77777777" w:rsidR="00381736" w:rsidRPr="00BA6E95" w:rsidRDefault="00381736" w:rsidP="00381736">
    <w:pPr>
      <w:tabs>
        <w:tab w:val="center" w:pos="5018"/>
        <w:tab w:val="right" w:pos="10037"/>
      </w:tabs>
      <w:ind w:right="49"/>
      <w:jc w:val="right"/>
      <w:rPr>
        <w:b/>
        <w:color w:val="002060"/>
        <w:sz w:val="24"/>
      </w:rPr>
    </w:pPr>
    <w:r w:rsidRPr="00CE3882">
      <w:rPr>
        <w:b/>
        <w:color w:val="002060"/>
        <w:sz w:val="24"/>
      </w:rPr>
      <w:t>2</w:t>
    </w:r>
    <w:r w:rsidRPr="00CE3882">
      <w:rPr>
        <w:b/>
        <w:color w:val="002060"/>
        <w:spacing w:val="-6"/>
        <w:sz w:val="24"/>
      </w:rPr>
      <w:t xml:space="preserve"> </w:t>
    </w:r>
    <w:r w:rsidRPr="00CE3882">
      <w:rPr>
        <w:b/>
        <w:color w:val="002060"/>
        <w:sz w:val="24"/>
      </w:rPr>
      <w:t>DE</w:t>
    </w:r>
    <w:r w:rsidRPr="00CE3882">
      <w:rPr>
        <w:b/>
        <w:color w:val="002060"/>
        <w:spacing w:val="-5"/>
        <w:sz w:val="24"/>
      </w:rPr>
      <w:t xml:space="preserve"> </w:t>
    </w:r>
    <w:r>
      <w:rPr>
        <w:b/>
        <w:color w:val="002060"/>
        <w:sz w:val="24"/>
      </w:rPr>
      <w:t>FEBRERO</w:t>
    </w:r>
    <w:r w:rsidRPr="00CE3882">
      <w:rPr>
        <w:b/>
        <w:color w:val="002060"/>
        <w:spacing w:val="-6"/>
        <w:sz w:val="24"/>
      </w:rPr>
      <w:t xml:space="preserve"> </w:t>
    </w:r>
    <w:r w:rsidRPr="00CE3882">
      <w:rPr>
        <w:b/>
        <w:color w:val="002060"/>
        <w:sz w:val="24"/>
      </w:rPr>
      <w:t>DE</w:t>
    </w:r>
    <w:r w:rsidRPr="00CE3882">
      <w:rPr>
        <w:b/>
        <w:color w:val="002060"/>
        <w:spacing w:val="-5"/>
        <w:sz w:val="24"/>
      </w:rPr>
      <w:t xml:space="preserve"> </w:t>
    </w:r>
    <w:r w:rsidRPr="00CE3882">
      <w:rPr>
        <w:b/>
        <w:color w:val="002060"/>
        <w:sz w:val="24"/>
      </w:rPr>
      <w:t>202</w:t>
    </w:r>
    <w:r>
      <w:rPr>
        <w:b/>
        <w:color w:val="002060"/>
        <w:sz w:val="24"/>
      </w:rPr>
      <w:t>2</w:t>
    </w:r>
  </w:p>
  <w:p w14:paraId="74D3B98E" w14:textId="77777777" w:rsidR="00381736" w:rsidRDefault="00381736" w:rsidP="00381736">
    <w:pPr>
      <w:ind w:right="49"/>
      <w:jc w:val="right"/>
      <w:rPr>
        <w:b/>
        <w:color w:val="002060"/>
        <w:sz w:val="24"/>
      </w:rPr>
    </w:pPr>
    <w:r w:rsidRPr="00CE3882">
      <w:rPr>
        <w:b/>
        <w:color w:val="002060"/>
        <w:sz w:val="24"/>
      </w:rPr>
      <w:t>PÁGINA</w:t>
    </w:r>
    <w:r w:rsidRPr="00CE3882">
      <w:rPr>
        <w:b/>
        <w:color w:val="002060"/>
        <w:spacing w:val="-13"/>
        <w:sz w:val="24"/>
      </w:rPr>
      <w:t xml:space="preserve"> </w:t>
    </w:r>
    <w:r w:rsidRPr="00CE3882">
      <w:fldChar w:fldCharType="begin"/>
    </w:r>
    <w:r w:rsidRPr="00CE3882">
      <w:rPr>
        <w:b/>
        <w:color w:val="002060"/>
        <w:sz w:val="24"/>
      </w:rPr>
      <w:instrText xml:space="preserve"> PAGE </w:instrText>
    </w:r>
    <w:r w:rsidRPr="00CE3882">
      <w:fldChar w:fldCharType="separate"/>
    </w:r>
    <w:r>
      <w:t>1</w:t>
    </w:r>
    <w:r w:rsidRPr="00CE3882">
      <w:fldChar w:fldCharType="end"/>
    </w:r>
    <w:r w:rsidRPr="00CE3882">
      <w:rPr>
        <w:b/>
        <w:color w:val="002060"/>
        <w:sz w:val="24"/>
      </w:rPr>
      <w:t>/</w:t>
    </w:r>
    <w:r>
      <w:rPr>
        <w:b/>
        <w:color w:val="002060"/>
        <w:sz w:val="24"/>
      </w:rPr>
      <w:t>5</w:t>
    </w:r>
  </w:p>
  <w:p w14:paraId="798284F4" w14:textId="77777777" w:rsidR="00A82E22" w:rsidRPr="00381736" w:rsidRDefault="002978BD" w:rsidP="00381736">
    <w:pPr>
      <w:pStyle w:val="Header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32FDC"/>
    <w:multiLevelType w:val="hybridMultilevel"/>
    <w:tmpl w:val="A2AE924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F7"/>
    <w:rsid w:val="00032B37"/>
    <w:rsid w:val="000415C5"/>
    <w:rsid w:val="000458F7"/>
    <w:rsid w:val="000539AB"/>
    <w:rsid w:val="00063CC2"/>
    <w:rsid w:val="00091B95"/>
    <w:rsid w:val="00093005"/>
    <w:rsid w:val="000B564E"/>
    <w:rsid w:val="000C6D25"/>
    <w:rsid w:val="0011150C"/>
    <w:rsid w:val="00132350"/>
    <w:rsid w:val="00133563"/>
    <w:rsid w:val="0013719D"/>
    <w:rsid w:val="0014161D"/>
    <w:rsid w:val="001706EA"/>
    <w:rsid w:val="00174082"/>
    <w:rsid w:val="001A67CB"/>
    <w:rsid w:val="001D2097"/>
    <w:rsid w:val="00217EEA"/>
    <w:rsid w:val="002557F6"/>
    <w:rsid w:val="002978BD"/>
    <w:rsid w:val="002A2D8C"/>
    <w:rsid w:val="002B21D7"/>
    <w:rsid w:val="002C1A24"/>
    <w:rsid w:val="002C33F5"/>
    <w:rsid w:val="002D6B72"/>
    <w:rsid w:val="002F2628"/>
    <w:rsid w:val="002F5148"/>
    <w:rsid w:val="0032527A"/>
    <w:rsid w:val="00336F29"/>
    <w:rsid w:val="00346883"/>
    <w:rsid w:val="00367519"/>
    <w:rsid w:val="0037721D"/>
    <w:rsid w:val="00381736"/>
    <w:rsid w:val="003A6714"/>
    <w:rsid w:val="003D1417"/>
    <w:rsid w:val="003D5088"/>
    <w:rsid w:val="00406030"/>
    <w:rsid w:val="00425C36"/>
    <w:rsid w:val="004463F9"/>
    <w:rsid w:val="00452BBD"/>
    <w:rsid w:val="004B5540"/>
    <w:rsid w:val="004D1074"/>
    <w:rsid w:val="004D378F"/>
    <w:rsid w:val="00501570"/>
    <w:rsid w:val="005359C3"/>
    <w:rsid w:val="00550FE4"/>
    <w:rsid w:val="00554FFC"/>
    <w:rsid w:val="0059435B"/>
    <w:rsid w:val="005A17AE"/>
    <w:rsid w:val="005C6665"/>
    <w:rsid w:val="005E360E"/>
    <w:rsid w:val="00682413"/>
    <w:rsid w:val="00683225"/>
    <w:rsid w:val="0069049E"/>
    <w:rsid w:val="006C59D1"/>
    <w:rsid w:val="006D5F43"/>
    <w:rsid w:val="006E2E46"/>
    <w:rsid w:val="0072554B"/>
    <w:rsid w:val="00765D15"/>
    <w:rsid w:val="00765F57"/>
    <w:rsid w:val="00793A6E"/>
    <w:rsid w:val="007975A2"/>
    <w:rsid w:val="007A2091"/>
    <w:rsid w:val="007A72CF"/>
    <w:rsid w:val="007C7BC1"/>
    <w:rsid w:val="007F19B1"/>
    <w:rsid w:val="00802758"/>
    <w:rsid w:val="008466B5"/>
    <w:rsid w:val="00854BDB"/>
    <w:rsid w:val="00874088"/>
    <w:rsid w:val="008B0F66"/>
    <w:rsid w:val="008C2665"/>
    <w:rsid w:val="008D256A"/>
    <w:rsid w:val="008D38E1"/>
    <w:rsid w:val="008E0754"/>
    <w:rsid w:val="009062F1"/>
    <w:rsid w:val="00933CAB"/>
    <w:rsid w:val="009655F0"/>
    <w:rsid w:val="00A10EAA"/>
    <w:rsid w:val="00A5165D"/>
    <w:rsid w:val="00A60931"/>
    <w:rsid w:val="00A75388"/>
    <w:rsid w:val="00AB1850"/>
    <w:rsid w:val="00AB30FD"/>
    <w:rsid w:val="00AB316C"/>
    <w:rsid w:val="00AC2E9D"/>
    <w:rsid w:val="00AD4BFC"/>
    <w:rsid w:val="00AD73F8"/>
    <w:rsid w:val="00AE2026"/>
    <w:rsid w:val="00AE7674"/>
    <w:rsid w:val="00AF4A64"/>
    <w:rsid w:val="00AF6377"/>
    <w:rsid w:val="00AF6F64"/>
    <w:rsid w:val="00B1408F"/>
    <w:rsid w:val="00B1714A"/>
    <w:rsid w:val="00B205AC"/>
    <w:rsid w:val="00B636C8"/>
    <w:rsid w:val="00B67796"/>
    <w:rsid w:val="00BA1AD6"/>
    <w:rsid w:val="00BD19EF"/>
    <w:rsid w:val="00BF39AF"/>
    <w:rsid w:val="00C15147"/>
    <w:rsid w:val="00C53509"/>
    <w:rsid w:val="00C53659"/>
    <w:rsid w:val="00C62746"/>
    <w:rsid w:val="00C635BA"/>
    <w:rsid w:val="00C71A03"/>
    <w:rsid w:val="00CB2FE2"/>
    <w:rsid w:val="00CD48FE"/>
    <w:rsid w:val="00CE09B0"/>
    <w:rsid w:val="00D67117"/>
    <w:rsid w:val="00D72610"/>
    <w:rsid w:val="00DE3FB9"/>
    <w:rsid w:val="00E00120"/>
    <w:rsid w:val="00E16513"/>
    <w:rsid w:val="00E26FC9"/>
    <w:rsid w:val="00E332E5"/>
    <w:rsid w:val="00E810F9"/>
    <w:rsid w:val="00EB02AC"/>
    <w:rsid w:val="00EC6C0F"/>
    <w:rsid w:val="00EE0FE8"/>
    <w:rsid w:val="00EE2C11"/>
    <w:rsid w:val="00EF42FA"/>
    <w:rsid w:val="00FA6940"/>
    <w:rsid w:val="00FA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F8AE1"/>
  <w15:chartTrackingRefBased/>
  <w15:docId w15:val="{55C002F5-103D-4C74-ADFB-BB45CFB4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8F7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58F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0458F7"/>
    <w:rPr>
      <w:rFonts w:ascii="Arial" w:eastAsia="Times New Roman" w:hAnsi="Arial" w:cs="Times New Roman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0458F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458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58F7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0458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58F7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8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8F7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045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8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8F7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8F7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on">
    <w:name w:val="Revision"/>
    <w:hidden/>
    <w:uiPriority w:val="99"/>
    <w:semiHidden/>
    <w:rsid w:val="00091B95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7975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5A2"/>
    <w:rPr>
      <w:rFonts w:ascii="Arial" w:eastAsia="Times New Roman" w:hAnsi="Arial" w:cs="Times New Roman"/>
      <w:szCs w:val="24"/>
      <w:lang w:val="es-ES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7A209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65F5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jpe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://www.inegi.org.mx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social@inegi.org.mx" TargetMode="External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ho.int/es/news-room/fact-sheets/detail/cancer" TargetMode="External"/><Relationship Id="rId1" Type="http://schemas.openxmlformats.org/officeDocument/2006/relationships/hyperlink" Target="https://www.who.int/es/news-room/fact-sheets/detail/canc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DD04E-B45D-8848-ACB9-3011E734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Microsoft Office User</cp:lastModifiedBy>
  <cp:revision>3</cp:revision>
  <dcterms:created xsi:type="dcterms:W3CDTF">2022-02-02T00:11:00Z</dcterms:created>
  <dcterms:modified xsi:type="dcterms:W3CDTF">2022-02-02T14:49:00Z</dcterms:modified>
</cp:coreProperties>
</file>