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A634" w14:textId="52DB2BD0" w:rsidR="00B86761" w:rsidRPr="00D200D8" w:rsidRDefault="00B86761" w:rsidP="00B86761">
      <w:pPr>
        <w:spacing w:after="120" w:line="276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 w:rsidRPr="00D200D8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ESTADÍSTICAS A PROPÓSITO DEL DÍA </w:t>
      </w:r>
      <w:r w:rsidR="00F3319A" w:rsidRPr="00D200D8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INTERNACIONAL CONTRA LA CORRUPCIÓN</w:t>
      </w:r>
      <w:r w:rsidRPr="00D200D8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 (</w:t>
      </w:r>
      <w:r w:rsidR="00F3319A" w:rsidRPr="00D200D8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9 DE DICIEMBRE</w:t>
      </w:r>
      <w:r w:rsidRPr="00D200D8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)</w:t>
      </w:r>
      <w:r w:rsidR="000E43BB" w:rsidRPr="00D200D8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 </w:t>
      </w:r>
    </w:p>
    <w:p w14:paraId="6C39C08F" w14:textId="77777777" w:rsidR="00F3319A" w:rsidRPr="00EF0C2B" w:rsidRDefault="00F3319A" w:rsidP="004A07DC">
      <w:pPr>
        <w:pStyle w:val="NormalWeb"/>
        <w:spacing w:before="0" w:beforeAutospacing="0" w:after="0" w:afterAutospacing="0"/>
        <w:ind w:left="-425" w:right="-516"/>
        <w:rPr>
          <w:rFonts w:ascii="Arial" w:hAnsi="Arial" w:cs="Arial"/>
          <w:sz w:val="22"/>
          <w:szCs w:val="22"/>
        </w:rPr>
      </w:pPr>
    </w:p>
    <w:p w14:paraId="319A8236" w14:textId="1DFEDE13" w:rsidR="003E0F54" w:rsidRPr="00D200D8" w:rsidRDefault="003E0F54" w:rsidP="0097661E">
      <w:pPr>
        <w:pStyle w:val="Prrafodelista"/>
        <w:numPr>
          <w:ilvl w:val="0"/>
          <w:numId w:val="4"/>
        </w:numPr>
        <w:spacing w:after="0" w:line="240" w:lineRule="auto"/>
        <w:ind w:left="714" w:right="758" w:hanging="357"/>
        <w:contextualSpacing w:val="0"/>
        <w:jc w:val="both"/>
        <w:rPr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>En 2021, 57.1 % de la población mexicana consideró que la corrupción era uno de los problemas más importantes en su entidad federativa</w:t>
      </w:r>
      <w:r w:rsidR="0097661E" w:rsidRPr="00D200D8">
        <w:rPr>
          <w:rFonts w:ascii="Arial" w:hAnsi="Arial" w:cs="Arial"/>
          <w:sz w:val="24"/>
          <w:szCs w:val="24"/>
        </w:rPr>
        <w:t>. Se</w:t>
      </w:r>
      <w:r w:rsidRPr="00D200D8">
        <w:rPr>
          <w:rFonts w:ascii="Arial" w:hAnsi="Arial" w:cs="Arial"/>
          <w:sz w:val="24"/>
          <w:szCs w:val="24"/>
        </w:rPr>
        <w:t xml:space="preserve"> ubic</w:t>
      </w:r>
      <w:r w:rsidR="0097661E" w:rsidRPr="00D200D8">
        <w:rPr>
          <w:rFonts w:ascii="Arial" w:hAnsi="Arial" w:cs="Arial"/>
          <w:sz w:val="24"/>
          <w:szCs w:val="24"/>
        </w:rPr>
        <w:t>ó</w:t>
      </w:r>
      <w:r w:rsidRPr="00D200D8">
        <w:rPr>
          <w:rFonts w:ascii="Arial" w:hAnsi="Arial" w:cs="Arial"/>
          <w:sz w:val="24"/>
          <w:szCs w:val="24"/>
        </w:rPr>
        <w:t xml:space="preserve"> solo por debajo de la inseguridad y la delincuencia.  </w:t>
      </w:r>
    </w:p>
    <w:p w14:paraId="79AAE993" w14:textId="7F9EB8F9" w:rsidR="0046560A" w:rsidRPr="00D200D8" w:rsidRDefault="00C9373B" w:rsidP="0097661E">
      <w:pPr>
        <w:pStyle w:val="Prrafodelista"/>
        <w:numPr>
          <w:ilvl w:val="0"/>
          <w:numId w:val="4"/>
        </w:numPr>
        <w:spacing w:after="0" w:line="240" w:lineRule="auto"/>
        <w:ind w:left="714" w:right="758" w:hanging="357"/>
        <w:contextualSpacing w:val="0"/>
        <w:jc w:val="both"/>
        <w:rPr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>En 2021</w:t>
      </w:r>
      <w:r w:rsidR="003E0F54" w:rsidRPr="00D200D8">
        <w:rPr>
          <w:rFonts w:ascii="Arial" w:hAnsi="Arial" w:cs="Arial"/>
          <w:sz w:val="24"/>
          <w:szCs w:val="24"/>
        </w:rPr>
        <w:t>,</w:t>
      </w:r>
      <w:r w:rsidRPr="00D200D8">
        <w:rPr>
          <w:rFonts w:ascii="Arial" w:hAnsi="Arial" w:cs="Arial"/>
          <w:sz w:val="24"/>
          <w:szCs w:val="24"/>
        </w:rPr>
        <w:t xml:space="preserve"> la prevalencia de corrupción</w:t>
      </w:r>
      <w:r w:rsidR="00D62950" w:rsidRPr="00D200D8">
        <w:rPr>
          <w:rFonts w:ascii="Arial" w:hAnsi="Arial" w:cs="Arial"/>
          <w:sz w:val="24"/>
          <w:szCs w:val="24"/>
        </w:rPr>
        <w:t xml:space="preserve"> fue de</w:t>
      </w:r>
      <w:r w:rsidRPr="00D200D8">
        <w:rPr>
          <w:rFonts w:ascii="Arial" w:hAnsi="Arial" w:cs="Arial"/>
          <w:sz w:val="24"/>
          <w:szCs w:val="24"/>
        </w:rPr>
        <w:t xml:space="preserve"> 14.7 % de la población de 18 años </w:t>
      </w:r>
      <w:r w:rsidR="0046560A" w:rsidRPr="00D200D8">
        <w:rPr>
          <w:rFonts w:ascii="Arial" w:hAnsi="Arial" w:cs="Arial"/>
          <w:sz w:val="24"/>
          <w:szCs w:val="24"/>
        </w:rPr>
        <w:t>o</w:t>
      </w:r>
      <w:r w:rsidRPr="00D200D8">
        <w:rPr>
          <w:rFonts w:ascii="Arial" w:hAnsi="Arial" w:cs="Arial"/>
          <w:sz w:val="24"/>
          <w:szCs w:val="24"/>
        </w:rPr>
        <w:t xml:space="preserve"> más</w:t>
      </w:r>
      <w:r w:rsidR="0053591D" w:rsidRPr="00D200D8">
        <w:rPr>
          <w:rFonts w:ascii="Arial" w:hAnsi="Arial" w:cs="Arial"/>
          <w:sz w:val="24"/>
          <w:szCs w:val="24"/>
        </w:rPr>
        <w:t xml:space="preserve"> </w:t>
      </w:r>
      <w:r w:rsidRPr="00D200D8">
        <w:rPr>
          <w:rFonts w:ascii="Arial" w:hAnsi="Arial" w:cs="Arial"/>
          <w:sz w:val="24"/>
          <w:szCs w:val="24"/>
        </w:rPr>
        <w:t xml:space="preserve">y 2.8 % </w:t>
      </w:r>
      <w:r w:rsidR="0046560A" w:rsidRPr="00D200D8">
        <w:rPr>
          <w:rFonts w:ascii="Arial" w:hAnsi="Arial" w:cs="Arial"/>
          <w:sz w:val="24"/>
          <w:szCs w:val="24"/>
        </w:rPr>
        <w:t>de las</w:t>
      </w:r>
      <w:r w:rsidRPr="00D200D8">
        <w:rPr>
          <w:rFonts w:ascii="Arial" w:hAnsi="Arial" w:cs="Arial"/>
          <w:sz w:val="24"/>
          <w:szCs w:val="24"/>
        </w:rPr>
        <w:t xml:space="preserve"> unidades económicas</w:t>
      </w:r>
      <w:r w:rsidR="00361BDD" w:rsidRPr="00D200D8">
        <w:rPr>
          <w:rFonts w:ascii="Arial" w:hAnsi="Arial" w:cs="Arial"/>
          <w:sz w:val="24"/>
          <w:szCs w:val="24"/>
        </w:rPr>
        <w:t xml:space="preserve"> víctimas de algún acto de corrupción</w:t>
      </w:r>
      <w:r w:rsidR="00DA2EF4" w:rsidRPr="00D200D8">
        <w:rPr>
          <w:rFonts w:ascii="Arial" w:hAnsi="Arial" w:cs="Arial"/>
          <w:sz w:val="24"/>
          <w:szCs w:val="24"/>
        </w:rPr>
        <w:t>.</w:t>
      </w:r>
    </w:p>
    <w:p w14:paraId="072B22BE" w14:textId="380782F8" w:rsidR="00260D41" w:rsidRPr="00D200D8" w:rsidRDefault="0097661E" w:rsidP="0097661E">
      <w:pPr>
        <w:pStyle w:val="Prrafodelista"/>
        <w:numPr>
          <w:ilvl w:val="0"/>
          <w:numId w:val="4"/>
        </w:numPr>
        <w:spacing w:after="0" w:line="240" w:lineRule="auto"/>
        <w:ind w:left="714" w:right="758" w:hanging="357"/>
        <w:contextualSpacing w:val="0"/>
        <w:jc w:val="both"/>
        <w:rPr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>E</w:t>
      </w:r>
      <w:r w:rsidR="00260D41" w:rsidRPr="00D200D8">
        <w:rPr>
          <w:rFonts w:ascii="Arial" w:hAnsi="Arial" w:cs="Arial"/>
          <w:sz w:val="24"/>
          <w:szCs w:val="24"/>
        </w:rPr>
        <w:t>n 2021</w:t>
      </w:r>
      <w:r w:rsidR="00A4115A">
        <w:rPr>
          <w:rFonts w:ascii="Arial" w:hAnsi="Arial" w:cs="Arial"/>
          <w:sz w:val="24"/>
          <w:szCs w:val="24"/>
        </w:rPr>
        <w:t>,</w:t>
      </w:r>
      <w:r w:rsidR="00260D41" w:rsidRPr="00D200D8">
        <w:rPr>
          <w:rFonts w:ascii="Arial" w:hAnsi="Arial" w:cs="Arial"/>
          <w:sz w:val="24"/>
          <w:szCs w:val="24"/>
        </w:rPr>
        <w:t xml:space="preserve"> el costo promedio </w:t>
      </w:r>
      <w:r w:rsidR="001977D1" w:rsidRPr="00D200D8">
        <w:rPr>
          <w:rFonts w:ascii="Arial" w:hAnsi="Arial" w:cs="Arial"/>
          <w:sz w:val="24"/>
          <w:szCs w:val="24"/>
        </w:rPr>
        <w:t>d</w:t>
      </w:r>
      <w:r w:rsidR="00260D41" w:rsidRPr="00D200D8">
        <w:rPr>
          <w:rFonts w:ascii="Arial" w:hAnsi="Arial" w:cs="Arial"/>
          <w:sz w:val="24"/>
          <w:szCs w:val="24"/>
        </w:rPr>
        <w:t>e la corrupción fue de 3 044 pesos por persona en términos reales. En el caso de las empresas, fue de 7 419 pesos</w:t>
      </w:r>
      <w:r w:rsidRPr="00D200D8">
        <w:rPr>
          <w:rFonts w:ascii="Arial" w:hAnsi="Arial" w:cs="Arial"/>
          <w:sz w:val="24"/>
          <w:szCs w:val="24"/>
        </w:rPr>
        <w:t xml:space="preserve"> en 2020</w:t>
      </w:r>
      <w:r w:rsidR="00260D41" w:rsidRPr="00D200D8">
        <w:rPr>
          <w:rFonts w:ascii="Arial" w:hAnsi="Arial" w:cs="Arial"/>
          <w:sz w:val="24"/>
          <w:szCs w:val="24"/>
        </w:rPr>
        <w:t>.</w:t>
      </w:r>
    </w:p>
    <w:p w14:paraId="2CB7F9BA" w14:textId="4514FF65" w:rsidR="0046560A" w:rsidRPr="00D200D8" w:rsidRDefault="0046560A" w:rsidP="004656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359E9C" w14:textId="4BA0C6B4" w:rsidR="00D55F08" w:rsidRPr="00D200D8" w:rsidRDefault="001D0455" w:rsidP="004656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 xml:space="preserve">De acuerdo con </w:t>
      </w:r>
      <w:r w:rsidR="006D2386" w:rsidRPr="00D200D8">
        <w:rPr>
          <w:rFonts w:ascii="Arial" w:hAnsi="Arial" w:cs="Arial"/>
          <w:sz w:val="24"/>
          <w:szCs w:val="24"/>
        </w:rPr>
        <w:t>la Oficina de las Naciones Unidas contra la Droga y el Delito</w:t>
      </w:r>
      <w:r w:rsidR="00923EE4">
        <w:rPr>
          <w:rFonts w:ascii="Arial" w:hAnsi="Arial" w:cs="Arial"/>
          <w:sz w:val="24"/>
          <w:szCs w:val="24"/>
        </w:rPr>
        <w:t>,</w:t>
      </w:r>
      <w:r w:rsidR="006D2386" w:rsidRPr="00D200D8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FF70E3" w:rsidRPr="00D200D8">
        <w:rPr>
          <w:rFonts w:ascii="Arial" w:hAnsi="Arial" w:cs="Arial"/>
          <w:sz w:val="24"/>
          <w:szCs w:val="24"/>
        </w:rPr>
        <w:t xml:space="preserve"> </w:t>
      </w:r>
      <w:r w:rsidRPr="00D200D8">
        <w:rPr>
          <w:rFonts w:ascii="Arial" w:hAnsi="Arial" w:cs="Arial"/>
          <w:sz w:val="24"/>
          <w:szCs w:val="24"/>
        </w:rPr>
        <w:t>l</w:t>
      </w:r>
      <w:r w:rsidR="00137C29" w:rsidRPr="00D200D8">
        <w:rPr>
          <w:rFonts w:ascii="Arial" w:hAnsi="Arial" w:cs="Arial"/>
          <w:sz w:val="24"/>
          <w:szCs w:val="24"/>
        </w:rPr>
        <w:t>a corrupción</w:t>
      </w:r>
      <w:r w:rsidRPr="00D200D8">
        <w:rPr>
          <w:rFonts w:ascii="Arial" w:hAnsi="Arial" w:cs="Arial"/>
          <w:sz w:val="24"/>
          <w:szCs w:val="24"/>
        </w:rPr>
        <w:t xml:space="preserve"> es </w:t>
      </w:r>
      <w:r w:rsidR="0097661E" w:rsidRPr="00D200D8">
        <w:rPr>
          <w:rFonts w:ascii="Arial" w:hAnsi="Arial" w:cs="Arial"/>
          <w:sz w:val="24"/>
          <w:szCs w:val="24"/>
        </w:rPr>
        <w:t>«</w:t>
      </w:r>
      <w:r w:rsidR="00FF70E3" w:rsidRPr="00D200D8">
        <w:rPr>
          <w:rFonts w:ascii="Arial" w:hAnsi="Arial" w:cs="Arial"/>
          <w:sz w:val="24"/>
          <w:szCs w:val="24"/>
        </w:rPr>
        <w:t xml:space="preserve">un fenómeno complejo y en evolución, asume muchas formas, es perpetrado por varios actores y tiene un impacto perjudicial en las estructuras políticas, sociales, culturales, </w:t>
      </w:r>
      <w:r w:rsidR="00D276B5" w:rsidRPr="00D200D8">
        <w:rPr>
          <w:rFonts w:ascii="Arial" w:hAnsi="Arial" w:cs="Arial"/>
          <w:sz w:val="24"/>
          <w:szCs w:val="24"/>
        </w:rPr>
        <w:t xml:space="preserve">e </w:t>
      </w:r>
      <w:r w:rsidR="00FF70E3" w:rsidRPr="00D200D8">
        <w:rPr>
          <w:rFonts w:ascii="Arial" w:hAnsi="Arial" w:cs="Arial"/>
          <w:sz w:val="24"/>
          <w:szCs w:val="24"/>
        </w:rPr>
        <w:t>institucionales</w:t>
      </w:r>
      <w:r w:rsidR="003D5237" w:rsidRPr="00D200D8">
        <w:rPr>
          <w:rFonts w:ascii="Arial" w:hAnsi="Arial" w:cs="Arial"/>
          <w:sz w:val="24"/>
          <w:szCs w:val="24"/>
        </w:rPr>
        <w:t xml:space="preserve"> que</w:t>
      </w:r>
      <w:r w:rsidR="00D276B5" w:rsidRPr="00D200D8">
        <w:rPr>
          <w:rFonts w:ascii="Arial" w:hAnsi="Arial" w:cs="Arial"/>
          <w:sz w:val="24"/>
          <w:szCs w:val="24"/>
        </w:rPr>
        <w:t xml:space="preserve"> impacta negativamente </w:t>
      </w:r>
      <w:r w:rsidR="00FF70E3" w:rsidRPr="00D200D8">
        <w:rPr>
          <w:rFonts w:ascii="Arial" w:hAnsi="Arial" w:cs="Arial"/>
          <w:sz w:val="24"/>
          <w:szCs w:val="24"/>
        </w:rPr>
        <w:t xml:space="preserve">en las políticas económicas y </w:t>
      </w:r>
      <w:r w:rsidR="00D276B5" w:rsidRPr="00D200D8">
        <w:rPr>
          <w:rFonts w:ascii="Arial" w:hAnsi="Arial" w:cs="Arial"/>
          <w:sz w:val="24"/>
          <w:szCs w:val="24"/>
        </w:rPr>
        <w:t>afecta</w:t>
      </w:r>
      <w:r w:rsidR="00FF70E3" w:rsidRPr="00D200D8">
        <w:rPr>
          <w:rFonts w:ascii="Arial" w:hAnsi="Arial" w:cs="Arial"/>
          <w:sz w:val="24"/>
          <w:szCs w:val="24"/>
        </w:rPr>
        <w:t xml:space="preserve"> numerosos aspectos de la vida cotidiana</w:t>
      </w:r>
      <w:r w:rsidR="0097661E" w:rsidRPr="00D200D8">
        <w:rPr>
          <w:rFonts w:ascii="Arial" w:hAnsi="Arial" w:cs="Arial"/>
          <w:sz w:val="24"/>
          <w:szCs w:val="24"/>
        </w:rPr>
        <w:t>»</w:t>
      </w:r>
      <w:r w:rsidR="00FF70E3" w:rsidRPr="00D200D8">
        <w:rPr>
          <w:rFonts w:ascii="Arial" w:hAnsi="Arial" w:cs="Arial"/>
          <w:sz w:val="24"/>
          <w:szCs w:val="24"/>
        </w:rPr>
        <w:t>.</w:t>
      </w:r>
      <w:r w:rsidR="00A0346B" w:rsidRPr="00D200D8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985A74" w:rsidRPr="00D200D8">
        <w:rPr>
          <w:rFonts w:ascii="Arial" w:hAnsi="Arial" w:cs="Arial"/>
          <w:sz w:val="24"/>
          <w:szCs w:val="24"/>
        </w:rPr>
        <w:t xml:space="preserve"> </w:t>
      </w:r>
      <w:r w:rsidR="003D5237" w:rsidRPr="00D200D8">
        <w:rPr>
          <w:rFonts w:ascii="Arial" w:hAnsi="Arial" w:cs="Arial"/>
          <w:sz w:val="24"/>
          <w:szCs w:val="24"/>
        </w:rPr>
        <w:t>Al</w:t>
      </w:r>
      <w:r w:rsidR="00D276B5" w:rsidRPr="00D200D8">
        <w:rPr>
          <w:rFonts w:ascii="Arial" w:hAnsi="Arial" w:cs="Arial"/>
          <w:sz w:val="24"/>
          <w:szCs w:val="24"/>
        </w:rPr>
        <w:t xml:space="preserve"> </w:t>
      </w:r>
      <w:r w:rsidR="00EB1FA7" w:rsidRPr="00D200D8">
        <w:rPr>
          <w:rFonts w:ascii="Arial" w:hAnsi="Arial" w:cs="Arial"/>
          <w:sz w:val="24"/>
          <w:szCs w:val="24"/>
        </w:rPr>
        <w:t>socava</w:t>
      </w:r>
      <w:r w:rsidR="00D276B5" w:rsidRPr="00D200D8">
        <w:rPr>
          <w:rFonts w:ascii="Arial" w:hAnsi="Arial" w:cs="Arial"/>
          <w:sz w:val="24"/>
          <w:szCs w:val="24"/>
        </w:rPr>
        <w:t>r</w:t>
      </w:r>
      <w:r w:rsidR="00EB1FA7" w:rsidRPr="00D200D8">
        <w:rPr>
          <w:rFonts w:ascii="Arial" w:hAnsi="Arial" w:cs="Arial"/>
          <w:sz w:val="24"/>
          <w:szCs w:val="24"/>
        </w:rPr>
        <w:t xml:space="preserve"> el estado de derecho</w:t>
      </w:r>
      <w:r w:rsidR="00D276B5" w:rsidRPr="00D200D8">
        <w:rPr>
          <w:rFonts w:ascii="Arial" w:hAnsi="Arial" w:cs="Arial"/>
          <w:sz w:val="24"/>
          <w:szCs w:val="24"/>
        </w:rPr>
        <w:t>, la corrupción</w:t>
      </w:r>
      <w:r w:rsidR="00EB1FA7" w:rsidRPr="00D200D8">
        <w:rPr>
          <w:rFonts w:ascii="Arial" w:hAnsi="Arial" w:cs="Arial"/>
          <w:sz w:val="24"/>
          <w:szCs w:val="24"/>
        </w:rPr>
        <w:t xml:space="preserve"> </w:t>
      </w:r>
      <w:r w:rsidR="00137C29" w:rsidRPr="00D200D8">
        <w:rPr>
          <w:rFonts w:ascii="Arial" w:hAnsi="Arial" w:cs="Arial"/>
          <w:sz w:val="24"/>
          <w:szCs w:val="24"/>
        </w:rPr>
        <w:t xml:space="preserve">merma la confianza </w:t>
      </w:r>
      <w:r w:rsidR="00D276B5" w:rsidRPr="00D200D8">
        <w:rPr>
          <w:rFonts w:ascii="Arial" w:hAnsi="Arial" w:cs="Arial"/>
          <w:sz w:val="24"/>
          <w:szCs w:val="24"/>
        </w:rPr>
        <w:t xml:space="preserve">que la ciudadanía deposita </w:t>
      </w:r>
      <w:r w:rsidR="00137C29" w:rsidRPr="00D200D8">
        <w:rPr>
          <w:rFonts w:ascii="Arial" w:hAnsi="Arial" w:cs="Arial"/>
          <w:sz w:val="24"/>
          <w:szCs w:val="24"/>
        </w:rPr>
        <w:t xml:space="preserve">en las instituciones públicas. </w:t>
      </w:r>
      <w:r w:rsidR="00CF30F4" w:rsidRPr="00D200D8">
        <w:rPr>
          <w:rFonts w:ascii="Arial" w:hAnsi="Arial" w:cs="Arial"/>
          <w:sz w:val="24"/>
          <w:szCs w:val="24"/>
        </w:rPr>
        <w:t>Dado el impacto de la corrupción en la vida cotidiana</w:t>
      </w:r>
      <w:r w:rsidR="00137C29" w:rsidRPr="00D200D8">
        <w:rPr>
          <w:rFonts w:ascii="Arial" w:hAnsi="Arial" w:cs="Arial"/>
          <w:sz w:val="24"/>
          <w:szCs w:val="24"/>
        </w:rPr>
        <w:t>, e</w:t>
      </w:r>
      <w:r w:rsidR="00D55F08" w:rsidRPr="00D200D8">
        <w:rPr>
          <w:rFonts w:ascii="Arial" w:hAnsi="Arial" w:cs="Arial"/>
          <w:sz w:val="24"/>
          <w:szCs w:val="24"/>
        </w:rPr>
        <w:t xml:space="preserve">n 2003, la Organización de las Naciones Unidas (ONU) estableció el 9 de diciembre como el Día Internacional contra la </w:t>
      </w:r>
      <w:r w:rsidR="0097661E">
        <w:rPr>
          <w:rFonts w:ascii="Arial" w:hAnsi="Arial" w:cs="Arial"/>
          <w:sz w:val="24"/>
          <w:szCs w:val="24"/>
        </w:rPr>
        <w:t>C</w:t>
      </w:r>
      <w:r w:rsidR="00D55F08" w:rsidRPr="00D200D8">
        <w:rPr>
          <w:rFonts w:ascii="Arial" w:hAnsi="Arial" w:cs="Arial"/>
          <w:sz w:val="24"/>
          <w:szCs w:val="24"/>
        </w:rPr>
        <w:t>orrupción</w:t>
      </w:r>
      <w:r w:rsidR="0097661E">
        <w:rPr>
          <w:rFonts w:ascii="Arial" w:hAnsi="Arial" w:cs="Arial"/>
          <w:sz w:val="24"/>
          <w:szCs w:val="24"/>
        </w:rPr>
        <w:t>. Su</w:t>
      </w:r>
      <w:r w:rsidR="00BD184C" w:rsidRPr="00D200D8">
        <w:rPr>
          <w:rFonts w:ascii="Arial" w:hAnsi="Arial" w:cs="Arial"/>
          <w:sz w:val="24"/>
          <w:szCs w:val="24"/>
        </w:rPr>
        <w:t xml:space="preserve"> propósito </w:t>
      </w:r>
      <w:r w:rsidR="0097661E">
        <w:rPr>
          <w:rFonts w:ascii="Arial" w:hAnsi="Arial" w:cs="Arial"/>
          <w:sz w:val="24"/>
          <w:szCs w:val="24"/>
        </w:rPr>
        <w:t>es</w:t>
      </w:r>
      <w:r w:rsidR="00D55F08" w:rsidRPr="00D200D8">
        <w:rPr>
          <w:rFonts w:ascii="Arial" w:hAnsi="Arial" w:cs="Arial"/>
          <w:sz w:val="24"/>
          <w:szCs w:val="24"/>
        </w:rPr>
        <w:t xml:space="preserve"> sensibilizar a la sociedad sobre este tema y resaltar la importancia de su prevención y combate.</w:t>
      </w:r>
      <w:r w:rsidR="00D55F08" w:rsidRPr="00D200D8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1A01CFE9" w14:textId="77777777" w:rsidR="0046560A" w:rsidRPr="00D200D8" w:rsidRDefault="0046560A" w:rsidP="004656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501436" w14:textId="27516F58" w:rsidR="0046560A" w:rsidRPr="00D200D8" w:rsidRDefault="0057745E" w:rsidP="00546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 xml:space="preserve">En México, </w:t>
      </w:r>
      <w:r w:rsidR="00CF30F4" w:rsidRPr="00D200D8">
        <w:rPr>
          <w:rFonts w:ascii="Arial" w:hAnsi="Arial" w:cs="Arial"/>
          <w:sz w:val="24"/>
          <w:szCs w:val="24"/>
        </w:rPr>
        <w:t>la relevancia d</w:t>
      </w:r>
      <w:r w:rsidRPr="00D200D8">
        <w:rPr>
          <w:rFonts w:ascii="Arial" w:hAnsi="Arial" w:cs="Arial"/>
          <w:sz w:val="24"/>
          <w:szCs w:val="24"/>
        </w:rPr>
        <w:t>e</w:t>
      </w:r>
      <w:r w:rsidR="00D55F08" w:rsidRPr="00D200D8">
        <w:rPr>
          <w:rFonts w:ascii="Arial" w:hAnsi="Arial" w:cs="Arial"/>
          <w:sz w:val="24"/>
          <w:szCs w:val="24"/>
        </w:rPr>
        <w:t xml:space="preserve">l combate a la corrupción </w:t>
      </w:r>
      <w:r w:rsidR="00CF30F4" w:rsidRPr="00D200D8">
        <w:rPr>
          <w:rFonts w:ascii="Arial" w:hAnsi="Arial" w:cs="Arial"/>
          <w:sz w:val="24"/>
          <w:szCs w:val="24"/>
        </w:rPr>
        <w:t xml:space="preserve">se refleja </w:t>
      </w:r>
      <w:r w:rsidR="00D55F08" w:rsidRPr="00D200D8">
        <w:rPr>
          <w:rFonts w:ascii="Arial" w:hAnsi="Arial" w:cs="Arial"/>
          <w:sz w:val="24"/>
          <w:szCs w:val="24"/>
        </w:rPr>
        <w:t>en el artículo 113 de la Constitución Política de los Estados Unidos Mexicanos</w:t>
      </w:r>
      <w:r w:rsidR="00FF245D" w:rsidRPr="00D200D8">
        <w:rPr>
          <w:rFonts w:ascii="Arial" w:hAnsi="Arial" w:cs="Arial"/>
          <w:sz w:val="24"/>
          <w:szCs w:val="24"/>
        </w:rPr>
        <w:t xml:space="preserve"> </w:t>
      </w:r>
      <w:r w:rsidR="0097661E">
        <w:rPr>
          <w:rFonts w:ascii="Arial" w:hAnsi="Arial" w:cs="Arial"/>
          <w:sz w:val="24"/>
          <w:szCs w:val="24"/>
        </w:rPr>
        <w:t xml:space="preserve">(CPEUM) </w:t>
      </w:r>
      <w:r w:rsidR="00FF245D" w:rsidRPr="00D200D8">
        <w:rPr>
          <w:rFonts w:ascii="Arial" w:hAnsi="Arial" w:cs="Arial"/>
          <w:sz w:val="24"/>
          <w:szCs w:val="24"/>
        </w:rPr>
        <w:t xml:space="preserve">que </w:t>
      </w:r>
      <w:r w:rsidR="003D5237" w:rsidRPr="00D200D8">
        <w:rPr>
          <w:rFonts w:ascii="Arial" w:hAnsi="Arial" w:cs="Arial"/>
          <w:sz w:val="24"/>
          <w:szCs w:val="24"/>
        </w:rPr>
        <w:t>atribuye al</w:t>
      </w:r>
      <w:r w:rsidR="00D55F08" w:rsidRPr="00D200D8">
        <w:rPr>
          <w:rFonts w:ascii="Arial" w:hAnsi="Arial" w:cs="Arial"/>
          <w:sz w:val="24"/>
          <w:szCs w:val="24"/>
        </w:rPr>
        <w:t xml:space="preserve"> Sistema Nacional Anticorrupción</w:t>
      </w:r>
      <w:r w:rsidR="0097661E">
        <w:rPr>
          <w:rFonts w:ascii="Arial" w:hAnsi="Arial" w:cs="Arial"/>
          <w:sz w:val="24"/>
          <w:szCs w:val="24"/>
        </w:rPr>
        <w:t xml:space="preserve"> (SNA)</w:t>
      </w:r>
      <w:r w:rsidR="00D55F08" w:rsidRPr="00D200D8">
        <w:rPr>
          <w:rFonts w:ascii="Arial" w:hAnsi="Arial" w:cs="Arial"/>
          <w:sz w:val="24"/>
          <w:szCs w:val="24"/>
        </w:rPr>
        <w:t xml:space="preserve"> </w:t>
      </w:r>
      <w:r w:rsidR="003D5237" w:rsidRPr="00D200D8">
        <w:rPr>
          <w:rFonts w:ascii="Arial" w:hAnsi="Arial" w:cs="Arial"/>
          <w:sz w:val="24"/>
          <w:szCs w:val="24"/>
        </w:rPr>
        <w:t xml:space="preserve">la responsabilidad de coordinar </w:t>
      </w:r>
      <w:r w:rsidR="00FF245D" w:rsidRPr="00D200D8">
        <w:rPr>
          <w:rFonts w:ascii="Arial" w:hAnsi="Arial" w:cs="Arial"/>
          <w:sz w:val="24"/>
          <w:szCs w:val="24"/>
        </w:rPr>
        <w:t xml:space="preserve">las </w:t>
      </w:r>
      <w:r w:rsidR="003D5237" w:rsidRPr="00D200D8">
        <w:rPr>
          <w:rFonts w:ascii="Arial" w:hAnsi="Arial" w:cs="Arial"/>
          <w:sz w:val="24"/>
          <w:szCs w:val="24"/>
        </w:rPr>
        <w:t>acciones</w:t>
      </w:r>
      <w:r w:rsidR="00FF245D" w:rsidRPr="00D200D8">
        <w:rPr>
          <w:rFonts w:ascii="Arial" w:hAnsi="Arial" w:cs="Arial"/>
          <w:sz w:val="24"/>
          <w:szCs w:val="24"/>
        </w:rPr>
        <w:t xml:space="preserve"> de </w:t>
      </w:r>
      <w:r w:rsidR="00D55F08" w:rsidRPr="00D200D8">
        <w:rPr>
          <w:rFonts w:ascii="Arial" w:hAnsi="Arial" w:cs="Arial"/>
          <w:sz w:val="24"/>
          <w:szCs w:val="24"/>
        </w:rPr>
        <w:t>los</w:t>
      </w:r>
      <w:r w:rsidR="00FF245D" w:rsidRPr="00D200D8">
        <w:rPr>
          <w:rFonts w:ascii="Arial" w:hAnsi="Arial" w:cs="Arial"/>
          <w:sz w:val="24"/>
          <w:szCs w:val="24"/>
        </w:rPr>
        <w:t xml:space="preserve"> distintos</w:t>
      </w:r>
      <w:r w:rsidR="00D55F08" w:rsidRPr="00D200D8">
        <w:rPr>
          <w:rFonts w:ascii="Arial" w:hAnsi="Arial" w:cs="Arial"/>
          <w:sz w:val="24"/>
          <w:szCs w:val="24"/>
        </w:rPr>
        <w:t xml:space="preserve"> órdenes de gobierno para </w:t>
      </w:r>
      <w:r w:rsidR="003D5237" w:rsidRPr="00D200D8">
        <w:rPr>
          <w:rFonts w:ascii="Arial" w:hAnsi="Arial" w:cs="Arial"/>
          <w:sz w:val="24"/>
          <w:szCs w:val="24"/>
        </w:rPr>
        <w:t xml:space="preserve">la </w:t>
      </w:r>
      <w:r w:rsidR="00D55F08" w:rsidRPr="00D200D8">
        <w:rPr>
          <w:rFonts w:ascii="Arial" w:hAnsi="Arial" w:cs="Arial"/>
          <w:sz w:val="24"/>
          <w:szCs w:val="24"/>
        </w:rPr>
        <w:t xml:space="preserve">prevención, detección y sanción de responsabilidades administrativas y hechos de corrupción, </w:t>
      </w:r>
      <w:r w:rsidR="00FF245D" w:rsidRPr="00D200D8">
        <w:rPr>
          <w:rFonts w:ascii="Arial" w:hAnsi="Arial" w:cs="Arial"/>
          <w:sz w:val="24"/>
          <w:szCs w:val="24"/>
        </w:rPr>
        <w:t>así como</w:t>
      </w:r>
      <w:r w:rsidR="003D5237" w:rsidRPr="00D200D8">
        <w:rPr>
          <w:rFonts w:ascii="Arial" w:hAnsi="Arial" w:cs="Arial"/>
          <w:sz w:val="24"/>
          <w:szCs w:val="24"/>
        </w:rPr>
        <w:t xml:space="preserve"> para</w:t>
      </w:r>
      <w:r w:rsidR="00D55F08" w:rsidRPr="00D200D8">
        <w:rPr>
          <w:rFonts w:ascii="Arial" w:hAnsi="Arial" w:cs="Arial"/>
          <w:sz w:val="24"/>
          <w:szCs w:val="24"/>
        </w:rPr>
        <w:t xml:space="preserve"> la fiscalización y control de los recursos públicos</w:t>
      </w:r>
      <w:r w:rsidR="00341D1F" w:rsidRPr="00D200D8">
        <w:rPr>
          <w:rFonts w:ascii="Arial" w:hAnsi="Arial" w:cs="Arial"/>
          <w:sz w:val="24"/>
          <w:szCs w:val="24"/>
        </w:rPr>
        <w:t>.</w:t>
      </w:r>
      <w:r w:rsidR="00D55F08" w:rsidRPr="00D200D8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D55F08" w:rsidRPr="00D200D8">
        <w:rPr>
          <w:rFonts w:ascii="Arial" w:hAnsi="Arial" w:cs="Arial"/>
          <w:sz w:val="24"/>
          <w:szCs w:val="24"/>
        </w:rPr>
        <w:t xml:space="preserve"> Además, México forma parte de la Convención de las Naciones Unidas contra la </w:t>
      </w:r>
      <w:r w:rsidR="00CF30F4" w:rsidRPr="00D200D8">
        <w:rPr>
          <w:rFonts w:ascii="Arial" w:hAnsi="Arial" w:cs="Arial"/>
          <w:sz w:val="24"/>
          <w:szCs w:val="24"/>
        </w:rPr>
        <w:t>Corrupción</w:t>
      </w:r>
      <w:r w:rsidR="00007391">
        <w:rPr>
          <w:rFonts w:ascii="Arial" w:hAnsi="Arial" w:cs="Arial"/>
          <w:sz w:val="24"/>
          <w:szCs w:val="24"/>
        </w:rPr>
        <w:t xml:space="preserve">. Esta </w:t>
      </w:r>
      <w:r w:rsidR="002209CD" w:rsidRPr="00D200D8">
        <w:rPr>
          <w:rFonts w:ascii="Arial" w:hAnsi="Arial" w:cs="Arial"/>
          <w:sz w:val="24"/>
          <w:szCs w:val="24"/>
        </w:rPr>
        <w:t xml:space="preserve">ofrece un conjunto de normas, medidas y reglamentos </w:t>
      </w:r>
      <w:r w:rsidR="00007391">
        <w:rPr>
          <w:rFonts w:ascii="Arial" w:hAnsi="Arial" w:cs="Arial"/>
          <w:sz w:val="24"/>
          <w:szCs w:val="24"/>
        </w:rPr>
        <w:t xml:space="preserve">para </w:t>
      </w:r>
      <w:r w:rsidR="002209CD" w:rsidRPr="00D200D8">
        <w:rPr>
          <w:rFonts w:ascii="Arial" w:hAnsi="Arial" w:cs="Arial"/>
          <w:sz w:val="24"/>
          <w:szCs w:val="24"/>
        </w:rPr>
        <w:t>fortalecer los marcos jurídicos nacionales</w:t>
      </w:r>
      <w:r w:rsidR="001D7143" w:rsidRPr="00D200D8">
        <w:rPr>
          <w:rFonts w:ascii="Arial" w:hAnsi="Arial" w:cs="Arial"/>
          <w:sz w:val="24"/>
          <w:szCs w:val="24"/>
        </w:rPr>
        <w:t>.</w:t>
      </w:r>
      <w:r w:rsidR="007D617C" w:rsidRPr="00D200D8">
        <w:rPr>
          <w:rFonts w:ascii="Arial" w:hAnsi="Arial" w:cs="Arial"/>
          <w:sz w:val="24"/>
          <w:szCs w:val="24"/>
        </w:rPr>
        <w:t xml:space="preserve"> </w:t>
      </w:r>
      <w:r w:rsidR="00007391">
        <w:rPr>
          <w:rFonts w:ascii="Arial" w:hAnsi="Arial" w:cs="Arial"/>
          <w:sz w:val="24"/>
          <w:szCs w:val="24"/>
        </w:rPr>
        <w:t>L</w:t>
      </w:r>
      <w:r w:rsidR="00DF5101" w:rsidRPr="00D200D8">
        <w:rPr>
          <w:rFonts w:ascii="Arial" w:hAnsi="Arial" w:cs="Arial"/>
          <w:sz w:val="24"/>
          <w:szCs w:val="24"/>
        </w:rPr>
        <w:t>a Convención</w:t>
      </w:r>
      <w:r w:rsidR="00156B31" w:rsidRPr="00D200D8">
        <w:rPr>
          <w:rFonts w:ascii="Arial" w:hAnsi="Arial" w:cs="Arial"/>
          <w:sz w:val="24"/>
          <w:szCs w:val="24"/>
        </w:rPr>
        <w:t xml:space="preserve"> insta a l</w:t>
      </w:r>
      <w:r w:rsidR="00D64890" w:rsidRPr="00D200D8">
        <w:rPr>
          <w:rFonts w:ascii="Arial" w:hAnsi="Arial" w:cs="Arial"/>
          <w:sz w:val="24"/>
          <w:szCs w:val="24"/>
        </w:rPr>
        <w:t>as naciones</w:t>
      </w:r>
      <w:r w:rsidR="00156B31" w:rsidRPr="00D200D8">
        <w:rPr>
          <w:rFonts w:ascii="Arial" w:hAnsi="Arial" w:cs="Arial"/>
          <w:sz w:val="24"/>
          <w:szCs w:val="24"/>
        </w:rPr>
        <w:t xml:space="preserve"> </w:t>
      </w:r>
      <w:r w:rsidR="00D62950" w:rsidRPr="00D200D8">
        <w:rPr>
          <w:rFonts w:ascii="Arial" w:hAnsi="Arial" w:cs="Arial"/>
          <w:sz w:val="24"/>
          <w:szCs w:val="24"/>
        </w:rPr>
        <w:t>a</w:t>
      </w:r>
      <w:r w:rsidR="006F0DE0" w:rsidRPr="00D200D8">
        <w:rPr>
          <w:rFonts w:ascii="Arial" w:hAnsi="Arial" w:cs="Arial"/>
          <w:sz w:val="24"/>
          <w:szCs w:val="24"/>
        </w:rPr>
        <w:t xml:space="preserve"> </w:t>
      </w:r>
      <w:r w:rsidR="004264BB" w:rsidRPr="00D200D8">
        <w:rPr>
          <w:rFonts w:ascii="Arial" w:hAnsi="Arial" w:cs="Arial"/>
          <w:sz w:val="24"/>
          <w:szCs w:val="24"/>
        </w:rPr>
        <w:t>que</w:t>
      </w:r>
      <w:r w:rsidR="00156B31" w:rsidRPr="00D200D8">
        <w:rPr>
          <w:rFonts w:ascii="Arial" w:hAnsi="Arial" w:cs="Arial"/>
          <w:sz w:val="24"/>
          <w:szCs w:val="24"/>
        </w:rPr>
        <w:t xml:space="preserve"> consider</w:t>
      </w:r>
      <w:r w:rsidR="004264BB" w:rsidRPr="00D200D8">
        <w:rPr>
          <w:rFonts w:ascii="Arial" w:hAnsi="Arial" w:cs="Arial"/>
          <w:sz w:val="24"/>
          <w:szCs w:val="24"/>
        </w:rPr>
        <w:t>en</w:t>
      </w:r>
      <w:r w:rsidR="00DF5101" w:rsidRPr="00D200D8">
        <w:rPr>
          <w:rFonts w:ascii="Arial" w:hAnsi="Arial" w:cs="Arial"/>
          <w:sz w:val="24"/>
          <w:szCs w:val="24"/>
        </w:rPr>
        <w:t xml:space="preserve"> </w:t>
      </w:r>
      <w:r w:rsidR="00257607" w:rsidRPr="00D200D8">
        <w:rPr>
          <w:rFonts w:ascii="Arial" w:hAnsi="Arial" w:cs="Arial"/>
          <w:sz w:val="24"/>
          <w:szCs w:val="24"/>
        </w:rPr>
        <w:t>recopila</w:t>
      </w:r>
      <w:r w:rsidR="004264BB" w:rsidRPr="00D200D8">
        <w:rPr>
          <w:rFonts w:ascii="Arial" w:hAnsi="Arial" w:cs="Arial"/>
          <w:sz w:val="24"/>
          <w:szCs w:val="24"/>
        </w:rPr>
        <w:t>r</w:t>
      </w:r>
      <w:r w:rsidR="00257607" w:rsidRPr="00D200D8">
        <w:rPr>
          <w:rFonts w:ascii="Arial" w:hAnsi="Arial" w:cs="Arial"/>
          <w:sz w:val="24"/>
          <w:szCs w:val="24"/>
        </w:rPr>
        <w:t>, intercambi</w:t>
      </w:r>
      <w:r w:rsidR="004264BB" w:rsidRPr="00D200D8">
        <w:rPr>
          <w:rFonts w:ascii="Arial" w:hAnsi="Arial" w:cs="Arial"/>
          <w:sz w:val="24"/>
          <w:szCs w:val="24"/>
        </w:rPr>
        <w:t xml:space="preserve">ar </w:t>
      </w:r>
      <w:r w:rsidR="00257607" w:rsidRPr="00D200D8">
        <w:rPr>
          <w:rFonts w:ascii="Arial" w:hAnsi="Arial" w:cs="Arial"/>
          <w:sz w:val="24"/>
          <w:szCs w:val="24"/>
        </w:rPr>
        <w:t xml:space="preserve">y </w:t>
      </w:r>
      <w:r w:rsidR="004264BB" w:rsidRPr="00D200D8">
        <w:rPr>
          <w:rFonts w:ascii="Arial" w:hAnsi="Arial" w:cs="Arial"/>
          <w:sz w:val="24"/>
          <w:szCs w:val="24"/>
        </w:rPr>
        <w:t xml:space="preserve">analizar </w:t>
      </w:r>
      <w:r w:rsidR="00DF5101" w:rsidRPr="00D200D8">
        <w:rPr>
          <w:rFonts w:ascii="Arial" w:hAnsi="Arial" w:cs="Arial"/>
          <w:sz w:val="24"/>
          <w:szCs w:val="24"/>
        </w:rPr>
        <w:t>información estadística para conocer la situación de corrupción</w:t>
      </w:r>
      <w:r w:rsidR="00F275C3" w:rsidRPr="00D200D8">
        <w:rPr>
          <w:rFonts w:ascii="Arial" w:hAnsi="Arial" w:cs="Arial"/>
          <w:sz w:val="24"/>
          <w:szCs w:val="24"/>
        </w:rPr>
        <w:t xml:space="preserve"> que prevalece</w:t>
      </w:r>
      <w:r w:rsidR="008C14FE" w:rsidRPr="00D200D8">
        <w:rPr>
          <w:rFonts w:ascii="Arial" w:hAnsi="Arial" w:cs="Arial"/>
          <w:sz w:val="24"/>
          <w:szCs w:val="24"/>
        </w:rPr>
        <w:t xml:space="preserve"> en </w:t>
      </w:r>
      <w:r w:rsidR="00D5006E" w:rsidRPr="00D200D8">
        <w:rPr>
          <w:rFonts w:ascii="Arial" w:hAnsi="Arial" w:cs="Arial"/>
          <w:sz w:val="24"/>
          <w:szCs w:val="24"/>
        </w:rPr>
        <w:t>su</w:t>
      </w:r>
      <w:r w:rsidR="001022AB" w:rsidRPr="00D200D8">
        <w:rPr>
          <w:rFonts w:ascii="Arial" w:hAnsi="Arial" w:cs="Arial"/>
          <w:sz w:val="24"/>
          <w:szCs w:val="24"/>
        </w:rPr>
        <w:t>s</w:t>
      </w:r>
      <w:r w:rsidR="00D5006E" w:rsidRPr="00D200D8">
        <w:rPr>
          <w:rFonts w:ascii="Arial" w:hAnsi="Arial" w:cs="Arial"/>
          <w:sz w:val="24"/>
          <w:szCs w:val="24"/>
        </w:rPr>
        <w:t xml:space="preserve"> territorio</w:t>
      </w:r>
      <w:r w:rsidR="001022AB" w:rsidRPr="00D200D8">
        <w:rPr>
          <w:rFonts w:ascii="Arial" w:hAnsi="Arial" w:cs="Arial"/>
          <w:sz w:val="24"/>
          <w:szCs w:val="24"/>
        </w:rPr>
        <w:t>s</w:t>
      </w:r>
      <w:r w:rsidR="00DF5101" w:rsidRPr="00D200D8">
        <w:rPr>
          <w:rFonts w:ascii="Arial" w:hAnsi="Arial" w:cs="Arial"/>
          <w:sz w:val="24"/>
          <w:szCs w:val="24"/>
        </w:rPr>
        <w:t>, así como</w:t>
      </w:r>
      <w:r w:rsidR="00500F68" w:rsidRPr="00D200D8">
        <w:rPr>
          <w:rFonts w:ascii="Arial" w:hAnsi="Arial" w:cs="Arial"/>
          <w:sz w:val="24"/>
          <w:szCs w:val="24"/>
        </w:rPr>
        <w:t xml:space="preserve"> de</w:t>
      </w:r>
      <w:r w:rsidR="002209CD" w:rsidRPr="00D200D8">
        <w:rPr>
          <w:rFonts w:ascii="Arial" w:hAnsi="Arial" w:cs="Arial"/>
          <w:sz w:val="24"/>
          <w:szCs w:val="24"/>
        </w:rPr>
        <w:t xml:space="preserve"> compartir l</w:t>
      </w:r>
      <w:r w:rsidR="00500F68" w:rsidRPr="00D200D8">
        <w:rPr>
          <w:rFonts w:ascii="Arial" w:hAnsi="Arial" w:cs="Arial"/>
          <w:sz w:val="24"/>
          <w:szCs w:val="24"/>
        </w:rPr>
        <w:t xml:space="preserve">as mejores </w:t>
      </w:r>
      <w:r w:rsidR="00DF5101" w:rsidRPr="00D200D8">
        <w:rPr>
          <w:rFonts w:ascii="Arial" w:hAnsi="Arial" w:cs="Arial"/>
          <w:sz w:val="24"/>
          <w:szCs w:val="24"/>
        </w:rPr>
        <w:t xml:space="preserve">prácticas </w:t>
      </w:r>
      <w:r w:rsidR="002209CD" w:rsidRPr="00D200D8">
        <w:rPr>
          <w:rFonts w:ascii="Arial" w:hAnsi="Arial" w:cs="Arial"/>
          <w:sz w:val="24"/>
          <w:szCs w:val="24"/>
        </w:rPr>
        <w:t xml:space="preserve">en la atención del </w:t>
      </w:r>
      <w:r w:rsidR="00D62950" w:rsidRPr="00D200D8">
        <w:rPr>
          <w:rFonts w:ascii="Arial" w:hAnsi="Arial" w:cs="Arial"/>
          <w:sz w:val="24"/>
          <w:szCs w:val="24"/>
        </w:rPr>
        <w:t>problema</w:t>
      </w:r>
      <w:r w:rsidR="00DF5101" w:rsidRPr="00D200D8">
        <w:rPr>
          <w:rFonts w:ascii="Arial" w:hAnsi="Arial" w:cs="Arial"/>
          <w:sz w:val="24"/>
          <w:szCs w:val="24"/>
        </w:rPr>
        <w:t>.</w:t>
      </w:r>
      <w:r w:rsidR="00DF5101" w:rsidRPr="00D200D8">
        <w:rPr>
          <w:rStyle w:val="Refdenotaalpie"/>
          <w:rFonts w:ascii="Arial" w:hAnsi="Arial" w:cs="Arial"/>
          <w:sz w:val="24"/>
          <w:szCs w:val="24"/>
        </w:rPr>
        <w:footnoteReference w:id="5"/>
      </w:r>
    </w:p>
    <w:p w14:paraId="61EA66EB" w14:textId="77777777" w:rsidR="0046560A" w:rsidRPr="00D200D8" w:rsidRDefault="0046560A" w:rsidP="00546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B779ED" w14:textId="77777777" w:rsidR="00A4115A" w:rsidRDefault="00A4115A" w:rsidP="00546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2B7C69" w14:textId="55EF12F7" w:rsidR="00137C29" w:rsidRPr="00D200D8" w:rsidRDefault="008C14FE" w:rsidP="00546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lastRenderedPageBreak/>
        <w:t xml:space="preserve">Para contribuir </w:t>
      </w:r>
      <w:r w:rsidR="00007391">
        <w:rPr>
          <w:rFonts w:ascii="Arial" w:hAnsi="Arial" w:cs="Arial"/>
          <w:sz w:val="24"/>
          <w:szCs w:val="24"/>
        </w:rPr>
        <w:t>con e</w:t>
      </w:r>
      <w:r w:rsidR="004264BB" w:rsidRPr="00D200D8">
        <w:rPr>
          <w:rFonts w:ascii="Arial" w:hAnsi="Arial" w:cs="Arial"/>
          <w:sz w:val="24"/>
          <w:szCs w:val="24"/>
        </w:rPr>
        <w:t>l diseño y evaluación de</w:t>
      </w:r>
      <w:r w:rsidR="00B8620B" w:rsidRPr="00D200D8">
        <w:rPr>
          <w:rFonts w:ascii="Arial" w:hAnsi="Arial" w:cs="Arial"/>
          <w:sz w:val="24"/>
          <w:szCs w:val="24"/>
        </w:rPr>
        <w:t xml:space="preserve"> políticas</w:t>
      </w:r>
      <w:r w:rsidR="00EE4E2E" w:rsidRPr="00D200D8">
        <w:rPr>
          <w:rFonts w:ascii="Arial" w:hAnsi="Arial" w:cs="Arial"/>
          <w:sz w:val="24"/>
          <w:szCs w:val="24"/>
        </w:rPr>
        <w:t xml:space="preserve"> </w:t>
      </w:r>
      <w:r w:rsidR="0091443B" w:rsidRPr="00D200D8">
        <w:rPr>
          <w:rFonts w:ascii="Arial" w:hAnsi="Arial" w:cs="Arial"/>
          <w:sz w:val="24"/>
          <w:szCs w:val="24"/>
        </w:rPr>
        <w:t>públicas en la materia</w:t>
      </w:r>
      <w:r w:rsidR="00546B24" w:rsidRPr="00D200D8">
        <w:rPr>
          <w:rFonts w:ascii="Arial" w:hAnsi="Arial" w:cs="Arial"/>
          <w:sz w:val="24"/>
          <w:szCs w:val="24"/>
        </w:rPr>
        <w:t>, e</w:t>
      </w:r>
      <w:r w:rsidR="00A349F1" w:rsidRPr="00D200D8">
        <w:rPr>
          <w:rFonts w:ascii="Arial" w:hAnsi="Arial" w:cs="Arial"/>
          <w:sz w:val="24"/>
          <w:szCs w:val="24"/>
        </w:rPr>
        <w:t>l</w:t>
      </w:r>
      <w:r w:rsidR="00007391">
        <w:rPr>
          <w:rFonts w:ascii="Arial" w:hAnsi="Arial" w:cs="Arial"/>
          <w:sz w:val="24"/>
          <w:szCs w:val="24"/>
        </w:rPr>
        <w:t xml:space="preserve"> Instituto Nacional de Estadística y Geografía</w:t>
      </w:r>
      <w:r w:rsidR="00A349F1" w:rsidRPr="00D200D8">
        <w:rPr>
          <w:rFonts w:ascii="Arial" w:hAnsi="Arial" w:cs="Arial"/>
          <w:sz w:val="24"/>
          <w:szCs w:val="24"/>
        </w:rPr>
        <w:t xml:space="preserve"> </w:t>
      </w:r>
      <w:r w:rsidR="00007391">
        <w:rPr>
          <w:rFonts w:ascii="Arial" w:hAnsi="Arial" w:cs="Arial"/>
          <w:sz w:val="24"/>
          <w:szCs w:val="24"/>
        </w:rPr>
        <w:t>(</w:t>
      </w:r>
      <w:r w:rsidR="00A349F1" w:rsidRPr="00D200D8">
        <w:rPr>
          <w:rFonts w:ascii="Arial" w:hAnsi="Arial" w:cs="Arial"/>
          <w:sz w:val="24"/>
          <w:szCs w:val="24"/>
        </w:rPr>
        <w:t>INEGI</w:t>
      </w:r>
      <w:r w:rsidR="00007391">
        <w:rPr>
          <w:rFonts w:ascii="Arial" w:hAnsi="Arial" w:cs="Arial"/>
          <w:sz w:val="24"/>
          <w:szCs w:val="24"/>
        </w:rPr>
        <w:t>)</w:t>
      </w:r>
      <w:r w:rsidR="007D617C" w:rsidRPr="00D200D8">
        <w:rPr>
          <w:rFonts w:ascii="Arial" w:hAnsi="Arial" w:cs="Arial"/>
          <w:sz w:val="24"/>
          <w:szCs w:val="24"/>
        </w:rPr>
        <w:t xml:space="preserve"> </w:t>
      </w:r>
      <w:r w:rsidRPr="00D200D8">
        <w:rPr>
          <w:rFonts w:ascii="Arial" w:hAnsi="Arial" w:cs="Arial"/>
          <w:sz w:val="24"/>
          <w:szCs w:val="24"/>
        </w:rPr>
        <w:t xml:space="preserve">genera </w:t>
      </w:r>
      <w:r w:rsidR="00FA3AA6" w:rsidRPr="00D200D8">
        <w:rPr>
          <w:rFonts w:ascii="Arial" w:hAnsi="Arial" w:cs="Arial"/>
          <w:sz w:val="24"/>
          <w:szCs w:val="24"/>
        </w:rPr>
        <w:t xml:space="preserve">información </w:t>
      </w:r>
      <w:r w:rsidR="00CB6853" w:rsidRPr="00D200D8">
        <w:rPr>
          <w:rFonts w:ascii="Arial" w:hAnsi="Arial" w:cs="Arial"/>
          <w:sz w:val="24"/>
          <w:szCs w:val="24"/>
        </w:rPr>
        <w:t>que permite caracterizar el fenómeno de la corrupción en México</w:t>
      </w:r>
      <w:r w:rsidR="0064054F">
        <w:rPr>
          <w:rFonts w:ascii="Arial" w:hAnsi="Arial" w:cs="Arial"/>
          <w:sz w:val="24"/>
          <w:szCs w:val="24"/>
        </w:rPr>
        <w:t xml:space="preserve"> </w:t>
      </w:r>
      <w:r w:rsidR="0064054F" w:rsidRPr="00D200D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—</w:t>
      </w:r>
      <w:r w:rsidR="00CB6853" w:rsidRPr="00D200D8">
        <w:rPr>
          <w:rFonts w:ascii="Arial" w:hAnsi="Arial" w:cs="Arial"/>
          <w:color w:val="000000" w:themeColor="text1"/>
          <w:sz w:val="24"/>
          <w:szCs w:val="24"/>
        </w:rPr>
        <w:t>p</w:t>
      </w:r>
      <w:r w:rsidR="00CB6853" w:rsidRPr="00D200D8">
        <w:rPr>
          <w:rFonts w:ascii="Arial" w:hAnsi="Arial" w:cs="Arial"/>
          <w:sz w:val="24"/>
          <w:szCs w:val="24"/>
        </w:rPr>
        <w:t>articularmente el soborno</w:t>
      </w:r>
      <w:r w:rsidR="0064054F" w:rsidRPr="0084588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—</w:t>
      </w:r>
      <w:r w:rsidR="00CB6853" w:rsidRPr="00D200D8">
        <w:rPr>
          <w:rFonts w:ascii="Arial" w:hAnsi="Arial" w:cs="Arial"/>
          <w:sz w:val="24"/>
          <w:szCs w:val="24"/>
        </w:rPr>
        <w:t xml:space="preserve"> y </w:t>
      </w:r>
      <w:r w:rsidR="00FF245D" w:rsidRPr="00D200D8">
        <w:rPr>
          <w:rFonts w:ascii="Arial" w:hAnsi="Arial" w:cs="Arial"/>
          <w:sz w:val="24"/>
          <w:szCs w:val="24"/>
        </w:rPr>
        <w:t>conocer</w:t>
      </w:r>
      <w:r w:rsidR="00CB6853" w:rsidRPr="00D200D8">
        <w:rPr>
          <w:rFonts w:ascii="Arial" w:hAnsi="Arial" w:cs="Arial"/>
          <w:sz w:val="24"/>
          <w:szCs w:val="24"/>
        </w:rPr>
        <w:t xml:space="preserve"> la percepción que </w:t>
      </w:r>
      <w:r w:rsidR="00007391">
        <w:rPr>
          <w:rFonts w:ascii="Arial" w:hAnsi="Arial" w:cs="Arial"/>
          <w:sz w:val="24"/>
          <w:szCs w:val="24"/>
        </w:rPr>
        <w:t xml:space="preserve">la ciudadanía </w:t>
      </w:r>
      <w:r w:rsidR="00CB6853" w:rsidRPr="00D200D8">
        <w:rPr>
          <w:rFonts w:ascii="Arial" w:hAnsi="Arial" w:cs="Arial"/>
          <w:sz w:val="24"/>
          <w:szCs w:val="24"/>
        </w:rPr>
        <w:t>tiene de e</w:t>
      </w:r>
      <w:r w:rsidR="00007391">
        <w:rPr>
          <w:rFonts w:ascii="Arial" w:hAnsi="Arial" w:cs="Arial"/>
          <w:sz w:val="24"/>
          <w:szCs w:val="24"/>
        </w:rPr>
        <w:t>st</w:t>
      </w:r>
      <w:r w:rsidR="00CB6853" w:rsidRPr="00D200D8">
        <w:rPr>
          <w:rFonts w:ascii="Arial" w:hAnsi="Arial" w:cs="Arial"/>
          <w:sz w:val="24"/>
          <w:szCs w:val="24"/>
        </w:rPr>
        <w:t>a</w:t>
      </w:r>
      <w:r w:rsidR="00007391">
        <w:rPr>
          <w:rFonts w:ascii="Arial" w:hAnsi="Arial" w:cs="Arial"/>
          <w:sz w:val="24"/>
          <w:szCs w:val="24"/>
        </w:rPr>
        <w:t>. A</w:t>
      </w:r>
      <w:r w:rsidR="00CB6853" w:rsidRPr="00D200D8">
        <w:rPr>
          <w:rFonts w:ascii="Arial" w:hAnsi="Arial" w:cs="Arial"/>
          <w:sz w:val="24"/>
          <w:szCs w:val="24"/>
        </w:rPr>
        <w:t>simismo, ofrece información sobre l</w:t>
      </w:r>
      <w:r w:rsidR="0032172C" w:rsidRPr="00D200D8">
        <w:rPr>
          <w:rFonts w:ascii="Arial" w:hAnsi="Arial" w:cs="Arial"/>
          <w:sz w:val="24"/>
          <w:szCs w:val="24"/>
        </w:rPr>
        <w:t xml:space="preserve">os recursos </w:t>
      </w:r>
      <w:r w:rsidR="009E748A">
        <w:rPr>
          <w:rFonts w:ascii="Arial" w:hAnsi="Arial" w:cs="Arial"/>
          <w:sz w:val="24"/>
          <w:szCs w:val="24"/>
        </w:rPr>
        <w:t xml:space="preserve">que tienen </w:t>
      </w:r>
      <w:r w:rsidR="0032172C" w:rsidRPr="00D200D8">
        <w:rPr>
          <w:rFonts w:ascii="Arial" w:hAnsi="Arial" w:cs="Arial"/>
          <w:sz w:val="24"/>
          <w:szCs w:val="24"/>
        </w:rPr>
        <w:t>las instituciones públicas</w:t>
      </w:r>
      <w:r w:rsidR="00FF245D" w:rsidRPr="00D200D8">
        <w:rPr>
          <w:rFonts w:ascii="Arial" w:hAnsi="Arial" w:cs="Arial"/>
          <w:sz w:val="24"/>
          <w:szCs w:val="24"/>
        </w:rPr>
        <w:t xml:space="preserve"> </w:t>
      </w:r>
      <w:r w:rsidR="0032172C" w:rsidRPr="00D200D8">
        <w:rPr>
          <w:rFonts w:ascii="Arial" w:hAnsi="Arial" w:cs="Arial"/>
          <w:sz w:val="24"/>
          <w:szCs w:val="24"/>
        </w:rPr>
        <w:t xml:space="preserve">de los tres niveles de gobierno y las </w:t>
      </w:r>
      <w:r w:rsidR="00546B24" w:rsidRPr="00D200D8">
        <w:rPr>
          <w:rFonts w:ascii="Arial" w:hAnsi="Arial" w:cs="Arial"/>
          <w:sz w:val="24"/>
          <w:szCs w:val="24"/>
        </w:rPr>
        <w:t xml:space="preserve">acciones </w:t>
      </w:r>
      <w:r w:rsidR="0032172C" w:rsidRPr="00D200D8">
        <w:rPr>
          <w:rFonts w:ascii="Arial" w:hAnsi="Arial" w:cs="Arial"/>
          <w:sz w:val="24"/>
          <w:szCs w:val="24"/>
        </w:rPr>
        <w:t xml:space="preserve">que llevan a cabo para </w:t>
      </w:r>
      <w:r w:rsidR="004B6BF7" w:rsidRPr="00D200D8">
        <w:rPr>
          <w:rFonts w:ascii="Arial" w:hAnsi="Arial" w:cs="Arial"/>
          <w:sz w:val="24"/>
          <w:szCs w:val="24"/>
        </w:rPr>
        <w:t xml:space="preserve">prevenir </w:t>
      </w:r>
      <w:r w:rsidR="0032172C" w:rsidRPr="00D200D8">
        <w:rPr>
          <w:rFonts w:ascii="Arial" w:hAnsi="Arial" w:cs="Arial"/>
          <w:sz w:val="24"/>
          <w:szCs w:val="24"/>
        </w:rPr>
        <w:t>y sancionar</w:t>
      </w:r>
      <w:r w:rsidR="004B6BF7" w:rsidRPr="00D200D8">
        <w:rPr>
          <w:rFonts w:ascii="Arial" w:hAnsi="Arial" w:cs="Arial"/>
          <w:sz w:val="24"/>
          <w:szCs w:val="24"/>
        </w:rPr>
        <w:t xml:space="preserve"> </w:t>
      </w:r>
      <w:r w:rsidR="0032172C" w:rsidRPr="00D200D8">
        <w:rPr>
          <w:rFonts w:ascii="Arial" w:hAnsi="Arial" w:cs="Arial"/>
          <w:sz w:val="24"/>
          <w:szCs w:val="24"/>
        </w:rPr>
        <w:t>estas prácticas en el quehacer gubernamental</w:t>
      </w:r>
      <w:r w:rsidRPr="00D200D8">
        <w:rPr>
          <w:rFonts w:ascii="Arial" w:hAnsi="Arial" w:cs="Arial"/>
          <w:sz w:val="24"/>
          <w:szCs w:val="24"/>
        </w:rPr>
        <w:t xml:space="preserve">. </w:t>
      </w:r>
      <w:r w:rsidR="0032172C" w:rsidRPr="00D200D8">
        <w:rPr>
          <w:rFonts w:ascii="Arial" w:hAnsi="Arial" w:cs="Arial"/>
          <w:sz w:val="24"/>
          <w:szCs w:val="24"/>
        </w:rPr>
        <w:t xml:space="preserve">La información que </w:t>
      </w:r>
      <w:r w:rsidR="00FF245D" w:rsidRPr="00D200D8">
        <w:rPr>
          <w:rFonts w:ascii="Arial" w:hAnsi="Arial" w:cs="Arial"/>
          <w:sz w:val="24"/>
          <w:szCs w:val="24"/>
        </w:rPr>
        <w:t>brinda</w:t>
      </w:r>
      <w:r w:rsidR="0032172C" w:rsidRPr="00D200D8">
        <w:rPr>
          <w:rFonts w:ascii="Arial" w:hAnsi="Arial" w:cs="Arial"/>
          <w:sz w:val="24"/>
          <w:szCs w:val="24"/>
        </w:rPr>
        <w:t xml:space="preserve"> el INEGI </w:t>
      </w:r>
      <w:r w:rsidR="00FF245D" w:rsidRPr="00D200D8">
        <w:rPr>
          <w:rFonts w:ascii="Arial" w:hAnsi="Arial" w:cs="Arial"/>
          <w:sz w:val="24"/>
          <w:szCs w:val="24"/>
        </w:rPr>
        <w:t xml:space="preserve">también </w:t>
      </w:r>
      <w:r w:rsidR="0032172C" w:rsidRPr="00D200D8">
        <w:rPr>
          <w:rFonts w:ascii="Arial" w:hAnsi="Arial" w:cs="Arial"/>
          <w:sz w:val="24"/>
          <w:szCs w:val="24"/>
        </w:rPr>
        <w:t xml:space="preserve">permite dar </w:t>
      </w:r>
      <w:r w:rsidR="00546B24" w:rsidRPr="00D200D8">
        <w:rPr>
          <w:rFonts w:ascii="Arial" w:hAnsi="Arial" w:cs="Arial"/>
          <w:sz w:val="24"/>
          <w:szCs w:val="24"/>
        </w:rPr>
        <w:t xml:space="preserve">seguimiento a diferentes objetivos nacionales e </w:t>
      </w:r>
      <w:r w:rsidR="00FA3AA6" w:rsidRPr="00D200D8">
        <w:rPr>
          <w:rFonts w:ascii="Arial" w:hAnsi="Arial" w:cs="Arial"/>
          <w:sz w:val="24"/>
          <w:szCs w:val="24"/>
        </w:rPr>
        <w:t>internacionales</w:t>
      </w:r>
      <w:r w:rsidR="007D617C" w:rsidRPr="00D200D8">
        <w:rPr>
          <w:rFonts w:ascii="Arial" w:hAnsi="Arial" w:cs="Arial"/>
          <w:sz w:val="24"/>
          <w:szCs w:val="24"/>
        </w:rPr>
        <w:t>,</w:t>
      </w:r>
      <w:r w:rsidR="005B5B97" w:rsidRPr="00D200D8">
        <w:rPr>
          <w:rFonts w:ascii="Arial" w:hAnsi="Arial" w:cs="Arial"/>
          <w:sz w:val="24"/>
          <w:szCs w:val="24"/>
        </w:rPr>
        <w:t xml:space="preserve"> </w:t>
      </w:r>
      <w:r w:rsidR="004B6BF7" w:rsidRPr="00D200D8">
        <w:rPr>
          <w:rFonts w:ascii="Arial" w:hAnsi="Arial" w:cs="Arial"/>
          <w:sz w:val="24"/>
          <w:szCs w:val="24"/>
        </w:rPr>
        <w:t>tal</w:t>
      </w:r>
      <w:r w:rsidR="009E748A">
        <w:rPr>
          <w:rFonts w:ascii="Arial" w:hAnsi="Arial" w:cs="Arial"/>
          <w:sz w:val="24"/>
          <w:szCs w:val="24"/>
        </w:rPr>
        <w:t xml:space="preserve"> es el caso de </w:t>
      </w:r>
      <w:r w:rsidR="002778B2" w:rsidRPr="00D200D8">
        <w:rPr>
          <w:rFonts w:ascii="Arial" w:hAnsi="Arial" w:cs="Arial"/>
          <w:sz w:val="24"/>
          <w:szCs w:val="24"/>
        </w:rPr>
        <w:t>la Política Nacional Anticorrupción</w:t>
      </w:r>
      <w:r w:rsidR="001022AB" w:rsidRPr="00D200D8">
        <w:rPr>
          <w:rFonts w:ascii="Arial" w:hAnsi="Arial" w:cs="Arial"/>
          <w:sz w:val="24"/>
          <w:szCs w:val="24"/>
        </w:rPr>
        <w:t xml:space="preserve"> </w:t>
      </w:r>
      <w:r w:rsidR="0032172C" w:rsidRPr="00D200D8">
        <w:rPr>
          <w:rFonts w:ascii="Arial" w:hAnsi="Arial" w:cs="Arial"/>
          <w:sz w:val="24"/>
          <w:szCs w:val="24"/>
        </w:rPr>
        <w:t>y</w:t>
      </w:r>
      <w:r w:rsidR="00433787" w:rsidRPr="00D200D8">
        <w:rPr>
          <w:rFonts w:ascii="Arial" w:hAnsi="Arial" w:cs="Arial"/>
          <w:sz w:val="24"/>
          <w:szCs w:val="24"/>
        </w:rPr>
        <w:t xml:space="preserve"> </w:t>
      </w:r>
      <w:r w:rsidR="00546B24" w:rsidRPr="00D200D8">
        <w:rPr>
          <w:rFonts w:ascii="Arial" w:hAnsi="Arial" w:cs="Arial"/>
          <w:sz w:val="24"/>
          <w:szCs w:val="24"/>
        </w:rPr>
        <w:t xml:space="preserve">los Objetivos de Desarrollo Sostenible, cuya </w:t>
      </w:r>
      <w:r w:rsidR="00AA1BA5" w:rsidRPr="00D200D8">
        <w:rPr>
          <w:rFonts w:ascii="Arial" w:hAnsi="Arial" w:cs="Arial"/>
          <w:sz w:val="24"/>
          <w:szCs w:val="24"/>
        </w:rPr>
        <w:t xml:space="preserve">meta 16.5 </w:t>
      </w:r>
      <w:r w:rsidR="00546B24" w:rsidRPr="00D200D8">
        <w:rPr>
          <w:rFonts w:ascii="Arial" w:hAnsi="Arial" w:cs="Arial"/>
          <w:sz w:val="24"/>
          <w:szCs w:val="24"/>
        </w:rPr>
        <w:t xml:space="preserve">se centra en </w:t>
      </w:r>
      <w:r w:rsidR="00AA1BA5" w:rsidRPr="00D200D8">
        <w:rPr>
          <w:rFonts w:ascii="Arial" w:hAnsi="Arial" w:cs="Arial"/>
          <w:sz w:val="24"/>
          <w:szCs w:val="24"/>
        </w:rPr>
        <w:t>reducir la corrupción y el soborno</w:t>
      </w:r>
      <w:r w:rsidR="001022AB" w:rsidRPr="00D200D8">
        <w:rPr>
          <w:rFonts w:ascii="Arial" w:hAnsi="Arial" w:cs="Arial"/>
          <w:sz w:val="24"/>
          <w:szCs w:val="24"/>
        </w:rPr>
        <w:t>.</w:t>
      </w:r>
      <w:r w:rsidR="000C0111" w:rsidRPr="00D200D8">
        <w:rPr>
          <w:rStyle w:val="Refdenotaalpie"/>
          <w:rFonts w:ascii="Arial" w:hAnsi="Arial" w:cs="Arial"/>
          <w:sz w:val="24"/>
          <w:szCs w:val="24"/>
        </w:rPr>
        <w:footnoteReference w:id="6"/>
      </w:r>
    </w:p>
    <w:p w14:paraId="7409EF5E" w14:textId="77777777" w:rsidR="00361BDD" w:rsidRPr="00D200D8" w:rsidRDefault="00361BDD" w:rsidP="00546B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2E5DD8" w14:textId="656F332F" w:rsidR="00F3319A" w:rsidRPr="00D200D8" w:rsidRDefault="00437C01" w:rsidP="0013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>A</w:t>
      </w:r>
      <w:r w:rsidR="007D617C" w:rsidRPr="00D200D8">
        <w:rPr>
          <w:rFonts w:ascii="Arial" w:hAnsi="Arial" w:cs="Arial"/>
          <w:sz w:val="24"/>
          <w:szCs w:val="24"/>
        </w:rPr>
        <w:t xml:space="preserve"> partir de los datos de la Encuesta Nacional </w:t>
      </w:r>
      <w:r w:rsidR="001977D1" w:rsidRPr="00D200D8">
        <w:rPr>
          <w:rFonts w:ascii="Arial" w:hAnsi="Arial" w:cs="Arial"/>
          <w:sz w:val="24"/>
          <w:szCs w:val="24"/>
        </w:rPr>
        <w:t xml:space="preserve">de Calidad e Impacto </w:t>
      </w:r>
      <w:r w:rsidR="007D617C" w:rsidRPr="00D200D8">
        <w:rPr>
          <w:rFonts w:ascii="Arial" w:hAnsi="Arial" w:cs="Arial"/>
          <w:sz w:val="24"/>
          <w:szCs w:val="24"/>
        </w:rPr>
        <w:t>Gubernamental (ENCIG) 2021, la Encuesta Nacional de Calidad Regulatoria e Impacto Gubernamental en Empresas (ENCRIGE) 2020, el Censo Nacional de Gobiernos Estatales (CNGE) 2022 y el Censo Nacional de Gobiernos Municipales y Demarcaciones Territoriales d</w:t>
      </w:r>
      <w:r w:rsidR="00007391">
        <w:rPr>
          <w:rFonts w:ascii="Arial" w:hAnsi="Arial" w:cs="Arial"/>
          <w:sz w:val="24"/>
          <w:szCs w:val="24"/>
        </w:rPr>
        <w:t>e</w:t>
      </w:r>
      <w:r w:rsidR="007D617C" w:rsidRPr="00D200D8">
        <w:rPr>
          <w:rFonts w:ascii="Arial" w:hAnsi="Arial" w:cs="Arial"/>
          <w:sz w:val="24"/>
          <w:szCs w:val="24"/>
        </w:rPr>
        <w:t xml:space="preserve"> Ciudad de México (CNGMD) 2021,</w:t>
      </w:r>
      <w:r w:rsidR="007D617C" w:rsidRPr="00D200D8">
        <w:rPr>
          <w:rStyle w:val="Refdenotaalpie"/>
          <w:rFonts w:ascii="Arial" w:hAnsi="Arial" w:cs="Arial"/>
          <w:sz w:val="24"/>
          <w:szCs w:val="24"/>
        </w:rPr>
        <w:footnoteReference w:id="7"/>
      </w:r>
      <w:r w:rsidR="007D617C" w:rsidRPr="00D200D8">
        <w:rPr>
          <w:rFonts w:ascii="Arial" w:hAnsi="Arial" w:cs="Arial"/>
          <w:sz w:val="24"/>
          <w:szCs w:val="24"/>
        </w:rPr>
        <w:t xml:space="preserve"> </w:t>
      </w:r>
      <w:r w:rsidR="00A23F52" w:rsidRPr="00D200D8">
        <w:rPr>
          <w:rFonts w:ascii="Arial" w:hAnsi="Arial" w:cs="Arial"/>
          <w:sz w:val="24"/>
          <w:szCs w:val="24"/>
        </w:rPr>
        <w:t>este</w:t>
      </w:r>
      <w:r w:rsidR="001577FC" w:rsidRPr="00D200D8">
        <w:rPr>
          <w:rFonts w:ascii="Arial" w:hAnsi="Arial" w:cs="Arial"/>
          <w:sz w:val="24"/>
          <w:szCs w:val="24"/>
        </w:rPr>
        <w:t xml:space="preserve"> comunicado</w:t>
      </w:r>
      <w:r w:rsidR="00CF74FC" w:rsidRPr="00D200D8">
        <w:rPr>
          <w:rFonts w:ascii="Arial" w:hAnsi="Arial" w:cs="Arial"/>
          <w:sz w:val="24"/>
          <w:szCs w:val="24"/>
        </w:rPr>
        <w:t xml:space="preserve"> </w:t>
      </w:r>
      <w:r w:rsidR="00C53051" w:rsidRPr="00D200D8">
        <w:rPr>
          <w:rFonts w:ascii="Arial" w:hAnsi="Arial" w:cs="Arial"/>
          <w:sz w:val="24"/>
          <w:szCs w:val="24"/>
        </w:rPr>
        <w:t>ofrece</w:t>
      </w:r>
      <w:r w:rsidR="00CF74FC" w:rsidRPr="00D200D8">
        <w:rPr>
          <w:rFonts w:ascii="Arial" w:hAnsi="Arial" w:cs="Arial"/>
          <w:sz w:val="24"/>
          <w:szCs w:val="24"/>
        </w:rPr>
        <w:t xml:space="preserve"> </w:t>
      </w:r>
      <w:r w:rsidR="0087023C" w:rsidRPr="00D200D8">
        <w:rPr>
          <w:rFonts w:ascii="Arial" w:hAnsi="Arial" w:cs="Arial"/>
          <w:sz w:val="24"/>
          <w:szCs w:val="24"/>
        </w:rPr>
        <w:t>datos</w:t>
      </w:r>
      <w:r w:rsidR="00CF74FC" w:rsidRPr="00D200D8">
        <w:rPr>
          <w:rFonts w:ascii="Arial" w:hAnsi="Arial" w:cs="Arial"/>
          <w:sz w:val="24"/>
          <w:szCs w:val="24"/>
        </w:rPr>
        <w:t xml:space="preserve"> </w:t>
      </w:r>
      <w:r w:rsidR="00A23F52" w:rsidRPr="00D200D8">
        <w:rPr>
          <w:rFonts w:ascii="Arial" w:hAnsi="Arial" w:cs="Arial"/>
          <w:sz w:val="24"/>
          <w:szCs w:val="24"/>
        </w:rPr>
        <w:t xml:space="preserve">sobre </w:t>
      </w:r>
      <w:r w:rsidR="00676C6B" w:rsidRPr="00D200D8">
        <w:rPr>
          <w:rFonts w:ascii="Arial" w:hAnsi="Arial" w:cs="Arial"/>
          <w:sz w:val="24"/>
          <w:szCs w:val="24"/>
        </w:rPr>
        <w:t>la</w:t>
      </w:r>
      <w:r w:rsidR="00A23F52" w:rsidRPr="00D200D8">
        <w:rPr>
          <w:rFonts w:ascii="Arial" w:hAnsi="Arial" w:cs="Arial"/>
          <w:sz w:val="24"/>
          <w:szCs w:val="24"/>
        </w:rPr>
        <w:t xml:space="preserve"> </w:t>
      </w:r>
      <w:r w:rsidR="00D05F41" w:rsidRPr="00D200D8">
        <w:rPr>
          <w:rFonts w:ascii="Arial" w:hAnsi="Arial" w:cs="Arial"/>
          <w:sz w:val="24"/>
          <w:szCs w:val="24"/>
        </w:rPr>
        <w:t>prevalencia de la corrupción</w:t>
      </w:r>
      <w:r w:rsidR="0087023C" w:rsidRPr="00D200D8">
        <w:rPr>
          <w:rFonts w:ascii="Arial" w:hAnsi="Arial" w:cs="Arial"/>
          <w:sz w:val="24"/>
          <w:szCs w:val="24"/>
        </w:rPr>
        <w:t xml:space="preserve"> en México</w:t>
      </w:r>
      <w:r w:rsidR="009E748A">
        <w:rPr>
          <w:rFonts w:ascii="Arial" w:hAnsi="Arial" w:cs="Arial"/>
          <w:sz w:val="24"/>
          <w:szCs w:val="24"/>
        </w:rPr>
        <w:t>. Además, ahonda sobre l</w:t>
      </w:r>
      <w:r w:rsidR="0087023C" w:rsidRPr="00D200D8">
        <w:rPr>
          <w:rFonts w:ascii="Arial" w:hAnsi="Arial" w:cs="Arial"/>
          <w:sz w:val="24"/>
          <w:szCs w:val="24"/>
        </w:rPr>
        <w:t>os costos que</w:t>
      </w:r>
      <w:r w:rsidR="00923EE4">
        <w:rPr>
          <w:rFonts w:ascii="Arial" w:hAnsi="Arial" w:cs="Arial"/>
          <w:sz w:val="24"/>
          <w:szCs w:val="24"/>
        </w:rPr>
        <w:t xml:space="preserve"> esta</w:t>
      </w:r>
      <w:r w:rsidR="0087023C" w:rsidRPr="00D200D8">
        <w:rPr>
          <w:rFonts w:ascii="Arial" w:hAnsi="Arial" w:cs="Arial"/>
          <w:sz w:val="24"/>
          <w:szCs w:val="24"/>
        </w:rPr>
        <w:t xml:space="preserve"> origina, la percepción que se tiene de </w:t>
      </w:r>
      <w:r w:rsidR="00923EE4">
        <w:rPr>
          <w:rFonts w:ascii="Arial" w:hAnsi="Arial" w:cs="Arial"/>
          <w:sz w:val="24"/>
          <w:szCs w:val="24"/>
        </w:rPr>
        <w:t>su</w:t>
      </w:r>
      <w:r w:rsidR="0087023C" w:rsidRPr="00D200D8">
        <w:rPr>
          <w:rFonts w:ascii="Arial" w:hAnsi="Arial" w:cs="Arial"/>
          <w:sz w:val="24"/>
          <w:szCs w:val="24"/>
        </w:rPr>
        <w:t xml:space="preserve"> práctica</w:t>
      </w:r>
      <w:r w:rsidR="00D05F41" w:rsidRPr="00D200D8">
        <w:rPr>
          <w:rFonts w:ascii="Arial" w:hAnsi="Arial" w:cs="Arial"/>
          <w:sz w:val="24"/>
          <w:szCs w:val="24"/>
        </w:rPr>
        <w:t xml:space="preserve">, </w:t>
      </w:r>
      <w:r w:rsidR="00E10017" w:rsidRPr="00D200D8">
        <w:rPr>
          <w:rFonts w:ascii="Arial" w:hAnsi="Arial" w:cs="Arial"/>
          <w:sz w:val="24"/>
          <w:szCs w:val="24"/>
        </w:rPr>
        <w:t>así como</w:t>
      </w:r>
      <w:r w:rsidR="00500296" w:rsidRPr="00D200D8">
        <w:rPr>
          <w:rFonts w:ascii="Arial" w:hAnsi="Arial" w:cs="Arial"/>
          <w:sz w:val="24"/>
          <w:szCs w:val="24"/>
        </w:rPr>
        <w:t xml:space="preserve"> </w:t>
      </w:r>
      <w:r w:rsidR="0087023C" w:rsidRPr="00D200D8">
        <w:rPr>
          <w:rFonts w:ascii="Arial" w:hAnsi="Arial" w:cs="Arial"/>
          <w:sz w:val="24"/>
          <w:szCs w:val="24"/>
        </w:rPr>
        <w:t xml:space="preserve">de la capacitación que las administraciones públicas estatales y municipales brindan a </w:t>
      </w:r>
      <w:r w:rsidR="009E748A">
        <w:rPr>
          <w:rFonts w:ascii="Arial" w:hAnsi="Arial" w:cs="Arial"/>
          <w:sz w:val="24"/>
          <w:szCs w:val="24"/>
        </w:rPr>
        <w:t xml:space="preserve">las y </w:t>
      </w:r>
      <w:r w:rsidR="0087023C" w:rsidRPr="00D200D8">
        <w:rPr>
          <w:rFonts w:ascii="Arial" w:hAnsi="Arial" w:cs="Arial"/>
          <w:sz w:val="24"/>
          <w:szCs w:val="24"/>
        </w:rPr>
        <w:t xml:space="preserve">los servidores públicos </w:t>
      </w:r>
      <w:r w:rsidR="009E748A">
        <w:rPr>
          <w:rFonts w:ascii="Arial" w:hAnsi="Arial" w:cs="Arial"/>
          <w:sz w:val="24"/>
          <w:szCs w:val="24"/>
        </w:rPr>
        <w:t xml:space="preserve">para combatirla. </w:t>
      </w:r>
    </w:p>
    <w:p w14:paraId="3CEF8A59" w14:textId="77777777" w:rsidR="00AB2A6E" w:rsidRPr="00D200D8" w:rsidRDefault="00AB2A6E" w:rsidP="004656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F31712" w14:textId="67331AF8" w:rsidR="008109D8" w:rsidRPr="0097661E" w:rsidRDefault="00225DDF" w:rsidP="0046560A">
      <w:pPr>
        <w:spacing w:after="0" w:line="276" w:lineRule="auto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 w:rsidRPr="0097661E">
        <w:rPr>
          <w:rFonts w:ascii="Arial" w:hAnsi="Arial" w:cs="Arial"/>
          <w:b/>
          <w:bCs/>
          <w:smallCaps/>
          <w:sz w:val="24"/>
          <w:szCs w:val="24"/>
          <w:lang w:val="es-ES"/>
        </w:rPr>
        <w:t>Prevalencia y percepción de la corrupción</w:t>
      </w:r>
    </w:p>
    <w:p w14:paraId="2E9E8332" w14:textId="77777777" w:rsidR="0046560A" w:rsidRPr="00D200D8" w:rsidRDefault="0046560A" w:rsidP="0046560A">
      <w:pPr>
        <w:spacing w:after="0" w:line="276" w:lineRule="auto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</w:p>
    <w:p w14:paraId="508479FD" w14:textId="072C4C34" w:rsidR="005D6CCC" w:rsidRPr="00D200D8" w:rsidRDefault="00F80FA7" w:rsidP="00AC31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 xml:space="preserve">De acuerdo con datos de la ENCIG 2021, 57.1 % de </w:t>
      </w:r>
      <w:r w:rsidR="007F63DB" w:rsidRPr="00D200D8">
        <w:rPr>
          <w:rFonts w:ascii="Arial" w:hAnsi="Arial" w:cs="Arial"/>
          <w:sz w:val="24"/>
          <w:szCs w:val="24"/>
        </w:rPr>
        <w:t>la</w:t>
      </w:r>
      <w:r w:rsidR="007D617C" w:rsidRPr="00D200D8">
        <w:rPr>
          <w:rFonts w:ascii="Arial" w:hAnsi="Arial" w:cs="Arial"/>
          <w:sz w:val="24"/>
          <w:szCs w:val="24"/>
        </w:rPr>
        <w:t xml:space="preserve"> población</w:t>
      </w:r>
      <w:r w:rsidRPr="00D200D8">
        <w:rPr>
          <w:rFonts w:ascii="Arial" w:hAnsi="Arial" w:cs="Arial"/>
          <w:sz w:val="24"/>
          <w:szCs w:val="24"/>
          <w:vertAlign w:val="superscript"/>
        </w:rPr>
        <w:footnoteReference w:id="8"/>
      </w:r>
      <w:r w:rsidRPr="00D200D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F63DB" w:rsidRPr="00D200D8">
        <w:rPr>
          <w:rFonts w:ascii="Arial" w:hAnsi="Arial" w:cs="Arial"/>
          <w:sz w:val="24"/>
          <w:szCs w:val="24"/>
        </w:rPr>
        <w:t xml:space="preserve">consideró </w:t>
      </w:r>
      <w:r w:rsidR="004B6BF7" w:rsidRPr="00D200D8">
        <w:rPr>
          <w:rFonts w:ascii="Arial" w:hAnsi="Arial" w:cs="Arial"/>
          <w:sz w:val="24"/>
          <w:szCs w:val="24"/>
        </w:rPr>
        <w:t>a</w:t>
      </w:r>
      <w:r w:rsidR="003F25B1" w:rsidRPr="00D200D8">
        <w:rPr>
          <w:rFonts w:ascii="Arial" w:hAnsi="Arial" w:cs="Arial"/>
          <w:sz w:val="24"/>
          <w:szCs w:val="24"/>
        </w:rPr>
        <w:t xml:space="preserve"> </w:t>
      </w:r>
      <w:r w:rsidRPr="00D200D8">
        <w:rPr>
          <w:rFonts w:ascii="Arial" w:hAnsi="Arial" w:cs="Arial"/>
          <w:sz w:val="24"/>
          <w:szCs w:val="24"/>
        </w:rPr>
        <w:t xml:space="preserve">la corrupción </w:t>
      </w:r>
      <w:r w:rsidR="003F25B1" w:rsidRPr="00D200D8">
        <w:rPr>
          <w:rFonts w:ascii="Arial" w:hAnsi="Arial" w:cs="Arial"/>
          <w:sz w:val="24"/>
          <w:szCs w:val="24"/>
        </w:rPr>
        <w:t xml:space="preserve">como </w:t>
      </w:r>
      <w:r w:rsidRPr="00D200D8">
        <w:rPr>
          <w:rFonts w:ascii="Arial" w:hAnsi="Arial" w:cs="Arial"/>
          <w:sz w:val="24"/>
          <w:szCs w:val="24"/>
        </w:rPr>
        <w:t>uno de los problemas más importantes en su entidad federativa</w:t>
      </w:r>
      <w:r w:rsidR="00AA4FEC">
        <w:rPr>
          <w:rFonts w:ascii="Arial" w:hAnsi="Arial" w:cs="Arial"/>
          <w:sz w:val="24"/>
          <w:szCs w:val="24"/>
        </w:rPr>
        <w:t xml:space="preserve">. Se ubicó </w:t>
      </w:r>
      <w:r w:rsidRPr="00D200D8">
        <w:rPr>
          <w:rFonts w:ascii="Arial" w:hAnsi="Arial" w:cs="Arial"/>
          <w:sz w:val="24"/>
          <w:szCs w:val="24"/>
        </w:rPr>
        <w:t>solo por debajo d</w:t>
      </w:r>
      <w:r w:rsidR="0059124B" w:rsidRPr="00D200D8">
        <w:rPr>
          <w:rFonts w:ascii="Arial" w:hAnsi="Arial" w:cs="Arial"/>
          <w:sz w:val="24"/>
          <w:szCs w:val="24"/>
        </w:rPr>
        <w:t xml:space="preserve">el problema de </w:t>
      </w:r>
      <w:r w:rsidRPr="00D200D8">
        <w:rPr>
          <w:rFonts w:ascii="Arial" w:hAnsi="Arial" w:cs="Arial"/>
          <w:sz w:val="24"/>
          <w:szCs w:val="24"/>
        </w:rPr>
        <w:t xml:space="preserve">inseguridad </w:t>
      </w:r>
      <w:r w:rsidR="0059124B" w:rsidRPr="00D200D8">
        <w:rPr>
          <w:rFonts w:ascii="Arial" w:hAnsi="Arial" w:cs="Arial"/>
          <w:sz w:val="24"/>
          <w:szCs w:val="24"/>
        </w:rPr>
        <w:t>pública</w:t>
      </w:r>
      <w:r w:rsidR="00AA4FEC">
        <w:rPr>
          <w:rFonts w:ascii="Arial" w:hAnsi="Arial" w:cs="Arial"/>
          <w:sz w:val="24"/>
          <w:szCs w:val="24"/>
        </w:rPr>
        <w:t>.</w:t>
      </w:r>
      <w:r w:rsidR="0059124B" w:rsidRPr="00D200D8">
        <w:rPr>
          <w:rStyle w:val="Refdenotaalpie"/>
          <w:rFonts w:ascii="Arial" w:hAnsi="Arial" w:cs="Arial"/>
          <w:sz w:val="24"/>
          <w:szCs w:val="24"/>
        </w:rPr>
        <w:footnoteReference w:id="9"/>
      </w:r>
      <w:r w:rsidRPr="00D200D8">
        <w:rPr>
          <w:rFonts w:ascii="Arial" w:hAnsi="Arial" w:cs="Arial"/>
          <w:sz w:val="24"/>
          <w:szCs w:val="24"/>
        </w:rPr>
        <w:t xml:space="preserve"> </w:t>
      </w:r>
      <w:r w:rsidR="003F25B1" w:rsidRPr="00D200D8">
        <w:rPr>
          <w:rFonts w:ascii="Arial" w:hAnsi="Arial" w:cs="Arial"/>
          <w:sz w:val="24"/>
          <w:szCs w:val="24"/>
        </w:rPr>
        <w:t xml:space="preserve">En cuanto a las prácticas de corrupción, </w:t>
      </w:r>
      <w:r w:rsidR="00AA4FEC">
        <w:rPr>
          <w:rFonts w:ascii="Arial" w:hAnsi="Arial" w:cs="Arial"/>
          <w:sz w:val="24"/>
          <w:szCs w:val="24"/>
        </w:rPr>
        <w:t>en 2021,</w:t>
      </w:r>
      <w:r w:rsidR="00023FAC">
        <w:rPr>
          <w:rFonts w:ascii="Arial" w:hAnsi="Arial" w:cs="Arial"/>
          <w:sz w:val="24"/>
          <w:szCs w:val="24"/>
        </w:rPr>
        <w:t xml:space="preserve">        </w:t>
      </w:r>
      <w:r w:rsidR="005530FC" w:rsidRPr="00D200D8">
        <w:rPr>
          <w:rFonts w:ascii="Arial" w:hAnsi="Arial" w:cs="Arial"/>
          <w:sz w:val="24"/>
          <w:szCs w:val="24"/>
        </w:rPr>
        <w:t xml:space="preserve">14.7 % </w:t>
      </w:r>
      <w:r w:rsidR="00A30EC7" w:rsidRPr="00D200D8">
        <w:rPr>
          <w:rFonts w:ascii="Arial" w:hAnsi="Arial" w:cs="Arial"/>
          <w:sz w:val="24"/>
          <w:szCs w:val="24"/>
        </w:rPr>
        <w:t>de</w:t>
      </w:r>
      <w:r w:rsidR="005530FC" w:rsidRPr="00D200D8">
        <w:rPr>
          <w:rFonts w:ascii="Arial" w:hAnsi="Arial" w:cs="Arial"/>
          <w:sz w:val="24"/>
          <w:szCs w:val="24"/>
        </w:rPr>
        <w:t xml:space="preserve"> la población de 18 años y más</w:t>
      </w:r>
      <w:r w:rsidR="007011ED" w:rsidRPr="00D200D8">
        <w:rPr>
          <w:rFonts w:ascii="Arial" w:hAnsi="Arial" w:cs="Arial"/>
          <w:sz w:val="24"/>
          <w:szCs w:val="24"/>
        </w:rPr>
        <w:t xml:space="preserve"> </w:t>
      </w:r>
      <w:r w:rsidR="00A55B79" w:rsidRPr="00D200D8">
        <w:rPr>
          <w:rFonts w:ascii="Arial" w:hAnsi="Arial" w:cs="Arial"/>
          <w:sz w:val="24"/>
          <w:szCs w:val="24"/>
        </w:rPr>
        <w:t xml:space="preserve">fue víctima de </w:t>
      </w:r>
      <w:r w:rsidR="005530FC" w:rsidRPr="00D200D8">
        <w:rPr>
          <w:rFonts w:ascii="Arial" w:hAnsi="Arial" w:cs="Arial"/>
          <w:sz w:val="24"/>
          <w:szCs w:val="24"/>
        </w:rPr>
        <w:t>algún acto de corrupción</w:t>
      </w:r>
      <w:r w:rsidR="003F25B1" w:rsidRPr="00D200D8">
        <w:rPr>
          <w:rFonts w:ascii="Arial" w:hAnsi="Arial" w:cs="Arial"/>
          <w:sz w:val="24"/>
          <w:szCs w:val="24"/>
        </w:rPr>
        <w:t xml:space="preserve"> </w:t>
      </w:r>
      <w:r w:rsidR="00F25849" w:rsidRPr="00D200D8">
        <w:rPr>
          <w:rFonts w:ascii="Arial" w:hAnsi="Arial" w:cs="Arial"/>
          <w:sz w:val="24"/>
          <w:szCs w:val="24"/>
        </w:rPr>
        <w:t>al realizar</w:t>
      </w:r>
      <w:r w:rsidR="003F25B1" w:rsidRPr="00D200D8">
        <w:rPr>
          <w:rFonts w:ascii="Arial" w:hAnsi="Arial" w:cs="Arial"/>
          <w:sz w:val="24"/>
          <w:szCs w:val="24"/>
        </w:rPr>
        <w:t xml:space="preserve"> trámite</w:t>
      </w:r>
      <w:r w:rsidR="00DF30B1" w:rsidRPr="00D200D8">
        <w:rPr>
          <w:rFonts w:ascii="Arial" w:hAnsi="Arial" w:cs="Arial"/>
          <w:sz w:val="24"/>
          <w:szCs w:val="24"/>
        </w:rPr>
        <w:t>s</w:t>
      </w:r>
      <w:r w:rsidR="003F25B1" w:rsidRPr="00D200D8">
        <w:rPr>
          <w:rFonts w:ascii="Arial" w:hAnsi="Arial" w:cs="Arial"/>
          <w:sz w:val="24"/>
          <w:szCs w:val="24"/>
        </w:rPr>
        <w:t xml:space="preserve"> o</w:t>
      </w:r>
      <w:r w:rsidR="00F25849" w:rsidRPr="00D200D8">
        <w:rPr>
          <w:rFonts w:ascii="Arial" w:hAnsi="Arial" w:cs="Arial"/>
          <w:sz w:val="24"/>
          <w:szCs w:val="24"/>
        </w:rPr>
        <w:t xml:space="preserve"> solicitar</w:t>
      </w:r>
      <w:r w:rsidR="003F25B1" w:rsidRPr="00D200D8">
        <w:rPr>
          <w:rFonts w:ascii="Arial" w:hAnsi="Arial" w:cs="Arial"/>
          <w:sz w:val="24"/>
          <w:szCs w:val="24"/>
        </w:rPr>
        <w:t xml:space="preserve"> servicios público</w:t>
      </w:r>
      <w:r w:rsidR="00F25849" w:rsidRPr="00D200D8">
        <w:rPr>
          <w:rFonts w:ascii="Arial" w:hAnsi="Arial" w:cs="Arial"/>
          <w:sz w:val="24"/>
          <w:szCs w:val="24"/>
        </w:rPr>
        <w:t>s</w:t>
      </w:r>
      <w:r w:rsidR="005530FC" w:rsidRPr="00D200D8">
        <w:rPr>
          <w:rFonts w:ascii="Arial" w:hAnsi="Arial" w:cs="Arial"/>
          <w:sz w:val="24"/>
          <w:szCs w:val="24"/>
        </w:rPr>
        <w:t xml:space="preserve">. </w:t>
      </w:r>
      <w:r w:rsidR="007011ED" w:rsidRPr="00D200D8">
        <w:rPr>
          <w:rFonts w:ascii="Arial" w:hAnsi="Arial" w:cs="Arial"/>
          <w:sz w:val="24"/>
          <w:szCs w:val="24"/>
        </w:rPr>
        <w:t>Si</w:t>
      </w:r>
      <w:r w:rsidR="00274FD1" w:rsidRPr="00D200D8">
        <w:rPr>
          <w:rFonts w:ascii="Arial" w:hAnsi="Arial" w:cs="Arial"/>
          <w:sz w:val="24"/>
          <w:szCs w:val="24"/>
        </w:rPr>
        <w:t xml:space="preserve"> bien en </w:t>
      </w:r>
      <w:r w:rsidR="00896784" w:rsidRPr="00D200D8">
        <w:rPr>
          <w:rFonts w:ascii="Arial" w:hAnsi="Arial" w:cs="Arial"/>
          <w:sz w:val="24"/>
          <w:szCs w:val="24"/>
        </w:rPr>
        <w:t xml:space="preserve">ese año </w:t>
      </w:r>
      <w:r w:rsidR="00274FD1" w:rsidRPr="00D200D8">
        <w:rPr>
          <w:rFonts w:ascii="Arial" w:hAnsi="Arial" w:cs="Arial"/>
          <w:sz w:val="24"/>
          <w:szCs w:val="24"/>
        </w:rPr>
        <w:t xml:space="preserve">se </w:t>
      </w:r>
      <w:r w:rsidR="00896784" w:rsidRPr="00D200D8">
        <w:rPr>
          <w:rFonts w:ascii="Arial" w:hAnsi="Arial" w:cs="Arial"/>
          <w:sz w:val="24"/>
          <w:szCs w:val="24"/>
        </w:rPr>
        <w:t>observó</w:t>
      </w:r>
      <w:r w:rsidR="00274FD1" w:rsidRPr="00D200D8">
        <w:rPr>
          <w:rFonts w:ascii="Arial" w:hAnsi="Arial" w:cs="Arial"/>
          <w:sz w:val="24"/>
          <w:szCs w:val="24"/>
        </w:rPr>
        <w:t xml:space="preserve"> una disminución respecto a 2019, la prevalencia contin</w:t>
      </w:r>
      <w:r w:rsidR="00A16595" w:rsidRPr="00D200D8">
        <w:rPr>
          <w:rFonts w:ascii="Arial" w:hAnsi="Arial" w:cs="Arial"/>
          <w:sz w:val="24"/>
          <w:szCs w:val="24"/>
        </w:rPr>
        <w:t>uó</w:t>
      </w:r>
      <w:r w:rsidR="00274FD1" w:rsidRPr="00D200D8">
        <w:rPr>
          <w:rFonts w:ascii="Arial" w:hAnsi="Arial" w:cs="Arial"/>
          <w:sz w:val="24"/>
          <w:szCs w:val="24"/>
        </w:rPr>
        <w:t xml:space="preserve"> </w:t>
      </w:r>
      <w:r w:rsidR="00444F57" w:rsidRPr="00D200D8">
        <w:rPr>
          <w:rFonts w:ascii="Arial" w:hAnsi="Arial" w:cs="Arial"/>
          <w:sz w:val="24"/>
          <w:szCs w:val="24"/>
        </w:rPr>
        <w:t>por arriba de</w:t>
      </w:r>
      <w:r w:rsidR="00274FD1" w:rsidRPr="00D200D8">
        <w:rPr>
          <w:rFonts w:ascii="Arial" w:hAnsi="Arial" w:cs="Arial"/>
          <w:sz w:val="24"/>
          <w:szCs w:val="24"/>
        </w:rPr>
        <w:t xml:space="preserve"> la </w:t>
      </w:r>
      <w:r w:rsidR="00896784" w:rsidRPr="00D200D8">
        <w:rPr>
          <w:rFonts w:ascii="Arial" w:hAnsi="Arial" w:cs="Arial"/>
          <w:sz w:val="24"/>
          <w:szCs w:val="24"/>
        </w:rPr>
        <w:t>estimada</w:t>
      </w:r>
      <w:r w:rsidR="00274FD1" w:rsidRPr="00D200D8">
        <w:rPr>
          <w:rFonts w:ascii="Arial" w:hAnsi="Arial" w:cs="Arial"/>
          <w:sz w:val="24"/>
          <w:szCs w:val="24"/>
        </w:rPr>
        <w:t xml:space="preserve"> </w:t>
      </w:r>
      <w:r w:rsidR="00176BC7" w:rsidRPr="00D200D8">
        <w:rPr>
          <w:rFonts w:ascii="Arial" w:hAnsi="Arial" w:cs="Arial"/>
          <w:sz w:val="24"/>
          <w:szCs w:val="24"/>
        </w:rPr>
        <w:t>en 2015</w:t>
      </w:r>
      <w:r w:rsidR="00AA4FEC">
        <w:rPr>
          <w:rFonts w:ascii="Arial" w:hAnsi="Arial" w:cs="Arial"/>
          <w:sz w:val="24"/>
          <w:szCs w:val="24"/>
        </w:rPr>
        <w:t xml:space="preserve">. Este </w:t>
      </w:r>
      <w:r w:rsidR="00B06602" w:rsidRPr="00D200D8">
        <w:rPr>
          <w:rFonts w:ascii="Arial" w:hAnsi="Arial" w:cs="Arial"/>
          <w:sz w:val="24"/>
          <w:szCs w:val="24"/>
        </w:rPr>
        <w:t>problema</w:t>
      </w:r>
      <w:r w:rsidR="00896784" w:rsidRPr="00D200D8">
        <w:rPr>
          <w:rFonts w:ascii="Arial" w:hAnsi="Arial" w:cs="Arial"/>
          <w:sz w:val="24"/>
          <w:szCs w:val="24"/>
        </w:rPr>
        <w:t xml:space="preserve"> se d</w:t>
      </w:r>
      <w:r w:rsidR="00AA4FEC">
        <w:rPr>
          <w:rFonts w:ascii="Arial" w:hAnsi="Arial" w:cs="Arial"/>
          <w:sz w:val="24"/>
          <w:szCs w:val="24"/>
        </w:rPr>
        <w:t>io</w:t>
      </w:r>
      <w:r w:rsidR="00896784" w:rsidRPr="00D200D8">
        <w:rPr>
          <w:rFonts w:ascii="Arial" w:hAnsi="Arial" w:cs="Arial"/>
          <w:sz w:val="24"/>
          <w:szCs w:val="24"/>
        </w:rPr>
        <w:t xml:space="preserve"> con mayor frecuencia en los hombres que en las mujeres</w:t>
      </w:r>
      <w:r w:rsidR="00007391">
        <w:rPr>
          <w:rFonts w:ascii="Arial" w:hAnsi="Arial" w:cs="Arial"/>
          <w:sz w:val="24"/>
          <w:szCs w:val="24"/>
        </w:rPr>
        <w:t>.</w:t>
      </w:r>
      <w:r w:rsidR="00DF30B1" w:rsidRPr="00D200D8">
        <w:rPr>
          <w:rFonts w:ascii="Arial" w:hAnsi="Arial" w:cs="Arial"/>
          <w:sz w:val="24"/>
          <w:szCs w:val="24"/>
        </w:rPr>
        <w:t xml:space="preserve"> (</w:t>
      </w:r>
      <w:r w:rsidR="00007391">
        <w:rPr>
          <w:rFonts w:ascii="Arial" w:hAnsi="Arial" w:cs="Arial"/>
          <w:sz w:val="24"/>
          <w:szCs w:val="24"/>
        </w:rPr>
        <w:t>V</w:t>
      </w:r>
      <w:r w:rsidR="00DF30B1" w:rsidRPr="00D200D8">
        <w:rPr>
          <w:rFonts w:ascii="Arial" w:hAnsi="Arial" w:cs="Arial"/>
          <w:sz w:val="24"/>
          <w:szCs w:val="24"/>
        </w:rPr>
        <w:t>er gráfica 1)</w:t>
      </w:r>
      <w:r w:rsidR="00896784" w:rsidRPr="00D200D8">
        <w:rPr>
          <w:rFonts w:ascii="Arial" w:hAnsi="Arial" w:cs="Arial"/>
          <w:sz w:val="24"/>
          <w:szCs w:val="24"/>
        </w:rPr>
        <w:t>.</w:t>
      </w:r>
    </w:p>
    <w:p w14:paraId="6E14D5EE" w14:textId="5AF7D3C1" w:rsidR="005D6CCC" w:rsidRDefault="005D6CCC" w:rsidP="00AC310B">
      <w:pPr>
        <w:spacing w:after="0" w:line="240" w:lineRule="auto"/>
        <w:jc w:val="both"/>
        <w:rPr>
          <w:rFonts w:ascii="Arial" w:hAnsi="Arial" w:cs="Arial"/>
        </w:rPr>
      </w:pPr>
    </w:p>
    <w:p w14:paraId="64CE44B0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9A2ADB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9734F4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F43B07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CB6035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1B79C1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342750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CEA51A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F2D481" w14:textId="77777777" w:rsidR="00AA4FEC" w:rsidRDefault="00AA4FEC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78D2B3" w14:textId="34CF290A" w:rsidR="007C75D1" w:rsidRPr="00F44ED5" w:rsidRDefault="00B140FE" w:rsidP="00B066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</w:t>
      </w:r>
      <w:r w:rsidR="007C75D1">
        <w:rPr>
          <w:rFonts w:ascii="Arial" w:hAnsi="Arial" w:cs="Arial"/>
          <w:sz w:val="20"/>
          <w:szCs w:val="20"/>
        </w:rPr>
        <w:t>ráfica</w:t>
      </w:r>
      <w:r w:rsidR="007C75D1" w:rsidRPr="00F44ED5">
        <w:rPr>
          <w:rFonts w:ascii="Arial" w:hAnsi="Arial" w:cs="Arial"/>
          <w:sz w:val="20"/>
          <w:szCs w:val="20"/>
        </w:rPr>
        <w:t xml:space="preserve"> 1</w:t>
      </w:r>
    </w:p>
    <w:p w14:paraId="48DB3752" w14:textId="637C09A7" w:rsidR="00C5436A" w:rsidRDefault="007C75D1" w:rsidP="005D6CC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mallCaps/>
        </w:rPr>
        <w:t>Prevalencia de corrupción experimentada por la población de 18 años y más</w:t>
      </w:r>
      <w:r w:rsidR="00AF297D">
        <w:rPr>
          <w:noProof/>
        </w:rPr>
        <w:drawing>
          <wp:inline distT="0" distB="0" distL="0" distR="0" wp14:anchorId="00411A9A" wp14:editId="49742C46">
            <wp:extent cx="6332220" cy="2612571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98826555-94E1-A631-CD3A-96762CDDCE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333D23" w14:textId="11451F5C" w:rsidR="00BF3E19" w:rsidRPr="00D200D8" w:rsidRDefault="0056385B" w:rsidP="00AC31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>En el caso de las empresas</w:t>
      </w:r>
      <w:r w:rsidR="007F63DB" w:rsidRPr="00D200D8">
        <w:rPr>
          <w:rFonts w:ascii="Arial" w:hAnsi="Arial" w:cs="Arial"/>
          <w:sz w:val="24"/>
          <w:szCs w:val="24"/>
        </w:rPr>
        <w:t xml:space="preserve">, la experiencia de corrupción </w:t>
      </w:r>
      <w:r w:rsidR="00AA4FEC">
        <w:rPr>
          <w:rFonts w:ascii="Arial" w:hAnsi="Arial" w:cs="Arial"/>
          <w:sz w:val="24"/>
          <w:szCs w:val="24"/>
        </w:rPr>
        <w:t xml:space="preserve">registró una tendencia a la baja </w:t>
      </w:r>
      <w:r w:rsidR="007F63DB" w:rsidRPr="00D200D8">
        <w:rPr>
          <w:rFonts w:ascii="Arial" w:hAnsi="Arial" w:cs="Arial"/>
          <w:sz w:val="24"/>
          <w:szCs w:val="24"/>
        </w:rPr>
        <w:t xml:space="preserve">desde </w:t>
      </w:r>
      <w:r w:rsidR="001F08A7" w:rsidRPr="00D200D8">
        <w:rPr>
          <w:rFonts w:ascii="Arial" w:hAnsi="Arial" w:cs="Arial"/>
          <w:sz w:val="24"/>
          <w:szCs w:val="24"/>
        </w:rPr>
        <w:t>2017</w:t>
      </w:r>
      <w:r w:rsidR="007F63DB" w:rsidRPr="00D200D8">
        <w:rPr>
          <w:rFonts w:ascii="Arial" w:hAnsi="Arial" w:cs="Arial"/>
          <w:sz w:val="24"/>
          <w:szCs w:val="24"/>
        </w:rPr>
        <w:t xml:space="preserve">, año en el que se </w:t>
      </w:r>
      <w:r w:rsidR="00ED15AD" w:rsidRPr="00D200D8">
        <w:rPr>
          <w:rFonts w:ascii="Arial" w:hAnsi="Arial" w:cs="Arial"/>
          <w:sz w:val="24"/>
          <w:szCs w:val="24"/>
        </w:rPr>
        <w:t>estimó</w:t>
      </w:r>
      <w:r w:rsidR="00A46EE3" w:rsidRPr="00D200D8">
        <w:rPr>
          <w:rFonts w:ascii="Arial" w:hAnsi="Arial" w:cs="Arial"/>
          <w:sz w:val="24"/>
          <w:szCs w:val="24"/>
        </w:rPr>
        <w:t xml:space="preserve"> </w:t>
      </w:r>
      <w:r w:rsidR="007F63DB" w:rsidRPr="00D200D8">
        <w:rPr>
          <w:rFonts w:ascii="Arial" w:hAnsi="Arial" w:cs="Arial"/>
          <w:sz w:val="24"/>
          <w:szCs w:val="24"/>
        </w:rPr>
        <w:t xml:space="preserve">una prevalencia de </w:t>
      </w:r>
      <w:r w:rsidR="00E04C94" w:rsidRPr="00D200D8">
        <w:rPr>
          <w:rFonts w:ascii="Arial" w:hAnsi="Arial" w:cs="Arial"/>
          <w:sz w:val="24"/>
          <w:szCs w:val="24"/>
        </w:rPr>
        <w:t>5.4</w:t>
      </w:r>
      <w:r w:rsidR="00005B99" w:rsidRPr="00D200D8">
        <w:rPr>
          <w:rFonts w:ascii="Arial" w:hAnsi="Arial" w:cs="Arial"/>
          <w:sz w:val="24"/>
          <w:szCs w:val="24"/>
        </w:rPr>
        <w:t xml:space="preserve"> </w:t>
      </w:r>
      <w:r w:rsidR="00E04C94" w:rsidRPr="00D200D8">
        <w:rPr>
          <w:rFonts w:ascii="Arial" w:hAnsi="Arial" w:cs="Arial"/>
          <w:sz w:val="24"/>
          <w:szCs w:val="24"/>
        </w:rPr>
        <w:t>%</w:t>
      </w:r>
      <w:r w:rsidR="00AA4FEC">
        <w:rPr>
          <w:rFonts w:ascii="Arial" w:hAnsi="Arial" w:cs="Arial"/>
          <w:sz w:val="24"/>
          <w:szCs w:val="24"/>
        </w:rPr>
        <w:t xml:space="preserve"> </w:t>
      </w:r>
      <w:r w:rsidR="00AA4FEC" w:rsidRPr="0084588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—</w:t>
      </w:r>
      <w:r w:rsidR="002240CD" w:rsidRPr="00D200D8">
        <w:rPr>
          <w:rFonts w:ascii="Arial" w:hAnsi="Arial" w:cs="Arial"/>
          <w:sz w:val="24"/>
          <w:szCs w:val="24"/>
        </w:rPr>
        <w:t>la más alta desde que se realiz</w:t>
      </w:r>
      <w:r w:rsidR="001B38C1" w:rsidRPr="00D200D8">
        <w:rPr>
          <w:rFonts w:ascii="Arial" w:hAnsi="Arial" w:cs="Arial"/>
          <w:sz w:val="24"/>
          <w:szCs w:val="24"/>
        </w:rPr>
        <w:t>a</w:t>
      </w:r>
      <w:r w:rsidR="002240CD" w:rsidRPr="00D200D8">
        <w:rPr>
          <w:rFonts w:ascii="Arial" w:hAnsi="Arial" w:cs="Arial"/>
          <w:sz w:val="24"/>
          <w:szCs w:val="24"/>
        </w:rPr>
        <w:t xml:space="preserve"> la encuesta</w:t>
      </w:r>
      <w:r w:rsidR="00AA4FEC" w:rsidRPr="00845887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—</w:t>
      </w:r>
      <w:r w:rsidR="007B56C9" w:rsidRPr="00D200D8">
        <w:rPr>
          <w:rFonts w:ascii="Arial" w:hAnsi="Arial" w:cs="Arial"/>
          <w:sz w:val="24"/>
          <w:szCs w:val="24"/>
        </w:rPr>
        <w:t>.</w:t>
      </w:r>
      <w:r w:rsidR="001B38C1" w:rsidRPr="00D200D8">
        <w:rPr>
          <w:rFonts w:ascii="Arial" w:hAnsi="Arial" w:cs="Arial"/>
          <w:sz w:val="24"/>
          <w:szCs w:val="24"/>
        </w:rPr>
        <w:t xml:space="preserve"> L</w:t>
      </w:r>
      <w:r w:rsidR="00A22D42" w:rsidRPr="00D200D8">
        <w:rPr>
          <w:rFonts w:ascii="Arial" w:hAnsi="Arial" w:cs="Arial"/>
          <w:sz w:val="24"/>
          <w:szCs w:val="24"/>
        </w:rPr>
        <w:t xml:space="preserve">os sectores </w:t>
      </w:r>
      <w:r w:rsidR="00A4115A">
        <w:rPr>
          <w:rFonts w:ascii="Arial" w:hAnsi="Arial" w:cs="Arial"/>
          <w:sz w:val="24"/>
          <w:szCs w:val="24"/>
        </w:rPr>
        <w:t>I</w:t>
      </w:r>
      <w:r w:rsidR="00210241">
        <w:rPr>
          <w:rFonts w:ascii="Arial" w:hAnsi="Arial" w:cs="Arial"/>
          <w:sz w:val="24"/>
          <w:szCs w:val="24"/>
        </w:rPr>
        <w:t xml:space="preserve">ndustria y </w:t>
      </w:r>
      <w:r w:rsidR="00A4115A">
        <w:rPr>
          <w:rFonts w:ascii="Arial" w:hAnsi="Arial" w:cs="Arial"/>
          <w:sz w:val="24"/>
          <w:szCs w:val="24"/>
        </w:rPr>
        <w:t>S</w:t>
      </w:r>
      <w:r w:rsidR="00210241">
        <w:rPr>
          <w:rFonts w:ascii="Arial" w:hAnsi="Arial" w:cs="Arial"/>
          <w:sz w:val="24"/>
          <w:szCs w:val="24"/>
        </w:rPr>
        <w:t xml:space="preserve">ervicios </w:t>
      </w:r>
      <w:r w:rsidR="009E748A">
        <w:rPr>
          <w:rFonts w:ascii="Arial" w:hAnsi="Arial" w:cs="Arial"/>
          <w:sz w:val="24"/>
          <w:szCs w:val="24"/>
        </w:rPr>
        <w:t xml:space="preserve">han sido </w:t>
      </w:r>
      <w:r w:rsidR="006823FB" w:rsidRPr="00D200D8">
        <w:rPr>
          <w:rFonts w:ascii="Arial" w:hAnsi="Arial" w:cs="Arial"/>
          <w:sz w:val="24"/>
          <w:szCs w:val="24"/>
        </w:rPr>
        <w:t xml:space="preserve">los </w:t>
      </w:r>
      <w:r w:rsidR="00F25849" w:rsidRPr="00D200D8">
        <w:rPr>
          <w:rFonts w:ascii="Arial" w:hAnsi="Arial" w:cs="Arial"/>
          <w:sz w:val="24"/>
          <w:szCs w:val="24"/>
        </w:rPr>
        <w:t>más</w:t>
      </w:r>
      <w:r w:rsidR="00A46EE3" w:rsidRPr="00D200D8">
        <w:rPr>
          <w:rFonts w:ascii="Arial" w:hAnsi="Arial" w:cs="Arial"/>
          <w:sz w:val="24"/>
          <w:szCs w:val="24"/>
        </w:rPr>
        <w:t xml:space="preserve"> afectados </w:t>
      </w:r>
      <w:r w:rsidR="001B38C1" w:rsidRPr="00D200D8">
        <w:rPr>
          <w:rFonts w:ascii="Arial" w:hAnsi="Arial" w:cs="Arial"/>
          <w:sz w:val="24"/>
          <w:szCs w:val="24"/>
        </w:rPr>
        <w:t>a lo largo de los años</w:t>
      </w:r>
      <w:r w:rsidR="007F63DB" w:rsidRPr="00D200D8">
        <w:rPr>
          <w:rFonts w:ascii="Arial" w:hAnsi="Arial" w:cs="Arial"/>
          <w:sz w:val="24"/>
          <w:szCs w:val="24"/>
        </w:rPr>
        <w:t>.</w:t>
      </w:r>
    </w:p>
    <w:p w14:paraId="5FE1D555" w14:textId="77777777" w:rsidR="00EF5177" w:rsidRDefault="00EF5177" w:rsidP="008259BB">
      <w:pPr>
        <w:spacing w:after="0"/>
        <w:jc w:val="center"/>
        <w:rPr>
          <w:rFonts w:ascii="Arial" w:hAnsi="Arial" w:cs="Arial"/>
        </w:rPr>
      </w:pPr>
    </w:p>
    <w:p w14:paraId="3A5BFE14" w14:textId="707F54B7" w:rsidR="008259BB" w:rsidRPr="00F44ED5" w:rsidRDefault="008259BB" w:rsidP="008259B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259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Gráfica</w:t>
      </w:r>
      <w:r w:rsidRPr="00F44ED5">
        <w:rPr>
          <w:rFonts w:ascii="Arial" w:hAnsi="Arial" w:cs="Arial"/>
          <w:sz w:val="20"/>
          <w:szCs w:val="20"/>
        </w:rPr>
        <w:t xml:space="preserve"> </w:t>
      </w:r>
      <w:r w:rsidR="00EF5177">
        <w:rPr>
          <w:rFonts w:ascii="Arial" w:hAnsi="Arial" w:cs="Arial"/>
          <w:sz w:val="20"/>
          <w:szCs w:val="20"/>
        </w:rPr>
        <w:t>2</w:t>
      </w:r>
    </w:p>
    <w:p w14:paraId="762F0879" w14:textId="3AC18335" w:rsidR="008259BB" w:rsidRDefault="008259BB" w:rsidP="008259BB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Prevalencia de corrupción experimentada por </w:t>
      </w:r>
      <w:r w:rsidR="00FE4696">
        <w:rPr>
          <w:rFonts w:ascii="Arial" w:hAnsi="Arial" w:cs="Arial"/>
          <w:b/>
          <w:bCs/>
          <w:smallCaps/>
        </w:rPr>
        <w:t>u</w:t>
      </w:r>
      <w:r w:rsidR="00E41303">
        <w:rPr>
          <w:rFonts w:ascii="Arial" w:hAnsi="Arial" w:cs="Arial"/>
          <w:b/>
          <w:bCs/>
          <w:smallCaps/>
        </w:rPr>
        <w:t xml:space="preserve">nidades </w:t>
      </w:r>
      <w:r w:rsidR="00FE4696">
        <w:rPr>
          <w:rFonts w:ascii="Arial" w:hAnsi="Arial" w:cs="Arial"/>
          <w:b/>
          <w:bCs/>
          <w:smallCaps/>
        </w:rPr>
        <w:t>e</w:t>
      </w:r>
      <w:r w:rsidR="00E41303">
        <w:rPr>
          <w:rFonts w:ascii="Arial" w:hAnsi="Arial" w:cs="Arial"/>
          <w:b/>
          <w:bCs/>
          <w:smallCaps/>
        </w:rPr>
        <w:t>conómicas</w:t>
      </w:r>
    </w:p>
    <w:p w14:paraId="26084937" w14:textId="5455849E" w:rsidR="001B38C1" w:rsidRDefault="001B38C1" w:rsidP="008259BB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</w:p>
    <w:p w14:paraId="52997584" w14:textId="030CAE3F" w:rsidR="001B38C1" w:rsidRDefault="00346DB1" w:rsidP="008259BB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8855053" wp14:editId="09C6D5C2">
            <wp:extent cx="6217920" cy="246715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57F5581-0CA1-4641-BA9F-D029E4C0A7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5ABBCF" w14:textId="77777777" w:rsidR="00D667A4" w:rsidRDefault="00D667A4" w:rsidP="00FE4696">
      <w:pPr>
        <w:spacing w:after="0" w:line="240" w:lineRule="auto"/>
        <w:jc w:val="both"/>
        <w:rPr>
          <w:rFonts w:ascii="Arial" w:hAnsi="Arial" w:cs="Arial"/>
        </w:rPr>
      </w:pPr>
    </w:p>
    <w:p w14:paraId="6FFEA22E" w14:textId="31AA2596" w:rsidR="00FE4696" w:rsidRPr="00D200D8" w:rsidRDefault="00AA4FEC" w:rsidP="00FE46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>E</w:t>
      </w:r>
      <w:r w:rsidR="0011332F" w:rsidRPr="00D200D8">
        <w:rPr>
          <w:rFonts w:ascii="Arial" w:hAnsi="Arial" w:cs="Arial"/>
          <w:sz w:val="24"/>
          <w:szCs w:val="24"/>
        </w:rPr>
        <w:t>n 202</w:t>
      </w:r>
      <w:r>
        <w:rPr>
          <w:rFonts w:ascii="Arial" w:hAnsi="Arial" w:cs="Arial"/>
          <w:sz w:val="24"/>
          <w:szCs w:val="24"/>
        </w:rPr>
        <w:t>1,</w:t>
      </w:r>
      <w:r w:rsidR="0011332F" w:rsidRPr="00D200D8">
        <w:rPr>
          <w:rFonts w:ascii="Arial" w:hAnsi="Arial" w:cs="Arial"/>
          <w:sz w:val="24"/>
          <w:szCs w:val="24"/>
        </w:rPr>
        <w:t xml:space="preserve"> </w:t>
      </w:r>
      <w:r w:rsidR="00FE4696" w:rsidRPr="00D200D8">
        <w:rPr>
          <w:rFonts w:ascii="Arial" w:hAnsi="Arial" w:cs="Arial"/>
          <w:sz w:val="24"/>
          <w:szCs w:val="24"/>
        </w:rPr>
        <w:t xml:space="preserve">la prevalencia más alta de corrupción </w:t>
      </w:r>
      <w:r w:rsidR="0011332F" w:rsidRPr="00D200D8">
        <w:rPr>
          <w:rFonts w:ascii="Arial" w:hAnsi="Arial" w:cs="Arial"/>
          <w:sz w:val="24"/>
          <w:szCs w:val="24"/>
        </w:rPr>
        <w:t xml:space="preserve">en trámites y servicios </w:t>
      </w:r>
      <w:r w:rsidR="00FE4696" w:rsidRPr="00D200D8">
        <w:rPr>
          <w:rFonts w:ascii="Arial" w:hAnsi="Arial" w:cs="Arial"/>
          <w:sz w:val="24"/>
          <w:szCs w:val="24"/>
        </w:rPr>
        <w:t>se observó en Quintana Roo</w:t>
      </w:r>
      <w:r w:rsidR="000774D4">
        <w:rPr>
          <w:rFonts w:ascii="Arial" w:hAnsi="Arial" w:cs="Arial"/>
          <w:sz w:val="24"/>
          <w:szCs w:val="24"/>
        </w:rPr>
        <w:t>,</w:t>
      </w:r>
      <w:r w:rsidR="00FE4696" w:rsidRPr="00D200D8">
        <w:rPr>
          <w:rFonts w:ascii="Arial" w:hAnsi="Arial" w:cs="Arial"/>
          <w:sz w:val="24"/>
          <w:szCs w:val="24"/>
        </w:rPr>
        <w:t xml:space="preserve"> con 20.4 % de la población </w:t>
      </w:r>
      <w:r w:rsidR="0011332F" w:rsidRPr="00D200D8">
        <w:rPr>
          <w:rFonts w:ascii="Arial" w:hAnsi="Arial" w:cs="Arial"/>
          <w:sz w:val="24"/>
          <w:szCs w:val="24"/>
        </w:rPr>
        <w:t>afectada</w:t>
      </w:r>
      <w:r w:rsidR="00023FAC">
        <w:rPr>
          <w:rFonts w:ascii="Arial" w:hAnsi="Arial" w:cs="Arial"/>
          <w:sz w:val="24"/>
          <w:szCs w:val="24"/>
        </w:rPr>
        <w:t>; s</w:t>
      </w:r>
      <w:r>
        <w:rPr>
          <w:rFonts w:ascii="Arial" w:hAnsi="Arial" w:cs="Arial"/>
          <w:sz w:val="24"/>
          <w:szCs w:val="24"/>
        </w:rPr>
        <w:t xml:space="preserve">iguieron </w:t>
      </w:r>
      <w:r w:rsidR="00FE4696" w:rsidRPr="00D200D8">
        <w:rPr>
          <w:rFonts w:ascii="Arial" w:hAnsi="Arial" w:cs="Arial"/>
          <w:sz w:val="24"/>
          <w:szCs w:val="24"/>
        </w:rPr>
        <w:t>Puebla,</w:t>
      </w:r>
      <w:r w:rsidR="004A5571" w:rsidRPr="00D200D8">
        <w:rPr>
          <w:rFonts w:ascii="Arial" w:hAnsi="Arial" w:cs="Arial"/>
          <w:sz w:val="24"/>
          <w:szCs w:val="24"/>
        </w:rPr>
        <w:t xml:space="preserve"> Baja </w:t>
      </w:r>
      <w:r>
        <w:rPr>
          <w:rFonts w:ascii="Arial" w:hAnsi="Arial" w:cs="Arial"/>
          <w:sz w:val="24"/>
          <w:szCs w:val="24"/>
        </w:rPr>
        <w:t>California</w:t>
      </w:r>
      <w:r w:rsidR="00E03C56" w:rsidRPr="00D200D8">
        <w:rPr>
          <w:rFonts w:ascii="Arial" w:hAnsi="Arial" w:cs="Arial"/>
          <w:sz w:val="24"/>
          <w:szCs w:val="24"/>
        </w:rPr>
        <w:t>, Durango</w:t>
      </w:r>
      <w:r w:rsidR="00FE4696" w:rsidRPr="00D200D8">
        <w:rPr>
          <w:rFonts w:ascii="Arial" w:hAnsi="Arial" w:cs="Arial"/>
          <w:sz w:val="24"/>
          <w:szCs w:val="24"/>
        </w:rPr>
        <w:t xml:space="preserve"> y estado de México</w:t>
      </w:r>
      <w:r w:rsidR="00D830F1">
        <w:rPr>
          <w:rFonts w:ascii="Arial" w:hAnsi="Arial" w:cs="Arial"/>
          <w:sz w:val="24"/>
          <w:szCs w:val="24"/>
        </w:rPr>
        <w:t xml:space="preserve"> que </w:t>
      </w:r>
      <w:r w:rsidR="00D830F1" w:rsidRPr="00D830F1">
        <w:rPr>
          <w:rFonts w:ascii="Arial" w:hAnsi="Arial" w:cs="Arial"/>
          <w:sz w:val="24"/>
          <w:szCs w:val="24"/>
        </w:rPr>
        <w:t>presentaron prevalencias superiores a 17</w:t>
      </w:r>
      <w:r w:rsidR="00D830F1">
        <w:rPr>
          <w:rFonts w:ascii="Arial" w:hAnsi="Arial" w:cs="Arial"/>
          <w:sz w:val="24"/>
          <w:szCs w:val="24"/>
        </w:rPr>
        <w:t xml:space="preserve"> </w:t>
      </w:r>
      <w:r w:rsidR="00A4115A">
        <w:rPr>
          <w:rFonts w:ascii="Arial" w:hAnsi="Arial" w:cs="Arial"/>
          <w:sz w:val="24"/>
          <w:szCs w:val="24"/>
        </w:rPr>
        <w:t>por ciento</w:t>
      </w:r>
      <w:r w:rsidR="00FE4696" w:rsidRPr="00D200D8">
        <w:rPr>
          <w:rFonts w:ascii="Arial" w:hAnsi="Arial" w:cs="Arial"/>
          <w:sz w:val="24"/>
          <w:szCs w:val="24"/>
        </w:rPr>
        <w:t>. Por el contrario, la menor prevalencia se encontró en Baja California Sur, Colima, Zacatecas, Querétaro y Tlaxcala,</w:t>
      </w:r>
      <w:r w:rsidR="00F25849" w:rsidRPr="00D200D8">
        <w:rPr>
          <w:rFonts w:ascii="Arial" w:hAnsi="Arial" w:cs="Arial"/>
          <w:sz w:val="24"/>
          <w:szCs w:val="24"/>
        </w:rPr>
        <w:t xml:space="preserve"> </w:t>
      </w:r>
      <w:r w:rsidR="0011332F" w:rsidRPr="00D200D8">
        <w:rPr>
          <w:rFonts w:ascii="Arial" w:hAnsi="Arial" w:cs="Arial"/>
          <w:sz w:val="24"/>
          <w:szCs w:val="24"/>
        </w:rPr>
        <w:t xml:space="preserve">donde </w:t>
      </w:r>
      <w:r w:rsidR="00FE4696" w:rsidRPr="00D200D8">
        <w:rPr>
          <w:rFonts w:ascii="Arial" w:hAnsi="Arial" w:cs="Arial"/>
          <w:sz w:val="24"/>
          <w:szCs w:val="24"/>
        </w:rPr>
        <w:t xml:space="preserve">menos de </w:t>
      </w:r>
      <w:r w:rsidR="00E03C56" w:rsidRPr="00D200D8">
        <w:rPr>
          <w:rFonts w:ascii="Arial" w:hAnsi="Arial" w:cs="Arial"/>
          <w:sz w:val="24"/>
          <w:szCs w:val="24"/>
        </w:rPr>
        <w:t xml:space="preserve">9 </w:t>
      </w:r>
      <w:r w:rsidR="00FE4696" w:rsidRPr="00D200D8">
        <w:rPr>
          <w:rFonts w:ascii="Arial" w:hAnsi="Arial" w:cs="Arial"/>
          <w:sz w:val="24"/>
          <w:szCs w:val="24"/>
        </w:rPr>
        <w:t xml:space="preserve">% de la población </w:t>
      </w:r>
      <w:r w:rsidR="0011332F" w:rsidRPr="00D200D8">
        <w:rPr>
          <w:rFonts w:ascii="Arial" w:hAnsi="Arial" w:cs="Arial"/>
          <w:sz w:val="24"/>
          <w:szCs w:val="24"/>
        </w:rPr>
        <w:t xml:space="preserve">que solicitó algún trámite o servicio </w:t>
      </w:r>
      <w:r w:rsidR="00ED15AD" w:rsidRPr="00D200D8">
        <w:rPr>
          <w:rFonts w:ascii="Arial" w:hAnsi="Arial" w:cs="Arial"/>
          <w:sz w:val="24"/>
          <w:szCs w:val="24"/>
        </w:rPr>
        <w:t xml:space="preserve">público </w:t>
      </w:r>
      <w:r w:rsidR="0011332F" w:rsidRPr="00D200D8">
        <w:rPr>
          <w:rFonts w:ascii="Arial" w:hAnsi="Arial" w:cs="Arial"/>
          <w:sz w:val="24"/>
          <w:szCs w:val="24"/>
        </w:rPr>
        <w:t xml:space="preserve">fue </w:t>
      </w:r>
      <w:r w:rsidR="00FE4696" w:rsidRPr="00D200D8">
        <w:rPr>
          <w:rFonts w:ascii="Arial" w:hAnsi="Arial" w:cs="Arial"/>
          <w:sz w:val="24"/>
          <w:szCs w:val="24"/>
        </w:rPr>
        <w:t>víctima de corrupción.</w:t>
      </w:r>
    </w:p>
    <w:p w14:paraId="4536CF7A" w14:textId="77777777" w:rsidR="00FE4696" w:rsidRDefault="00FE4696" w:rsidP="00FE4696">
      <w:pPr>
        <w:spacing w:after="0" w:line="240" w:lineRule="auto"/>
        <w:jc w:val="both"/>
        <w:rPr>
          <w:rFonts w:ascii="Arial" w:hAnsi="Arial" w:cs="Arial"/>
        </w:rPr>
      </w:pPr>
    </w:p>
    <w:p w14:paraId="187DBB94" w14:textId="1BA6CFCF" w:rsidR="00ED00E2" w:rsidRPr="00D200D8" w:rsidRDefault="0098013C" w:rsidP="0013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 xml:space="preserve">Entre 2013 y 2021, en </w:t>
      </w:r>
      <w:r w:rsidR="001D6573" w:rsidRPr="00D200D8">
        <w:rPr>
          <w:rFonts w:ascii="Arial" w:hAnsi="Arial" w:cs="Arial"/>
          <w:sz w:val="24"/>
          <w:szCs w:val="24"/>
        </w:rPr>
        <w:t>25</w:t>
      </w:r>
      <w:r w:rsidRPr="00D200D8">
        <w:rPr>
          <w:rFonts w:ascii="Arial" w:hAnsi="Arial" w:cs="Arial"/>
          <w:sz w:val="24"/>
          <w:szCs w:val="24"/>
        </w:rPr>
        <w:t xml:space="preserve"> entidades federativas aumentó </w:t>
      </w:r>
      <w:r w:rsidR="00F43600" w:rsidRPr="00D200D8">
        <w:rPr>
          <w:rFonts w:ascii="Arial" w:hAnsi="Arial" w:cs="Arial"/>
          <w:sz w:val="24"/>
          <w:szCs w:val="24"/>
        </w:rPr>
        <w:t xml:space="preserve">el porcentaje </w:t>
      </w:r>
      <w:r w:rsidRPr="00D200D8">
        <w:rPr>
          <w:rFonts w:ascii="Arial" w:hAnsi="Arial" w:cs="Arial"/>
          <w:sz w:val="24"/>
          <w:szCs w:val="24"/>
        </w:rPr>
        <w:t xml:space="preserve">de personas que fueron víctimas de </w:t>
      </w:r>
      <w:r w:rsidR="0000720F" w:rsidRPr="00D200D8">
        <w:rPr>
          <w:rFonts w:ascii="Arial" w:hAnsi="Arial" w:cs="Arial"/>
          <w:sz w:val="24"/>
          <w:szCs w:val="24"/>
        </w:rPr>
        <w:t>soborno</w:t>
      </w:r>
      <w:r w:rsidR="00191538">
        <w:rPr>
          <w:rFonts w:ascii="Arial" w:hAnsi="Arial" w:cs="Arial"/>
          <w:sz w:val="24"/>
          <w:szCs w:val="24"/>
        </w:rPr>
        <w:t xml:space="preserve">. El </w:t>
      </w:r>
      <w:r w:rsidR="00844C6C" w:rsidRPr="00D200D8">
        <w:rPr>
          <w:rFonts w:ascii="Arial" w:hAnsi="Arial" w:cs="Arial"/>
          <w:sz w:val="24"/>
          <w:szCs w:val="24"/>
        </w:rPr>
        <w:t>mayor</w:t>
      </w:r>
      <w:r w:rsidR="00191538">
        <w:rPr>
          <w:rFonts w:ascii="Arial" w:hAnsi="Arial" w:cs="Arial"/>
          <w:sz w:val="24"/>
          <w:szCs w:val="24"/>
        </w:rPr>
        <w:t xml:space="preserve"> incremen</w:t>
      </w:r>
      <w:r w:rsidR="00844C6C" w:rsidRPr="00D200D8">
        <w:rPr>
          <w:rFonts w:ascii="Arial" w:hAnsi="Arial" w:cs="Arial"/>
          <w:sz w:val="24"/>
          <w:szCs w:val="24"/>
        </w:rPr>
        <w:t xml:space="preserve">to </w:t>
      </w:r>
      <w:r w:rsidR="00191538">
        <w:rPr>
          <w:rFonts w:ascii="Arial" w:hAnsi="Arial" w:cs="Arial"/>
          <w:sz w:val="24"/>
          <w:szCs w:val="24"/>
        </w:rPr>
        <w:t xml:space="preserve">fue </w:t>
      </w:r>
      <w:r w:rsidR="00844C6C" w:rsidRPr="00D200D8">
        <w:rPr>
          <w:rFonts w:ascii="Arial" w:hAnsi="Arial" w:cs="Arial"/>
          <w:sz w:val="24"/>
          <w:szCs w:val="24"/>
        </w:rPr>
        <w:t xml:space="preserve">en </w:t>
      </w:r>
      <w:r w:rsidR="00640FF8" w:rsidRPr="00D200D8">
        <w:rPr>
          <w:rFonts w:ascii="Arial" w:hAnsi="Arial" w:cs="Arial"/>
          <w:sz w:val="24"/>
          <w:szCs w:val="24"/>
        </w:rPr>
        <w:t>Sonora</w:t>
      </w:r>
      <w:r w:rsidR="00191538">
        <w:rPr>
          <w:rFonts w:ascii="Arial" w:hAnsi="Arial" w:cs="Arial"/>
          <w:sz w:val="24"/>
          <w:szCs w:val="24"/>
        </w:rPr>
        <w:t>,</w:t>
      </w:r>
      <w:r w:rsidR="00640FF8" w:rsidRPr="00D200D8">
        <w:rPr>
          <w:rFonts w:ascii="Arial" w:hAnsi="Arial" w:cs="Arial"/>
          <w:sz w:val="24"/>
          <w:szCs w:val="24"/>
        </w:rPr>
        <w:t xml:space="preserve"> de 5.1 a 16.9 </w:t>
      </w:r>
      <w:r w:rsidR="00191538">
        <w:rPr>
          <w:rFonts w:ascii="Arial" w:hAnsi="Arial" w:cs="Arial"/>
          <w:sz w:val="24"/>
          <w:szCs w:val="24"/>
        </w:rPr>
        <w:t xml:space="preserve">por ciento. </w:t>
      </w:r>
      <w:r w:rsidR="00B41AE7" w:rsidRPr="00D200D8">
        <w:rPr>
          <w:rFonts w:ascii="Arial" w:hAnsi="Arial" w:cs="Arial"/>
          <w:sz w:val="24"/>
          <w:szCs w:val="24"/>
        </w:rPr>
        <w:t>San Luis Potosí</w:t>
      </w:r>
      <w:r w:rsidR="00191538">
        <w:rPr>
          <w:rFonts w:ascii="Arial" w:hAnsi="Arial" w:cs="Arial"/>
          <w:sz w:val="24"/>
          <w:szCs w:val="24"/>
        </w:rPr>
        <w:t xml:space="preserve"> registró la mayor disminución, d</w:t>
      </w:r>
      <w:r w:rsidR="00B41AE7" w:rsidRPr="00D200D8">
        <w:rPr>
          <w:rFonts w:ascii="Arial" w:hAnsi="Arial" w:cs="Arial"/>
          <w:sz w:val="24"/>
          <w:szCs w:val="24"/>
        </w:rPr>
        <w:t xml:space="preserve">e 18.0 </w:t>
      </w:r>
      <w:r w:rsidR="00C926E3" w:rsidRPr="00D200D8">
        <w:rPr>
          <w:rFonts w:ascii="Arial" w:hAnsi="Arial" w:cs="Arial"/>
          <w:sz w:val="24"/>
          <w:szCs w:val="24"/>
        </w:rPr>
        <w:t>a 12.6</w:t>
      </w:r>
      <w:r w:rsidR="00DE1474" w:rsidRPr="00D200D8">
        <w:rPr>
          <w:rFonts w:ascii="Arial" w:hAnsi="Arial" w:cs="Arial"/>
          <w:sz w:val="24"/>
          <w:szCs w:val="24"/>
        </w:rPr>
        <w:t xml:space="preserve"> </w:t>
      </w:r>
      <w:r w:rsidR="006C211B" w:rsidRPr="00D200D8">
        <w:rPr>
          <w:rFonts w:ascii="Arial" w:hAnsi="Arial" w:cs="Arial"/>
          <w:sz w:val="24"/>
          <w:szCs w:val="24"/>
        </w:rPr>
        <w:t>por ciento</w:t>
      </w:r>
      <w:r w:rsidR="00A17DED" w:rsidRPr="00D200D8">
        <w:rPr>
          <w:rFonts w:ascii="Arial" w:hAnsi="Arial" w:cs="Arial"/>
          <w:sz w:val="24"/>
          <w:szCs w:val="24"/>
        </w:rPr>
        <w:t>.</w:t>
      </w:r>
    </w:p>
    <w:p w14:paraId="3281E1AE" w14:textId="3BBB8D21" w:rsidR="004C30D6" w:rsidRDefault="004C30D6" w:rsidP="00137C29">
      <w:pPr>
        <w:spacing w:after="0" w:line="240" w:lineRule="auto"/>
        <w:jc w:val="both"/>
        <w:rPr>
          <w:rFonts w:ascii="Arial" w:hAnsi="Arial" w:cs="Arial"/>
        </w:rPr>
      </w:pPr>
    </w:p>
    <w:p w14:paraId="20C3EDE4" w14:textId="2284A50B" w:rsidR="00576E8C" w:rsidRPr="00F44ED5" w:rsidRDefault="00576E8C" w:rsidP="00576E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Cuadro</w:t>
      </w:r>
      <w:r w:rsidRPr="00F44ED5">
        <w:rPr>
          <w:rFonts w:ascii="Arial" w:hAnsi="Arial" w:cs="Arial"/>
          <w:sz w:val="20"/>
          <w:szCs w:val="20"/>
        </w:rPr>
        <w:t xml:space="preserve"> 1</w:t>
      </w:r>
    </w:p>
    <w:p w14:paraId="6F1BFB30" w14:textId="059D97BA" w:rsidR="004B6BF7" w:rsidRDefault="00576E8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mallCaps/>
        </w:rPr>
        <w:t>Prevalencia de corrupción experimentad</w:t>
      </w:r>
      <w:r w:rsidR="00346FE0">
        <w:rPr>
          <w:rFonts w:ascii="Arial" w:hAnsi="Arial" w:cs="Arial"/>
          <w:b/>
          <w:bCs/>
          <w:smallCaps/>
        </w:rPr>
        <w:t>a</w:t>
      </w:r>
      <w:r>
        <w:rPr>
          <w:rFonts w:ascii="Arial" w:hAnsi="Arial" w:cs="Arial"/>
          <w:b/>
          <w:bCs/>
          <w:smallCaps/>
        </w:rPr>
        <w:t xml:space="preserve"> por </w:t>
      </w:r>
      <w:r w:rsidR="00346FE0">
        <w:rPr>
          <w:rFonts w:ascii="Arial" w:hAnsi="Arial" w:cs="Arial"/>
          <w:b/>
          <w:bCs/>
          <w:smallCaps/>
        </w:rPr>
        <w:t xml:space="preserve">la población </w:t>
      </w:r>
      <w:r>
        <w:rPr>
          <w:rFonts w:ascii="Arial" w:hAnsi="Arial" w:cs="Arial"/>
          <w:b/>
          <w:bCs/>
          <w:smallCaps/>
        </w:rPr>
        <w:t>de 18 años y más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77"/>
        <w:gridCol w:w="1413"/>
        <w:gridCol w:w="1413"/>
        <w:gridCol w:w="1413"/>
        <w:gridCol w:w="1413"/>
      </w:tblGrid>
      <w:tr w:rsidR="00CD1E65" w:rsidRPr="00346FE0" w14:paraId="4646F17B" w14:textId="77777777" w:rsidTr="0054739F">
        <w:trPr>
          <w:trHeight w:val="257"/>
          <w:tblHeader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336F6F" w14:textId="71657B26" w:rsidR="00CD1E65" w:rsidRPr="002D3E9E" w:rsidRDefault="008E2752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27342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6343D685" wp14:editId="210B13F4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-31750</wp:posOffset>
                  </wp:positionV>
                  <wp:extent cx="3383915" cy="154940"/>
                  <wp:effectExtent l="0" t="0" r="698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91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1E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Menor porcentaje                                                           Mayor porcentaje </w:t>
            </w:r>
          </w:p>
        </w:tc>
      </w:tr>
      <w:tr w:rsidR="00CD1E65" w:rsidRPr="00D421C5" w14:paraId="0F199111" w14:textId="77777777" w:rsidTr="008E2752">
        <w:trPr>
          <w:trHeight w:val="227"/>
          <w:tblHeader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8C8C8"/>
            <w:vAlign w:val="center"/>
            <w:hideMark/>
          </w:tcPr>
          <w:p w14:paraId="2AAAD4C6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Entidad federativa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8C8C8"/>
            <w:vAlign w:val="center"/>
            <w:hideMark/>
          </w:tcPr>
          <w:p w14:paraId="76B188A4" w14:textId="77777777" w:rsidR="00CD1E65" w:rsidRPr="002D3E9E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2013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8C8C8"/>
            <w:vAlign w:val="center"/>
            <w:hideMark/>
          </w:tcPr>
          <w:p w14:paraId="13D3FE2E" w14:textId="77777777" w:rsidR="00CD1E65" w:rsidRPr="002D3E9E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2015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8C8C8"/>
            <w:vAlign w:val="center"/>
            <w:hideMark/>
          </w:tcPr>
          <w:p w14:paraId="46CAF544" w14:textId="77777777" w:rsidR="00CD1E65" w:rsidRPr="002D3E9E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2017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8C8C8"/>
            <w:vAlign w:val="center"/>
            <w:hideMark/>
          </w:tcPr>
          <w:p w14:paraId="73300146" w14:textId="77777777" w:rsidR="00CD1E65" w:rsidRPr="002D3E9E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2019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8C8C8"/>
            <w:vAlign w:val="center"/>
            <w:hideMark/>
          </w:tcPr>
          <w:p w14:paraId="13ADD6E3" w14:textId="77777777" w:rsidR="00CD1E65" w:rsidRPr="002D3E9E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2021</w:t>
            </w:r>
          </w:p>
        </w:tc>
      </w:tr>
      <w:tr w:rsidR="00CD1E65" w:rsidRPr="00D421C5" w14:paraId="2816BF57" w14:textId="77777777" w:rsidTr="008E2752">
        <w:trPr>
          <w:trHeight w:val="227"/>
          <w:jc w:val="center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0168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000000" w:fill="FDBC6E"/>
            <w:noWrap/>
            <w:vAlign w:val="center"/>
            <w:hideMark/>
          </w:tcPr>
          <w:p w14:paraId="2045D085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000000" w:fill="FDB66B"/>
            <w:noWrap/>
            <w:vAlign w:val="center"/>
            <w:hideMark/>
          </w:tcPr>
          <w:p w14:paraId="315D3AB6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000000" w:fill="FB9D5F"/>
            <w:noWrap/>
            <w:vAlign w:val="center"/>
            <w:hideMark/>
          </w:tcPr>
          <w:p w14:paraId="60A21B0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000000" w:fill="FB9059"/>
            <w:noWrap/>
            <w:vAlign w:val="center"/>
            <w:hideMark/>
          </w:tcPr>
          <w:p w14:paraId="45F3BD4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000000" w:fill="FB9D5F"/>
            <w:noWrap/>
            <w:vAlign w:val="center"/>
            <w:hideMark/>
          </w:tcPr>
          <w:p w14:paraId="32B014B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4239C760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B73BCF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Aguascalientes</w:t>
            </w:r>
          </w:p>
        </w:tc>
        <w:tc>
          <w:tcPr>
            <w:tcW w:w="1577" w:type="dxa"/>
            <w:shd w:val="clear" w:color="000000" w:fill="88B567"/>
            <w:noWrap/>
            <w:vAlign w:val="center"/>
            <w:hideMark/>
          </w:tcPr>
          <w:p w14:paraId="0F7E277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6.2 % *</w:t>
            </w:r>
          </w:p>
        </w:tc>
        <w:tc>
          <w:tcPr>
            <w:tcW w:w="1413" w:type="dxa"/>
            <w:shd w:val="clear" w:color="000000" w:fill="FFE983"/>
            <w:noWrap/>
            <w:vAlign w:val="center"/>
            <w:hideMark/>
          </w:tcPr>
          <w:p w14:paraId="75BC49E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E60"/>
            <w:noWrap/>
            <w:vAlign w:val="center"/>
            <w:hideMark/>
          </w:tcPr>
          <w:p w14:paraId="536C2F0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D5F"/>
            <w:noWrap/>
            <w:vAlign w:val="center"/>
            <w:hideMark/>
          </w:tcPr>
          <w:p w14:paraId="7855398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C572"/>
            <w:noWrap/>
            <w:vAlign w:val="center"/>
            <w:hideMark/>
          </w:tcPr>
          <w:p w14:paraId="788C8791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6E8C1A7A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A297E6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 California</w:t>
            </w:r>
          </w:p>
        </w:tc>
        <w:tc>
          <w:tcPr>
            <w:tcW w:w="1577" w:type="dxa"/>
            <w:shd w:val="clear" w:color="000000" w:fill="FDC271"/>
            <w:noWrap/>
            <w:vAlign w:val="center"/>
            <w:hideMark/>
          </w:tcPr>
          <w:p w14:paraId="21AA2D3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462"/>
            <w:noWrap/>
            <w:vAlign w:val="center"/>
            <w:hideMark/>
          </w:tcPr>
          <w:p w14:paraId="18958EF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864"/>
            <w:noWrap/>
            <w:vAlign w:val="center"/>
            <w:hideMark/>
          </w:tcPr>
          <w:p w14:paraId="3C9985F9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C572"/>
            <w:noWrap/>
            <w:vAlign w:val="center"/>
            <w:hideMark/>
          </w:tcPr>
          <w:p w14:paraId="68B573C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86444"/>
            <w:noWrap/>
            <w:vAlign w:val="center"/>
            <w:hideMark/>
          </w:tcPr>
          <w:p w14:paraId="1428713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19.4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3F58C952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E0AFD0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 California Sur</w:t>
            </w:r>
          </w:p>
        </w:tc>
        <w:tc>
          <w:tcPr>
            <w:tcW w:w="1577" w:type="dxa"/>
            <w:shd w:val="clear" w:color="000000" w:fill="A4C26D"/>
            <w:noWrap/>
            <w:vAlign w:val="center"/>
            <w:hideMark/>
          </w:tcPr>
          <w:p w14:paraId="39C56AD9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6.7 % *</w:t>
            </w:r>
          </w:p>
        </w:tc>
        <w:tc>
          <w:tcPr>
            <w:tcW w:w="1413" w:type="dxa"/>
            <w:shd w:val="clear" w:color="000000" w:fill="FEC673"/>
            <w:noWrap/>
            <w:vAlign w:val="center"/>
            <w:hideMark/>
          </w:tcPr>
          <w:p w14:paraId="65A0C7B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E6F"/>
            <w:noWrap/>
            <w:vAlign w:val="center"/>
            <w:hideMark/>
          </w:tcPr>
          <w:p w14:paraId="641AC33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E2DE7D"/>
            <w:noWrap/>
            <w:vAlign w:val="center"/>
            <w:hideMark/>
          </w:tcPr>
          <w:p w14:paraId="71C0325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479857"/>
            <w:noWrap/>
            <w:vAlign w:val="center"/>
            <w:hideMark/>
          </w:tcPr>
          <w:p w14:paraId="7557AB6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5.2 % *</w:t>
            </w:r>
          </w:p>
        </w:tc>
      </w:tr>
      <w:tr w:rsidR="00CD1E65" w:rsidRPr="00D421C5" w14:paraId="4F3006EA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301C57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Campeche</w:t>
            </w:r>
          </w:p>
        </w:tc>
        <w:tc>
          <w:tcPr>
            <w:tcW w:w="1577" w:type="dxa"/>
            <w:shd w:val="clear" w:color="000000" w:fill="FFE883"/>
            <w:noWrap/>
            <w:vAlign w:val="center"/>
            <w:hideMark/>
          </w:tcPr>
          <w:p w14:paraId="6CBC0F5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8.4 % *</w:t>
            </w:r>
          </w:p>
        </w:tc>
        <w:tc>
          <w:tcPr>
            <w:tcW w:w="1413" w:type="dxa"/>
            <w:shd w:val="clear" w:color="000000" w:fill="FED77B"/>
            <w:noWrap/>
            <w:vAlign w:val="center"/>
            <w:hideMark/>
          </w:tcPr>
          <w:p w14:paraId="05A67A3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56A"/>
            <w:noWrap/>
            <w:vAlign w:val="center"/>
            <w:hideMark/>
          </w:tcPr>
          <w:p w14:paraId="5EAB6D9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563"/>
            <w:noWrap/>
            <w:vAlign w:val="center"/>
            <w:hideMark/>
          </w:tcPr>
          <w:p w14:paraId="7197287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061"/>
            <w:noWrap/>
            <w:vAlign w:val="center"/>
            <w:hideMark/>
          </w:tcPr>
          <w:p w14:paraId="4EF95B4A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066BBE65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862178" w14:textId="77777777" w:rsidR="00CD1E65" w:rsidRPr="00D27342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73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Coahuila </w:t>
            </w:r>
          </w:p>
        </w:tc>
        <w:tc>
          <w:tcPr>
            <w:tcW w:w="1577" w:type="dxa"/>
            <w:shd w:val="clear" w:color="000000" w:fill="FDEA83"/>
            <w:noWrap/>
            <w:vAlign w:val="center"/>
            <w:hideMark/>
          </w:tcPr>
          <w:p w14:paraId="34BE9FA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8.1 % *</w:t>
            </w:r>
          </w:p>
        </w:tc>
        <w:tc>
          <w:tcPr>
            <w:tcW w:w="1413" w:type="dxa"/>
            <w:shd w:val="clear" w:color="000000" w:fill="FEC873"/>
            <w:noWrap/>
            <w:vAlign w:val="center"/>
            <w:hideMark/>
          </w:tcPr>
          <w:p w14:paraId="0FFED5A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C672"/>
            <w:noWrap/>
            <w:vAlign w:val="center"/>
            <w:hideMark/>
          </w:tcPr>
          <w:p w14:paraId="3E5852A9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45B"/>
            <w:noWrap/>
            <w:vAlign w:val="center"/>
            <w:hideMark/>
          </w:tcPr>
          <w:p w14:paraId="5D67E271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C371"/>
            <w:noWrap/>
            <w:vAlign w:val="center"/>
            <w:hideMark/>
          </w:tcPr>
          <w:p w14:paraId="7566DE51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40B7E452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E73CAA2" w14:textId="77777777" w:rsidR="00CD1E65" w:rsidRPr="00D27342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73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Colima</w:t>
            </w:r>
          </w:p>
        </w:tc>
        <w:tc>
          <w:tcPr>
            <w:tcW w:w="1577" w:type="dxa"/>
            <w:shd w:val="clear" w:color="000000" w:fill="82B265"/>
            <w:noWrap/>
            <w:vAlign w:val="center"/>
            <w:hideMark/>
          </w:tcPr>
          <w:p w14:paraId="6B318D8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6.2 % *</w:t>
            </w:r>
          </w:p>
        </w:tc>
        <w:tc>
          <w:tcPr>
            <w:tcW w:w="1413" w:type="dxa"/>
            <w:shd w:val="clear" w:color="000000" w:fill="DADA7B"/>
            <w:noWrap/>
            <w:vAlign w:val="center"/>
            <w:hideMark/>
          </w:tcPr>
          <w:p w14:paraId="67105F3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CD76"/>
            <w:noWrap/>
            <w:vAlign w:val="center"/>
            <w:hideMark/>
          </w:tcPr>
          <w:p w14:paraId="7A21D11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10.6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B4C971"/>
            <w:noWrap/>
            <w:vAlign w:val="center"/>
            <w:hideMark/>
          </w:tcPr>
          <w:p w14:paraId="7E5E5E5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87B466"/>
            <w:noWrap/>
            <w:vAlign w:val="center"/>
            <w:hideMark/>
          </w:tcPr>
          <w:p w14:paraId="05559EC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6.2 % *</w:t>
            </w:r>
          </w:p>
        </w:tc>
      </w:tr>
      <w:tr w:rsidR="00CD1E65" w:rsidRPr="00D421C5" w14:paraId="3E125203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BEFCF2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Chiapas</w:t>
            </w:r>
          </w:p>
        </w:tc>
        <w:tc>
          <w:tcPr>
            <w:tcW w:w="1577" w:type="dxa"/>
            <w:shd w:val="clear" w:color="000000" w:fill="FFE983"/>
            <w:noWrap/>
            <w:vAlign w:val="center"/>
            <w:hideMark/>
          </w:tcPr>
          <w:p w14:paraId="5EFAC3FA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8.3 % *</w:t>
            </w:r>
          </w:p>
        </w:tc>
        <w:tc>
          <w:tcPr>
            <w:tcW w:w="1413" w:type="dxa"/>
            <w:shd w:val="clear" w:color="000000" w:fill="FFE481"/>
            <w:noWrap/>
            <w:vAlign w:val="center"/>
            <w:hideMark/>
          </w:tcPr>
          <w:p w14:paraId="553D3585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8.7 % *</w:t>
            </w:r>
          </w:p>
        </w:tc>
        <w:tc>
          <w:tcPr>
            <w:tcW w:w="1413" w:type="dxa"/>
            <w:shd w:val="clear" w:color="000000" w:fill="FA8B56"/>
            <w:noWrap/>
            <w:vAlign w:val="center"/>
            <w:hideMark/>
          </w:tcPr>
          <w:p w14:paraId="283B1825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362"/>
            <w:noWrap/>
            <w:vAlign w:val="center"/>
            <w:hideMark/>
          </w:tcPr>
          <w:p w14:paraId="7E19FB56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96C"/>
            <w:noWrap/>
            <w:vAlign w:val="center"/>
            <w:hideMark/>
          </w:tcPr>
          <w:p w14:paraId="45CBFF6A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59783A65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E10206" w14:textId="77777777" w:rsidR="00CD1E65" w:rsidRPr="00D27342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73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Chihuahua</w:t>
            </w:r>
          </w:p>
        </w:tc>
        <w:tc>
          <w:tcPr>
            <w:tcW w:w="1577" w:type="dxa"/>
            <w:shd w:val="clear" w:color="000000" w:fill="FB9D5F"/>
            <w:noWrap/>
            <w:vAlign w:val="center"/>
            <w:hideMark/>
          </w:tcPr>
          <w:p w14:paraId="56177E3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97A4E"/>
            <w:noWrap/>
            <w:vAlign w:val="center"/>
            <w:hideMark/>
          </w:tcPr>
          <w:p w14:paraId="5E51DC3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17.6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159"/>
            <w:noWrap/>
            <w:vAlign w:val="center"/>
            <w:hideMark/>
          </w:tcPr>
          <w:p w14:paraId="057B35A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FDC7D"/>
            <w:noWrap/>
            <w:vAlign w:val="center"/>
            <w:hideMark/>
          </w:tcPr>
          <w:p w14:paraId="62C7110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D078"/>
            <w:noWrap/>
            <w:vAlign w:val="center"/>
            <w:hideMark/>
          </w:tcPr>
          <w:p w14:paraId="09E60C7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10.4 % *</w:t>
            </w:r>
          </w:p>
        </w:tc>
      </w:tr>
      <w:tr w:rsidR="00CD1E65" w:rsidRPr="00D421C5" w14:paraId="60C06D0A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650B61" w14:textId="77777777" w:rsidR="00CD1E65" w:rsidRPr="00D27342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734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Ciudad de México</w:t>
            </w:r>
          </w:p>
        </w:tc>
        <w:tc>
          <w:tcPr>
            <w:tcW w:w="1577" w:type="dxa"/>
            <w:shd w:val="clear" w:color="000000" w:fill="F9754C"/>
            <w:noWrap/>
            <w:vAlign w:val="center"/>
            <w:hideMark/>
          </w:tcPr>
          <w:p w14:paraId="63728E8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18.0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B56"/>
            <w:noWrap/>
            <w:vAlign w:val="center"/>
            <w:hideMark/>
          </w:tcPr>
          <w:p w14:paraId="3CD1FE3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85C40"/>
            <w:noWrap/>
            <w:vAlign w:val="center"/>
            <w:hideMark/>
          </w:tcPr>
          <w:p w14:paraId="5F139BB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7553C"/>
            <w:noWrap/>
            <w:vAlign w:val="center"/>
            <w:hideMark/>
          </w:tcPr>
          <w:p w14:paraId="0E4A8E3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20.7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A56"/>
            <w:noWrap/>
            <w:vAlign w:val="center"/>
            <w:hideMark/>
          </w:tcPr>
          <w:p w14:paraId="5D3F4ED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433F9ACA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23F7CB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Durango</w:t>
            </w:r>
          </w:p>
        </w:tc>
        <w:tc>
          <w:tcPr>
            <w:tcW w:w="1577" w:type="dxa"/>
            <w:shd w:val="clear" w:color="000000" w:fill="D4D779"/>
            <w:noWrap/>
            <w:vAlign w:val="center"/>
            <w:hideMark/>
          </w:tcPr>
          <w:p w14:paraId="6BE5F47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7.5 % *</w:t>
            </w:r>
          </w:p>
        </w:tc>
        <w:tc>
          <w:tcPr>
            <w:tcW w:w="1413" w:type="dxa"/>
            <w:shd w:val="clear" w:color="000000" w:fill="FCA261"/>
            <w:noWrap/>
            <w:vAlign w:val="center"/>
            <w:hideMark/>
          </w:tcPr>
          <w:p w14:paraId="6FDFA11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D57"/>
            <w:noWrap/>
            <w:vAlign w:val="center"/>
            <w:hideMark/>
          </w:tcPr>
          <w:p w14:paraId="7134BE5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41C21"/>
            <w:noWrap/>
            <w:vAlign w:val="center"/>
            <w:hideMark/>
          </w:tcPr>
          <w:p w14:paraId="0F77ADC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25.4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9704A"/>
            <w:noWrap/>
            <w:vAlign w:val="center"/>
            <w:hideMark/>
          </w:tcPr>
          <w:p w14:paraId="7D51B95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4B05978A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22181D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</w:t>
            </w:r>
          </w:p>
        </w:tc>
        <w:tc>
          <w:tcPr>
            <w:tcW w:w="1577" w:type="dxa"/>
            <w:shd w:val="clear" w:color="000000" w:fill="FFDE7E"/>
            <w:noWrap/>
            <w:vAlign w:val="center"/>
            <w:hideMark/>
          </w:tcPr>
          <w:p w14:paraId="0903FD7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9.2 % *</w:t>
            </w:r>
          </w:p>
        </w:tc>
        <w:tc>
          <w:tcPr>
            <w:tcW w:w="1413" w:type="dxa"/>
            <w:shd w:val="clear" w:color="000000" w:fill="C7D276"/>
            <w:noWrap/>
            <w:vAlign w:val="center"/>
            <w:hideMark/>
          </w:tcPr>
          <w:p w14:paraId="792035B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7.3 % *</w:t>
            </w:r>
          </w:p>
        </w:tc>
        <w:tc>
          <w:tcPr>
            <w:tcW w:w="1413" w:type="dxa"/>
            <w:shd w:val="clear" w:color="000000" w:fill="FFE180"/>
            <w:noWrap/>
            <w:vAlign w:val="center"/>
            <w:hideMark/>
          </w:tcPr>
          <w:p w14:paraId="63B9AC1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B56"/>
            <w:noWrap/>
            <w:vAlign w:val="center"/>
            <w:hideMark/>
          </w:tcPr>
          <w:p w14:paraId="650C871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8F58"/>
            <w:noWrap/>
            <w:vAlign w:val="center"/>
            <w:hideMark/>
          </w:tcPr>
          <w:p w14:paraId="2CA82E51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3B5865DE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93793A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Guerrero</w:t>
            </w:r>
          </w:p>
        </w:tc>
        <w:tc>
          <w:tcPr>
            <w:tcW w:w="1577" w:type="dxa"/>
            <w:shd w:val="clear" w:color="000000" w:fill="67A65F"/>
            <w:noWrap/>
            <w:vAlign w:val="center"/>
            <w:hideMark/>
          </w:tcPr>
          <w:p w14:paraId="249E75B9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5.7 % *</w:t>
            </w:r>
          </w:p>
        </w:tc>
        <w:tc>
          <w:tcPr>
            <w:tcW w:w="1413" w:type="dxa"/>
            <w:shd w:val="clear" w:color="000000" w:fill="FED178"/>
            <w:noWrap/>
            <w:vAlign w:val="center"/>
            <w:hideMark/>
          </w:tcPr>
          <w:p w14:paraId="6E16F0E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161"/>
            <w:noWrap/>
            <w:vAlign w:val="center"/>
            <w:hideMark/>
          </w:tcPr>
          <w:p w14:paraId="0124BEB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8F58"/>
            <w:noWrap/>
            <w:vAlign w:val="center"/>
            <w:hideMark/>
          </w:tcPr>
          <w:p w14:paraId="79B427A5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D67"/>
            <w:noWrap/>
            <w:vAlign w:val="center"/>
            <w:hideMark/>
          </w:tcPr>
          <w:p w14:paraId="0F61F09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0FC375EC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48BD48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Hidalgo</w:t>
            </w:r>
          </w:p>
        </w:tc>
        <w:tc>
          <w:tcPr>
            <w:tcW w:w="1577" w:type="dxa"/>
            <w:shd w:val="clear" w:color="000000" w:fill="FFEA84"/>
            <w:noWrap/>
            <w:vAlign w:val="center"/>
            <w:hideMark/>
          </w:tcPr>
          <w:p w14:paraId="06923F8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8.2 % *</w:t>
            </w:r>
          </w:p>
        </w:tc>
        <w:tc>
          <w:tcPr>
            <w:tcW w:w="1413" w:type="dxa"/>
            <w:shd w:val="clear" w:color="000000" w:fill="FB9C5F"/>
            <w:noWrap/>
            <w:vAlign w:val="center"/>
            <w:hideMark/>
          </w:tcPr>
          <w:p w14:paraId="339B3B9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B068"/>
            <w:noWrap/>
            <w:vAlign w:val="center"/>
            <w:hideMark/>
          </w:tcPr>
          <w:p w14:paraId="6549CFC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D67A"/>
            <w:noWrap/>
            <w:vAlign w:val="center"/>
            <w:hideMark/>
          </w:tcPr>
          <w:p w14:paraId="5BB49015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FDD7D"/>
            <w:noWrap/>
            <w:vAlign w:val="center"/>
            <w:hideMark/>
          </w:tcPr>
          <w:p w14:paraId="3908557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1511CEB9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8FA158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Jalisco</w:t>
            </w:r>
          </w:p>
        </w:tc>
        <w:tc>
          <w:tcPr>
            <w:tcW w:w="1577" w:type="dxa"/>
            <w:shd w:val="clear" w:color="000000" w:fill="FCB168"/>
            <w:noWrap/>
            <w:vAlign w:val="center"/>
            <w:hideMark/>
          </w:tcPr>
          <w:p w14:paraId="192D992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161"/>
            <w:noWrap/>
            <w:vAlign w:val="center"/>
            <w:hideMark/>
          </w:tcPr>
          <w:p w14:paraId="0559C531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663"/>
            <w:noWrap/>
            <w:vAlign w:val="center"/>
            <w:hideMark/>
          </w:tcPr>
          <w:p w14:paraId="5FEE8F9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C57"/>
            <w:noWrap/>
            <w:vAlign w:val="center"/>
            <w:hideMark/>
          </w:tcPr>
          <w:p w14:paraId="5E08575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B6D"/>
            <w:noWrap/>
            <w:vAlign w:val="center"/>
            <w:hideMark/>
          </w:tcPr>
          <w:p w14:paraId="010AC41A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3905DA81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34484D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México</w:t>
            </w:r>
          </w:p>
        </w:tc>
        <w:tc>
          <w:tcPr>
            <w:tcW w:w="1577" w:type="dxa"/>
            <w:shd w:val="clear" w:color="000000" w:fill="FA8956"/>
            <w:noWrap/>
            <w:vAlign w:val="center"/>
            <w:hideMark/>
          </w:tcPr>
          <w:p w14:paraId="5BC6A70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A6D"/>
            <w:noWrap/>
            <w:vAlign w:val="center"/>
            <w:hideMark/>
          </w:tcPr>
          <w:p w14:paraId="6F035D4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8E58"/>
            <w:noWrap/>
            <w:vAlign w:val="center"/>
            <w:hideMark/>
          </w:tcPr>
          <w:p w14:paraId="6F1DAE6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7553C"/>
            <w:noWrap/>
            <w:vAlign w:val="center"/>
            <w:hideMark/>
          </w:tcPr>
          <w:p w14:paraId="60B78D6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20.7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9784D"/>
            <w:noWrap/>
            <w:vAlign w:val="center"/>
            <w:hideMark/>
          </w:tcPr>
          <w:p w14:paraId="7CB7FA2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79660FA9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9C6367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Michoacán </w:t>
            </w:r>
          </w:p>
        </w:tc>
        <w:tc>
          <w:tcPr>
            <w:tcW w:w="1577" w:type="dxa"/>
            <w:shd w:val="clear" w:color="000000" w:fill="FDB76B"/>
            <w:noWrap/>
            <w:vAlign w:val="center"/>
            <w:hideMark/>
          </w:tcPr>
          <w:p w14:paraId="7A9E266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955"/>
            <w:noWrap/>
            <w:vAlign w:val="center"/>
            <w:hideMark/>
          </w:tcPr>
          <w:p w14:paraId="20344245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B5E"/>
            <w:noWrap/>
            <w:vAlign w:val="center"/>
            <w:hideMark/>
          </w:tcPr>
          <w:p w14:paraId="0FDF067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D278"/>
            <w:noWrap/>
            <w:vAlign w:val="center"/>
            <w:hideMark/>
          </w:tcPr>
          <w:p w14:paraId="7A08D6C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10.2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8E58"/>
            <w:noWrap/>
            <w:vAlign w:val="center"/>
            <w:hideMark/>
          </w:tcPr>
          <w:p w14:paraId="40257E2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1045264D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3B0A4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Morelos</w:t>
            </w:r>
          </w:p>
        </w:tc>
        <w:tc>
          <w:tcPr>
            <w:tcW w:w="1577" w:type="dxa"/>
            <w:shd w:val="clear" w:color="000000" w:fill="E2DE7D"/>
            <w:noWrap/>
            <w:vAlign w:val="center"/>
            <w:hideMark/>
          </w:tcPr>
          <w:p w14:paraId="004C734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7.7 % *</w:t>
            </w:r>
          </w:p>
        </w:tc>
        <w:tc>
          <w:tcPr>
            <w:tcW w:w="1413" w:type="dxa"/>
            <w:shd w:val="clear" w:color="000000" w:fill="F85C40"/>
            <w:noWrap/>
            <w:vAlign w:val="center"/>
            <w:hideMark/>
          </w:tcPr>
          <w:p w14:paraId="0FEFFDC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20.1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7E50"/>
            <w:noWrap/>
            <w:vAlign w:val="center"/>
            <w:hideMark/>
          </w:tcPr>
          <w:p w14:paraId="04E7ACF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855"/>
            <w:noWrap/>
            <w:vAlign w:val="center"/>
            <w:hideMark/>
          </w:tcPr>
          <w:p w14:paraId="46E3304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35A"/>
            <w:noWrap/>
            <w:vAlign w:val="center"/>
            <w:hideMark/>
          </w:tcPr>
          <w:p w14:paraId="14BF7701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2CD07EFF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DB0FA5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Nayarit</w:t>
            </w:r>
          </w:p>
        </w:tc>
        <w:tc>
          <w:tcPr>
            <w:tcW w:w="1577" w:type="dxa"/>
            <w:shd w:val="clear" w:color="000000" w:fill="E7E07E"/>
            <w:noWrap/>
            <w:vAlign w:val="center"/>
            <w:hideMark/>
          </w:tcPr>
          <w:p w14:paraId="39F40535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BDCD73"/>
            <w:noWrap/>
            <w:vAlign w:val="center"/>
            <w:hideMark/>
          </w:tcPr>
          <w:p w14:paraId="61789B0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C974"/>
            <w:noWrap/>
            <w:vAlign w:val="center"/>
            <w:hideMark/>
          </w:tcPr>
          <w:p w14:paraId="6AE0D83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45B"/>
            <w:noWrap/>
            <w:vAlign w:val="center"/>
            <w:hideMark/>
          </w:tcPr>
          <w:p w14:paraId="4ED3093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FDB7D"/>
            <w:noWrap/>
            <w:vAlign w:val="center"/>
            <w:hideMark/>
          </w:tcPr>
          <w:p w14:paraId="1116A54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1CAC9E2E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A4D86C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Nuevo León</w:t>
            </w:r>
          </w:p>
        </w:tc>
        <w:tc>
          <w:tcPr>
            <w:tcW w:w="1577" w:type="dxa"/>
            <w:shd w:val="clear" w:color="000000" w:fill="8DB768"/>
            <w:noWrap/>
            <w:vAlign w:val="center"/>
            <w:hideMark/>
          </w:tcPr>
          <w:p w14:paraId="300F94A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6.3 % *</w:t>
            </w:r>
          </w:p>
        </w:tc>
        <w:tc>
          <w:tcPr>
            <w:tcW w:w="1413" w:type="dxa"/>
            <w:shd w:val="clear" w:color="000000" w:fill="F0E480"/>
            <w:noWrap/>
            <w:vAlign w:val="center"/>
            <w:hideMark/>
          </w:tcPr>
          <w:p w14:paraId="60C5C5D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965"/>
            <w:noWrap/>
            <w:vAlign w:val="center"/>
            <w:hideMark/>
          </w:tcPr>
          <w:p w14:paraId="1E42E14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D178"/>
            <w:noWrap/>
            <w:vAlign w:val="center"/>
            <w:hideMark/>
          </w:tcPr>
          <w:p w14:paraId="06C85DE6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10.3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CC76"/>
            <w:noWrap/>
            <w:vAlign w:val="center"/>
            <w:hideMark/>
          </w:tcPr>
          <w:p w14:paraId="4FC6E78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10.7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6244D508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3CFB6B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Oaxaca</w:t>
            </w:r>
          </w:p>
        </w:tc>
        <w:tc>
          <w:tcPr>
            <w:tcW w:w="1577" w:type="dxa"/>
            <w:shd w:val="clear" w:color="000000" w:fill="FDB86C"/>
            <w:noWrap/>
            <w:vAlign w:val="center"/>
            <w:hideMark/>
          </w:tcPr>
          <w:p w14:paraId="2F85EDE5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86C"/>
            <w:noWrap/>
            <w:vAlign w:val="center"/>
            <w:hideMark/>
          </w:tcPr>
          <w:p w14:paraId="4004429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C773"/>
            <w:noWrap/>
            <w:vAlign w:val="center"/>
            <w:hideMark/>
          </w:tcPr>
          <w:p w14:paraId="7E7C1B0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8E58"/>
            <w:noWrap/>
            <w:vAlign w:val="center"/>
            <w:hideMark/>
          </w:tcPr>
          <w:p w14:paraId="7A26033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C5E"/>
            <w:noWrap/>
            <w:vAlign w:val="center"/>
            <w:hideMark/>
          </w:tcPr>
          <w:p w14:paraId="1F56DC0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61CC6FFF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5AD8CD8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Puebla</w:t>
            </w:r>
          </w:p>
        </w:tc>
        <w:tc>
          <w:tcPr>
            <w:tcW w:w="1577" w:type="dxa"/>
            <w:shd w:val="clear" w:color="000000" w:fill="FEC873"/>
            <w:noWrap/>
            <w:vAlign w:val="center"/>
            <w:hideMark/>
          </w:tcPr>
          <w:p w14:paraId="6E00F46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A6D"/>
            <w:noWrap/>
            <w:vAlign w:val="center"/>
            <w:hideMark/>
          </w:tcPr>
          <w:p w14:paraId="35AC637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FDA7C"/>
            <w:noWrap/>
            <w:vAlign w:val="center"/>
            <w:hideMark/>
          </w:tcPr>
          <w:p w14:paraId="31709C7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159"/>
            <w:noWrap/>
            <w:vAlign w:val="center"/>
            <w:hideMark/>
          </w:tcPr>
          <w:p w14:paraId="482FE2C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86243"/>
            <w:noWrap/>
            <w:vAlign w:val="center"/>
            <w:hideMark/>
          </w:tcPr>
          <w:p w14:paraId="701B490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19.6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7DBFAC2B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F17229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Querétaro</w:t>
            </w:r>
          </w:p>
        </w:tc>
        <w:tc>
          <w:tcPr>
            <w:tcW w:w="1577" w:type="dxa"/>
            <w:shd w:val="clear" w:color="000000" w:fill="D2D679"/>
            <w:noWrap/>
            <w:vAlign w:val="center"/>
            <w:hideMark/>
          </w:tcPr>
          <w:p w14:paraId="1BB577A6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7.4 % *</w:t>
            </w:r>
          </w:p>
        </w:tc>
        <w:tc>
          <w:tcPr>
            <w:tcW w:w="1413" w:type="dxa"/>
            <w:shd w:val="clear" w:color="000000" w:fill="FCB068"/>
            <w:noWrap/>
            <w:vAlign w:val="center"/>
            <w:hideMark/>
          </w:tcPr>
          <w:p w14:paraId="1BBBCC6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F6F"/>
            <w:noWrap/>
            <w:vAlign w:val="center"/>
            <w:hideMark/>
          </w:tcPr>
          <w:p w14:paraId="0E9CA47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C572"/>
            <w:noWrap/>
            <w:vAlign w:val="center"/>
            <w:hideMark/>
          </w:tcPr>
          <w:p w14:paraId="2A5E536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FE883"/>
            <w:noWrap/>
            <w:vAlign w:val="center"/>
            <w:hideMark/>
          </w:tcPr>
          <w:p w14:paraId="7FB27F0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53E4E72A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D3CE73B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Quintana Roo</w:t>
            </w:r>
          </w:p>
        </w:tc>
        <w:tc>
          <w:tcPr>
            <w:tcW w:w="1577" w:type="dxa"/>
            <w:shd w:val="clear" w:color="000000" w:fill="FCA663"/>
            <w:noWrap/>
            <w:vAlign w:val="center"/>
            <w:hideMark/>
          </w:tcPr>
          <w:p w14:paraId="647F94C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13.9 % *</w:t>
            </w:r>
          </w:p>
        </w:tc>
        <w:tc>
          <w:tcPr>
            <w:tcW w:w="1413" w:type="dxa"/>
            <w:shd w:val="clear" w:color="000000" w:fill="FCB068"/>
            <w:noWrap/>
            <w:vAlign w:val="center"/>
            <w:hideMark/>
          </w:tcPr>
          <w:p w14:paraId="0D7B880A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97A4E"/>
            <w:noWrap/>
            <w:vAlign w:val="center"/>
            <w:hideMark/>
          </w:tcPr>
          <w:p w14:paraId="571E90C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17.6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85E41"/>
            <w:noWrap/>
            <w:vAlign w:val="center"/>
            <w:hideMark/>
          </w:tcPr>
          <w:p w14:paraId="4AA4A4B1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19.9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8583E"/>
            <w:noWrap/>
            <w:vAlign w:val="center"/>
            <w:hideMark/>
          </w:tcPr>
          <w:p w14:paraId="294EECF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20.4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3F9700A7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851BA4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San Luis Potosí</w:t>
            </w:r>
          </w:p>
        </w:tc>
        <w:tc>
          <w:tcPr>
            <w:tcW w:w="1577" w:type="dxa"/>
            <w:shd w:val="clear" w:color="000000" w:fill="F9754C"/>
            <w:noWrap/>
            <w:vAlign w:val="center"/>
            <w:hideMark/>
          </w:tcPr>
          <w:p w14:paraId="00820CD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18.0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CA75"/>
            <w:noWrap/>
            <w:vAlign w:val="center"/>
            <w:hideMark/>
          </w:tcPr>
          <w:p w14:paraId="183358A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10.9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453"/>
            <w:noWrap/>
            <w:vAlign w:val="center"/>
            <w:hideMark/>
          </w:tcPr>
          <w:p w14:paraId="04DD535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B068"/>
            <w:noWrap/>
            <w:vAlign w:val="center"/>
            <w:hideMark/>
          </w:tcPr>
          <w:p w14:paraId="39D21C6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66B"/>
            <w:noWrap/>
            <w:vAlign w:val="center"/>
            <w:hideMark/>
          </w:tcPr>
          <w:p w14:paraId="4C99B3E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013D06E6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00E3CE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Sinaloa</w:t>
            </w:r>
          </w:p>
        </w:tc>
        <w:tc>
          <w:tcPr>
            <w:tcW w:w="1577" w:type="dxa"/>
            <w:shd w:val="clear" w:color="000000" w:fill="FED67A"/>
            <w:noWrap/>
            <w:vAlign w:val="center"/>
            <w:hideMark/>
          </w:tcPr>
          <w:p w14:paraId="00302736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9.9 % *</w:t>
            </w:r>
          </w:p>
        </w:tc>
        <w:tc>
          <w:tcPr>
            <w:tcW w:w="1413" w:type="dxa"/>
            <w:shd w:val="clear" w:color="000000" w:fill="F9734B"/>
            <w:noWrap/>
            <w:vAlign w:val="center"/>
            <w:hideMark/>
          </w:tcPr>
          <w:p w14:paraId="525D002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18.1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563"/>
            <w:noWrap/>
            <w:vAlign w:val="center"/>
            <w:hideMark/>
          </w:tcPr>
          <w:p w14:paraId="54DAF71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86C"/>
            <w:noWrap/>
            <w:vAlign w:val="center"/>
            <w:hideMark/>
          </w:tcPr>
          <w:p w14:paraId="6F44F97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754"/>
            <w:noWrap/>
            <w:vAlign w:val="center"/>
            <w:hideMark/>
          </w:tcPr>
          <w:p w14:paraId="4422AC69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7C86BDB2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3E555D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Sonora</w:t>
            </w:r>
          </w:p>
        </w:tc>
        <w:tc>
          <w:tcPr>
            <w:tcW w:w="1577" w:type="dxa"/>
            <w:shd w:val="clear" w:color="000000" w:fill="3E9455"/>
            <w:noWrap/>
            <w:vAlign w:val="center"/>
            <w:hideMark/>
          </w:tcPr>
          <w:p w14:paraId="7B5D7FEA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5.1 % *</w:t>
            </w:r>
          </w:p>
        </w:tc>
        <w:tc>
          <w:tcPr>
            <w:tcW w:w="1413" w:type="dxa"/>
            <w:shd w:val="clear" w:color="000000" w:fill="FCA462"/>
            <w:noWrap/>
            <w:vAlign w:val="center"/>
            <w:hideMark/>
          </w:tcPr>
          <w:p w14:paraId="4D01230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75C"/>
            <w:noWrap/>
            <w:vAlign w:val="center"/>
            <w:hideMark/>
          </w:tcPr>
          <w:p w14:paraId="3FA91B0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15.2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66B"/>
            <w:noWrap/>
            <w:vAlign w:val="center"/>
            <w:hideMark/>
          </w:tcPr>
          <w:p w14:paraId="557DEB4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252"/>
            <w:noWrap/>
            <w:vAlign w:val="center"/>
            <w:hideMark/>
          </w:tcPr>
          <w:p w14:paraId="5AB8BF1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3F749425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82863A7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Tabasco</w:t>
            </w:r>
          </w:p>
        </w:tc>
        <w:tc>
          <w:tcPr>
            <w:tcW w:w="1577" w:type="dxa"/>
            <w:shd w:val="clear" w:color="000000" w:fill="FCA965"/>
            <w:noWrap/>
            <w:vAlign w:val="center"/>
            <w:hideMark/>
          </w:tcPr>
          <w:p w14:paraId="2083DF9A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C6E"/>
            <w:noWrap/>
            <w:vAlign w:val="center"/>
            <w:hideMark/>
          </w:tcPr>
          <w:p w14:paraId="7E25D9E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B9D5F"/>
            <w:noWrap/>
            <w:vAlign w:val="center"/>
            <w:hideMark/>
          </w:tcPr>
          <w:p w14:paraId="0D26682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FE582"/>
            <w:noWrap/>
            <w:vAlign w:val="center"/>
            <w:hideMark/>
          </w:tcPr>
          <w:p w14:paraId="1575D71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B56"/>
            <w:noWrap/>
            <w:vAlign w:val="center"/>
            <w:hideMark/>
          </w:tcPr>
          <w:p w14:paraId="64CA498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3859CDC2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6414D2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Tamaulipas</w:t>
            </w:r>
          </w:p>
        </w:tc>
        <w:tc>
          <w:tcPr>
            <w:tcW w:w="1577" w:type="dxa"/>
            <w:shd w:val="clear" w:color="000000" w:fill="7AAF63"/>
            <w:noWrap/>
            <w:vAlign w:val="center"/>
            <w:hideMark/>
          </w:tcPr>
          <w:p w14:paraId="787FC422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6.0 % *</w:t>
            </w:r>
          </w:p>
        </w:tc>
        <w:tc>
          <w:tcPr>
            <w:tcW w:w="1413" w:type="dxa"/>
            <w:shd w:val="clear" w:color="000000" w:fill="FFEB84"/>
            <w:noWrap/>
            <w:vAlign w:val="center"/>
            <w:hideMark/>
          </w:tcPr>
          <w:p w14:paraId="58943254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C572"/>
            <w:noWrap/>
            <w:vAlign w:val="center"/>
            <w:hideMark/>
          </w:tcPr>
          <w:p w14:paraId="485BA299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E4DF7D"/>
            <w:noWrap/>
            <w:vAlign w:val="center"/>
            <w:hideMark/>
          </w:tcPr>
          <w:p w14:paraId="7E79988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FDF7F"/>
            <w:noWrap/>
            <w:vAlign w:val="center"/>
            <w:hideMark/>
          </w:tcPr>
          <w:p w14:paraId="19DC6D4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53E1E6C2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375A73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Tlaxcala</w:t>
            </w:r>
          </w:p>
        </w:tc>
        <w:tc>
          <w:tcPr>
            <w:tcW w:w="1577" w:type="dxa"/>
            <w:shd w:val="clear" w:color="000000" w:fill="FDB46A"/>
            <w:noWrap/>
            <w:vAlign w:val="center"/>
            <w:hideMark/>
          </w:tcPr>
          <w:p w14:paraId="2E95D8DA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F68"/>
            <w:noWrap/>
            <w:vAlign w:val="center"/>
            <w:hideMark/>
          </w:tcPr>
          <w:p w14:paraId="45ACEC5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66B"/>
            <w:noWrap/>
            <w:vAlign w:val="center"/>
            <w:hideMark/>
          </w:tcPr>
          <w:p w14:paraId="15F310C9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C270"/>
            <w:noWrap/>
            <w:vAlign w:val="center"/>
            <w:hideMark/>
          </w:tcPr>
          <w:p w14:paraId="28D7A053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FE381"/>
            <w:noWrap/>
            <w:vAlign w:val="center"/>
            <w:hideMark/>
          </w:tcPr>
          <w:p w14:paraId="732E578E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8.8 % *</w:t>
            </w:r>
          </w:p>
        </w:tc>
      </w:tr>
      <w:tr w:rsidR="00CD1E65" w:rsidRPr="00D421C5" w14:paraId="3CFF3B1B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5E8A34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Veracruz</w:t>
            </w:r>
          </w:p>
        </w:tc>
        <w:tc>
          <w:tcPr>
            <w:tcW w:w="1577" w:type="dxa"/>
            <w:shd w:val="clear" w:color="000000" w:fill="FFDE7E"/>
            <w:noWrap/>
            <w:vAlign w:val="center"/>
            <w:hideMark/>
          </w:tcPr>
          <w:p w14:paraId="71E8ABAE" w14:textId="55A678B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  <w:r w:rsidR="000722B9">
              <w:rPr>
                <w:rFonts w:ascii="Arial" w:hAnsi="Arial" w:cs="Arial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1413" w:type="dxa"/>
            <w:shd w:val="clear" w:color="000000" w:fill="B4C971"/>
            <w:noWrap/>
            <w:vAlign w:val="center"/>
            <w:hideMark/>
          </w:tcPr>
          <w:p w14:paraId="060F144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7.0 % *</w:t>
            </w:r>
          </w:p>
        </w:tc>
        <w:tc>
          <w:tcPr>
            <w:tcW w:w="1413" w:type="dxa"/>
            <w:shd w:val="clear" w:color="000000" w:fill="FECE76"/>
            <w:noWrap/>
            <w:vAlign w:val="center"/>
            <w:hideMark/>
          </w:tcPr>
          <w:p w14:paraId="0B8A523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10.6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E67"/>
            <w:noWrap/>
            <w:vAlign w:val="center"/>
            <w:hideMark/>
          </w:tcPr>
          <w:p w14:paraId="5481FBE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A8252"/>
            <w:noWrap/>
            <w:vAlign w:val="center"/>
            <w:hideMark/>
          </w:tcPr>
          <w:p w14:paraId="19AA800D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16.9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2A406202" w14:textId="77777777" w:rsidTr="008E2752">
        <w:trPr>
          <w:trHeight w:val="22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68B401F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Yucatán</w:t>
            </w:r>
          </w:p>
        </w:tc>
        <w:tc>
          <w:tcPr>
            <w:tcW w:w="1577" w:type="dxa"/>
            <w:shd w:val="clear" w:color="000000" w:fill="FFDA7C"/>
            <w:noWrap/>
            <w:vAlign w:val="center"/>
            <w:hideMark/>
          </w:tcPr>
          <w:p w14:paraId="47279969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9.6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965"/>
            <w:noWrap/>
            <w:vAlign w:val="center"/>
            <w:hideMark/>
          </w:tcPr>
          <w:p w14:paraId="55353B2B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DB96C"/>
            <w:noWrap/>
            <w:vAlign w:val="center"/>
            <w:hideMark/>
          </w:tcPr>
          <w:p w14:paraId="762BBB48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12.3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CAE67"/>
            <w:noWrap/>
            <w:vAlign w:val="center"/>
            <w:hideMark/>
          </w:tcPr>
          <w:p w14:paraId="06BCB11F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13.3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shd w:val="clear" w:color="000000" w:fill="FEC874"/>
            <w:noWrap/>
            <w:vAlign w:val="center"/>
            <w:hideMark/>
          </w:tcPr>
          <w:p w14:paraId="0FE39E66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</w:tr>
      <w:tr w:rsidR="00CD1E65" w:rsidRPr="00D421C5" w14:paraId="10FD183E" w14:textId="77777777" w:rsidTr="008E2752">
        <w:trPr>
          <w:trHeight w:val="227"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ADFD" w14:textId="77777777" w:rsidR="00CD1E65" w:rsidRPr="002D3E9E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D3E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Zacatecas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000000" w:fill="FEC673"/>
            <w:noWrap/>
            <w:vAlign w:val="center"/>
            <w:hideMark/>
          </w:tcPr>
          <w:p w14:paraId="32AB6C6C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ABC56F"/>
            <w:noWrap/>
            <w:vAlign w:val="center"/>
            <w:hideMark/>
          </w:tcPr>
          <w:p w14:paraId="756B36D6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6.8 % *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EC873"/>
            <w:noWrap/>
            <w:vAlign w:val="center"/>
            <w:hideMark/>
          </w:tcPr>
          <w:p w14:paraId="2D23AB27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11.1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AFC770"/>
            <w:noWrap/>
            <w:vAlign w:val="center"/>
            <w:hideMark/>
          </w:tcPr>
          <w:p w14:paraId="4C69B0F0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6.9 % *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000000" w:fill="FFEB84"/>
            <w:noWrap/>
            <w:vAlign w:val="center"/>
            <w:hideMark/>
          </w:tcPr>
          <w:p w14:paraId="0DB5C2C1" w14:textId="77777777" w:rsidR="00CD1E65" w:rsidRPr="003F1478" w:rsidRDefault="00CD1E65" w:rsidP="005473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hAnsi="Arial" w:cs="Arial"/>
                <w:color w:val="000000"/>
                <w:sz w:val="16"/>
                <w:szCs w:val="16"/>
              </w:rPr>
              <w:t>8.2 % *</w:t>
            </w:r>
          </w:p>
        </w:tc>
      </w:tr>
      <w:tr w:rsidR="00CD1E65" w:rsidRPr="00D421C5" w14:paraId="0CFECE2F" w14:textId="77777777" w:rsidTr="0054739F">
        <w:trPr>
          <w:trHeight w:val="330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97C9DB" w14:textId="34CB84FD" w:rsidR="00CD1E65" w:rsidRDefault="00CD1E65" w:rsidP="008E2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Nota: Las estimaciones que aparecen en este cuadro </w:t>
            </w:r>
            <w:r w:rsid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señala</w:t>
            </w:r>
            <w:r w:rsid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(*,**) de acuerdo con su nivel de precisión, en </w:t>
            </w:r>
            <w:r w:rsidR="00191538" w:rsidRPr="00845887">
              <w:rPr>
                <w:rFonts w:ascii="Arial" w:hAnsi="Arial" w:cs="Arial"/>
                <w:sz w:val="16"/>
                <w:szCs w:val="16"/>
              </w:rPr>
              <w:t>«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Alto</w:t>
            </w:r>
            <w:r w:rsidR="00191538" w:rsidRPr="00845887">
              <w:rPr>
                <w:rFonts w:ascii="Arial" w:hAnsi="Arial" w:cs="Arial"/>
                <w:sz w:val="16"/>
                <w:szCs w:val="16"/>
              </w:rPr>
              <w:t>»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191538" w:rsidRPr="00845887">
              <w:rPr>
                <w:rFonts w:ascii="Arial" w:hAnsi="Arial" w:cs="Arial"/>
                <w:sz w:val="16"/>
                <w:szCs w:val="16"/>
              </w:rPr>
              <w:t>«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Moderado</w:t>
            </w:r>
            <w:r w:rsidR="00191538" w:rsidRPr="00845887">
              <w:rPr>
                <w:rFonts w:ascii="Arial" w:hAnsi="Arial" w:cs="Arial"/>
                <w:sz w:val="16"/>
                <w:szCs w:val="16"/>
              </w:rPr>
              <w:t>»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r w:rsidR="00191538" w:rsidRPr="00845887">
              <w:rPr>
                <w:rFonts w:ascii="Arial" w:hAnsi="Arial" w:cs="Arial"/>
                <w:sz w:val="16"/>
                <w:szCs w:val="16"/>
              </w:rPr>
              <w:t>«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</w:t>
            </w:r>
            <w:r w:rsidR="00191538" w:rsidRPr="00845887">
              <w:rPr>
                <w:rFonts w:ascii="Arial" w:hAnsi="Arial" w:cs="Arial"/>
                <w:sz w:val="16"/>
                <w:szCs w:val="16"/>
              </w:rPr>
              <w:t>»</w:t>
            </w:r>
            <w:r w:rsidR="006F477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704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66C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con base en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coeficiente de variación </w:t>
            </w:r>
            <w:r w:rsid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(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CV</w:t>
            </w:r>
            <w:r w:rsid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)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(%). Una precisión </w:t>
            </w:r>
            <w:r w:rsidR="006D36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baja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requiere un uso cauteloso de la estimación en el que se analicen las causas de la alta variabilidad y se consideren otros indicadores de precisión y confiabilidad, como el intervalo de confianza.</w:t>
            </w:r>
          </w:p>
          <w:p w14:paraId="5227AD66" w14:textId="77777777" w:rsidR="00CD1E65" w:rsidRDefault="00CD1E65" w:rsidP="008E27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Nivel de precisión de las estimaciones:</w:t>
            </w:r>
          </w:p>
          <w:p w14:paraId="57340FE6" w14:textId="77777777" w:rsidR="00CD1E65" w:rsidRPr="00191538" w:rsidRDefault="00CD1E65" w:rsidP="008E2752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200D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Alto</w:t>
            </w:r>
            <w:r w:rsidRP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CV en el rango de (0,15)</w:t>
            </w:r>
          </w:p>
          <w:p w14:paraId="0352CF56" w14:textId="77777777" w:rsidR="00CD1E65" w:rsidRPr="00191538" w:rsidRDefault="00CD1E65" w:rsidP="008E2752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* </w:t>
            </w:r>
            <w:r w:rsidRPr="00D200D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Moderado</w:t>
            </w:r>
            <w:r w:rsidRP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 CV en el rango de [15,30)</w:t>
            </w:r>
          </w:p>
          <w:p w14:paraId="1AE8D57C" w14:textId="6183B048" w:rsidR="00CD1E65" w:rsidRDefault="00CD1E65" w:rsidP="008E2752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** </w:t>
            </w:r>
            <w:r w:rsidRPr="00D200D8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Bajo</w:t>
            </w:r>
            <w:r w:rsidRP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CV de 30</w:t>
            </w:r>
            <w:r w:rsidR="0019153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3F147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 en adelante</w:t>
            </w:r>
          </w:p>
          <w:p w14:paraId="7152B536" w14:textId="77777777" w:rsidR="00CD1E65" w:rsidRPr="000D14A2" w:rsidRDefault="00CD1E65" w:rsidP="00547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0D14A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Fuente: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Encuesta Nacional de Calidad e Impacto Gubernamental 2013 - 2021</w:t>
            </w:r>
          </w:p>
        </w:tc>
      </w:tr>
    </w:tbl>
    <w:p w14:paraId="56264B20" w14:textId="77777777" w:rsidR="00CC5B1E" w:rsidRDefault="00CC5B1E" w:rsidP="00137C29">
      <w:pPr>
        <w:spacing w:after="0" w:line="240" w:lineRule="auto"/>
        <w:jc w:val="both"/>
        <w:rPr>
          <w:rFonts w:ascii="Arial" w:hAnsi="Arial" w:cs="Arial"/>
        </w:rPr>
      </w:pPr>
    </w:p>
    <w:p w14:paraId="0E28311F" w14:textId="77777777" w:rsidR="00CF2FBB" w:rsidRDefault="00CF2FBB" w:rsidP="0013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15F4BE" w14:textId="77777777" w:rsidR="00CF2FBB" w:rsidRDefault="00CF2FBB" w:rsidP="0013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C6ECC" w14:textId="36F1389F" w:rsidR="00BB2335" w:rsidRDefault="007A38E5" w:rsidP="0013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lastRenderedPageBreak/>
        <w:t>En cuanto al tipo de trámite o servicio</w:t>
      </w:r>
      <w:r w:rsidR="004C30D6" w:rsidRPr="00D200D8">
        <w:rPr>
          <w:rFonts w:ascii="Arial" w:hAnsi="Arial" w:cs="Arial"/>
          <w:sz w:val="24"/>
          <w:szCs w:val="24"/>
        </w:rPr>
        <w:t xml:space="preserve"> donde </w:t>
      </w:r>
      <w:r w:rsidR="00814D7E">
        <w:rPr>
          <w:rFonts w:ascii="Arial" w:hAnsi="Arial" w:cs="Arial"/>
          <w:sz w:val="24"/>
          <w:szCs w:val="24"/>
        </w:rPr>
        <w:t xml:space="preserve">hay corrupción, </w:t>
      </w:r>
      <w:r w:rsidR="00346FE0" w:rsidRPr="00D200D8">
        <w:rPr>
          <w:rFonts w:ascii="Arial" w:hAnsi="Arial" w:cs="Arial"/>
          <w:sz w:val="24"/>
          <w:szCs w:val="24"/>
        </w:rPr>
        <w:t xml:space="preserve">65.0 % </w:t>
      </w:r>
      <w:r w:rsidR="003A078E" w:rsidRPr="00D200D8">
        <w:rPr>
          <w:rFonts w:ascii="Arial" w:hAnsi="Arial" w:cs="Arial"/>
          <w:sz w:val="24"/>
          <w:szCs w:val="24"/>
        </w:rPr>
        <w:t xml:space="preserve">de </w:t>
      </w:r>
      <w:r w:rsidR="005430FE" w:rsidRPr="00D200D8">
        <w:rPr>
          <w:rFonts w:ascii="Arial" w:hAnsi="Arial" w:cs="Arial"/>
          <w:sz w:val="24"/>
          <w:szCs w:val="24"/>
        </w:rPr>
        <w:t xml:space="preserve">las </w:t>
      </w:r>
      <w:r w:rsidRPr="00D200D8">
        <w:rPr>
          <w:rFonts w:ascii="Arial" w:hAnsi="Arial" w:cs="Arial"/>
          <w:sz w:val="24"/>
          <w:szCs w:val="24"/>
        </w:rPr>
        <w:t xml:space="preserve">personas </w:t>
      </w:r>
      <w:r w:rsidR="003A078E" w:rsidRPr="00D200D8">
        <w:rPr>
          <w:rFonts w:ascii="Arial" w:hAnsi="Arial" w:cs="Arial"/>
          <w:sz w:val="24"/>
          <w:szCs w:val="24"/>
        </w:rPr>
        <w:t>que</w:t>
      </w:r>
      <w:r w:rsidR="005B717F" w:rsidRPr="00D200D8">
        <w:rPr>
          <w:rFonts w:ascii="Arial" w:hAnsi="Arial" w:cs="Arial"/>
          <w:sz w:val="24"/>
          <w:szCs w:val="24"/>
        </w:rPr>
        <w:t xml:space="preserve"> tuvieron </w:t>
      </w:r>
      <w:r w:rsidR="005B717F" w:rsidRPr="00D200D8">
        <w:rPr>
          <w:rFonts w:ascii="Arial" w:hAnsi="Arial" w:cs="Arial"/>
          <w:i/>
          <w:sz w:val="24"/>
          <w:szCs w:val="24"/>
        </w:rPr>
        <w:t xml:space="preserve">contacto con </w:t>
      </w:r>
      <w:r w:rsidR="008C58CE" w:rsidRPr="00D200D8">
        <w:rPr>
          <w:rFonts w:ascii="Arial" w:hAnsi="Arial" w:cs="Arial"/>
          <w:i/>
          <w:sz w:val="24"/>
          <w:szCs w:val="24"/>
        </w:rPr>
        <w:t>autoridades de seguridad pública</w:t>
      </w:r>
      <w:r w:rsidR="00CF7736" w:rsidRPr="00D200D8">
        <w:rPr>
          <w:rFonts w:ascii="Arial" w:hAnsi="Arial" w:cs="Arial"/>
          <w:sz w:val="24"/>
          <w:szCs w:val="24"/>
        </w:rPr>
        <w:t xml:space="preserve"> </w:t>
      </w:r>
      <w:r w:rsidR="00814D7E">
        <w:rPr>
          <w:rFonts w:ascii="Arial" w:hAnsi="Arial" w:cs="Arial"/>
          <w:sz w:val="24"/>
          <w:szCs w:val="24"/>
        </w:rPr>
        <w:t xml:space="preserve">la </w:t>
      </w:r>
      <w:r w:rsidR="004C30D6" w:rsidRPr="00D200D8">
        <w:rPr>
          <w:rFonts w:ascii="Arial" w:hAnsi="Arial" w:cs="Arial"/>
          <w:sz w:val="24"/>
          <w:szCs w:val="24"/>
        </w:rPr>
        <w:t>experimentó</w:t>
      </w:r>
      <w:r w:rsidR="0054739F">
        <w:rPr>
          <w:rFonts w:ascii="Arial" w:hAnsi="Arial" w:cs="Arial"/>
          <w:sz w:val="24"/>
          <w:szCs w:val="24"/>
        </w:rPr>
        <w:t>. E</w:t>
      </w:r>
      <w:r w:rsidR="00CF30F4" w:rsidRPr="00D200D8">
        <w:rPr>
          <w:rFonts w:ascii="Arial" w:hAnsi="Arial" w:cs="Arial"/>
          <w:sz w:val="24"/>
          <w:szCs w:val="24"/>
        </w:rPr>
        <w:t xml:space="preserve">stas </w:t>
      </w:r>
      <w:r w:rsidRPr="00D200D8">
        <w:rPr>
          <w:rFonts w:ascii="Arial" w:hAnsi="Arial" w:cs="Arial"/>
          <w:sz w:val="24"/>
          <w:szCs w:val="24"/>
        </w:rPr>
        <w:t>interacci</w:t>
      </w:r>
      <w:r w:rsidR="004C30D6" w:rsidRPr="00D200D8">
        <w:rPr>
          <w:rFonts w:ascii="Arial" w:hAnsi="Arial" w:cs="Arial"/>
          <w:sz w:val="24"/>
          <w:szCs w:val="24"/>
        </w:rPr>
        <w:t>o</w:t>
      </w:r>
      <w:r w:rsidRPr="00D200D8">
        <w:rPr>
          <w:rFonts w:ascii="Arial" w:hAnsi="Arial" w:cs="Arial"/>
          <w:sz w:val="24"/>
          <w:szCs w:val="24"/>
        </w:rPr>
        <w:t>n</w:t>
      </w:r>
      <w:r w:rsidR="004C30D6" w:rsidRPr="00D200D8">
        <w:rPr>
          <w:rFonts w:ascii="Arial" w:hAnsi="Arial" w:cs="Arial"/>
          <w:sz w:val="24"/>
          <w:szCs w:val="24"/>
        </w:rPr>
        <w:t>es</w:t>
      </w:r>
      <w:r w:rsidRPr="00D200D8">
        <w:rPr>
          <w:rFonts w:ascii="Arial" w:hAnsi="Arial" w:cs="Arial"/>
          <w:sz w:val="24"/>
          <w:szCs w:val="24"/>
        </w:rPr>
        <w:t xml:space="preserve"> </w:t>
      </w:r>
      <w:r w:rsidR="0054739F">
        <w:rPr>
          <w:rFonts w:ascii="Arial" w:hAnsi="Arial" w:cs="Arial"/>
          <w:sz w:val="24"/>
          <w:szCs w:val="24"/>
        </w:rPr>
        <w:t>fueron las de</w:t>
      </w:r>
      <w:r w:rsidR="00617C74" w:rsidRPr="00D200D8">
        <w:rPr>
          <w:rFonts w:ascii="Arial" w:hAnsi="Arial" w:cs="Arial"/>
          <w:sz w:val="24"/>
          <w:szCs w:val="24"/>
        </w:rPr>
        <w:t xml:space="preserve"> </w:t>
      </w:r>
      <w:r w:rsidRPr="00D200D8">
        <w:rPr>
          <w:rFonts w:ascii="Arial" w:hAnsi="Arial" w:cs="Arial"/>
          <w:sz w:val="24"/>
          <w:szCs w:val="24"/>
        </w:rPr>
        <w:t xml:space="preserve">mayor nivel de corrupción </w:t>
      </w:r>
      <w:r w:rsidR="004D5A4B" w:rsidRPr="00D200D8">
        <w:rPr>
          <w:rFonts w:ascii="Arial" w:hAnsi="Arial" w:cs="Arial"/>
          <w:sz w:val="24"/>
          <w:szCs w:val="24"/>
        </w:rPr>
        <w:t>en 2021</w:t>
      </w:r>
      <w:r w:rsidRPr="00D200D8">
        <w:rPr>
          <w:rFonts w:ascii="Arial" w:hAnsi="Arial" w:cs="Arial"/>
          <w:sz w:val="24"/>
          <w:szCs w:val="24"/>
        </w:rPr>
        <w:t>, seguid</w:t>
      </w:r>
      <w:r w:rsidR="0054739F">
        <w:rPr>
          <w:rFonts w:ascii="Arial" w:hAnsi="Arial" w:cs="Arial"/>
          <w:sz w:val="24"/>
          <w:szCs w:val="24"/>
        </w:rPr>
        <w:t>as</w:t>
      </w:r>
      <w:r w:rsidRPr="00D200D8">
        <w:rPr>
          <w:rFonts w:ascii="Arial" w:hAnsi="Arial" w:cs="Arial"/>
          <w:sz w:val="24"/>
          <w:szCs w:val="24"/>
        </w:rPr>
        <w:t xml:space="preserve"> de los</w:t>
      </w:r>
      <w:r w:rsidR="00A16595" w:rsidRPr="00D200D8">
        <w:rPr>
          <w:rFonts w:ascii="Arial" w:hAnsi="Arial" w:cs="Arial"/>
          <w:sz w:val="24"/>
          <w:szCs w:val="24"/>
        </w:rPr>
        <w:t xml:space="preserve"> </w:t>
      </w:r>
      <w:r w:rsidR="00A16595" w:rsidRPr="00D200D8">
        <w:rPr>
          <w:rFonts w:ascii="Arial" w:hAnsi="Arial" w:cs="Arial"/>
          <w:i/>
          <w:sz w:val="24"/>
          <w:szCs w:val="24"/>
        </w:rPr>
        <w:t>trámites</w:t>
      </w:r>
      <w:r w:rsidRPr="00D200D8">
        <w:rPr>
          <w:rFonts w:ascii="Arial" w:hAnsi="Arial" w:cs="Arial"/>
          <w:i/>
          <w:sz w:val="24"/>
          <w:szCs w:val="24"/>
        </w:rPr>
        <w:t xml:space="preserve"> </w:t>
      </w:r>
      <w:r w:rsidR="00A16595" w:rsidRPr="00D200D8">
        <w:rPr>
          <w:rFonts w:ascii="Arial" w:hAnsi="Arial" w:cs="Arial"/>
          <w:i/>
          <w:sz w:val="24"/>
          <w:szCs w:val="24"/>
        </w:rPr>
        <w:t>ante el Ministerio Público</w:t>
      </w:r>
      <w:r w:rsidR="00A16595" w:rsidRPr="00D200D8">
        <w:rPr>
          <w:rFonts w:ascii="Arial" w:hAnsi="Arial" w:cs="Arial"/>
          <w:sz w:val="24"/>
          <w:szCs w:val="24"/>
        </w:rPr>
        <w:t xml:space="preserve"> </w:t>
      </w:r>
      <w:r w:rsidRPr="00D200D8">
        <w:rPr>
          <w:rFonts w:ascii="Arial" w:hAnsi="Arial" w:cs="Arial"/>
          <w:sz w:val="24"/>
          <w:szCs w:val="24"/>
        </w:rPr>
        <w:t xml:space="preserve">y </w:t>
      </w:r>
      <w:r w:rsidR="00E50F50" w:rsidRPr="00D200D8">
        <w:rPr>
          <w:rFonts w:ascii="Arial" w:hAnsi="Arial" w:cs="Arial"/>
          <w:sz w:val="24"/>
          <w:szCs w:val="24"/>
        </w:rPr>
        <w:t xml:space="preserve">la gestión de </w:t>
      </w:r>
      <w:r w:rsidR="00EF0D2A" w:rsidRPr="00D200D8">
        <w:rPr>
          <w:rFonts w:ascii="Arial" w:hAnsi="Arial" w:cs="Arial"/>
          <w:i/>
          <w:sz w:val="24"/>
          <w:szCs w:val="24"/>
        </w:rPr>
        <w:t>permisos relacionados con la propiedad</w:t>
      </w:r>
      <w:r w:rsidR="00191538" w:rsidRPr="00D200D8">
        <w:rPr>
          <w:rFonts w:ascii="Arial" w:hAnsi="Arial" w:cs="Arial"/>
          <w:sz w:val="24"/>
          <w:szCs w:val="24"/>
        </w:rPr>
        <w:t>.</w:t>
      </w:r>
    </w:p>
    <w:p w14:paraId="5845F6AC" w14:textId="77777777" w:rsidR="0054739F" w:rsidRPr="00D200D8" w:rsidRDefault="0054739F" w:rsidP="00137C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F4D2C1" w14:textId="03F73E20" w:rsidR="00DF0367" w:rsidRPr="00F44ED5" w:rsidRDefault="00DF0367" w:rsidP="00DF036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Gráfica</w:t>
      </w:r>
      <w:r w:rsidRPr="00F44ED5">
        <w:rPr>
          <w:rFonts w:ascii="Arial" w:hAnsi="Arial" w:cs="Arial"/>
          <w:sz w:val="20"/>
          <w:szCs w:val="20"/>
        </w:rPr>
        <w:t xml:space="preserve"> </w:t>
      </w:r>
      <w:r w:rsidR="00C84D61">
        <w:rPr>
          <w:rFonts w:ascii="Arial" w:hAnsi="Arial" w:cs="Arial"/>
          <w:sz w:val="20"/>
          <w:szCs w:val="20"/>
        </w:rPr>
        <w:t>3</w:t>
      </w:r>
    </w:p>
    <w:p w14:paraId="5A462681" w14:textId="232985F3" w:rsidR="00DF0367" w:rsidRDefault="00A167CB" w:rsidP="00A16595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 w:rsidRPr="00576E8C">
        <w:rPr>
          <w:rFonts w:ascii="Arial" w:hAnsi="Arial" w:cs="Arial"/>
          <w:b/>
          <w:bCs/>
          <w:smallCaps/>
        </w:rPr>
        <w:t>Principales trámites</w:t>
      </w:r>
      <w:r w:rsidR="00010E75">
        <w:rPr>
          <w:rFonts w:ascii="Arial" w:hAnsi="Arial" w:cs="Arial"/>
          <w:b/>
          <w:bCs/>
          <w:smallCaps/>
        </w:rPr>
        <w:t>, pagos, solicitudes de servicio y contactos</w:t>
      </w:r>
      <w:r w:rsidRPr="00576E8C">
        <w:rPr>
          <w:rFonts w:ascii="Arial" w:hAnsi="Arial" w:cs="Arial"/>
          <w:b/>
          <w:bCs/>
          <w:smallCaps/>
        </w:rPr>
        <w:t xml:space="preserve"> </w:t>
      </w:r>
      <w:r w:rsidR="00010E75">
        <w:rPr>
          <w:rFonts w:ascii="Arial" w:hAnsi="Arial" w:cs="Arial"/>
          <w:b/>
          <w:bCs/>
          <w:smallCaps/>
        </w:rPr>
        <w:t xml:space="preserve">donde </w:t>
      </w:r>
      <w:r w:rsidR="009A62D2">
        <w:rPr>
          <w:rFonts w:ascii="Arial" w:hAnsi="Arial" w:cs="Arial"/>
          <w:b/>
          <w:bCs/>
          <w:smallCaps/>
        </w:rPr>
        <w:t>la población</w:t>
      </w:r>
      <w:r w:rsidR="00274FD1">
        <w:rPr>
          <w:rFonts w:ascii="Arial" w:hAnsi="Arial" w:cs="Arial"/>
          <w:b/>
          <w:bCs/>
          <w:smallCaps/>
        </w:rPr>
        <w:t xml:space="preserve"> </w:t>
      </w:r>
      <w:r w:rsidR="00576E8C" w:rsidRPr="00576E8C">
        <w:rPr>
          <w:rFonts w:ascii="Arial" w:hAnsi="Arial" w:cs="Arial"/>
          <w:b/>
          <w:bCs/>
          <w:smallCaps/>
        </w:rPr>
        <w:t>experiment</w:t>
      </w:r>
      <w:r w:rsidR="009A62D2">
        <w:rPr>
          <w:rFonts w:ascii="Arial" w:hAnsi="Arial" w:cs="Arial"/>
          <w:b/>
          <w:bCs/>
          <w:smallCaps/>
        </w:rPr>
        <w:t>ó</w:t>
      </w:r>
      <w:r w:rsidR="0019174B" w:rsidRPr="00576E8C">
        <w:rPr>
          <w:rFonts w:ascii="Arial" w:hAnsi="Arial" w:cs="Arial"/>
          <w:b/>
          <w:bCs/>
          <w:smallCaps/>
        </w:rPr>
        <w:t xml:space="preserve"> al menos </w:t>
      </w:r>
      <w:r w:rsidR="00576E8C" w:rsidRPr="00576E8C">
        <w:rPr>
          <w:rFonts w:ascii="Arial" w:hAnsi="Arial" w:cs="Arial"/>
          <w:b/>
          <w:bCs/>
          <w:smallCaps/>
        </w:rPr>
        <w:t>un acto de corrupción</w:t>
      </w:r>
      <w:r w:rsidR="009A62D2">
        <w:rPr>
          <w:rFonts w:ascii="Arial" w:hAnsi="Arial" w:cs="Arial"/>
          <w:b/>
          <w:bCs/>
          <w:smallCaps/>
        </w:rPr>
        <w:t>,</w:t>
      </w:r>
      <w:r w:rsidR="00B37675">
        <w:rPr>
          <w:rFonts w:ascii="Arial" w:hAnsi="Arial" w:cs="Arial"/>
          <w:b/>
          <w:bCs/>
          <w:smallCaps/>
        </w:rPr>
        <w:t xml:space="preserve"> 2021</w:t>
      </w:r>
    </w:p>
    <w:p w14:paraId="360BD46D" w14:textId="5623A96F" w:rsidR="00912C39" w:rsidRPr="00EF0C2B" w:rsidRDefault="00073E54" w:rsidP="009238AB">
      <w:pPr>
        <w:spacing w:after="0" w:line="240" w:lineRule="auto"/>
        <w:jc w:val="center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 w:rsidRPr="00073E54">
        <w:rPr>
          <w:noProof/>
        </w:rPr>
        <w:t xml:space="preserve"> </w:t>
      </w:r>
      <w:r>
        <w:rPr>
          <w:noProof/>
        </w:rPr>
        <w:drawing>
          <wp:inline distT="0" distB="0" distL="0" distR="0" wp14:anchorId="46739E74" wp14:editId="6A89B9D9">
            <wp:extent cx="6276975" cy="2628900"/>
            <wp:effectExtent l="0" t="0" r="9525" b="0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AEBDE5CE-FC5F-154F-D094-631398DB2D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B72BD65" w14:textId="250E467A" w:rsidR="009238AB" w:rsidRDefault="009238AB" w:rsidP="009238AB">
      <w:pPr>
        <w:spacing w:after="0" w:line="240" w:lineRule="auto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</w:p>
    <w:p w14:paraId="09845C5E" w14:textId="77777777" w:rsidR="0054739F" w:rsidRDefault="0054739F" w:rsidP="009238AB">
      <w:pPr>
        <w:spacing w:after="0" w:line="240" w:lineRule="auto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</w:p>
    <w:p w14:paraId="403B8323" w14:textId="2E302EE9" w:rsidR="003408C5" w:rsidRPr="0054739F" w:rsidRDefault="003408C5" w:rsidP="009238AB">
      <w:pPr>
        <w:spacing w:after="0" w:line="240" w:lineRule="auto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 w:rsidRPr="0054739F">
        <w:rPr>
          <w:rFonts w:ascii="Arial" w:hAnsi="Arial" w:cs="Arial"/>
          <w:b/>
          <w:bCs/>
          <w:smallCaps/>
          <w:sz w:val="24"/>
          <w:szCs w:val="24"/>
          <w:lang w:val="es-ES"/>
        </w:rPr>
        <w:t>Costos de la corrupción</w:t>
      </w:r>
    </w:p>
    <w:p w14:paraId="1805FF9D" w14:textId="77777777" w:rsidR="009414CD" w:rsidRPr="00D200D8" w:rsidRDefault="009414CD" w:rsidP="009238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87C67" w14:textId="35378048" w:rsidR="003D1406" w:rsidRPr="00D200D8" w:rsidRDefault="00A16595" w:rsidP="007F44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21049964"/>
      <w:r w:rsidRPr="00D200D8">
        <w:rPr>
          <w:rFonts w:ascii="Arial" w:hAnsi="Arial" w:cs="Arial"/>
          <w:sz w:val="24"/>
          <w:szCs w:val="24"/>
        </w:rPr>
        <w:t>Sobre los</w:t>
      </w:r>
      <w:r w:rsidR="00096326" w:rsidRPr="00D200D8">
        <w:rPr>
          <w:rFonts w:ascii="Arial" w:hAnsi="Arial" w:cs="Arial"/>
          <w:sz w:val="24"/>
          <w:szCs w:val="24"/>
        </w:rPr>
        <w:t xml:space="preserve"> costos directos</w:t>
      </w:r>
      <w:r w:rsidRPr="00D200D8">
        <w:rPr>
          <w:rFonts w:ascii="Arial" w:hAnsi="Arial" w:cs="Arial"/>
          <w:sz w:val="24"/>
          <w:szCs w:val="24"/>
        </w:rPr>
        <w:t xml:space="preserve"> de la corrupción</w:t>
      </w:r>
      <w:r w:rsidR="00096326" w:rsidRPr="00D200D8">
        <w:rPr>
          <w:rFonts w:ascii="Arial" w:hAnsi="Arial" w:cs="Arial"/>
          <w:sz w:val="24"/>
          <w:szCs w:val="24"/>
        </w:rPr>
        <w:t xml:space="preserve"> que </w:t>
      </w:r>
      <w:r w:rsidR="00BB2335" w:rsidRPr="00D200D8">
        <w:rPr>
          <w:rFonts w:ascii="Arial" w:hAnsi="Arial" w:cs="Arial"/>
          <w:sz w:val="24"/>
          <w:szCs w:val="24"/>
        </w:rPr>
        <w:t xml:space="preserve">se generan por el </w:t>
      </w:r>
      <w:r w:rsidR="00096326" w:rsidRPr="00D200D8">
        <w:rPr>
          <w:rFonts w:ascii="Arial" w:hAnsi="Arial" w:cs="Arial"/>
          <w:sz w:val="24"/>
          <w:szCs w:val="24"/>
        </w:rPr>
        <w:t>dinero, regalos o favores que se apropia</w:t>
      </w:r>
      <w:r w:rsidR="00300EDA" w:rsidRPr="00D200D8">
        <w:rPr>
          <w:rFonts w:ascii="Arial" w:hAnsi="Arial" w:cs="Arial"/>
          <w:sz w:val="24"/>
          <w:szCs w:val="24"/>
        </w:rPr>
        <w:t>n</w:t>
      </w:r>
      <w:r w:rsidR="00096326" w:rsidRPr="00D200D8">
        <w:rPr>
          <w:rFonts w:ascii="Arial" w:hAnsi="Arial" w:cs="Arial"/>
          <w:sz w:val="24"/>
          <w:szCs w:val="24"/>
        </w:rPr>
        <w:t xml:space="preserve"> los</w:t>
      </w:r>
      <w:r w:rsidR="00814D7E">
        <w:rPr>
          <w:rFonts w:ascii="Arial" w:hAnsi="Arial" w:cs="Arial"/>
          <w:sz w:val="24"/>
          <w:szCs w:val="24"/>
        </w:rPr>
        <w:t xml:space="preserve"> </w:t>
      </w:r>
      <w:r w:rsidR="00096326" w:rsidRPr="00D200D8">
        <w:rPr>
          <w:rFonts w:ascii="Arial" w:hAnsi="Arial" w:cs="Arial"/>
          <w:sz w:val="24"/>
          <w:szCs w:val="24"/>
        </w:rPr>
        <w:t>servidores públicos cuando la población o las empresas realizan algún trámite</w:t>
      </w:r>
      <w:r w:rsidR="00300EDA" w:rsidRPr="00D200D8">
        <w:rPr>
          <w:rFonts w:ascii="Arial" w:hAnsi="Arial" w:cs="Arial"/>
          <w:sz w:val="24"/>
          <w:szCs w:val="24"/>
        </w:rPr>
        <w:t xml:space="preserve"> o servicio</w:t>
      </w:r>
      <w:r w:rsidRPr="00D200D8">
        <w:rPr>
          <w:rFonts w:ascii="Arial" w:hAnsi="Arial" w:cs="Arial"/>
          <w:sz w:val="24"/>
          <w:szCs w:val="24"/>
        </w:rPr>
        <w:t>,</w:t>
      </w:r>
      <w:r w:rsidR="00032D4F" w:rsidRPr="00D200D8">
        <w:rPr>
          <w:rFonts w:ascii="Arial" w:hAnsi="Arial" w:cs="Arial"/>
          <w:sz w:val="24"/>
          <w:szCs w:val="24"/>
        </w:rPr>
        <w:t xml:space="preserve"> s</w:t>
      </w:r>
      <w:r w:rsidR="00220191" w:rsidRPr="00D200D8">
        <w:rPr>
          <w:rFonts w:ascii="Arial" w:hAnsi="Arial" w:cs="Arial"/>
          <w:sz w:val="24"/>
          <w:szCs w:val="24"/>
        </w:rPr>
        <w:t>e</w:t>
      </w:r>
      <w:r w:rsidR="00300EDA" w:rsidRPr="00D200D8">
        <w:rPr>
          <w:rFonts w:ascii="Arial" w:hAnsi="Arial" w:cs="Arial"/>
          <w:sz w:val="24"/>
          <w:szCs w:val="24"/>
        </w:rPr>
        <w:t xml:space="preserve"> estimó que</w:t>
      </w:r>
      <w:r w:rsidR="0054739F">
        <w:rPr>
          <w:rFonts w:ascii="Arial" w:hAnsi="Arial" w:cs="Arial"/>
          <w:sz w:val="24"/>
          <w:szCs w:val="24"/>
        </w:rPr>
        <w:t xml:space="preserve">, </w:t>
      </w:r>
      <w:r w:rsidR="0054739F" w:rsidRPr="00845887">
        <w:rPr>
          <w:rFonts w:ascii="Arial" w:hAnsi="Arial" w:cs="Arial"/>
          <w:sz w:val="24"/>
          <w:szCs w:val="24"/>
        </w:rPr>
        <w:t>a nivel nacional</w:t>
      </w:r>
      <w:r w:rsidR="006D3663">
        <w:rPr>
          <w:rFonts w:ascii="Arial" w:hAnsi="Arial" w:cs="Arial"/>
          <w:sz w:val="24"/>
          <w:szCs w:val="24"/>
        </w:rPr>
        <w:t xml:space="preserve"> y</w:t>
      </w:r>
      <w:r w:rsidR="0054739F">
        <w:rPr>
          <w:rFonts w:ascii="Arial" w:hAnsi="Arial" w:cs="Arial"/>
          <w:sz w:val="24"/>
          <w:szCs w:val="24"/>
        </w:rPr>
        <w:t xml:space="preserve"> durante</w:t>
      </w:r>
      <w:r w:rsidR="004C30D6" w:rsidRPr="00D200D8">
        <w:rPr>
          <w:rFonts w:ascii="Arial" w:hAnsi="Arial" w:cs="Arial"/>
          <w:sz w:val="24"/>
          <w:szCs w:val="24"/>
        </w:rPr>
        <w:t xml:space="preserve"> 2021</w:t>
      </w:r>
      <w:r w:rsidR="006D3663">
        <w:rPr>
          <w:rFonts w:ascii="Arial" w:hAnsi="Arial" w:cs="Arial"/>
          <w:sz w:val="24"/>
          <w:szCs w:val="24"/>
        </w:rPr>
        <w:t>,</w:t>
      </w:r>
      <w:r w:rsidR="004C30D6" w:rsidRPr="00D200D8">
        <w:rPr>
          <w:rFonts w:ascii="Arial" w:hAnsi="Arial" w:cs="Arial"/>
          <w:sz w:val="24"/>
          <w:szCs w:val="24"/>
        </w:rPr>
        <w:t xml:space="preserve"> </w:t>
      </w:r>
      <w:r w:rsidR="00045185" w:rsidRPr="00D200D8">
        <w:rPr>
          <w:rFonts w:ascii="Arial" w:hAnsi="Arial" w:cs="Arial"/>
          <w:sz w:val="24"/>
          <w:szCs w:val="24"/>
        </w:rPr>
        <w:t xml:space="preserve">el costo promedio </w:t>
      </w:r>
      <w:r w:rsidR="00AE3B52" w:rsidRPr="00D200D8">
        <w:rPr>
          <w:rFonts w:ascii="Arial" w:hAnsi="Arial" w:cs="Arial"/>
          <w:sz w:val="24"/>
          <w:szCs w:val="24"/>
        </w:rPr>
        <w:t>fue de 3 044 pesos</w:t>
      </w:r>
      <w:r w:rsidR="00B00B8A" w:rsidRPr="00D200D8">
        <w:rPr>
          <w:rFonts w:ascii="Arial" w:hAnsi="Arial" w:cs="Arial"/>
          <w:sz w:val="24"/>
          <w:szCs w:val="24"/>
        </w:rPr>
        <w:t xml:space="preserve"> </w:t>
      </w:r>
      <w:r w:rsidR="00EE0A8C" w:rsidRPr="00D200D8">
        <w:rPr>
          <w:rFonts w:ascii="Arial" w:hAnsi="Arial" w:cs="Arial"/>
          <w:sz w:val="24"/>
          <w:szCs w:val="24"/>
        </w:rPr>
        <w:t>por persona</w:t>
      </w:r>
      <w:r w:rsidR="00032D4F" w:rsidRPr="00D200D8">
        <w:rPr>
          <w:rFonts w:ascii="Arial" w:hAnsi="Arial" w:cs="Arial"/>
          <w:sz w:val="24"/>
          <w:szCs w:val="24"/>
        </w:rPr>
        <w:t xml:space="preserve"> en términos reales</w:t>
      </w:r>
      <w:r w:rsidR="0054739F">
        <w:rPr>
          <w:rFonts w:ascii="Arial" w:hAnsi="Arial" w:cs="Arial"/>
          <w:sz w:val="24"/>
          <w:szCs w:val="24"/>
        </w:rPr>
        <w:t>.</w:t>
      </w:r>
      <w:r w:rsidR="00296662" w:rsidRPr="00D200D8">
        <w:rPr>
          <w:rStyle w:val="Refdenotaalpie"/>
          <w:rFonts w:ascii="Arial" w:hAnsi="Arial" w:cs="Arial"/>
          <w:sz w:val="24"/>
          <w:szCs w:val="24"/>
        </w:rPr>
        <w:footnoteReference w:id="10"/>
      </w:r>
      <w:r w:rsidR="0054739F">
        <w:rPr>
          <w:rFonts w:ascii="Arial" w:hAnsi="Arial" w:cs="Arial"/>
          <w:sz w:val="24"/>
          <w:szCs w:val="24"/>
        </w:rPr>
        <w:t xml:space="preserve"> Se </w:t>
      </w:r>
      <w:r w:rsidR="00300EDA" w:rsidRPr="00D200D8">
        <w:rPr>
          <w:rFonts w:ascii="Arial" w:hAnsi="Arial" w:cs="Arial"/>
          <w:sz w:val="24"/>
          <w:szCs w:val="24"/>
        </w:rPr>
        <w:t>observ</w:t>
      </w:r>
      <w:r w:rsidR="0054739F">
        <w:rPr>
          <w:rFonts w:ascii="Arial" w:hAnsi="Arial" w:cs="Arial"/>
          <w:sz w:val="24"/>
          <w:szCs w:val="24"/>
        </w:rPr>
        <w:t>ó</w:t>
      </w:r>
      <w:r w:rsidR="00300EDA" w:rsidRPr="00D200D8">
        <w:rPr>
          <w:rFonts w:ascii="Arial" w:hAnsi="Arial" w:cs="Arial"/>
          <w:sz w:val="24"/>
          <w:szCs w:val="24"/>
        </w:rPr>
        <w:t xml:space="preserve"> una disminución de</w:t>
      </w:r>
      <w:r w:rsidR="00AE3B52" w:rsidRPr="00D200D8">
        <w:rPr>
          <w:rFonts w:ascii="Arial" w:hAnsi="Arial" w:cs="Arial"/>
          <w:sz w:val="24"/>
          <w:szCs w:val="24"/>
        </w:rPr>
        <w:t xml:space="preserve"> </w:t>
      </w:r>
      <w:r w:rsidR="00AC1572" w:rsidRPr="00D200D8">
        <w:rPr>
          <w:rFonts w:ascii="Arial" w:hAnsi="Arial" w:cs="Arial"/>
          <w:sz w:val="24"/>
          <w:szCs w:val="24"/>
        </w:rPr>
        <w:t>28.1</w:t>
      </w:r>
      <w:r w:rsidR="00EE0A8C" w:rsidRPr="00D200D8">
        <w:rPr>
          <w:rFonts w:ascii="Arial" w:hAnsi="Arial" w:cs="Arial"/>
          <w:sz w:val="24"/>
          <w:szCs w:val="24"/>
        </w:rPr>
        <w:t xml:space="preserve"> </w:t>
      </w:r>
      <w:r w:rsidR="003A56CF" w:rsidRPr="00D200D8">
        <w:rPr>
          <w:rFonts w:ascii="Arial" w:hAnsi="Arial" w:cs="Arial"/>
          <w:sz w:val="24"/>
          <w:szCs w:val="24"/>
        </w:rPr>
        <w:t>%</w:t>
      </w:r>
      <w:r w:rsidR="001F06D1" w:rsidRPr="00D200D8">
        <w:rPr>
          <w:rFonts w:ascii="Arial" w:hAnsi="Arial" w:cs="Arial"/>
          <w:sz w:val="24"/>
          <w:szCs w:val="24"/>
        </w:rPr>
        <w:t xml:space="preserve"> </w:t>
      </w:r>
      <w:r w:rsidR="004C30D6" w:rsidRPr="00D200D8">
        <w:rPr>
          <w:rFonts w:ascii="Arial" w:hAnsi="Arial" w:cs="Arial"/>
          <w:sz w:val="24"/>
          <w:szCs w:val="24"/>
        </w:rPr>
        <w:t xml:space="preserve">respecto </w:t>
      </w:r>
      <w:r w:rsidR="00EE0A8C" w:rsidRPr="00D200D8">
        <w:rPr>
          <w:rFonts w:ascii="Arial" w:hAnsi="Arial" w:cs="Arial"/>
          <w:sz w:val="24"/>
          <w:szCs w:val="24"/>
        </w:rPr>
        <w:t xml:space="preserve">al costo promedio </w:t>
      </w:r>
      <w:r w:rsidR="00300EDA" w:rsidRPr="00D200D8">
        <w:rPr>
          <w:rFonts w:ascii="Arial" w:hAnsi="Arial" w:cs="Arial"/>
          <w:sz w:val="24"/>
          <w:szCs w:val="24"/>
        </w:rPr>
        <w:t xml:space="preserve">estimado </w:t>
      </w:r>
      <w:r w:rsidR="00EE0A8C" w:rsidRPr="00D200D8">
        <w:rPr>
          <w:rFonts w:ascii="Arial" w:hAnsi="Arial" w:cs="Arial"/>
          <w:sz w:val="24"/>
          <w:szCs w:val="24"/>
        </w:rPr>
        <w:t>en 2019</w:t>
      </w:r>
      <w:r w:rsidR="00417B5E" w:rsidRPr="00D200D8">
        <w:rPr>
          <w:rFonts w:ascii="Arial" w:hAnsi="Arial" w:cs="Arial"/>
          <w:sz w:val="24"/>
          <w:szCs w:val="24"/>
        </w:rPr>
        <w:t>. E</w:t>
      </w:r>
      <w:r w:rsidR="00BC3594" w:rsidRPr="00D200D8">
        <w:rPr>
          <w:rFonts w:ascii="Arial" w:hAnsi="Arial" w:cs="Arial"/>
          <w:sz w:val="24"/>
          <w:szCs w:val="24"/>
        </w:rPr>
        <w:t>n el caso de la</w:t>
      </w:r>
      <w:r w:rsidR="00EE0A8C" w:rsidRPr="00D200D8">
        <w:rPr>
          <w:rFonts w:ascii="Arial" w:hAnsi="Arial" w:cs="Arial"/>
          <w:sz w:val="24"/>
          <w:szCs w:val="24"/>
        </w:rPr>
        <w:t>s empresas</w:t>
      </w:r>
      <w:r w:rsidR="00BC3594" w:rsidRPr="00D200D8">
        <w:rPr>
          <w:rFonts w:ascii="Arial" w:hAnsi="Arial" w:cs="Arial"/>
          <w:sz w:val="24"/>
          <w:szCs w:val="24"/>
        </w:rPr>
        <w:t>,</w:t>
      </w:r>
      <w:r w:rsidR="00F90263" w:rsidRPr="00D200D8">
        <w:rPr>
          <w:rFonts w:ascii="Arial" w:hAnsi="Arial" w:cs="Arial"/>
          <w:sz w:val="24"/>
          <w:szCs w:val="24"/>
        </w:rPr>
        <w:t xml:space="preserve"> </w:t>
      </w:r>
      <w:r w:rsidR="00EE0A8C" w:rsidRPr="00D200D8">
        <w:rPr>
          <w:rFonts w:ascii="Arial" w:hAnsi="Arial" w:cs="Arial"/>
          <w:sz w:val="24"/>
          <w:szCs w:val="24"/>
        </w:rPr>
        <w:t>e</w:t>
      </w:r>
      <w:r w:rsidR="004445BA" w:rsidRPr="00D200D8">
        <w:rPr>
          <w:rFonts w:ascii="Arial" w:hAnsi="Arial" w:cs="Arial"/>
          <w:sz w:val="24"/>
          <w:szCs w:val="24"/>
        </w:rPr>
        <w:t>l costo promedio de la corrupción</w:t>
      </w:r>
      <w:r w:rsidR="00EE0A8C" w:rsidRPr="00D200D8">
        <w:rPr>
          <w:rFonts w:ascii="Arial" w:hAnsi="Arial" w:cs="Arial"/>
          <w:sz w:val="24"/>
          <w:szCs w:val="24"/>
        </w:rPr>
        <w:t xml:space="preserve"> en 2020</w:t>
      </w:r>
      <w:r w:rsidR="004445BA" w:rsidRPr="00D200D8">
        <w:rPr>
          <w:rFonts w:ascii="Arial" w:hAnsi="Arial" w:cs="Arial"/>
          <w:sz w:val="24"/>
          <w:szCs w:val="24"/>
        </w:rPr>
        <w:t xml:space="preserve"> </w:t>
      </w:r>
      <w:r w:rsidR="00ED3741" w:rsidRPr="00D200D8">
        <w:rPr>
          <w:rFonts w:ascii="Arial" w:hAnsi="Arial" w:cs="Arial"/>
          <w:sz w:val="24"/>
          <w:szCs w:val="24"/>
        </w:rPr>
        <w:t>fue de 7 419 pesos</w:t>
      </w:r>
      <w:r w:rsidR="0054739F">
        <w:rPr>
          <w:rFonts w:ascii="Arial" w:hAnsi="Arial" w:cs="Arial"/>
          <w:sz w:val="24"/>
          <w:szCs w:val="24"/>
        </w:rPr>
        <w:t>. Este</w:t>
      </w:r>
      <w:r w:rsidR="00EE0A8C" w:rsidRPr="00D200D8">
        <w:rPr>
          <w:rFonts w:ascii="Arial" w:hAnsi="Arial" w:cs="Arial"/>
          <w:sz w:val="24"/>
          <w:szCs w:val="24"/>
        </w:rPr>
        <w:t xml:space="preserve"> fue</w:t>
      </w:r>
      <w:r w:rsidR="00ED3741" w:rsidRPr="00D200D8">
        <w:rPr>
          <w:rFonts w:ascii="Arial" w:hAnsi="Arial" w:cs="Arial"/>
          <w:sz w:val="24"/>
          <w:szCs w:val="24"/>
        </w:rPr>
        <w:t xml:space="preserve"> </w:t>
      </w:r>
      <w:r w:rsidR="00AC1572" w:rsidRPr="00D200D8">
        <w:rPr>
          <w:rFonts w:ascii="Arial" w:hAnsi="Arial" w:cs="Arial"/>
          <w:sz w:val="24"/>
          <w:szCs w:val="24"/>
        </w:rPr>
        <w:t xml:space="preserve">49.0 </w:t>
      </w:r>
      <w:r w:rsidR="0054739F">
        <w:rPr>
          <w:rFonts w:ascii="Arial" w:hAnsi="Arial" w:cs="Arial"/>
          <w:sz w:val="24"/>
          <w:szCs w:val="24"/>
        </w:rPr>
        <w:t>%</w:t>
      </w:r>
      <w:r w:rsidR="00A7230A" w:rsidRPr="00D200D8">
        <w:rPr>
          <w:rFonts w:ascii="Arial" w:hAnsi="Arial" w:cs="Arial"/>
          <w:sz w:val="24"/>
          <w:szCs w:val="24"/>
        </w:rPr>
        <w:t xml:space="preserve"> meno</w:t>
      </w:r>
      <w:r w:rsidR="00220191" w:rsidRPr="00D200D8">
        <w:rPr>
          <w:rFonts w:ascii="Arial" w:hAnsi="Arial" w:cs="Arial"/>
          <w:sz w:val="24"/>
          <w:szCs w:val="24"/>
        </w:rPr>
        <w:t xml:space="preserve">r a lo </w:t>
      </w:r>
      <w:r w:rsidR="0054739F">
        <w:rPr>
          <w:rFonts w:ascii="Arial" w:hAnsi="Arial" w:cs="Arial"/>
          <w:sz w:val="24"/>
          <w:szCs w:val="24"/>
        </w:rPr>
        <w:t xml:space="preserve">que se </w:t>
      </w:r>
      <w:r w:rsidR="00220191" w:rsidRPr="00D200D8">
        <w:rPr>
          <w:rFonts w:ascii="Arial" w:hAnsi="Arial" w:cs="Arial"/>
          <w:sz w:val="24"/>
          <w:szCs w:val="24"/>
        </w:rPr>
        <w:t>estim</w:t>
      </w:r>
      <w:r w:rsidR="0054739F">
        <w:rPr>
          <w:rFonts w:ascii="Arial" w:hAnsi="Arial" w:cs="Arial"/>
          <w:sz w:val="24"/>
          <w:szCs w:val="24"/>
        </w:rPr>
        <w:t>ó</w:t>
      </w:r>
      <w:r w:rsidR="00220191" w:rsidRPr="00D200D8">
        <w:rPr>
          <w:rFonts w:ascii="Arial" w:hAnsi="Arial" w:cs="Arial"/>
          <w:sz w:val="24"/>
          <w:szCs w:val="24"/>
        </w:rPr>
        <w:t xml:space="preserve"> </w:t>
      </w:r>
      <w:r w:rsidR="00A7230A" w:rsidRPr="00D200D8">
        <w:rPr>
          <w:rFonts w:ascii="Arial" w:hAnsi="Arial" w:cs="Arial"/>
          <w:sz w:val="24"/>
          <w:szCs w:val="24"/>
        </w:rPr>
        <w:t>en 2016</w:t>
      </w:r>
      <w:r w:rsidR="006D3663">
        <w:rPr>
          <w:rFonts w:ascii="Arial" w:hAnsi="Arial" w:cs="Arial"/>
          <w:sz w:val="24"/>
          <w:szCs w:val="24"/>
        </w:rPr>
        <w:t>.</w:t>
      </w:r>
      <w:r w:rsidR="00A7230A" w:rsidRPr="00D200D8">
        <w:rPr>
          <w:rFonts w:ascii="Arial" w:hAnsi="Arial" w:cs="Arial"/>
          <w:sz w:val="24"/>
          <w:szCs w:val="24"/>
        </w:rPr>
        <w:t xml:space="preserve"> (</w:t>
      </w:r>
      <w:r w:rsidR="006D3663">
        <w:rPr>
          <w:rFonts w:ascii="Arial" w:hAnsi="Arial" w:cs="Arial"/>
          <w:sz w:val="24"/>
          <w:szCs w:val="24"/>
        </w:rPr>
        <w:t>V</w:t>
      </w:r>
      <w:r w:rsidR="003A56CF" w:rsidRPr="00D200D8">
        <w:rPr>
          <w:rFonts w:ascii="Arial" w:hAnsi="Arial" w:cs="Arial"/>
          <w:sz w:val="24"/>
          <w:szCs w:val="24"/>
        </w:rPr>
        <w:t>er g</w:t>
      </w:r>
      <w:r w:rsidR="00A7230A" w:rsidRPr="00D200D8">
        <w:rPr>
          <w:rFonts w:ascii="Arial" w:hAnsi="Arial" w:cs="Arial"/>
          <w:sz w:val="24"/>
          <w:szCs w:val="24"/>
        </w:rPr>
        <w:t xml:space="preserve">ráfica </w:t>
      </w:r>
      <w:r w:rsidR="003D1406" w:rsidRPr="00D200D8">
        <w:rPr>
          <w:rFonts w:ascii="Arial" w:hAnsi="Arial" w:cs="Arial"/>
          <w:sz w:val="24"/>
          <w:szCs w:val="24"/>
        </w:rPr>
        <w:t>4</w:t>
      </w:r>
      <w:r w:rsidR="00A7230A" w:rsidRPr="00D200D8">
        <w:rPr>
          <w:rFonts w:ascii="Arial" w:hAnsi="Arial" w:cs="Arial"/>
          <w:sz w:val="24"/>
          <w:szCs w:val="24"/>
        </w:rPr>
        <w:t>).</w:t>
      </w:r>
    </w:p>
    <w:p w14:paraId="2DBF3509" w14:textId="4E61B7DB" w:rsidR="007F442B" w:rsidRDefault="007F442B" w:rsidP="007F442B">
      <w:pPr>
        <w:spacing w:after="0" w:line="240" w:lineRule="auto"/>
        <w:jc w:val="both"/>
        <w:rPr>
          <w:rFonts w:ascii="Arial" w:hAnsi="Arial" w:cs="Arial"/>
        </w:rPr>
      </w:pPr>
    </w:p>
    <w:bookmarkEnd w:id="0"/>
    <w:p w14:paraId="15D726B3" w14:textId="79F46835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304EA886" w14:textId="54A3EC7A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2FB3EF52" w14:textId="24F0DEF4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47A5F907" w14:textId="454F58D6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100FD4AC" w14:textId="4A5E9689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29C1ED9F" w14:textId="0FC5BD2A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2FF6A3EA" w14:textId="23FB0F91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7190F30F" w14:textId="60C967EE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29A4FB71" w14:textId="394ED9B2" w:rsidR="0054739F" w:rsidRDefault="0054739F" w:rsidP="007F442B">
      <w:pPr>
        <w:spacing w:after="0" w:line="240" w:lineRule="auto"/>
        <w:jc w:val="both"/>
        <w:rPr>
          <w:rFonts w:ascii="Arial" w:hAnsi="Arial" w:cs="Arial"/>
        </w:rPr>
      </w:pPr>
    </w:p>
    <w:p w14:paraId="64B7E764" w14:textId="2A3CAA89" w:rsidR="00856947" w:rsidRPr="00F44ED5" w:rsidRDefault="00856947" w:rsidP="0085694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</w:t>
      </w:r>
      <w:r w:rsidRPr="00F44ED5">
        <w:rPr>
          <w:rFonts w:ascii="Arial" w:hAnsi="Arial" w:cs="Arial"/>
          <w:sz w:val="20"/>
          <w:szCs w:val="20"/>
        </w:rPr>
        <w:t xml:space="preserve"> </w:t>
      </w:r>
      <w:r w:rsidR="00C84D61">
        <w:rPr>
          <w:rFonts w:ascii="Arial" w:hAnsi="Arial" w:cs="Arial"/>
          <w:sz w:val="20"/>
          <w:szCs w:val="20"/>
        </w:rPr>
        <w:t>4</w:t>
      </w:r>
    </w:p>
    <w:p w14:paraId="46118AC7" w14:textId="77777777" w:rsidR="00CF1768" w:rsidRDefault="00AC6EC0" w:rsidP="00BD781E">
      <w:pPr>
        <w:spacing w:after="0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Costo promedio de la corrupción para la </w:t>
      </w:r>
      <w:r w:rsidR="00EE0A8C">
        <w:rPr>
          <w:rFonts w:ascii="Arial" w:hAnsi="Arial" w:cs="Arial"/>
          <w:b/>
          <w:bCs/>
          <w:smallCaps/>
        </w:rPr>
        <w:t>p</w:t>
      </w:r>
      <w:r>
        <w:rPr>
          <w:rFonts w:ascii="Arial" w:hAnsi="Arial" w:cs="Arial"/>
          <w:b/>
          <w:bCs/>
          <w:smallCaps/>
        </w:rPr>
        <w:t>oblación de 18 años y más</w:t>
      </w:r>
      <w:r w:rsidR="00EE0A8C">
        <w:rPr>
          <w:rFonts w:ascii="Arial" w:hAnsi="Arial" w:cs="Arial"/>
          <w:b/>
          <w:bCs/>
          <w:smallCaps/>
        </w:rPr>
        <w:t xml:space="preserve"> y para las</w:t>
      </w:r>
      <w:r w:rsidR="00684376">
        <w:rPr>
          <w:rFonts w:ascii="Arial" w:hAnsi="Arial" w:cs="Arial"/>
          <w:b/>
          <w:bCs/>
          <w:smallCaps/>
        </w:rPr>
        <w:t xml:space="preserve"> </w:t>
      </w:r>
      <w:r w:rsidR="00EE0A8C">
        <w:rPr>
          <w:rFonts w:ascii="Arial" w:hAnsi="Arial" w:cs="Arial"/>
          <w:b/>
          <w:bCs/>
          <w:smallCaps/>
        </w:rPr>
        <w:t>u</w:t>
      </w:r>
      <w:r>
        <w:rPr>
          <w:rFonts w:ascii="Arial" w:hAnsi="Arial" w:cs="Arial"/>
          <w:b/>
          <w:bCs/>
          <w:smallCaps/>
        </w:rPr>
        <w:t>nidades económicas</w:t>
      </w:r>
      <w:r w:rsidR="00E31A5F">
        <w:rPr>
          <w:rFonts w:ascii="Arial" w:hAnsi="Arial" w:cs="Arial"/>
          <w:b/>
          <w:bCs/>
          <w:smallCaps/>
        </w:rPr>
        <w:t xml:space="preserve"> </w:t>
      </w:r>
    </w:p>
    <w:p w14:paraId="2062EDB7" w14:textId="190092EF" w:rsidR="009C02E7" w:rsidRDefault="00AE27AE" w:rsidP="00BD781E">
      <w:pPr>
        <w:spacing w:after="0"/>
        <w:jc w:val="center"/>
        <w:rPr>
          <w:rFonts w:ascii="Arial" w:hAnsi="Arial" w:cs="Arial"/>
          <w:smallCaps/>
        </w:rPr>
      </w:pPr>
      <w:r w:rsidRPr="00A16595">
        <w:rPr>
          <w:rFonts w:ascii="Arial" w:hAnsi="Arial" w:cs="Arial"/>
          <w:sz w:val="20"/>
          <w:szCs w:val="20"/>
        </w:rPr>
        <w:t>(Pesos</w:t>
      </w:r>
      <w:r w:rsidRPr="00A16595">
        <w:rPr>
          <w:rFonts w:ascii="Arial" w:hAnsi="Arial" w:cs="Arial"/>
          <w:smallCaps/>
          <w:sz w:val="20"/>
          <w:szCs w:val="20"/>
        </w:rPr>
        <w:t>)</w:t>
      </w:r>
    </w:p>
    <w:p w14:paraId="7F9B5877" w14:textId="43A144E5" w:rsidR="00683FDF" w:rsidRDefault="001977D1" w:rsidP="009414CD">
      <w:pPr>
        <w:spacing w:line="240" w:lineRule="auto"/>
        <w:jc w:val="center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2E9EA1D5" wp14:editId="3BB65087">
            <wp:extent cx="6153150" cy="207645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7649ADBF-FA61-331A-6A24-AC7132FF57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DCE0FB" w14:textId="77777777" w:rsidR="001977D1" w:rsidRPr="0054739F" w:rsidRDefault="001977D1" w:rsidP="009414CD">
      <w:pPr>
        <w:spacing w:line="240" w:lineRule="auto"/>
        <w:jc w:val="center"/>
        <w:rPr>
          <w:rFonts w:ascii="Arial" w:hAnsi="Arial" w:cs="Arial"/>
          <w:b/>
          <w:bCs/>
          <w:smallCaps/>
          <w:sz w:val="24"/>
          <w:szCs w:val="24"/>
          <w:lang w:val="es-ES"/>
        </w:rPr>
      </w:pPr>
    </w:p>
    <w:p w14:paraId="0E81634B" w14:textId="07D9B2E5" w:rsidR="00CA2D17" w:rsidRPr="0054739F" w:rsidRDefault="008E34C0" w:rsidP="00C53623">
      <w:pPr>
        <w:spacing w:line="240" w:lineRule="auto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 w:rsidRPr="0054739F">
        <w:rPr>
          <w:rFonts w:ascii="Arial" w:hAnsi="Arial" w:cs="Arial"/>
          <w:b/>
          <w:bCs/>
          <w:smallCaps/>
          <w:sz w:val="24"/>
          <w:szCs w:val="24"/>
          <w:lang w:val="es-ES"/>
        </w:rPr>
        <w:t xml:space="preserve">Personal </w:t>
      </w:r>
      <w:r w:rsidR="002827F0" w:rsidRPr="0054739F">
        <w:rPr>
          <w:rFonts w:ascii="Arial" w:hAnsi="Arial" w:cs="Arial"/>
          <w:b/>
          <w:bCs/>
          <w:smallCaps/>
          <w:sz w:val="24"/>
          <w:szCs w:val="24"/>
          <w:lang w:val="es-ES"/>
        </w:rPr>
        <w:t>c</w:t>
      </w:r>
      <w:r w:rsidRPr="0054739F">
        <w:rPr>
          <w:rFonts w:ascii="Arial" w:hAnsi="Arial" w:cs="Arial"/>
          <w:b/>
          <w:bCs/>
          <w:smallCaps/>
          <w:sz w:val="24"/>
          <w:szCs w:val="24"/>
          <w:lang w:val="es-ES"/>
        </w:rPr>
        <w:t>apacitado</w:t>
      </w:r>
      <w:r w:rsidR="00B27652" w:rsidRPr="0054739F">
        <w:rPr>
          <w:rFonts w:ascii="Arial" w:hAnsi="Arial" w:cs="Arial"/>
          <w:b/>
          <w:bCs/>
          <w:smallCaps/>
          <w:sz w:val="24"/>
          <w:szCs w:val="24"/>
          <w:lang w:val="es-ES"/>
        </w:rPr>
        <w:t xml:space="preserve"> en materia </w:t>
      </w:r>
      <w:r w:rsidR="002827F0" w:rsidRPr="0054739F">
        <w:rPr>
          <w:rFonts w:ascii="Arial" w:hAnsi="Arial" w:cs="Arial"/>
          <w:b/>
          <w:bCs/>
          <w:smallCaps/>
          <w:sz w:val="24"/>
          <w:szCs w:val="24"/>
          <w:lang w:val="es-ES"/>
        </w:rPr>
        <w:t>a</w:t>
      </w:r>
      <w:r w:rsidR="00B27652" w:rsidRPr="0054739F">
        <w:rPr>
          <w:rFonts w:ascii="Arial" w:hAnsi="Arial" w:cs="Arial"/>
          <w:b/>
          <w:bCs/>
          <w:smallCaps/>
          <w:sz w:val="24"/>
          <w:szCs w:val="24"/>
          <w:lang w:val="es-ES"/>
        </w:rPr>
        <w:t>nticorrupción</w:t>
      </w:r>
    </w:p>
    <w:p w14:paraId="641E97D1" w14:textId="50B776F5" w:rsidR="00391700" w:rsidRPr="00D200D8" w:rsidRDefault="00733C00" w:rsidP="00C536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>Entre</w:t>
      </w:r>
      <w:r w:rsidR="008B424F" w:rsidRPr="00D200D8">
        <w:rPr>
          <w:rFonts w:ascii="Arial" w:hAnsi="Arial" w:cs="Arial"/>
          <w:sz w:val="24"/>
          <w:szCs w:val="24"/>
        </w:rPr>
        <w:t xml:space="preserve"> las </w:t>
      </w:r>
      <w:r w:rsidR="002827F0" w:rsidRPr="00D200D8">
        <w:rPr>
          <w:rFonts w:ascii="Arial" w:hAnsi="Arial" w:cs="Arial"/>
          <w:sz w:val="24"/>
          <w:szCs w:val="24"/>
        </w:rPr>
        <w:t>medidas</w:t>
      </w:r>
      <w:r w:rsidR="008B424F" w:rsidRPr="00D200D8">
        <w:rPr>
          <w:rFonts w:ascii="Arial" w:hAnsi="Arial" w:cs="Arial"/>
          <w:sz w:val="24"/>
          <w:szCs w:val="24"/>
        </w:rPr>
        <w:t xml:space="preserve"> </w:t>
      </w:r>
      <w:r w:rsidR="00AF0C18" w:rsidRPr="00D200D8">
        <w:rPr>
          <w:rFonts w:ascii="Arial" w:hAnsi="Arial" w:cs="Arial"/>
          <w:sz w:val="24"/>
          <w:szCs w:val="24"/>
        </w:rPr>
        <w:t xml:space="preserve">que la </w:t>
      </w:r>
      <w:r w:rsidR="0054739F" w:rsidRPr="00D200D8">
        <w:rPr>
          <w:rFonts w:ascii="Arial" w:hAnsi="Arial" w:cs="Arial"/>
          <w:iCs/>
          <w:sz w:val="24"/>
          <w:szCs w:val="24"/>
        </w:rPr>
        <w:t>Convención de las Naciones Unidas contra la Corrupción</w:t>
      </w:r>
      <w:r w:rsidR="00AF0C18" w:rsidRPr="00D200D8">
        <w:rPr>
          <w:rFonts w:ascii="Arial" w:hAnsi="Arial" w:cs="Arial"/>
          <w:sz w:val="24"/>
          <w:szCs w:val="24"/>
        </w:rPr>
        <w:t xml:space="preserve"> contempla </w:t>
      </w:r>
      <w:r w:rsidR="002827F0" w:rsidRPr="00D200D8">
        <w:rPr>
          <w:rFonts w:ascii="Arial" w:hAnsi="Arial" w:cs="Arial"/>
          <w:sz w:val="24"/>
          <w:szCs w:val="24"/>
        </w:rPr>
        <w:t xml:space="preserve">para prevenir la corrupción </w:t>
      </w:r>
      <w:r w:rsidR="00AF0C18" w:rsidRPr="00D200D8">
        <w:rPr>
          <w:rFonts w:ascii="Arial" w:hAnsi="Arial" w:cs="Arial"/>
          <w:sz w:val="24"/>
          <w:szCs w:val="24"/>
        </w:rPr>
        <w:t xml:space="preserve">están </w:t>
      </w:r>
      <w:r w:rsidR="002827F0" w:rsidRPr="00D200D8">
        <w:rPr>
          <w:rFonts w:ascii="Arial" w:hAnsi="Arial" w:cs="Arial"/>
          <w:sz w:val="24"/>
          <w:szCs w:val="24"/>
        </w:rPr>
        <w:t xml:space="preserve">los programas de formación y capacitación </w:t>
      </w:r>
      <w:r w:rsidR="00CB3EF2" w:rsidRPr="00D200D8">
        <w:rPr>
          <w:rFonts w:ascii="Arial" w:hAnsi="Arial" w:cs="Arial"/>
          <w:sz w:val="24"/>
          <w:szCs w:val="24"/>
        </w:rPr>
        <w:t xml:space="preserve">en materia anticorrupción para </w:t>
      </w:r>
      <w:r w:rsidR="00A52C56" w:rsidRPr="00D200D8">
        <w:rPr>
          <w:rFonts w:ascii="Arial" w:hAnsi="Arial" w:cs="Arial"/>
          <w:sz w:val="24"/>
          <w:szCs w:val="24"/>
        </w:rPr>
        <w:t xml:space="preserve">un correcto y adecuado </w:t>
      </w:r>
      <w:r w:rsidR="002827F0" w:rsidRPr="00D200D8">
        <w:rPr>
          <w:rFonts w:ascii="Arial" w:hAnsi="Arial" w:cs="Arial"/>
          <w:sz w:val="24"/>
          <w:szCs w:val="24"/>
        </w:rPr>
        <w:t>desempeño del servicio público.</w:t>
      </w:r>
      <w:r w:rsidR="00AF0C18" w:rsidRPr="00D200D8">
        <w:rPr>
          <w:rStyle w:val="Refdenotaalpie"/>
          <w:rFonts w:ascii="Arial" w:hAnsi="Arial" w:cs="Arial"/>
          <w:sz w:val="24"/>
          <w:szCs w:val="24"/>
        </w:rPr>
        <w:footnoteReference w:id="11"/>
      </w:r>
      <w:r w:rsidR="00955F26" w:rsidRPr="00D200D8">
        <w:rPr>
          <w:rFonts w:ascii="Arial" w:hAnsi="Arial" w:cs="Arial"/>
          <w:sz w:val="24"/>
          <w:szCs w:val="24"/>
        </w:rPr>
        <w:t xml:space="preserve"> </w:t>
      </w:r>
      <w:r w:rsidR="000774D4">
        <w:rPr>
          <w:rFonts w:ascii="Arial" w:hAnsi="Arial" w:cs="Arial"/>
          <w:sz w:val="24"/>
          <w:szCs w:val="24"/>
        </w:rPr>
        <w:t xml:space="preserve">Asimismo, </w:t>
      </w:r>
      <w:r w:rsidR="003D1406" w:rsidRPr="00D200D8">
        <w:rPr>
          <w:rFonts w:ascii="Arial" w:hAnsi="Arial" w:cs="Arial"/>
          <w:sz w:val="24"/>
          <w:szCs w:val="24"/>
        </w:rPr>
        <w:t xml:space="preserve">la </w:t>
      </w:r>
      <w:r w:rsidR="0079434A">
        <w:rPr>
          <w:rFonts w:ascii="Arial" w:hAnsi="Arial" w:cs="Arial"/>
          <w:sz w:val="24"/>
          <w:szCs w:val="24"/>
        </w:rPr>
        <w:t>Política Nacional Anticorrupción (</w:t>
      </w:r>
      <w:r w:rsidR="003D1406" w:rsidRPr="00D200D8">
        <w:rPr>
          <w:rFonts w:ascii="Arial" w:hAnsi="Arial" w:cs="Arial"/>
          <w:sz w:val="24"/>
          <w:szCs w:val="24"/>
        </w:rPr>
        <w:t>PNA</w:t>
      </w:r>
      <w:r w:rsidR="0079434A">
        <w:rPr>
          <w:rFonts w:ascii="Arial" w:hAnsi="Arial" w:cs="Arial"/>
          <w:sz w:val="24"/>
          <w:szCs w:val="24"/>
        </w:rPr>
        <w:t>)</w:t>
      </w:r>
      <w:r w:rsidR="003D1406" w:rsidRPr="00D200D8">
        <w:rPr>
          <w:rFonts w:ascii="Arial" w:hAnsi="Arial" w:cs="Arial"/>
          <w:sz w:val="24"/>
          <w:szCs w:val="24"/>
        </w:rPr>
        <w:t xml:space="preserve"> </w:t>
      </w:r>
      <w:r w:rsidR="00D05214" w:rsidRPr="00D200D8">
        <w:rPr>
          <w:rFonts w:ascii="Arial" w:hAnsi="Arial" w:cs="Arial"/>
          <w:sz w:val="24"/>
          <w:szCs w:val="24"/>
        </w:rPr>
        <w:t>considera</w:t>
      </w:r>
      <w:r w:rsidR="00B8286C" w:rsidRPr="00D200D8">
        <w:rPr>
          <w:rFonts w:ascii="Arial" w:hAnsi="Arial" w:cs="Arial"/>
          <w:sz w:val="24"/>
          <w:szCs w:val="24"/>
        </w:rPr>
        <w:t xml:space="preserve"> como una de sus prioridades </w:t>
      </w:r>
      <w:r w:rsidR="00CB3EF2" w:rsidRPr="00D200D8">
        <w:rPr>
          <w:rFonts w:ascii="Arial" w:hAnsi="Arial" w:cs="Arial"/>
          <w:sz w:val="24"/>
          <w:szCs w:val="24"/>
        </w:rPr>
        <w:t>la implementación</w:t>
      </w:r>
      <w:r w:rsidR="00B8286C" w:rsidRPr="00D200D8">
        <w:rPr>
          <w:rFonts w:ascii="Arial" w:hAnsi="Arial" w:cs="Arial"/>
          <w:sz w:val="24"/>
          <w:szCs w:val="24"/>
        </w:rPr>
        <w:t xml:space="preserve"> de programas de capacitación </w:t>
      </w:r>
      <w:r w:rsidR="00CB3EF2" w:rsidRPr="00D200D8">
        <w:rPr>
          <w:rFonts w:ascii="Arial" w:hAnsi="Arial" w:cs="Arial"/>
          <w:sz w:val="24"/>
          <w:szCs w:val="24"/>
        </w:rPr>
        <w:t xml:space="preserve">a los servidores </w:t>
      </w:r>
      <w:r w:rsidR="00B8286C" w:rsidRPr="00D200D8">
        <w:rPr>
          <w:rFonts w:ascii="Arial" w:hAnsi="Arial" w:cs="Arial"/>
          <w:sz w:val="24"/>
          <w:szCs w:val="24"/>
        </w:rPr>
        <w:t>público</w:t>
      </w:r>
      <w:r w:rsidR="00CB3EF2" w:rsidRPr="00D200D8">
        <w:rPr>
          <w:rFonts w:ascii="Arial" w:hAnsi="Arial" w:cs="Arial"/>
          <w:sz w:val="24"/>
          <w:szCs w:val="24"/>
        </w:rPr>
        <w:t>s</w:t>
      </w:r>
      <w:r w:rsidR="00B8286C" w:rsidRPr="00D200D8">
        <w:rPr>
          <w:rFonts w:ascii="Arial" w:hAnsi="Arial" w:cs="Arial"/>
          <w:sz w:val="24"/>
          <w:szCs w:val="24"/>
        </w:rPr>
        <w:t>.</w:t>
      </w:r>
      <w:r w:rsidR="003D1406" w:rsidRPr="00D200D8">
        <w:rPr>
          <w:rStyle w:val="Refdenotaalpie"/>
          <w:rFonts w:ascii="Arial" w:hAnsi="Arial" w:cs="Arial"/>
          <w:sz w:val="24"/>
          <w:szCs w:val="24"/>
        </w:rPr>
        <w:footnoteReference w:id="12"/>
      </w:r>
    </w:p>
    <w:p w14:paraId="2BC6A1AF" w14:textId="127C5936" w:rsidR="008E124D" w:rsidRPr="00D200D8" w:rsidRDefault="009264B2" w:rsidP="00C536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 xml:space="preserve">Al respecto, </w:t>
      </w:r>
      <w:r w:rsidR="008E124D" w:rsidRPr="00D200D8">
        <w:rPr>
          <w:rFonts w:ascii="Arial" w:hAnsi="Arial" w:cs="Arial"/>
          <w:sz w:val="24"/>
          <w:szCs w:val="24"/>
        </w:rPr>
        <w:t>28 entidades federativas impartieron alguna acción formativa en materia de prevención, detección, control, sanción, disuasión y combate a la corrupción durante 2021</w:t>
      </w:r>
      <w:r w:rsidR="0079434A">
        <w:rPr>
          <w:rFonts w:ascii="Arial" w:hAnsi="Arial" w:cs="Arial"/>
          <w:sz w:val="24"/>
          <w:szCs w:val="24"/>
        </w:rPr>
        <w:t>.</w:t>
      </w:r>
      <w:r w:rsidR="008E124D" w:rsidRPr="00D200D8">
        <w:rPr>
          <w:rFonts w:ascii="Arial" w:hAnsi="Arial" w:cs="Arial"/>
          <w:sz w:val="24"/>
          <w:szCs w:val="24"/>
        </w:rPr>
        <w:t xml:space="preserve"> Colima, Michoacán, Tlaxcala y Yucatán reportaron que no impartieron este tipo de acciones en ese año.</w:t>
      </w:r>
    </w:p>
    <w:p w14:paraId="1A9D3256" w14:textId="0B814DA8" w:rsidR="00B8286C" w:rsidRDefault="007B7D1A" w:rsidP="00C5362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 xml:space="preserve">En las </w:t>
      </w:r>
      <w:r w:rsidR="0024315D" w:rsidRPr="00D200D8">
        <w:rPr>
          <w:rFonts w:ascii="Arial" w:hAnsi="Arial" w:cs="Arial"/>
          <w:sz w:val="24"/>
          <w:szCs w:val="24"/>
        </w:rPr>
        <w:t>administraciones públicas estatales</w:t>
      </w:r>
      <w:r w:rsidR="007F5A35" w:rsidRPr="00D200D8">
        <w:rPr>
          <w:rFonts w:ascii="Arial" w:hAnsi="Arial" w:cs="Arial"/>
          <w:sz w:val="24"/>
          <w:szCs w:val="24"/>
        </w:rPr>
        <w:t xml:space="preserve"> que realizaron acciones de capacitación</w:t>
      </w:r>
      <w:r w:rsidRPr="00D200D8">
        <w:rPr>
          <w:rFonts w:ascii="Arial" w:hAnsi="Arial" w:cs="Arial"/>
          <w:sz w:val="24"/>
          <w:szCs w:val="24"/>
        </w:rPr>
        <w:t xml:space="preserve"> en 2021</w:t>
      </w:r>
      <w:r w:rsidR="0079434A">
        <w:rPr>
          <w:rFonts w:ascii="Arial" w:hAnsi="Arial" w:cs="Arial"/>
          <w:sz w:val="24"/>
          <w:szCs w:val="24"/>
        </w:rPr>
        <w:t>,</w:t>
      </w:r>
      <w:r w:rsidR="00A67072" w:rsidRPr="00D200D8">
        <w:rPr>
          <w:rStyle w:val="Refdenotaalpie"/>
          <w:rFonts w:ascii="Arial" w:hAnsi="Arial" w:cs="Arial"/>
          <w:sz w:val="24"/>
          <w:szCs w:val="24"/>
        </w:rPr>
        <w:footnoteReference w:id="13"/>
      </w:r>
      <w:r w:rsidR="009264B2" w:rsidRPr="00D200D8">
        <w:rPr>
          <w:rFonts w:ascii="Arial" w:hAnsi="Arial" w:cs="Arial"/>
          <w:sz w:val="24"/>
          <w:szCs w:val="24"/>
        </w:rPr>
        <w:t xml:space="preserve"> </w:t>
      </w:r>
      <w:r w:rsidR="00C22446" w:rsidRPr="00D200D8">
        <w:rPr>
          <w:rFonts w:ascii="Arial" w:hAnsi="Arial" w:cs="Arial"/>
          <w:sz w:val="24"/>
          <w:szCs w:val="24"/>
        </w:rPr>
        <w:t>7.</w:t>
      </w:r>
      <w:r w:rsidR="007F5A35" w:rsidRPr="00D200D8">
        <w:rPr>
          <w:rFonts w:ascii="Arial" w:hAnsi="Arial" w:cs="Arial"/>
          <w:sz w:val="24"/>
          <w:szCs w:val="24"/>
        </w:rPr>
        <w:t>6</w:t>
      </w:r>
      <w:r w:rsidR="00C22446" w:rsidRPr="00D200D8">
        <w:rPr>
          <w:rFonts w:ascii="Arial" w:hAnsi="Arial" w:cs="Arial"/>
          <w:sz w:val="24"/>
          <w:szCs w:val="24"/>
        </w:rPr>
        <w:t xml:space="preserve"> %</w:t>
      </w:r>
      <w:r w:rsidR="009264B2" w:rsidRPr="00D200D8">
        <w:rPr>
          <w:rFonts w:ascii="Arial" w:hAnsi="Arial" w:cs="Arial"/>
          <w:sz w:val="24"/>
          <w:szCs w:val="24"/>
        </w:rPr>
        <w:t xml:space="preserve"> </w:t>
      </w:r>
      <w:r w:rsidRPr="00D200D8">
        <w:rPr>
          <w:rFonts w:ascii="Arial" w:hAnsi="Arial" w:cs="Arial"/>
          <w:sz w:val="24"/>
          <w:szCs w:val="24"/>
        </w:rPr>
        <w:t xml:space="preserve">de sus </w:t>
      </w:r>
      <w:r w:rsidR="00F51E3E">
        <w:rPr>
          <w:rFonts w:ascii="Arial" w:hAnsi="Arial" w:cs="Arial"/>
          <w:sz w:val="24"/>
          <w:szCs w:val="24"/>
        </w:rPr>
        <w:t xml:space="preserve">servidoras y </w:t>
      </w:r>
      <w:r w:rsidRPr="00D200D8">
        <w:rPr>
          <w:rFonts w:ascii="Arial" w:hAnsi="Arial" w:cs="Arial"/>
          <w:sz w:val="24"/>
          <w:szCs w:val="24"/>
        </w:rPr>
        <w:t xml:space="preserve">servidores públicos </w:t>
      </w:r>
      <w:r w:rsidR="009264B2" w:rsidRPr="00D200D8">
        <w:rPr>
          <w:rFonts w:ascii="Arial" w:hAnsi="Arial" w:cs="Arial"/>
          <w:sz w:val="24"/>
          <w:szCs w:val="24"/>
        </w:rPr>
        <w:t>recibió capacitación</w:t>
      </w:r>
      <w:r w:rsidR="000D6BD7">
        <w:rPr>
          <w:rFonts w:ascii="Arial" w:hAnsi="Arial" w:cs="Arial"/>
          <w:sz w:val="24"/>
          <w:szCs w:val="24"/>
        </w:rPr>
        <w:t xml:space="preserve"> para evitar la corrupción. </w:t>
      </w:r>
      <w:r w:rsidR="003C0EDA" w:rsidRPr="00D200D8">
        <w:rPr>
          <w:rFonts w:ascii="Arial" w:hAnsi="Arial" w:cs="Arial"/>
          <w:sz w:val="24"/>
          <w:szCs w:val="24"/>
        </w:rPr>
        <w:t>El</w:t>
      </w:r>
      <w:r w:rsidR="00A430A5" w:rsidRPr="00D200D8">
        <w:rPr>
          <w:rFonts w:ascii="Arial" w:hAnsi="Arial" w:cs="Arial"/>
          <w:sz w:val="24"/>
          <w:szCs w:val="24"/>
        </w:rPr>
        <w:t xml:space="preserve"> mayor </w:t>
      </w:r>
      <w:r w:rsidR="003C0EDA" w:rsidRPr="00D200D8">
        <w:rPr>
          <w:rFonts w:ascii="Arial" w:hAnsi="Arial" w:cs="Arial"/>
          <w:sz w:val="24"/>
          <w:szCs w:val="24"/>
        </w:rPr>
        <w:t>porcentaje</w:t>
      </w:r>
      <w:r w:rsidR="00A430A5" w:rsidRPr="00D200D8">
        <w:rPr>
          <w:rFonts w:ascii="Arial" w:hAnsi="Arial" w:cs="Arial"/>
          <w:sz w:val="24"/>
          <w:szCs w:val="24"/>
        </w:rPr>
        <w:t xml:space="preserve"> de </w:t>
      </w:r>
      <w:r w:rsidR="003C0EDA" w:rsidRPr="00D200D8">
        <w:rPr>
          <w:rFonts w:ascii="Arial" w:hAnsi="Arial" w:cs="Arial"/>
          <w:sz w:val="24"/>
          <w:szCs w:val="24"/>
        </w:rPr>
        <w:t>personal c</w:t>
      </w:r>
      <w:r w:rsidR="0079434A">
        <w:rPr>
          <w:rFonts w:ascii="Arial" w:hAnsi="Arial" w:cs="Arial"/>
          <w:sz w:val="24"/>
          <w:szCs w:val="24"/>
        </w:rPr>
        <w:t>on c</w:t>
      </w:r>
      <w:r w:rsidR="003C0EDA" w:rsidRPr="00D200D8">
        <w:rPr>
          <w:rFonts w:ascii="Arial" w:hAnsi="Arial" w:cs="Arial"/>
          <w:sz w:val="24"/>
          <w:szCs w:val="24"/>
        </w:rPr>
        <w:t>apacita</w:t>
      </w:r>
      <w:r w:rsidR="0079434A">
        <w:rPr>
          <w:rFonts w:ascii="Arial" w:hAnsi="Arial" w:cs="Arial"/>
          <w:sz w:val="24"/>
          <w:szCs w:val="24"/>
        </w:rPr>
        <w:t>ción</w:t>
      </w:r>
      <w:r w:rsidR="00A430A5" w:rsidRPr="00D200D8">
        <w:rPr>
          <w:rFonts w:ascii="Arial" w:hAnsi="Arial" w:cs="Arial"/>
          <w:sz w:val="24"/>
          <w:szCs w:val="24"/>
        </w:rPr>
        <w:t xml:space="preserve"> </w:t>
      </w:r>
      <w:r w:rsidR="001F49C2" w:rsidRPr="00D200D8">
        <w:rPr>
          <w:rFonts w:ascii="Arial" w:hAnsi="Arial" w:cs="Arial"/>
          <w:sz w:val="24"/>
          <w:szCs w:val="24"/>
        </w:rPr>
        <w:t>se encontró</w:t>
      </w:r>
      <w:r w:rsidR="00A430A5" w:rsidRPr="00D200D8">
        <w:rPr>
          <w:rFonts w:ascii="Arial" w:hAnsi="Arial" w:cs="Arial"/>
          <w:sz w:val="24"/>
          <w:szCs w:val="24"/>
        </w:rPr>
        <w:t xml:space="preserve"> en </w:t>
      </w:r>
      <w:r w:rsidR="008505A9" w:rsidRPr="00D200D8">
        <w:rPr>
          <w:rFonts w:ascii="Arial" w:hAnsi="Arial" w:cs="Arial"/>
          <w:sz w:val="24"/>
          <w:szCs w:val="24"/>
        </w:rPr>
        <w:t>Puebla y Chiapas</w:t>
      </w:r>
      <w:r w:rsidR="000774D4">
        <w:rPr>
          <w:rFonts w:ascii="Arial" w:hAnsi="Arial" w:cs="Arial"/>
          <w:sz w:val="24"/>
          <w:szCs w:val="24"/>
        </w:rPr>
        <w:t>,</w:t>
      </w:r>
      <w:r w:rsidR="008505A9" w:rsidRPr="00D200D8">
        <w:rPr>
          <w:rFonts w:ascii="Arial" w:hAnsi="Arial" w:cs="Arial"/>
          <w:sz w:val="24"/>
          <w:szCs w:val="24"/>
        </w:rPr>
        <w:t xml:space="preserve"> con más de 50 </w:t>
      </w:r>
      <w:r w:rsidR="0079434A">
        <w:rPr>
          <w:rFonts w:ascii="Arial" w:hAnsi="Arial" w:cs="Arial"/>
          <w:sz w:val="24"/>
          <w:szCs w:val="24"/>
        </w:rPr>
        <w:t>por ciento</w:t>
      </w:r>
      <w:r w:rsidR="008505A9" w:rsidRPr="00D200D8">
        <w:rPr>
          <w:rFonts w:ascii="Arial" w:hAnsi="Arial" w:cs="Arial"/>
          <w:sz w:val="24"/>
          <w:szCs w:val="24"/>
        </w:rPr>
        <w:t>.</w:t>
      </w:r>
      <w:r w:rsidR="00E45EE6" w:rsidRPr="00D200D8">
        <w:rPr>
          <w:rStyle w:val="Refdenotaalpie"/>
          <w:rFonts w:ascii="Arial" w:hAnsi="Arial" w:cs="Arial"/>
          <w:sz w:val="24"/>
          <w:szCs w:val="24"/>
        </w:rPr>
        <w:footnoteReference w:id="14"/>
      </w:r>
      <w:r w:rsidR="007C605E" w:rsidRPr="00D200D8">
        <w:rPr>
          <w:rFonts w:ascii="Arial" w:hAnsi="Arial" w:cs="Arial"/>
          <w:sz w:val="24"/>
          <w:szCs w:val="24"/>
        </w:rPr>
        <w:t xml:space="preserve"> </w:t>
      </w:r>
      <w:r w:rsidR="001F49C2" w:rsidRPr="00D200D8">
        <w:rPr>
          <w:rFonts w:ascii="Arial" w:hAnsi="Arial" w:cs="Arial"/>
          <w:sz w:val="24"/>
          <w:szCs w:val="24"/>
        </w:rPr>
        <w:t>Por el contrario, l</w:t>
      </w:r>
      <w:r w:rsidRPr="00D200D8">
        <w:rPr>
          <w:rFonts w:ascii="Arial" w:hAnsi="Arial" w:cs="Arial"/>
          <w:sz w:val="24"/>
          <w:szCs w:val="24"/>
        </w:rPr>
        <w:t xml:space="preserve">os menores niveles de capacitación se observaron </w:t>
      </w:r>
      <w:r w:rsidR="002D7F9F" w:rsidRPr="00D200D8">
        <w:rPr>
          <w:rFonts w:ascii="Arial" w:hAnsi="Arial" w:cs="Arial"/>
          <w:sz w:val="24"/>
          <w:szCs w:val="24"/>
        </w:rPr>
        <w:t xml:space="preserve">en </w:t>
      </w:r>
      <w:r w:rsidR="006A75B8" w:rsidRPr="00D200D8">
        <w:rPr>
          <w:rFonts w:ascii="Arial" w:hAnsi="Arial" w:cs="Arial"/>
          <w:sz w:val="24"/>
          <w:szCs w:val="24"/>
        </w:rPr>
        <w:t>Hidalgo</w:t>
      </w:r>
      <w:r w:rsidR="00FC58C6" w:rsidRPr="00D200D8">
        <w:rPr>
          <w:rFonts w:ascii="Arial" w:hAnsi="Arial" w:cs="Arial"/>
          <w:sz w:val="24"/>
          <w:szCs w:val="24"/>
        </w:rPr>
        <w:t xml:space="preserve">, Veracruz, </w:t>
      </w:r>
      <w:r w:rsidR="00EC471D" w:rsidRPr="00D200D8">
        <w:rPr>
          <w:rFonts w:ascii="Arial" w:hAnsi="Arial" w:cs="Arial"/>
          <w:sz w:val="24"/>
          <w:szCs w:val="24"/>
        </w:rPr>
        <w:t xml:space="preserve">Morelos, </w:t>
      </w:r>
      <w:r w:rsidR="00FC58C6" w:rsidRPr="00D200D8">
        <w:rPr>
          <w:rFonts w:ascii="Arial" w:hAnsi="Arial" w:cs="Arial"/>
          <w:sz w:val="24"/>
          <w:szCs w:val="24"/>
        </w:rPr>
        <w:t>Guanajuato, Guerrero y Aguascalientes</w:t>
      </w:r>
      <w:r w:rsidR="000774D4">
        <w:rPr>
          <w:rFonts w:ascii="Arial" w:hAnsi="Arial" w:cs="Arial"/>
          <w:sz w:val="24"/>
          <w:szCs w:val="24"/>
        </w:rPr>
        <w:t>,</w:t>
      </w:r>
      <w:r w:rsidR="006F28E1" w:rsidRPr="00D200D8">
        <w:rPr>
          <w:rFonts w:ascii="Arial" w:hAnsi="Arial" w:cs="Arial"/>
          <w:sz w:val="24"/>
          <w:szCs w:val="24"/>
        </w:rPr>
        <w:t xml:space="preserve"> con menos</w:t>
      </w:r>
      <w:r w:rsidR="0079434A">
        <w:rPr>
          <w:rFonts w:ascii="Arial" w:hAnsi="Arial" w:cs="Arial"/>
          <w:sz w:val="24"/>
          <w:szCs w:val="24"/>
        </w:rPr>
        <w:t xml:space="preserve"> de</w:t>
      </w:r>
      <w:r w:rsidR="006F28E1" w:rsidRPr="00D200D8">
        <w:rPr>
          <w:rFonts w:ascii="Arial" w:hAnsi="Arial" w:cs="Arial"/>
          <w:sz w:val="24"/>
          <w:szCs w:val="24"/>
        </w:rPr>
        <w:t xml:space="preserve"> 0.5 % del personal</w:t>
      </w:r>
      <w:r w:rsidR="00CE3CE0">
        <w:rPr>
          <w:rFonts w:ascii="Arial" w:hAnsi="Arial" w:cs="Arial"/>
          <w:sz w:val="24"/>
          <w:szCs w:val="24"/>
        </w:rPr>
        <w:t>.</w:t>
      </w:r>
      <w:r w:rsidR="00B8286C" w:rsidRPr="00D200D8">
        <w:rPr>
          <w:rFonts w:ascii="Arial" w:hAnsi="Arial" w:cs="Arial"/>
          <w:sz w:val="24"/>
          <w:szCs w:val="24"/>
        </w:rPr>
        <w:t xml:space="preserve"> (</w:t>
      </w:r>
      <w:r w:rsidR="00CE3CE0">
        <w:rPr>
          <w:rFonts w:ascii="Arial" w:hAnsi="Arial" w:cs="Arial"/>
          <w:sz w:val="24"/>
          <w:szCs w:val="24"/>
        </w:rPr>
        <w:t>V</w:t>
      </w:r>
      <w:r w:rsidR="00B8286C" w:rsidRPr="00D200D8">
        <w:rPr>
          <w:rFonts w:ascii="Arial" w:hAnsi="Arial" w:cs="Arial"/>
          <w:sz w:val="24"/>
          <w:szCs w:val="24"/>
        </w:rPr>
        <w:t>er gráfica 5)</w:t>
      </w:r>
      <w:r w:rsidR="006F28E1" w:rsidRPr="00D200D8">
        <w:rPr>
          <w:rFonts w:ascii="Arial" w:hAnsi="Arial" w:cs="Arial"/>
          <w:sz w:val="24"/>
          <w:szCs w:val="24"/>
        </w:rPr>
        <w:t>.</w:t>
      </w:r>
      <w:r w:rsidR="006A75B8" w:rsidRPr="00D200D8">
        <w:rPr>
          <w:rFonts w:ascii="Arial" w:hAnsi="Arial" w:cs="Arial"/>
          <w:sz w:val="24"/>
          <w:szCs w:val="24"/>
        </w:rPr>
        <w:t xml:space="preserve"> </w:t>
      </w:r>
    </w:p>
    <w:p w14:paraId="31239891" w14:textId="77777777" w:rsidR="000774D4" w:rsidRPr="00D200D8" w:rsidRDefault="000774D4" w:rsidP="00C5362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3BF1A56" w14:textId="0AF0D83F" w:rsidR="00957E55" w:rsidRPr="00F44ED5" w:rsidRDefault="00F8343A" w:rsidP="00957E5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</w:t>
      </w:r>
      <w:r w:rsidR="00957E55">
        <w:rPr>
          <w:rFonts w:ascii="Arial" w:hAnsi="Arial" w:cs="Arial"/>
          <w:sz w:val="20"/>
          <w:szCs w:val="20"/>
        </w:rPr>
        <w:t>ráfica</w:t>
      </w:r>
      <w:r w:rsidR="00957E55" w:rsidRPr="00F44ED5">
        <w:rPr>
          <w:rFonts w:ascii="Arial" w:hAnsi="Arial" w:cs="Arial"/>
          <w:sz w:val="20"/>
          <w:szCs w:val="20"/>
        </w:rPr>
        <w:t xml:space="preserve"> </w:t>
      </w:r>
      <w:r w:rsidR="00C84D61">
        <w:rPr>
          <w:rFonts w:ascii="Arial" w:hAnsi="Arial" w:cs="Arial"/>
          <w:sz w:val="20"/>
          <w:szCs w:val="20"/>
        </w:rPr>
        <w:t>5</w:t>
      </w:r>
    </w:p>
    <w:p w14:paraId="05623B60" w14:textId="060DCAFB" w:rsidR="00957E55" w:rsidRDefault="0063064D" w:rsidP="00957E55">
      <w:pPr>
        <w:spacing w:after="0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Proporción</w:t>
      </w:r>
      <w:r w:rsidR="00587006">
        <w:rPr>
          <w:rFonts w:ascii="Arial" w:hAnsi="Arial" w:cs="Arial"/>
          <w:b/>
          <w:bCs/>
          <w:smallCaps/>
        </w:rPr>
        <w:t xml:space="preserve"> de personal que recibió capacitación </w:t>
      </w:r>
      <w:r w:rsidR="004C3666">
        <w:rPr>
          <w:rFonts w:ascii="Arial" w:hAnsi="Arial" w:cs="Arial"/>
          <w:b/>
          <w:bCs/>
          <w:smallCaps/>
        </w:rPr>
        <w:t xml:space="preserve">en </w:t>
      </w:r>
      <w:r w:rsidR="00C04685">
        <w:rPr>
          <w:rFonts w:ascii="Arial" w:hAnsi="Arial" w:cs="Arial"/>
          <w:b/>
          <w:bCs/>
          <w:smallCaps/>
        </w:rPr>
        <w:t xml:space="preserve">materia </w:t>
      </w:r>
      <w:r w:rsidR="004D45BE">
        <w:rPr>
          <w:rFonts w:ascii="Arial" w:hAnsi="Arial" w:cs="Arial"/>
          <w:b/>
          <w:bCs/>
          <w:smallCaps/>
        </w:rPr>
        <w:t>a</w:t>
      </w:r>
      <w:r w:rsidR="00C04685">
        <w:rPr>
          <w:rFonts w:ascii="Arial" w:hAnsi="Arial" w:cs="Arial"/>
          <w:b/>
          <w:bCs/>
          <w:smallCaps/>
        </w:rPr>
        <w:t xml:space="preserve">nticorrupción </w:t>
      </w:r>
      <w:r w:rsidR="00587006">
        <w:rPr>
          <w:rFonts w:ascii="Arial" w:hAnsi="Arial" w:cs="Arial"/>
          <w:b/>
          <w:bCs/>
          <w:smallCaps/>
        </w:rPr>
        <w:t xml:space="preserve">en </w:t>
      </w:r>
      <w:r w:rsidR="003C0EDA">
        <w:rPr>
          <w:rFonts w:ascii="Arial" w:hAnsi="Arial" w:cs="Arial"/>
          <w:b/>
          <w:bCs/>
          <w:smallCaps/>
        </w:rPr>
        <w:t>las a</w:t>
      </w:r>
      <w:r w:rsidR="00587006">
        <w:rPr>
          <w:rFonts w:ascii="Arial" w:hAnsi="Arial" w:cs="Arial"/>
          <w:b/>
          <w:bCs/>
          <w:smallCaps/>
        </w:rPr>
        <w:t xml:space="preserve">dministraciones </w:t>
      </w:r>
      <w:r w:rsidR="003C0EDA">
        <w:rPr>
          <w:rFonts w:ascii="Arial" w:hAnsi="Arial" w:cs="Arial"/>
          <w:b/>
          <w:bCs/>
          <w:smallCaps/>
        </w:rPr>
        <w:t>p</w:t>
      </w:r>
      <w:r w:rsidR="00587006">
        <w:rPr>
          <w:rFonts w:ascii="Arial" w:hAnsi="Arial" w:cs="Arial"/>
          <w:b/>
          <w:bCs/>
          <w:smallCaps/>
        </w:rPr>
        <w:t xml:space="preserve">úblicas </w:t>
      </w:r>
      <w:r w:rsidR="003C0EDA">
        <w:rPr>
          <w:rFonts w:ascii="Arial" w:hAnsi="Arial" w:cs="Arial"/>
          <w:b/>
          <w:bCs/>
          <w:smallCaps/>
        </w:rPr>
        <w:t>e</w:t>
      </w:r>
      <w:r w:rsidR="00587006">
        <w:rPr>
          <w:rFonts w:ascii="Arial" w:hAnsi="Arial" w:cs="Arial"/>
          <w:b/>
          <w:bCs/>
          <w:smallCaps/>
        </w:rPr>
        <w:t>statales</w:t>
      </w:r>
      <w:r w:rsidR="008A58B5">
        <w:rPr>
          <w:rFonts w:ascii="Arial" w:hAnsi="Arial" w:cs="Arial"/>
          <w:b/>
          <w:bCs/>
          <w:smallCaps/>
        </w:rPr>
        <w:t>, 2021</w:t>
      </w:r>
      <w:r w:rsidR="008A58B5">
        <w:rPr>
          <w:rFonts w:ascii="Arial" w:hAnsi="Arial" w:cs="Arial"/>
          <w:b/>
          <w:bCs/>
          <w:smallCaps/>
          <w:vertAlign w:val="superscript"/>
        </w:rPr>
        <w:t>1</w:t>
      </w:r>
    </w:p>
    <w:p w14:paraId="5105C540" w14:textId="4C73F9FF" w:rsidR="000F1EE5" w:rsidRDefault="000A75C0" w:rsidP="00EC471D">
      <w:pPr>
        <w:spacing w:line="276" w:lineRule="auto"/>
        <w:jc w:val="center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84A773E" wp14:editId="48D6BCAF">
            <wp:extent cx="6119495" cy="3051958"/>
            <wp:effectExtent l="0" t="0" r="0" b="1524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8CBD571-F461-488F-95D8-D848609656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C471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2D0E43" wp14:editId="61FBE15F">
                <wp:simplePos x="0" y="0"/>
                <wp:positionH relativeFrom="column">
                  <wp:posOffset>232409</wp:posOffset>
                </wp:positionH>
                <wp:positionV relativeFrom="paragraph">
                  <wp:posOffset>1580515</wp:posOffset>
                </wp:positionV>
                <wp:extent cx="219075" cy="476250"/>
                <wp:effectExtent l="0" t="0" r="9525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B5786" w14:textId="7A12ACFD" w:rsidR="0054739F" w:rsidRPr="00EC471D" w:rsidRDefault="005473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C471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Nacional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D0E4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8.3pt;margin-top:124.45pt;width:17.2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" fillcolor="white [3212]" stroked="f" strokeweight=".5pt">
                <v:textbox style="layout-flow:vertical;mso-layout-flow-alt:bottom-to-top" inset="1mm,0,1mm,0">
                  <w:txbxContent>
                    <w:p w14:paraId="109B5786" w14:textId="7A12ACFD" w:rsidR="0054739F" w:rsidRPr="00EC471D" w:rsidRDefault="0054739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EC471D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33511C37" w14:textId="40FE48A2" w:rsidR="00D06F2F" w:rsidRPr="00D200D8" w:rsidRDefault="0079434A" w:rsidP="00C53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67072" w:rsidRPr="00D200D8">
        <w:rPr>
          <w:rFonts w:ascii="Arial" w:hAnsi="Arial" w:cs="Arial"/>
          <w:sz w:val="24"/>
          <w:szCs w:val="24"/>
        </w:rPr>
        <w:t>e</w:t>
      </w:r>
      <w:r w:rsidR="00D06F2F" w:rsidRPr="00D200D8">
        <w:rPr>
          <w:rFonts w:ascii="Arial" w:hAnsi="Arial" w:cs="Arial"/>
          <w:sz w:val="24"/>
          <w:szCs w:val="24"/>
        </w:rPr>
        <w:t xml:space="preserve"> los 2 46</w:t>
      </w:r>
      <w:r w:rsidR="008126C6" w:rsidRPr="00D200D8">
        <w:rPr>
          <w:rFonts w:ascii="Arial" w:hAnsi="Arial" w:cs="Arial"/>
          <w:sz w:val="24"/>
          <w:szCs w:val="24"/>
        </w:rPr>
        <w:t>9</w:t>
      </w:r>
      <w:r w:rsidR="00D06F2F" w:rsidRPr="00D200D8">
        <w:rPr>
          <w:rFonts w:ascii="Arial" w:hAnsi="Arial" w:cs="Arial"/>
          <w:sz w:val="24"/>
          <w:szCs w:val="24"/>
        </w:rPr>
        <w:t xml:space="preserve"> municipios</w:t>
      </w:r>
      <w:r w:rsidR="00A67072" w:rsidRPr="00D200D8">
        <w:rPr>
          <w:rFonts w:ascii="Arial" w:hAnsi="Arial" w:cs="Arial"/>
          <w:sz w:val="24"/>
          <w:szCs w:val="24"/>
        </w:rPr>
        <w:t xml:space="preserve"> y</w:t>
      </w:r>
      <w:r w:rsidR="00D06F2F" w:rsidRPr="00D200D8">
        <w:rPr>
          <w:rFonts w:ascii="Arial" w:hAnsi="Arial" w:cs="Arial"/>
          <w:sz w:val="24"/>
          <w:szCs w:val="24"/>
        </w:rPr>
        <w:t xml:space="preserve"> </w:t>
      </w:r>
      <w:r w:rsidR="00A67072" w:rsidRPr="00D200D8">
        <w:rPr>
          <w:rFonts w:ascii="Arial" w:hAnsi="Arial" w:cs="Arial"/>
          <w:sz w:val="24"/>
          <w:szCs w:val="24"/>
        </w:rPr>
        <w:t xml:space="preserve">demarcaciones territoriales </w:t>
      </w:r>
      <w:r w:rsidR="00AE7F0B" w:rsidRPr="00D200D8">
        <w:rPr>
          <w:rFonts w:ascii="Arial" w:hAnsi="Arial" w:cs="Arial"/>
          <w:sz w:val="24"/>
          <w:szCs w:val="24"/>
        </w:rPr>
        <w:t>existentes</w:t>
      </w:r>
      <w:r w:rsidR="00D06F2F" w:rsidRPr="00D200D8">
        <w:rPr>
          <w:rFonts w:ascii="Arial" w:hAnsi="Arial" w:cs="Arial"/>
          <w:sz w:val="24"/>
          <w:szCs w:val="24"/>
        </w:rPr>
        <w:t xml:space="preserve"> en 2020, </w:t>
      </w:r>
      <w:r w:rsidR="00AE7F0B" w:rsidRPr="00D200D8">
        <w:rPr>
          <w:rFonts w:ascii="Arial" w:hAnsi="Arial" w:cs="Arial"/>
          <w:sz w:val="24"/>
          <w:szCs w:val="24"/>
        </w:rPr>
        <w:t xml:space="preserve">solo </w:t>
      </w:r>
      <w:r w:rsidR="009021FB" w:rsidRPr="00D200D8">
        <w:rPr>
          <w:rFonts w:ascii="Arial" w:hAnsi="Arial" w:cs="Arial"/>
          <w:sz w:val="24"/>
          <w:szCs w:val="24"/>
        </w:rPr>
        <w:t>21.6 % imparti</w:t>
      </w:r>
      <w:r>
        <w:rPr>
          <w:rFonts w:ascii="Arial" w:hAnsi="Arial" w:cs="Arial"/>
          <w:sz w:val="24"/>
          <w:szCs w:val="24"/>
        </w:rPr>
        <w:t>ó</w:t>
      </w:r>
      <w:r w:rsidR="009021FB" w:rsidRPr="00D200D8">
        <w:rPr>
          <w:rFonts w:ascii="Arial" w:hAnsi="Arial" w:cs="Arial"/>
          <w:sz w:val="24"/>
          <w:szCs w:val="24"/>
        </w:rPr>
        <w:t xml:space="preserve"> acciones formativas en </w:t>
      </w:r>
      <w:r w:rsidR="00AE7F0B" w:rsidRPr="00D200D8">
        <w:rPr>
          <w:rFonts w:ascii="Arial" w:hAnsi="Arial" w:cs="Arial"/>
          <w:sz w:val="24"/>
          <w:szCs w:val="24"/>
        </w:rPr>
        <w:t>materia de anticorrupción</w:t>
      </w:r>
      <w:r>
        <w:rPr>
          <w:rFonts w:ascii="Arial" w:hAnsi="Arial" w:cs="Arial"/>
          <w:sz w:val="24"/>
          <w:szCs w:val="24"/>
        </w:rPr>
        <w:t xml:space="preserve"> y</w:t>
      </w:r>
      <w:r w:rsidR="00A67072" w:rsidRPr="00D200D8">
        <w:rPr>
          <w:rFonts w:ascii="Arial" w:hAnsi="Arial" w:cs="Arial"/>
          <w:sz w:val="24"/>
          <w:szCs w:val="24"/>
        </w:rPr>
        <w:t xml:space="preserve"> </w:t>
      </w:r>
      <w:r w:rsidR="0028083D" w:rsidRPr="00D200D8">
        <w:rPr>
          <w:rFonts w:ascii="Arial" w:hAnsi="Arial" w:cs="Arial"/>
          <w:sz w:val="24"/>
          <w:szCs w:val="24"/>
        </w:rPr>
        <w:t xml:space="preserve">77.6 % </w:t>
      </w:r>
      <w:r w:rsidR="00AE7F0B" w:rsidRPr="00D200D8">
        <w:rPr>
          <w:rFonts w:ascii="Arial" w:hAnsi="Arial" w:cs="Arial"/>
          <w:sz w:val="24"/>
          <w:szCs w:val="24"/>
        </w:rPr>
        <w:t xml:space="preserve">refirió no haber </w:t>
      </w:r>
      <w:r w:rsidR="00710BA9" w:rsidRPr="00D200D8">
        <w:rPr>
          <w:rFonts w:ascii="Arial" w:hAnsi="Arial" w:cs="Arial"/>
          <w:sz w:val="24"/>
          <w:szCs w:val="24"/>
        </w:rPr>
        <w:t>dado</w:t>
      </w:r>
      <w:r w:rsidR="0028083D" w:rsidRPr="00D200D8">
        <w:rPr>
          <w:rFonts w:ascii="Arial" w:hAnsi="Arial" w:cs="Arial"/>
          <w:sz w:val="24"/>
          <w:szCs w:val="24"/>
        </w:rPr>
        <w:t xml:space="preserve"> </w:t>
      </w:r>
      <w:r w:rsidR="00AE7F0B" w:rsidRPr="00D200D8">
        <w:rPr>
          <w:rFonts w:ascii="Arial" w:hAnsi="Arial" w:cs="Arial"/>
          <w:sz w:val="24"/>
          <w:szCs w:val="24"/>
        </w:rPr>
        <w:t xml:space="preserve">algún tipo de </w:t>
      </w:r>
      <w:r w:rsidR="0028083D" w:rsidRPr="00D200D8">
        <w:rPr>
          <w:rFonts w:ascii="Arial" w:hAnsi="Arial" w:cs="Arial"/>
          <w:sz w:val="24"/>
          <w:szCs w:val="24"/>
        </w:rPr>
        <w:t>capacitación en</w:t>
      </w:r>
      <w:r w:rsidR="00AE7F0B" w:rsidRPr="00D200D8">
        <w:rPr>
          <w:rFonts w:ascii="Arial" w:hAnsi="Arial" w:cs="Arial"/>
          <w:sz w:val="24"/>
          <w:szCs w:val="24"/>
        </w:rPr>
        <w:t xml:space="preserve"> el tema</w:t>
      </w:r>
      <w:r w:rsidR="00624438" w:rsidRPr="00D200D8">
        <w:rPr>
          <w:rFonts w:ascii="Arial" w:hAnsi="Arial" w:cs="Arial"/>
          <w:sz w:val="24"/>
          <w:szCs w:val="24"/>
        </w:rPr>
        <w:t>.</w:t>
      </w:r>
      <w:r w:rsidR="00624438" w:rsidRPr="00D200D8">
        <w:rPr>
          <w:rStyle w:val="Refdenotaalpie"/>
          <w:rFonts w:ascii="Arial" w:hAnsi="Arial" w:cs="Arial"/>
          <w:sz w:val="24"/>
          <w:szCs w:val="24"/>
        </w:rPr>
        <w:footnoteReference w:id="15"/>
      </w:r>
    </w:p>
    <w:p w14:paraId="1F399366" w14:textId="55D65D02" w:rsidR="00D06F2F" w:rsidRPr="00D200D8" w:rsidRDefault="00D06F2F" w:rsidP="00C53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6B016" w14:textId="533C2E3C" w:rsidR="00D173CF" w:rsidRDefault="00AE7F0B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>E</w:t>
      </w:r>
      <w:r w:rsidR="008126C6" w:rsidRPr="00D200D8">
        <w:rPr>
          <w:rFonts w:ascii="Arial" w:hAnsi="Arial" w:cs="Arial"/>
          <w:sz w:val="24"/>
          <w:szCs w:val="24"/>
        </w:rPr>
        <w:t xml:space="preserve">n los 533 </w:t>
      </w:r>
      <w:r w:rsidR="0094673F" w:rsidRPr="00D200D8">
        <w:rPr>
          <w:rFonts w:ascii="Arial" w:hAnsi="Arial" w:cs="Arial"/>
          <w:sz w:val="24"/>
          <w:szCs w:val="24"/>
        </w:rPr>
        <w:t xml:space="preserve">municipios que realizaron </w:t>
      </w:r>
      <w:r w:rsidR="00C83909" w:rsidRPr="00D200D8">
        <w:rPr>
          <w:rFonts w:ascii="Arial" w:hAnsi="Arial" w:cs="Arial"/>
          <w:sz w:val="24"/>
          <w:szCs w:val="24"/>
        </w:rPr>
        <w:t>acciones de capacitación</w:t>
      </w:r>
      <w:r w:rsidR="008126C6" w:rsidRPr="00D200D8">
        <w:rPr>
          <w:rFonts w:ascii="Arial" w:hAnsi="Arial" w:cs="Arial"/>
          <w:sz w:val="24"/>
          <w:szCs w:val="24"/>
        </w:rPr>
        <w:t xml:space="preserve"> en materia de anticorrupción, se capacitó a 18.2 % d</w:t>
      </w:r>
      <w:r w:rsidR="0086793D" w:rsidRPr="00D200D8">
        <w:rPr>
          <w:rFonts w:ascii="Arial" w:hAnsi="Arial" w:cs="Arial"/>
          <w:sz w:val="24"/>
          <w:szCs w:val="24"/>
        </w:rPr>
        <w:t>el personal</w:t>
      </w:r>
      <w:r w:rsidR="008126C6" w:rsidRPr="00D200D8">
        <w:rPr>
          <w:rFonts w:ascii="Arial" w:hAnsi="Arial" w:cs="Arial"/>
          <w:sz w:val="24"/>
          <w:szCs w:val="24"/>
        </w:rPr>
        <w:t>. D</w:t>
      </w:r>
      <w:r w:rsidR="0080377D" w:rsidRPr="00D200D8">
        <w:rPr>
          <w:rFonts w:ascii="Arial" w:hAnsi="Arial" w:cs="Arial"/>
          <w:sz w:val="24"/>
          <w:szCs w:val="24"/>
        </w:rPr>
        <w:t>estaca</w:t>
      </w:r>
      <w:r w:rsidR="00C235F8" w:rsidRPr="00D200D8">
        <w:rPr>
          <w:rFonts w:ascii="Arial" w:hAnsi="Arial" w:cs="Arial"/>
          <w:sz w:val="24"/>
          <w:szCs w:val="24"/>
        </w:rPr>
        <w:t xml:space="preserve"> </w:t>
      </w:r>
      <w:r w:rsidR="00EC4B36" w:rsidRPr="00D200D8">
        <w:rPr>
          <w:rFonts w:ascii="Arial" w:hAnsi="Arial" w:cs="Arial"/>
          <w:sz w:val="24"/>
          <w:szCs w:val="24"/>
        </w:rPr>
        <w:t>Yucatán</w:t>
      </w:r>
      <w:r w:rsidR="0079434A">
        <w:rPr>
          <w:rFonts w:ascii="Arial" w:hAnsi="Arial" w:cs="Arial"/>
          <w:sz w:val="24"/>
          <w:szCs w:val="24"/>
        </w:rPr>
        <w:t>,</w:t>
      </w:r>
      <w:r w:rsidR="00C235F8" w:rsidRPr="00D200D8">
        <w:rPr>
          <w:rFonts w:ascii="Arial" w:hAnsi="Arial" w:cs="Arial"/>
          <w:sz w:val="24"/>
          <w:szCs w:val="24"/>
        </w:rPr>
        <w:t xml:space="preserve"> donde</w:t>
      </w:r>
      <w:r w:rsidR="00EC4B36" w:rsidRPr="00D200D8">
        <w:rPr>
          <w:rFonts w:ascii="Arial" w:hAnsi="Arial" w:cs="Arial"/>
          <w:sz w:val="24"/>
          <w:szCs w:val="24"/>
        </w:rPr>
        <w:t xml:space="preserve"> más de 50 % </w:t>
      </w:r>
      <w:r w:rsidRPr="00D200D8">
        <w:rPr>
          <w:rFonts w:ascii="Arial" w:hAnsi="Arial" w:cs="Arial"/>
          <w:sz w:val="24"/>
          <w:szCs w:val="24"/>
        </w:rPr>
        <w:t>de los servidores públicos</w:t>
      </w:r>
      <w:r w:rsidR="006131F2" w:rsidRPr="00D200D8">
        <w:rPr>
          <w:rFonts w:ascii="Arial" w:hAnsi="Arial" w:cs="Arial"/>
          <w:sz w:val="24"/>
          <w:szCs w:val="24"/>
        </w:rPr>
        <w:t xml:space="preserve"> municipal</w:t>
      </w:r>
      <w:r w:rsidRPr="00D200D8">
        <w:rPr>
          <w:rFonts w:ascii="Arial" w:hAnsi="Arial" w:cs="Arial"/>
          <w:sz w:val="24"/>
          <w:szCs w:val="24"/>
        </w:rPr>
        <w:t>es</w:t>
      </w:r>
      <w:r w:rsidR="006131F2" w:rsidRPr="00D200D8">
        <w:rPr>
          <w:rFonts w:ascii="Arial" w:hAnsi="Arial" w:cs="Arial"/>
          <w:sz w:val="24"/>
          <w:szCs w:val="24"/>
        </w:rPr>
        <w:t xml:space="preserve"> recibió</w:t>
      </w:r>
      <w:r w:rsidR="007230AD" w:rsidRPr="00D200D8">
        <w:rPr>
          <w:rFonts w:ascii="Arial" w:hAnsi="Arial" w:cs="Arial"/>
          <w:sz w:val="24"/>
          <w:szCs w:val="24"/>
        </w:rPr>
        <w:t xml:space="preserve"> capacitación en la materia, </w:t>
      </w:r>
      <w:r w:rsidR="00EC4B36" w:rsidRPr="00D200D8">
        <w:rPr>
          <w:rFonts w:ascii="Arial" w:hAnsi="Arial" w:cs="Arial"/>
          <w:sz w:val="24"/>
          <w:szCs w:val="24"/>
        </w:rPr>
        <w:t>seguido</w:t>
      </w:r>
      <w:r w:rsidRPr="00D200D8">
        <w:rPr>
          <w:rFonts w:ascii="Arial" w:hAnsi="Arial" w:cs="Arial"/>
          <w:sz w:val="24"/>
          <w:szCs w:val="24"/>
        </w:rPr>
        <w:t xml:space="preserve"> de</w:t>
      </w:r>
      <w:r w:rsidR="00B523B1" w:rsidRPr="00D200D8">
        <w:rPr>
          <w:rFonts w:ascii="Arial" w:hAnsi="Arial" w:cs="Arial"/>
          <w:sz w:val="24"/>
          <w:szCs w:val="24"/>
        </w:rPr>
        <w:t xml:space="preserve"> Querétaro, Morelos, Aguascalientes y Tamaulipas</w:t>
      </w:r>
      <w:r w:rsidR="00CD23F9">
        <w:rPr>
          <w:rFonts w:ascii="Arial" w:hAnsi="Arial" w:cs="Arial"/>
          <w:sz w:val="24"/>
          <w:szCs w:val="24"/>
        </w:rPr>
        <w:t>,</w:t>
      </w:r>
      <w:r w:rsidR="00B523B1" w:rsidRPr="00D200D8">
        <w:rPr>
          <w:rFonts w:ascii="Arial" w:hAnsi="Arial" w:cs="Arial"/>
          <w:sz w:val="24"/>
          <w:szCs w:val="24"/>
        </w:rPr>
        <w:t xml:space="preserve"> </w:t>
      </w:r>
      <w:r w:rsidR="0079434A">
        <w:rPr>
          <w:rFonts w:ascii="Arial" w:hAnsi="Arial" w:cs="Arial"/>
          <w:sz w:val="24"/>
          <w:szCs w:val="24"/>
        </w:rPr>
        <w:t>con</w:t>
      </w:r>
      <w:r w:rsidR="00B523B1" w:rsidRPr="00D200D8">
        <w:rPr>
          <w:rFonts w:ascii="Arial" w:hAnsi="Arial" w:cs="Arial"/>
          <w:sz w:val="24"/>
          <w:szCs w:val="24"/>
        </w:rPr>
        <w:t xml:space="preserve"> </w:t>
      </w:r>
      <w:r w:rsidRPr="00D200D8">
        <w:rPr>
          <w:rFonts w:ascii="Arial" w:hAnsi="Arial" w:cs="Arial"/>
          <w:sz w:val="24"/>
          <w:szCs w:val="24"/>
        </w:rPr>
        <w:t xml:space="preserve">una cobertura </w:t>
      </w:r>
      <w:r w:rsidR="00E83987" w:rsidRPr="00D200D8">
        <w:rPr>
          <w:rFonts w:ascii="Arial" w:hAnsi="Arial" w:cs="Arial"/>
          <w:sz w:val="24"/>
          <w:szCs w:val="24"/>
        </w:rPr>
        <w:t xml:space="preserve">de capacitación superior a 40 % </w:t>
      </w:r>
      <w:r w:rsidR="008126C6" w:rsidRPr="00D200D8">
        <w:rPr>
          <w:rFonts w:ascii="Arial" w:hAnsi="Arial" w:cs="Arial"/>
          <w:sz w:val="24"/>
          <w:szCs w:val="24"/>
        </w:rPr>
        <w:t>del</w:t>
      </w:r>
      <w:r w:rsidR="00E83987" w:rsidRPr="00D200D8">
        <w:rPr>
          <w:rFonts w:ascii="Arial" w:hAnsi="Arial" w:cs="Arial"/>
          <w:sz w:val="24"/>
          <w:szCs w:val="24"/>
        </w:rPr>
        <w:t xml:space="preserve"> personal</w:t>
      </w:r>
      <w:r w:rsidR="008001C1" w:rsidRPr="00D200D8">
        <w:rPr>
          <w:rFonts w:ascii="Arial" w:hAnsi="Arial" w:cs="Arial"/>
          <w:sz w:val="24"/>
          <w:szCs w:val="24"/>
        </w:rPr>
        <w:t xml:space="preserve">. </w:t>
      </w:r>
      <w:r w:rsidR="00CE457B" w:rsidRPr="00D200D8">
        <w:rPr>
          <w:rFonts w:ascii="Arial" w:hAnsi="Arial" w:cs="Arial"/>
          <w:sz w:val="24"/>
          <w:szCs w:val="24"/>
        </w:rPr>
        <w:t>En contraste, la</w:t>
      </w:r>
      <w:r w:rsidR="006131F2" w:rsidRPr="00D200D8">
        <w:rPr>
          <w:rFonts w:ascii="Arial" w:hAnsi="Arial" w:cs="Arial"/>
          <w:sz w:val="24"/>
          <w:szCs w:val="24"/>
        </w:rPr>
        <w:t>s</w:t>
      </w:r>
      <w:r w:rsidR="00CE457B" w:rsidRPr="00D200D8">
        <w:rPr>
          <w:rFonts w:ascii="Arial" w:hAnsi="Arial" w:cs="Arial"/>
          <w:sz w:val="24"/>
          <w:szCs w:val="24"/>
        </w:rPr>
        <w:t xml:space="preserve"> </w:t>
      </w:r>
      <w:r w:rsidR="006131F2" w:rsidRPr="00D200D8">
        <w:rPr>
          <w:rFonts w:ascii="Arial" w:hAnsi="Arial" w:cs="Arial"/>
          <w:sz w:val="24"/>
          <w:szCs w:val="24"/>
        </w:rPr>
        <w:t xml:space="preserve">demarcaciones territoriales de </w:t>
      </w:r>
      <w:r w:rsidR="00CE457B" w:rsidRPr="00D200D8">
        <w:rPr>
          <w:rFonts w:ascii="Arial" w:hAnsi="Arial" w:cs="Arial"/>
          <w:sz w:val="24"/>
          <w:szCs w:val="24"/>
        </w:rPr>
        <w:t>Ciudad de México</w:t>
      </w:r>
      <w:r w:rsidR="002639B5" w:rsidRPr="00D200D8">
        <w:rPr>
          <w:rStyle w:val="Refdenotaalpie"/>
          <w:rFonts w:ascii="Arial" w:hAnsi="Arial" w:cs="Arial"/>
          <w:sz w:val="24"/>
          <w:szCs w:val="24"/>
        </w:rPr>
        <w:footnoteReference w:id="16"/>
      </w:r>
      <w:r w:rsidR="00CE457B" w:rsidRPr="00D200D8">
        <w:rPr>
          <w:rFonts w:ascii="Arial" w:hAnsi="Arial" w:cs="Arial"/>
          <w:sz w:val="24"/>
          <w:szCs w:val="24"/>
        </w:rPr>
        <w:t xml:space="preserve"> </w:t>
      </w:r>
      <w:r w:rsidR="002639B5" w:rsidRPr="00D200D8">
        <w:rPr>
          <w:rFonts w:ascii="Arial" w:hAnsi="Arial" w:cs="Arial"/>
          <w:sz w:val="24"/>
          <w:szCs w:val="24"/>
        </w:rPr>
        <w:t xml:space="preserve">y los municipios de Baja California Sur </w:t>
      </w:r>
      <w:r w:rsidR="006131F2" w:rsidRPr="00D200D8">
        <w:rPr>
          <w:rFonts w:ascii="Arial" w:hAnsi="Arial" w:cs="Arial"/>
          <w:sz w:val="24"/>
          <w:szCs w:val="24"/>
        </w:rPr>
        <w:t xml:space="preserve">tuvieron </w:t>
      </w:r>
      <w:r w:rsidR="00F51E3E">
        <w:rPr>
          <w:rFonts w:ascii="Arial" w:hAnsi="Arial" w:cs="Arial"/>
          <w:sz w:val="24"/>
          <w:szCs w:val="24"/>
        </w:rPr>
        <w:t xml:space="preserve">el menor porcentaje </w:t>
      </w:r>
      <w:r w:rsidR="00CE457B" w:rsidRPr="00D200D8">
        <w:rPr>
          <w:rFonts w:ascii="Arial" w:hAnsi="Arial" w:cs="Arial"/>
          <w:sz w:val="24"/>
          <w:szCs w:val="24"/>
        </w:rPr>
        <w:t xml:space="preserve">de </w:t>
      </w:r>
      <w:r w:rsidR="007340CA" w:rsidRPr="00D200D8">
        <w:rPr>
          <w:rFonts w:ascii="Arial" w:hAnsi="Arial" w:cs="Arial"/>
          <w:sz w:val="24"/>
          <w:szCs w:val="24"/>
        </w:rPr>
        <w:t>personal capacitado</w:t>
      </w:r>
      <w:r w:rsidR="001168E5" w:rsidRPr="00D200D8">
        <w:rPr>
          <w:rFonts w:ascii="Arial" w:hAnsi="Arial" w:cs="Arial"/>
          <w:sz w:val="24"/>
          <w:szCs w:val="24"/>
        </w:rPr>
        <w:t xml:space="preserve"> en </w:t>
      </w:r>
      <w:r w:rsidR="006131F2" w:rsidRPr="00D200D8">
        <w:rPr>
          <w:rFonts w:ascii="Arial" w:hAnsi="Arial" w:cs="Arial"/>
          <w:sz w:val="24"/>
          <w:szCs w:val="24"/>
        </w:rPr>
        <w:t>anticorrupción</w:t>
      </w:r>
      <w:r w:rsidR="00F51E3E">
        <w:rPr>
          <w:rFonts w:ascii="Arial" w:hAnsi="Arial" w:cs="Arial"/>
          <w:sz w:val="24"/>
          <w:szCs w:val="24"/>
        </w:rPr>
        <w:t>,</w:t>
      </w:r>
      <w:r w:rsidR="007340CA" w:rsidRPr="00D200D8">
        <w:rPr>
          <w:rFonts w:ascii="Arial" w:hAnsi="Arial" w:cs="Arial"/>
          <w:sz w:val="24"/>
          <w:szCs w:val="24"/>
        </w:rPr>
        <w:t xml:space="preserve"> </w:t>
      </w:r>
      <w:r w:rsidR="006131F2" w:rsidRPr="00D200D8">
        <w:rPr>
          <w:rFonts w:ascii="Arial" w:hAnsi="Arial" w:cs="Arial"/>
          <w:sz w:val="24"/>
          <w:szCs w:val="24"/>
        </w:rPr>
        <w:t xml:space="preserve">con menos </w:t>
      </w:r>
      <w:r w:rsidR="002639B5" w:rsidRPr="00D200D8">
        <w:rPr>
          <w:rFonts w:ascii="Arial" w:hAnsi="Arial" w:cs="Arial"/>
          <w:sz w:val="24"/>
          <w:szCs w:val="24"/>
        </w:rPr>
        <w:t>de</w:t>
      </w:r>
      <w:r w:rsidR="006131F2" w:rsidRPr="00D200D8">
        <w:rPr>
          <w:rFonts w:ascii="Arial" w:hAnsi="Arial" w:cs="Arial"/>
          <w:sz w:val="24"/>
          <w:szCs w:val="24"/>
        </w:rPr>
        <w:t xml:space="preserve"> 1 % del personal </w:t>
      </w:r>
      <w:r w:rsidR="002639B5" w:rsidRPr="00D200D8">
        <w:rPr>
          <w:rFonts w:ascii="Arial" w:hAnsi="Arial" w:cs="Arial"/>
          <w:sz w:val="24"/>
          <w:szCs w:val="24"/>
        </w:rPr>
        <w:t xml:space="preserve">municipal </w:t>
      </w:r>
      <w:r w:rsidR="006131F2" w:rsidRPr="00D200D8">
        <w:rPr>
          <w:rFonts w:ascii="Arial" w:hAnsi="Arial" w:cs="Arial"/>
          <w:sz w:val="24"/>
          <w:szCs w:val="24"/>
        </w:rPr>
        <w:t>capacitado</w:t>
      </w:r>
      <w:r w:rsidR="000774D4">
        <w:rPr>
          <w:rFonts w:ascii="Arial" w:hAnsi="Arial" w:cs="Arial"/>
          <w:sz w:val="24"/>
          <w:szCs w:val="24"/>
        </w:rPr>
        <w:t>.</w:t>
      </w:r>
      <w:r w:rsidR="006131F2" w:rsidRPr="00D200D8">
        <w:rPr>
          <w:rFonts w:ascii="Arial" w:hAnsi="Arial" w:cs="Arial"/>
          <w:sz w:val="24"/>
          <w:szCs w:val="24"/>
        </w:rPr>
        <w:t xml:space="preserve"> (</w:t>
      </w:r>
      <w:r w:rsidR="000774D4">
        <w:rPr>
          <w:rFonts w:ascii="Arial" w:hAnsi="Arial" w:cs="Arial"/>
          <w:sz w:val="24"/>
          <w:szCs w:val="24"/>
        </w:rPr>
        <w:t>V</w:t>
      </w:r>
      <w:r w:rsidR="00D05214" w:rsidRPr="00D200D8">
        <w:rPr>
          <w:rFonts w:ascii="Arial" w:hAnsi="Arial" w:cs="Arial"/>
          <w:sz w:val="24"/>
          <w:szCs w:val="24"/>
        </w:rPr>
        <w:t>er g</w:t>
      </w:r>
      <w:r w:rsidR="006131F2" w:rsidRPr="00D200D8">
        <w:rPr>
          <w:rFonts w:ascii="Arial" w:hAnsi="Arial" w:cs="Arial"/>
          <w:sz w:val="24"/>
          <w:szCs w:val="24"/>
        </w:rPr>
        <w:t>ráfica 6)</w:t>
      </w:r>
      <w:r w:rsidR="007437D2" w:rsidRPr="00D200D8">
        <w:rPr>
          <w:rFonts w:ascii="Arial" w:hAnsi="Arial" w:cs="Arial"/>
          <w:sz w:val="24"/>
          <w:szCs w:val="24"/>
        </w:rPr>
        <w:t>.</w:t>
      </w:r>
    </w:p>
    <w:p w14:paraId="214D3E86" w14:textId="2B6468AE" w:rsidR="0079434A" w:rsidRDefault="0079434A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0B86C" w14:textId="0A7FDF94" w:rsidR="0079434A" w:rsidRDefault="0079434A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B0EA29" w14:textId="2C1405FB" w:rsidR="0079434A" w:rsidRDefault="0079434A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634EB" w14:textId="5CA8DE34" w:rsidR="0079434A" w:rsidRDefault="0079434A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14C87" w14:textId="77777777" w:rsidR="000774D4" w:rsidRDefault="000774D4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F60D78" w14:textId="0E6F7004" w:rsidR="0079434A" w:rsidRDefault="0079434A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8039C0" w14:textId="62112BBC" w:rsidR="0079434A" w:rsidRDefault="0079434A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7A476" w14:textId="50FD228D" w:rsidR="00D90C5F" w:rsidRDefault="00D90C5F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235357" w14:textId="77777777" w:rsidR="00D90C5F" w:rsidRPr="00D200D8" w:rsidRDefault="00D90C5F" w:rsidP="00EC4B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FA447E" w14:textId="49CF891E" w:rsidR="00B8286C" w:rsidRDefault="00B8286C" w:rsidP="00EC4B36">
      <w:pPr>
        <w:spacing w:after="0" w:line="240" w:lineRule="auto"/>
        <w:jc w:val="both"/>
        <w:rPr>
          <w:rFonts w:ascii="Arial" w:hAnsi="Arial" w:cs="Arial"/>
        </w:rPr>
      </w:pPr>
    </w:p>
    <w:p w14:paraId="10C6F5D8" w14:textId="2C1E1F46" w:rsidR="00587006" w:rsidRPr="00F44ED5" w:rsidRDefault="00587006" w:rsidP="00C536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Gráfica</w:t>
      </w:r>
      <w:r w:rsidRPr="00F44E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</w:p>
    <w:p w14:paraId="11F4F0F6" w14:textId="048C4FCD" w:rsidR="003C1BA5" w:rsidRDefault="0063064D" w:rsidP="000F438A">
      <w:pPr>
        <w:spacing w:after="0" w:line="240" w:lineRule="auto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</w:t>
      </w:r>
      <w:r w:rsidR="00587006">
        <w:rPr>
          <w:rFonts w:ascii="Arial" w:hAnsi="Arial" w:cs="Arial"/>
          <w:b/>
          <w:bCs/>
          <w:smallCaps/>
        </w:rPr>
        <w:t xml:space="preserve">ersonal que recibió capacitación </w:t>
      </w:r>
      <w:r w:rsidR="00C04685">
        <w:rPr>
          <w:rFonts w:ascii="Arial" w:hAnsi="Arial" w:cs="Arial"/>
          <w:b/>
          <w:bCs/>
          <w:smallCaps/>
        </w:rPr>
        <w:t xml:space="preserve">en materia Anticorrupción </w:t>
      </w:r>
    </w:p>
    <w:p w14:paraId="05D45817" w14:textId="02FD5CFB" w:rsidR="00587006" w:rsidRDefault="00587006">
      <w:pPr>
        <w:spacing w:after="0" w:line="240" w:lineRule="auto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b/>
          <w:bCs/>
          <w:smallCaps/>
        </w:rPr>
        <w:t>en Administraciones Públicas Municipales</w:t>
      </w:r>
      <w:r w:rsidR="0063064D">
        <w:rPr>
          <w:rFonts w:ascii="Arial" w:hAnsi="Arial" w:cs="Arial"/>
          <w:b/>
          <w:bCs/>
          <w:smallCaps/>
        </w:rPr>
        <w:t xml:space="preserve"> </w:t>
      </w:r>
      <w:r w:rsidR="00B37675">
        <w:rPr>
          <w:rFonts w:ascii="Arial" w:hAnsi="Arial" w:cs="Arial"/>
          <w:b/>
          <w:bCs/>
          <w:smallCaps/>
        </w:rPr>
        <w:t xml:space="preserve"> 2020</w:t>
      </w:r>
    </w:p>
    <w:p w14:paraId="6D596C05" w14:textId="48CA21CE" w:rsidR="00AC1CC4" w:rsidRDefault="00AC1CC4" w:rsidP="00C53623">
      <w:pPr>
        <w:spacing w:after="0" w:line="240" w:lineRule="auto"/>
        <w:jc w:val="center"/>
        <w:rPr>
          <w:rFonts w:ascii="Arial" w:hAnsi="Arial" w:cs="Arial"/>
          <w:smallCaps/>
        </w:rPr>
      </w:pPr>
    </w:p>
    <w:p w14:paraId="0DB28B13" w14:textId="1AD8D23D" w:rsidR="00F6570E" w:rsidRPr="00D318C6" w:rsidRDefault="00F6570E" w:rsidP="00C53623">
      <w:pPr>
        <w:spacing w:after="0" w:line="240" w:lineRule="auto"/>
        <w:jc w:val="center"/>
        <w:rPr>
          <w:rFonts w:ascii="Arial" w:hAnsi="Arial" w:cs="Arial"/>
          <w:smallCaps/>
        </w:rPr>
      </w:pPr>
      <w:r>
        <w:rPr>
          <w:noProof/>
        </w:rPr>
        <w:drawing>
          <wp:inline distT="0" distB="0" distL="0" distR="0" wp14:anchorId="0B06368B" wp14:editId="0A546631">
            <wp:extent cx="6248400" cy="3495675"/>
            <wp:effectExtent l="0" t="0" r="0" b="952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2CEE101A-D5CE-440B-AABF-9388A09D6C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0540635" w14:textId="3DE6278C" w:rsidR="005A315A" w:rsidRPr="00D200D8" w:rsidRDefault="00F51E3E" w:rsidP="00E512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los datos anteriores </w:t>
      </w:r>
      <w:r w:rsidR="00D1334E" w:rsidRPr="00D200D8">
        <w:rPr>
          <w:rFonts w:ascii="Arial" w:hAnsi="Arial" w:cs="Arial"/>
          <w:sz w:val="24"/>
          <w:szCs w:val="24"/>
        </w:rPr>
        <w:t>muestran</w:t>
      </w:r>
      <w:r w:rsidR="005A315A" w:rsidRPr="00D200D8">
        <w:rPr>
          <w:rFonts w:ascii="Arial" w:hAnsi="Arial" w:cs="Arial"/>
          <w:sz w:val="24"/>
          <w:szCs w:val="24"/>
        </w:rPr>
        <w:t xml:space="preserve"> </w:t>
      </w:r>
      <w:r w:rsidR="00D1334E" w:rsidRPr="00D200D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D1334E" w:rsidRPr="00D200D8">
        <w:rPr>
          <w:rFonts w:ascii="Arial" w:hAnsi="Arial" w:cs="Arial"/>
          <w:sz w:val="24"/>
          <w:szCs w:val="24"/>
        </w:rPr>
        <w:t xml:space="preserve"> </w:t>
      </w:r>
      <w:r w:rsidR="003F657A" w:rsidRPr="00D200D8">
        <w:rPr>
          <w:rFonts w:ascii="Arial" w:hAnsi="Arial" w:cs="Arial"/>
          <w:sz w:val="24"/>
          <w:szCs w:val="24"/>
        </w:rPr>
        <w:t xml:space="preserve">a pesar del descenso observado </w:t>
      </w:r>
      <w:r w:rsidR="003C1BA5">
        <w:rPr>
          <w:rFonts w:ascii="Arial" w:hAnsi="Arial" w:cs="Arial"/>
          <w:sz w:val="24"/>
          <w:szCs w:val="24"/>
        </w:rPr>
        <w:t>durante</w:t>
      </w:r>
      <w:r w:rsidR="003F657A" w:rsidRPr="00D200D8">
        <w:rPr>
          <w:rFonts w:ascii="Arial" w:hAnsi="Arial" w:cs="Arial"/>
          <w:sz w:val="24"/>
          <w:szCs w:val="24"/>
        </w:rPr>
        <w:t xml:space="preserve"> 2021 en la prevalencia y en los costos promedio de </w:t>
      </w:r>
      <w:r w:rsidR="003F657A" w:rsidRPr="00D200D8">
        <w:rPr>
          <w:rFonts w:ascii="Arial" w:hAnsi="Arial" w:cs="Arial"/>
          <w:color w:val="000000" w:themeColor="text1"/>
          <w:sz w:val="24"/>
          <w:szCs w:val="24"/>
        </w:rPr>
        <w:t xml:space="preserve">corrupción </w:t>
      </w:r>
      <w:r w:rsidR="003C1BA5" w:rsidRPr="00D200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—</w:t>
      </w:r>
      <w:r w:rsidR="003F657A" w:rsidRPr="00D200D8">
        <w:rPr>
          <w:rFonts w:ascii="Arial" w:hAnsi="Arial" w:cs="Arial"/>
          <w:color w:val="000000" w:themeColor="text1"/>
          <w:sz w:val="24"/>
          <w:szCs w:val="24"/>
        </w:rPr>
        <w:t>tanto en el caso de las personas víctimas como de las empresas</w:t>
      </w:r>
      <w:r w:rsidR="003C1BA5" w:rsidRPr="00D200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—</w:t>
      </w:r>
      <w:r w:rsidR="003F657A" w:rsidRPr="00D200D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F657A" w:rsidRPr="00D200D8">
        <w:rPr>
          <w:rFonts w:ascii="Arial" w:hAnsi="Arial" w:cs="Arial"/>
          <w:sz w:val="24"/>
          <w:szCs w:val="24"/>
        </w:rPr>
        <w:t>l</w:t>
      </w:r>
      <w:r w:rsidR="00D05214" w:rsidRPr="00D200D8">
        <w:rPr>
          <w:rFonts w:ascii="Arial" w:hAnsi="Arial" w:cs="Arial"/>
          <w:sz w:val="24"/>
          <w:szCs w:val="24"/>
        </w:rPr>
        <w:t xml:space="preserve">os niveles de </w:t>
      </w:r>
      <w:r w:rsidR="003F657A" w:rsidRPr="00D200D8">
        <w:rPr>
          <w:rFonts w:ascii="Arial" w:hAnsi="Arial" w:cs="Arial"/>
          <w:sz w:val="24"/>
          <w:szCs w:val="24"/>
        </w:rPr>
        <w:t xml:space="preserve">corrupción </w:t>
      </w:r>
      <w:r w:rsidR="00D05214" w:rsidRPr="00D200D8">
        <w:rPr>
          <w:rFonts w:ascii="Arial" w:hAnsi="Arial" w:cs="Arial"/>
          <w:sz w:val="24"/>
          <w:szCs w:val="24"/>
        </w:rPr>
        <w:t>se mantienen altos en algunas entidades del país</w:t>
      </w:r>
      <w:r w:rsidR="003C1BA5">
        <w:rPr>
          <w:rFonts w:ascii="Arial" w:hAnsi="Arial" w:cs="Arial"/>
          <w:sz w:val="24"/>
          <w:szCs w:val="24"/>
        </w:rPr>
        <w:t>. Además,</w:t>
      </w:r>
      <w:r w:rsidR="00D05214" w:rsidRPr="00D200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aún se trata de </w:t>
      </w:r>
      <w:r w:rsidR="003F657A" w:rsidRPr="00D200D8">
        <w:rPr>
          <w:rFonts w:ascii="Arial" w:hAnsi="Arial" w:cs="Arial"/>
          <w:sz w:val="24"/>
          <w:szCs w:val="24"/>
        </w:rPr>
        <w:t xml:space="preserve">los principales problemas que la población percibe en su entidad federativa. </w:t>
      </w:r>
      <w:r>
        <w:rPr>
          <w:rFonts w:ascii="Arial" w:hAnsi="Arial" w:cs="Arial"/>
          <w:sz w:val="24"/>
          <w:szCs w:val="24"/>
        </w:rPr>
        <w:t xml:space="preserve">En </w:t>
      </w:r>
      <w:r w:rsidR="00F615BC" w:rsidRPr="00D200D8">
        <w:rPr>
          <w:rFonts w:ascii="Arial" w:hAnsi="Arial" w:cs="Arial"/>
          <w:sz w:val="24"/>
          <w:szCs w:val="24"/>
        </w:rPr>
        <w:t>las administraciones públicas estatales y municipales</w:t>
      </w:r>
      <w:r>
        <w:rPr>
          <w:rFonts w:ascii="Arial" w:hAnsi="Arial" w:cs="Arial"/>
          <w:sz w:val="24"/>
          <w:szCs w:val="24"/>
        </w:rPr>
        <w:t>,</w:t>
      </w:r>
      <w:r w:rsidR="00950DD7" w:rsidRPr="00D200D8">
        <w:rPr>
          <w:rFonts w:ascii="Arial" w:hAnsi="Arial" w:cs="Arial"/>
          <w:sz w:val="24"/>
          <w:szCs w:val="24"/>
        </w:rPr>
        <w:t xml:space="preserve"> </w:t>
      </w:r>
      <w:r w:rsidR="00AE7F0B" w:rsidRPr="00D200D8">
        <w:rPr>
          <w:rFonts w:ascii="Arial" w:hAnsi="Arial" w:cs="Arial"/>
          <w:sz w:val="24"/>
          <w:szCs w:val="24"/>
        </w:rPr>
        <w:t xml:space="preserve">existe el desafío de </w:t>
      </w:r>
      <w:r>
        <w:rPr>
          <w:rFonts w:ascii="Arial" w:hAnsi="Arial" w:cs="Arial"/>
          <w:sz w:val="24"/>
          <w:szCs w:val="24"/>
        </w:rPr>
        <w:t xml:space="preserve">capacitar de manera </w:t>
      </w:r>
      <w:r w:rsidR="00F85624" w:rsidRPr="00D200D8">
        <w:rPr>
          <w:rFonts w:ascii="Arial" w:hAnsi="Arial" w:cs="Arial"/>
          <w:sz w:val="24"/>
          <w:szCs w:val="24"/>
        </w:rPr>
        <w:t>contin</w:t>
      </w:r>
      <w:r w:rsidR="00A0346B" w:rsidRPr="00D200D8">
        <w:rPr>
          <w:rFonts w:ascii="Arial" w:hAnsi="Arial" w:cs="Arial"/>
          <w:sz w:val="24"/>
          <w:szCs w:val="24"/>
        </w:rPr>
        <w:t>u</w:t>
      </w:r>
      <w:r w:rsidR="00F85624" w:rsidRPr="00D200D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a</w:t>
      </w:r>
      <w:r w:rsidR="007E2B82" w:rsidRPr="00D200D8">
        <w:rPr>
          <w:rFonts w:ascii="Arial" w:hAnsi="Arial" w:cs="Arial"/>
          <w:sz w:val="24"/>
          <w:szCs w:val="24"/>
        </w:rPr>
        <w:t xml:space="preserve"> su personal</w:t>
      </w:r>
      <w:r w:rsidR="00F85624" w:rsidRPr="00D200D8">
        <w:rPr>
          <w:rFonts w:ascii="Arial" w:hAnsi="Arial" w:cs="Arial"/>
          <w:sz w:val="24"/>
          <w:szCs w:val="24"/>
        </w:rPr>
        <w:t xml:space="preserve"> </w:t>
      </w:r>
      <w:r w:rsidR="007E2B82" w:rsidRPr="00D200D8">
        <w:rPr>
          <w:rFonts w:ascii="Arial" w:hAnsi="Arial" w:cs="Arial"/>
          <w:sz w:val="24"/>
          <w:szCs w:val="24"/>
        </w:rPr>
        <w:t xml:space="preserve">para evitar </w:t>
      </w:r>
      <w:r w:rsidR="00710BA9" w:rsidRPr="00D200D8">
        <w:rPr>
          <w:rFonts w:ascii="Arial" w:hAnsi="Arial" w:cs="Arial"/>
          <w:sz w:val="24"/>
          <w:szCs w:val="24"/>
        </w:rPr>
        <w:t>las</w:t>
      </w:r>
      <w:r w:rsidR="007E2B82" w:rsidRPr="00D200D8">
        <w:rPr>
          <w:rFonts w:ascii="Arial" w:hAnsi="Arial" w:cs="Arial"/>
          <w:sz w:val="24"/>
          <w:szCs w:val="24"/>
        </w:rPr>
        <w:t xml:space="preserve"> prácticas corruptas </w:t>
      </w:r>
      <w:r w:rsidR="00710BA9" w:rsidRPr="00D200D8">
        <w:rPr>
          <w:rFonts w:ascii="Arial" w:hAnsi="Arial" w:cs="Arial"/>
          <w:sz w:val="24"/>
          <w:szCs w:val="24"/>
        </w:rPr>
        <w:t>durante</w:t>
      </w:r>
      <w:r w:rsidR="007E2B82" w:rsidRPr="00D200D8">
        <w:rPr>
          <w:rFonts w:ascii="Arial" w:hAnsi="Arial" w:cs="Arial"/>
          <w:sz w:val="24"/>
          <w:szCs w:val="24"/>
        </w:rPr>
        <w:t xml:space="preserve"> el ejercicio de la función pública</w:t>
      </w:r>
      <w:r w:rsidR="003311AC" w:rsidRPr="00D200D8">
        <w:rPr>
          <w:rFonts w:ascii="Arial" w:hAnsi="Arial" w:cs="Arial"/>
          <w:sz w:val="24"/>
          <w:szCs w:val="24"/>
        </w:rPr>
        <w:t>.</w:t>
      </w:r>
    </w:p>
    <w:p w14:paraId="0BA9A8CF" w14:textId="089DA4E9" w:rsidR="00F3319A" w:rsidRPr="00D200D8" w:rsidRDefault="007B6343" w:rsidP="005B772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200D8">
        <w:rPr>
          <w:rFonts w:ascii="Arial" w:hAnsi="Arial" w:cs="Arial"/>
          <w:sz w:val="24"/>
          <w:szCs w:val="24"/>
        </w:rPr>
        <w:t xml:space="preserve">El INEGI </w:t>
      </w:r>
      <w:r w:rsidR="00313195" w:rsidRPr="00D200D8">
        <w:rPr>
          <w:rFonts w:ascii="Arial" w:hAnsi="Arial" w:cs="Arial"/>
          <w:sz w:val="24"/>
          <w:szCs w:val="24"/>
        </w:rPr>
        <w:t xml:space="preserve">invita a consultar la información </w:t>
      </w:r>
      <w:r w:rsidR="003311AC" w:rsidRPr="00D200D8">
        <w:rPr>
          <w:rFonts w:ascii="Arial" w:hAnsi="Arial" w:cs="Arial"/>
          <w:sz w:val="24"/>
          <w:szCs w:val="24"/>
        </w:rPr>
        <w:t xml:space="preserve">de </w:t>
      </w:r>
      <w:r w:rsidR="00313195" w:rsidRPr="00D200D8">
        <w:rPr>
          <w:rFonts w:ascii="Arial" w:hAnsi="Arial" w:cs="Arial"/>
          <w:sz w:val="24"/>
          <w:szCs w:val="24"/>
        </w:rPr>
        <w:t>sus programas estadísticos</w:t>
      </w:r>
      <w:r w:rsidR="002A6794" w:rsidRPr="00D200D8">
        <w:rPr>
          <w:rStyle w:val="Refdenotaalpie"/>
          <w:rFonts w:ascii="Arial" w:hAnsi="Arial" w:cs="Arial"/>
          <w:sz w:val="24"/>
          <w:szCs w:val="24"/>
        </w:rPr>
        <w:footnoteReference w:id="17"/>
      </w:r>
      <w:r w:rsidR="00313195" w:rsidRPr="00D200D8">
        <w:rPr>
          <w:rFonts w:ascii="Arial" w:hAnsi="Arial" w:cs="Arial"/>
          <w:sz w:val="24"/>
          <w:szCs w:val="24"/>
        </w:rPr>
        <w:t xml:space="preserve"> </w:t>
      </w:r>
      <w:r w:rsidR="0004246D" w:rsidRPr="00D200D8">
        <w:rPr>
          <w:rFonts w:ascii="Arial" w:hAnsi="Arial" w:cs="Arial"/>
          <w:sz w:val="24"/>
          <w:szCs w:val="24"/>
        </w:rPr>
        <w:t xml:space="preserve">para conocer </w:t>
      </w:r>
      <w:r w:rsidR="008C19D5" w:rsidRPr="00D200D8">
        <w:rPr>
          <w:rFonts w:ascii="Arial" w:hAnsi="Arial" w:cs="Arial"/>
          <w:sz w:val="24"/>
          <w:szCs w:val="24"/>
        </w:rPr>
        <w:t xml:space="preserve">con mayor detalle las experiencias de corrupción </w:t>
      </w:r>
      <w:r w:rsidR="00F51E3E">
        <w:rPr>
          <w:rFonts w:ascii="Arial" w:hAnsi="Arial" w:cs="Arial"/>
          <w:sz w:val="24"/>
          <w:szCs w:val="24"/>
        </w:rPr>
        <w:t xml:space="preserve">que padecen las personas </w:t>
      </w:r>
      <w:r w:rsidR="008C19D5" w:rsidRPr="00D200D8">
        <w:rPr>
          <w:rFonts w:ascii="Arial" w:hAnsi="Arial" w:cs="Arial"/>
          <w:sz w:val="24"/>
          <w:szCs w:val="24"/>
        </w:rPr>
        <w:t>y las empresas</w:t>
      </w:r>
      <w:r w:rsidR="00F51E3E">
        <w:rPr>
          <w:rFonts w:ascii="Arial" w:hAnsi="Arial" w:cs="Arial"/>
          <w:sz w:val="24"/>
          <w:szCs w:val="24"/>
        </w:rPr>
        <w:t xml:space="preserve">. Así también, se conocen </w:t>
      </w:r>
      <w:r w:rsidR="008C19D5" w:rsidRPr="00D200D8">
        <w:rPr>
          <w:rFonts w:ascii="Arial" w:hAnsi="Arial" w:cs="Arial"/>
          <w:sz w:val="24"/>
          <w:szCs w:val="24"/>
        </w:rPr>
        <w:t>diversos aspectos relacionados con la función de</w:t>
      </w:r>
      <w:r w:rsidR="003311AC" w:rsidRPr="00D200D8">
        <w:rPr>
          <w:rFonts w:ascii="Arial" w:hAnsi="Arial" w:cs="Arial"/>
          <w:sz w:val="24"/>
          <w:szCs w:val="24"/>
        </w:rPr>
        <w:t xml:space="preserve"> control interno y </w:t>
      </w:r>
      <w:r w:rsidR="008C19D5" w:rsidRPr="00D200D8">
        <w:rPr>
          <w:rFonts w:ascii="Arial" w:hAnsi="Arial" w:cs="Arial"/>
          <w:sz w:val="24"/>
          <w:szCs w:val="24"/>
        </w:rPr>
        <w:t xml:space="preserve">medidas </w:t>
      </w:r>
      <w:r w:rsidR="003311AC" w:rsidRPr="00D200D8">
        <w:rPr>
          <w:rFonts w:ascii="Arial" w:hAnsi="Arial" w:cs="Arial"/>
          <w:sz w:val="24"/>
          <w:szCs w:val="24"/>
        </w:rPr>
        <w:t xml:space="preserve">anticorrupción </w:t>
      </w:r>
      <w:r w:rsidR="00F51E3E">
        <w:rPr>
          <w:rFonts w:ascii="Arial" w:hAnsi="Arial" w:cs="Arial"/>
          <w:sz w:val="24"/>
          <w:szCs w:val="24"/>
        </w:rPr>
        <w:t xml:space="preserve">que emprenden </w:t>
      </w:r>
      <w:r w:rsidR="0004246D" w:rsidRPr="00D200D8">
        <w:rPr>
          <w:rFonts w:ascii="Arial" w:hAnsi="Arial" w:cs="Arial"/>
          <w:sz w:val="24"/>
          <w:szCs w:val="24"/>
        </w:rPr>
        <w:t>las instituciones públicas</w:t>
      </w:r>
      <w:r w:rsidR="00A7669C" w:rsidRPr="00D200D8">
        <w:rPr>
          <w:rFonts w:ascii="Arial" w:hAnsi="Arial" w:cs="Arial"/>
          <w:sz w:val="24"/>
          <w:szCs w:val="24"/>
        </w:rPr>
        <w:t xml:space="preserve"> </w:t>
      </w:r>
      <w:r w:rsidR="003311AC" w:rsidRPr="00D200D8">
        <w:rPr>
          <w:rFonts w:ascii="Arial" w:hAnsi="Arial" w:cs="Arial"/>
          <w:sz w:val="24"/>
          <w:szCs w:val="24"/>
        </w:rPr>
        <w:t>de</w:t>
      </w:r>
      <w:r w:rsidR="00A7669C" w:rsidRPr="00D200D8">
        <w:rPr>
          <w:rFonts w:ascii="Arial" w:hAnsi="Arial" w:cs="Arial"/>
          <w:sz w:val="24"/>
          <w:szCs w:val="24"/>
        </w:rPr>
        <w:t xml:space="preserve"> </w:t>
      </w:r>
      <w:r w:rsidR="003311AC" w:rsidRPr="00D200D8">
        <w:rPr>
          <w:rFonts w:ascii="Arial" w:hAnsi="Arial" w:cs="Arial"/>
          <w:sz w:val="24"/>
          <w:szCs w:val="24"/>
        </w:rPr>
        <w:t xml:space="preserve">los </w:t>
      </w:r>
      <w:r w:rsidR="00A7669C" w:rsidRPr="00D200D8">
        <w:rPr>
          <w:rFonts w:ascii="Arial" w:hAnsi="Arial" w:cs="Arial"/>
          <w:sz w:val="24"/>
          <w:szCs w:val="24"/>
        </w:rPr>
        <w:t>diferentes niveles de gobier</w:t>
      </w:r>
      <w:r w:rsidR="00E81243" w:rsidRPr="00D200D8">
        <w:rPr>
          <w:rFonts w:ascii="Arial" w:hAnsi="Arial" w:cs="Arial"/>
          <w:sz w:val="24"/>
          <w:szCs w:val="24"/>
        </w:rPr>
        <w:t>no</w:t>
      </w:r>
      <w:r w:rsidR="00013097" w:rsidRPr="00D200D8">
        <w:rPr>
          <w:rFonts w:ascii="Arial" w:hAnsi="Arial" w:cs="Arial"/>
          <w:sz w:val="24"/>
          <w:szCs w:val="24"/>
        </w:rPr>
        <w:t>.</w:t>
      </w:r>
    </w:p>
    <w:p w14:paraId="3121AF17" w14:textId="77777777" w:rsidR="005F4535" w:rsidRDefault="005F4535" w:rsidP="004B3ABF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517660A6" w14:textId="2A7DE6A8" w:rsidR="004B3ABF" w:rsidRPr="004B3ABF" w:rsidRDefault="004B3ABF" w:rsidP="005F4535">
      <w:pPr>
        <w:spacing w:after="0" w:line="240" w:lineRule="auto"/>
        <w:ind w:right="-516"/>
        <w:contextualSpacing/>
        <w:jc w:val="center"/>
        <w:rPr>
          <w:rFonts w:ascii="Arial" w:hAnsi="Arial" w:cs="Arial"/>
          <w:sz w:val="24"/>
          <w:szCs w:val="24"/>
        </w:rPr>
      </w:pP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1EF2DD5C" wp14:editId="6622E78A">
            <wp:extent cx="216770" cy="219456"/>
            <wp:effectExtent l="0" t="0" r="0" b="9525"/>
            <wp:docPr id="47" name="Imagen 47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" cy="2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64198028" wp14:editId="4156755E">
            <wp:extent cx="224790" cy="223257"/>
            <wp:effectExtent l="0" t="0" r="3810" b="5715"/>
            <wp:docPr id="48" name="Imagen 48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2" cy="31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2CE17423" wp14:editId="60312626">
            <wp:extent cx="217548" cy="219456"/>
            <wp:effectExtent l="0" t="0" r="0" b="9525"/>
            <wp:docPr id="49" name="Imagen 49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8" cy="2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58916BED" wp14:editId="5DE6410E">
            <wp:extent cx="217367" cy="220952"/>
            <wp:effectExtent l="0" t="0" r="0" b="8255"/>
            <wp:docPr id="50" name="Imagen 50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9" cy="2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655AADBF" wp14:editId="62C8554C">
            <wp:extent cx="1716495" cy="236228"/>
            <wp:effectExtent l="0" t="0" r="0" b="0"/>
            <wp:docPr id="51" name="Imagen 51" descr="Icon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51" descr="Icon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5" cy="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ABF" w:rsidRPr="004B3ABF" w:rsidSect="00A4115A">
      <w:headerReference w:type="default" r:id="rId25"/>
      <w:footerReference w:type="default" r:id="rId26"/>
      <w:pgSz w:w="12240" w:h="15840"/>
      <w:pgMar w:top="1134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5708" w14:textId="77777777" w:rsidR="0031726E" w:rsidRDefault="0031726E" w:rsidP="00B86761">
      <w:pPr>
        <w:spacing w:after="0" w:line="240" w:lineRule="auto"/>
      </w:pPr>
      <w:r>
        <w:separator/>
      </w:r>
    </w:p>
  </w:endnote>
  <w:endnote w:type="continuationSeparator" w:id="0">
    <w:p w14:paraId="3BA99DCC" w14:textId="77777777" w:rsidR="0031726E" w:rsidRDefault="0031726E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73F0" w14:textId="425DE5E6" w:rsidR="0054739F" w:rsidRPr="00A4115A" w:rsidRDefault="0054739F" w:rsidP="00D200D8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A4115A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058F" w14:textId="77777777" w:rsidR="0031726E" w:rsidRDefault="0031726E" w:rsidP="00B86761">
      <w:pPr>
        <w:spacing w:after="0" w:line="240" w:lineRule="auto"/>
      </w:pPr>
      <w:r>
        <w:separator/>
      </w:r>
    </w:p>
  </w:footnote>
  <w:footnote w:type="continuationSeparator" w:id="0">
    <w:p w14:paraId="73724539" w14:textId="77777777" w:rsidR="0031726E" w:rsidRDefault="0031726E" w:rsidP="00B86761">
      <w:pPr>
        <w:spacing w:after="0" w:line="240" w:lineRule="auto"/>
      </w:pPr>
      <w:r>
        <w:continuationSeparator/>
      </w:r>
    </w:p>
  </w:footnote>
  <w:footnote w:id="1">
    <w:p w14:paraId="595C9F31" w14:textId="46C69979" w:rsidR="0054739F" w:rsidRDefault="0054739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D2386">
        <w:rPr>
          <w:rFonts w:ascii="Arial" w:hAnsi="Arial" w:cs="Arial"/>
          <w:sz w:val="16"/>
          <w:szCs w:val="16"/>
        </w:rPr>
        <w:t>UNODC, por sus siglas en inglés</w:t>
      </w:r>
    </w:p>
  </w:footnote>
  <w:footnote w:id="2">
    <w:p w14:paraId="56A4F61A" w14:textId="4BFAA374" w:rsidR="0054739F" w:rsidRPr="00985A74" w:rsidRDefault="0054739F" w:rsidP="00985A74">
      <w:pPr>
        <w:pStyle w:val="Textonotapie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985A74">
        <w:rPr>
          <w:rFonts w:ascii="Arial" w:hAnsi="Arial" w:cs="Arial"/>
          <w:sz w:val="16"/>
          <w:szCs w:val="16"/>
        </w:rPr>
        <w:t>UNODC</w:t>
      </w:r>
      <w:r w:rsidRPr="0064054F">
        <w:rPr>
          <w:rFonts w:ascii="Arial" w:hAnsi="Arial" w:cs="Arial"/>
          <w:sz w:val="16"/>
          <w:szCs w:val="16"/>
        </w:rPr>
        <w:t xml:space="preserve">. </w:t>
      </w:r>
      <w:r w:rsidRPr="00D200D8">
        <w:rPr>
          <w:rFonts w:ascii="Arial" w:hAnsi="Arial" w:cs="Arial"/>
          <w:sz w:val="16"/>
          <w:szCs w:val="16"/>
        </w:rPr>
        <w:t>«</w:t>
      </w:r>
      <w:r w:rsidRPr="00D200D8">
        <w:rPr>
          <w:rFonts w:ascii="Arial" w:hAnsi="Arial" w:cs="Arial"/>
          <w:iCs/>
          <w:sz w:val="16"/>
          <w:szCs w:val="16"/>
        </w:rPr>
        <w:t>Manual de Encuestas de Corrupción</w:t>
      </w:r>
      <w:r w:rsidRPr="0064054F">
        <w:rPr>
          <w:rFonts w:ascii="Arial" w:hAnsi="Arial" w:cs="Arial"/>
          <w:sz w:val="16"/>
          <w:szCs w:val="16"/>
        </w:rPr>
        <w:t xml:space="preserve">. </w:t>
      </w:r>
      <w:r w:rsidRPr="00D200D8">
        <w:rPr>
          <w:rFonts w:ascii="Arial" w:hAnsi="Arial" w:cs="Arial"/>
          <w:iCs/>
          <w:sz w:val="16"/>
          <w:szCs w:val="16"/>
        </w:rPr>
        <w:t>Directrices metodológicas sobre la medición del soborno y otras formas de corrupción a través de encuestas por muestreo.</w:t>
      </w:r>
      <w:r w:rsidRPr="0064054F">
        <w:rPr>
          <w:rFonts w:ascii="Arial" w:hAnsi="Arial" w:cs="Arial"/>
          <w:sz w:val="16"/>
          <w:szCs w:val="16"/>
        </w:rPr>
        <w:t xml:space="preserve"> 2018»,</w:t>
      </w:r>
      <w:r w:rsidRPr="00985A74">
        <w:rPr>
          <w:rFonts w:ascii="Arial" w:hAnsi="Arial" w:cs="Arial"/>
          <w:sz w:val="16"/>
          <w:szCs w:val="16"/>
        </w:rPr>
        <w:t xml:space="preserve"> en: </w:t>
      </w:r>
      <w:hyperlink r:id="rId1" w:history="1">
        <w:r w:rsidRPr="00985A74">
          <w:rPr>
            <w:rStyle w:val="Hipervnculo"/>
            <w:rFonts w:ascii="Arial" w:hAnsi="Arial" w:cs="Arial"/>
            <w:sz w:val="16"/>
            <w:szCs w:val="16"/>
          </w:rPr>
          <w:t>https://www.cdeunodc.inegi.org.mx/unodc/wp-content/uploads/2019/03/Manual-Corrupcion.pdf</w:t>
        </w:r>
      </w:hyperlink>
      <w:r w:rsidRPr="00985A74">
        <w:rPr>
          <w:rFonts w:ascii="Arial" w:hAnsi="Arial" w:cs="Arial"/>
          <w:sz w:val="16"/>
          <w:szCs w:val="16"/>
        </w:rPr>
        <w:t xml:space="preserve"> (fecha de consulta: noviembre de 2022)</w:t>
      </w:r>
      <w:r w:rsidR="009E748A">
        <w:rPr>
          <w:rFonts w:ascii="Arial" w:hAnsi="Arial" w:cs="Arial"/>
          <w:sz w:val="16"/>
          <w:szCs w:val="16"/>
        </w:rPr>
        <w:t>.</w:t>
      </w:r>
    </w:p>
  </w:footnote>
  <w:footnote w:id="3">
    <w:p w14:paraId="16EAB543" w14:textId="695D7394" w:rsidR="0054739F" w:rsidRPr="008E124D" w:rsidRDefault="0054739F" w:rsidP="00985A74">
      <w:pPr>
        <w:pStyle w:val="Textonotapie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Asamblea General de las Naciones Unidas, </w:t>
      </w:r>
      <w:r w:rsidRPr="00D200D8">
        <w:rPr>
          <w:rFonts w:ascii="Arial" w:hAnsi="Arial" w:cs="Arial"/>
          <w:iCs/>
          <w:sz w:val="16"/>
          <w:szCs w:val="16"/>
        </w:rPr>
        <w:t>Resolución aprobada por la Asamblea General el 31 de octubre de 2003</w:t>
      </w:r>
      <w:r w:rsidRPr="0064054F">
        <w:rPr>
          <w:rFonts w:ascii="Arial" w:hAnsi="Arial" w:cs="Arial"/>
          <w:sz w:val="16"/>
          <w:szCs w:val="16"/>
        </w:rPr>
        <w:t>,</w:t>
      </w:r>
      <w:r w:rsidRPr="008E124D">
        <w:rPr>
          <w:rFonts w:ascii="Arial" w:hAnsi="Arial" w:cs="Arial"/>
          <w:sz w:val="16"/>
          <w:szCs w:val="16"/>
        </w:rPr>
        <w:t xml:space="preserve"> Naciones Unidas, en: </w:t>
      </w:r>
      <w:hyperlink r:id="rId2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https://undocs.org/es/A/RES/58/4</w:t>
        </w:r>
      </w:hyperlink>
      <w:r w:rsidRPr="008E124D">
        <w:rPr>
          <w:rFonts w:ascii="Arial" w:hAnsi="Arial" w:cs="Arial"/>
          <w:sz w:val="16"/>
          <w:szCs w:val="16"/>
        </w:rPr>
        <w:t xml:space="preserve"> (Fecha de consulta: agosto de 2022)</w:t>
      </w:r>
      <w:r w:rsidR="009E748A">
        <w:rPr>
          <w:rFonts w:ascii="Arial" w:hAnsi="Arial" w:cs="Arial"/>
          <w:sz w:val="16"/>
          <w:szCs w:val="16"/>
        </w:rPr>
        <w:t>.</w:t>
      </w:r>
    </w:p>
  </w:footnote>
  <w:footnote w:id="4">
    <w:p w14:paraId="781A07E1" w14:textId="4127D7D2" w:rsidR="0054739F" w:rsidRPr="008E124D" w:rsidRDefault="0054739F" w:rsidP="00985A74">
      <w:pPr>
        <w:pStyle w:val="Textonotapie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DOF. </w:t>
      </w:r>
      <w:r w:rsidRPr="0064054F">
        <w:rPr>
          <w:rFonts w:ascii="Arial" w:hAnsi="Arial" w:cs="Arial"/>
          <w:sz w:val="16"/>
          <w:szCs w:val="16"/>
        </w:rPr>
        <w:t>«</w:t>
      </w:r>
      <w:r w:rsidRPr="00D200D8">
        <w:rPr>
          <w:rFonts w:ascii="Arial" w:hAnsi="Arial" w:cs="Arial"/>
          <w:iCs/>
          <w:sz w:val="16"/>
          <w:szCs w:val="16"/>
        </w:rPr>
        <w:t>Constitución Política de los Estados Unidos Mexicanos</w:t>
      </w:r>
      <w:r w:rsidRPr="0064054F">
        <w:rPr>
          <w:rFonts w:ascii="Arial" w:hAnsi="Arial" w:cs="Arial"/>
          <w:sz w:val="16"/>
          <w:szCs w:val="16"/>
        </w:rPr>
        <w:t>, 1917»</w:t>
      </w:r>
      <w:r w:rsidRPr="008E124D">
        <w:rPr>
          <w:rFonts w:ascii="Arial" w:hAnsi="Arial" w:cs="Arial"/>
          <w:sz w:val="16"/>
          <w:szCs w:val="16"/>
        </w:rPr>
        <w:t xml:space="preserve"> (Última reforma: 28 de mayo de 2021), en: </w:t>
      </w:r>
      <w:hyperlink r:id="rId3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https://www.diputados.gob.mx/LeyesBiblio/pdf/CPEUM.pdf</w:t>
        </w:r>
      </w:hyperlink>
      <w:r w:rsidRPr="008E124D">
        <w:rPr>
          <w:rFonts w:ascii="Arial" w:hAnsi="Arial" w:cs="Arial"/>
          <w:sz w:val="16"/>
          <w:szCs w:val="16"/>
        </w:rPr>
        <w:t>, (fecha de consulta: octubre de 2022)</w:t>
      </w:r>
      <w:r w:rsidR="009E748A">
        <w:rPr>
          <w:rFonts w:ascii="Arial" w:hAnsi="Arial" w:cs="Arial"/>
          <w:sz w:val="16"/>
          <w:szCs w:val="16"/>
        </w:rPr>
        <w:t>.</w:t>
      </w:r>
      <w:r w:rsidRPr="008E124D">
        <w:rPr>
          <w:rFonts w:ascii="Arial" w:hAnsi="Arial" w:cs="Arial"/>
          <w:sz w:val="16"/>
          <w:szCs w:val="16"/>
        </w:rPr>
        <w:t xml:space="preserve">    </w:t>
      </w:r>
    </w:p>
  </w:footnote>
  <w:footnote w:id="5">
    <w:p w14:paraId="10889A92" w14:textId="308F7213" w:rsidR="0054739F" w:rsidRPr="008E124D" w:rsidRDefault="0054739F" w:rsidP="00985A74">
      <w:pPr>
        <w:pStyle w:val="Textonotapie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UNODC. </w:t>
      </w:r>
      <w:r w:rsidRPr="0064054F">
        <w:rPr>
          <w:rFonts w:ascii="Arial" w:hAnsi="Arial" w:cs="Arial"/>
          <w:sz w:val="16"/>
          <w:szCs w:val="16"/>
        </w:rPr>
        <w:t>«</w:t>
      </w:r>
      <w:r w:rsidRPr="00D200D8">
        <w:rPr>
          <w:rFonts w:ascii="Arial" w:hAnsi="Arial" w:cs="Arial"/>
          <w:iCs/>
          <w:sz w:val="16"/>
          <w:szCs w:val="16"/>
        </w:rPr>
        <w:t>Convención de las Naciones Unidas contra la Corrupción</w:t>
      </w:r>
      <w:r w:rsidRPr="0064054F">
        <w:rPr>
          <w:rFonts w:ascii="Arial" w:hAnsi="Arial" w:cs="Arial"/>
          <w:sz w:val="16"/>
          <w:szCs w:val="16"/>
        </w:rPr>
        <w:t>»,</w:t>
      </w:r>
      <w:r w:rsidRPr="008E124D">
        <w:rPr>
          <w:rFonts w:ascii="Arial" w:hAnsi="Arial" w:cs="Arial"/>
          <w:sz w:val="16"/>
          <w:szCs w:val="16"/>
        </w:rPr>
        <w:t xml:space="preserve"> Artículo 61, 2004, en: </w:t>
      </w:r>
      <w:hyperlink r:id="rId4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https://www.unodc.org/documents/mexicoandcentralamerica/publications/Corrupcion/Convencion_de_las_NU_contra_la_Corrupcion.pdf</w:t>
        </w:r>
      </w:hyperlink>
      <w:r w:rsidRPr="008E124D">
        <w:rPr>
          <w:rFonts w:ascii="Arial" w:hAnsi="Arial" w:cs="Arial"/>
          <w:sz w:val="16"/>
          <w:szCs w:val="16"/>
        </w:rPr>
        <w:t xml:space="preserve"> (Fecha de consulta: octubre de 2022)</w:t>
      </w:r>
      <w:r w:rsidR="009E748A">
        <w:rPr>
          <w:rFonts w:ascii="Arial" w:hAnsi="Arial" w:cs="Arial"/>
          <w:sz w:val="16"/>
          <w:szCs w:val="16"/>
        </w:rPr>
        <w:t>.</w:t>
      </w:r>
    </w:p>
  </w:footnote>
  <w:footnote w:id="6">
    <w:p w14:paraId="3881DB68" w14:textId="682E2229" w:rsidR="0054739F" w:rsidRPr="008E124D" w:rsidRDefault="0054739F" w:rsidP="00F2754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Naciones Unidas. </w:t>
      </w:r>
      <w:r w:rsidRPr="00147084">
        <w:rPr>
          <w:rFonts w:ascii="Arial" w:hAnsi="Arial" w:cs="Arial"/>
          <w:i/>
          <w:iCs/>
          <w:sz w:val="16"/>
          <w:szCs w:val="16"/>
        </w:rPr>
        <w:t>Objetivos de Desarrollo Sostenible, Objetivo 16. Promover sociedades justas, pacíficas e inclusivas,</w:t>
      </w:r>
      <w:r w:rsidRPr="008E124D">
        <w:rPr>
          <w:rFonts w:ascii="Arial" w:hAnsi="Arial" w:cs="Arial"/>
          <w:sz w:val="16"/>
          <w:szCs w:val="16"/>
        </w:rPr>
        <w:t xml:space="preserve"> </w:t>
      </w:r>
      <w:hyperlink r:id="rId5" w:history="1">
        <w:r w:rsidR="0068378D" w:rsidRPr="00A25F80">
          <w:rPr>
            <w:rStyle w:val="Hipervnculo"/>
            <w:rFonts w:ascii="Arial" w:hAnsi="Arial" w:cs="Arial"/>
            <w:sz w:val="16"/>
            <w:szCs w:val="16"/>
          </w:rPr>
          <w:t>https://www.un.org/sustainabledevelopment/es/peace-justice/</w:t>
        </w:r>
      </w:hyperlink>
      <w:r w:rsidRPr="008E124D">
        <w:rPr>
          <w:rFonts w:ascii="Arial" w:hAnsi="Arial" w:cs="Arial"/>
          <w:sz w:val="16"/>
          <w:szCs w:val="16"/>
        </w:rPr>
        <w:t xml:space="preserve"> (Fecha de consulta: octubre de 2022)</w:t>
      </w:r>
    </w:p>
  </w:footnote>
  <w:footnote w:id="7">
    <w:p w14:paraId="738E5FB9" w14:textId="2CCF89F4" w:rsidR="0054739F" w:rsidRPr="008E124D" w:rsidRDefault="0054739F" w:rsidP="00F2754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Encuesta Nacional de Impacto y Calidad Gubernamental (ENCIG) 2021, publicada en 2022 </w:t>
      </w:r>
      <w:r>
        <w:rPr>
          <w:rFonts w:ascii="Arial" w:hAnsi="Arial" w:cs="Arial"/>
          <w:sz w:val="16"/>
          <w:szCs w:val="16"/>
        </w:rPr>
        <w:t>con</w:t>
      </w:r>
      <w:r w:rsidRPr="008E124D">
        <w:rPr>
          <w:rFonts w:ascii="Arial" w:hAnsi="Arial" w:cs="Arial"/>
          <w:sz w:val="16"/>
          <w:szCs w:val="16"/>
        </w:rPr>
        <w:t xml:space="preserve"> datos de 2021</w:t>
      </w:r>
      <w:r>
        <w:rPr>
          <w:rFonts w:ascii="Arial" w:hAnsi="Arial" w:cs="Arial"/>
          <w:sz w:val="16"/>
          <w:szCs w:val="16"/>
        </w:rPr>
        <w:t>. S</w:t>
      </w:r>
      <w:r w:rsidRPr="008E124D">
        <w:rPr>
          <w:rFonts w:ascii="Arial" w:hAnsi="Arial" w:cs="Arial"/>
          <w:sz w:val="16"/>
          <w:szCs w:val="16"/>
        </w:rPr>
        <w:t xml:space="preserve">e puede consultar en: </w:t>
      </w:r>
      <w:hyperlink r:id="rId6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https://www.inegi.org.mx/programas/encig/2021/</w:t>
        </w:r>
      </w:hyperlink>
      <w:r w:rsidRPr="008E124D">
        <w:rPr>
          <w:rFonts w:ascii="Arial" w:hAnsi="Arial" w:cs="Arial"/>
          <w:sz w:val="16"/>
          <w:szCs w:val="16"/>
        </w:rPr>
        <w:t xml:space="preserve">; Encuesta Nacional de Calidad Regulatoria e Impacto Gubernamental en Empresas (ENCRIGE) 2020, publicada en 2021 </w:t>
      </w:r>
      <w:r>
        <w:rPr>
          <w:rFonts w:ascii="Arial" w:hAnsi="Arial" w:cs="Arial"/>
          <w:sz w:val="16"/>
          <w:szCs w:val="16"/>
        </w:rPr>
        <w:t>con</w:t>
      </w:r>
      <w:r w:rsidRPr="008E124D">
        <w:rPr>
          <w:rFonts w:ascii="Arial" w:hAnsi="Arial" w:cs="Arial"/>
          <w:sz w:val="16"/>
          <w:szCs w:val="16"/>
        </w:rPr>
        <w:t xml:space="preserve"> datos de 2020</w:t>
      </w:r>
      <w:r>
        <w:rPr>
          <w:rFonts w:ascii="Arial" w:hAnsi="Arial" w:cs="Arial"/>
          <w:sz w:val="16"/>
          <w:szCs w:val="16"/>
        </w:rPr>
        <w:t>. S</w:t>
      </w:r>
      <w:r w:rsidRPr="008E124D">
        <w:rPr>
          <w:rFonts w:ascii="Arial" w:hAnsi="Arial" w:cs="Arial"/>
          <w:sz w:val="16"/>
          <w:szCs w:val="16"/>
        </w:rPr>
        <w:t xml:space="preserve">e puede consultar en: </w:t>
      </w:r>
      <w:hyperlink r:id="rId7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https://www.inegi.org.mx/programas/encrige/2020/</w:t>
        </w:r>
      </w:hyperlink>
      <w:r w:rsidRPr="008E124D">
        <w:rPr>
          <w:rFonts w:ascii="Arial" w:hAnsi="Arial" w:cs="Arial"/>
          <w:sz w:val="16"/>
          <w:szCs w:val="16"/>
        </w:rPr>
        <w:t xml:space="preserve">; Censo Nacional de Gobiernos Estatales (CNGE) 2022, publicado en 2022 </w:t>
      </w:r>
      <w:r>
        <w:rPr>
          <w:rFonts w:ascii="Arial" w:hAnsi="Arial" w:cs="Arial"/>
          <w:sz w:val="16"/>
          <w:szCs w:val="16"/>
        </w:rPr>
        <w:t>con</w:t>
      </w:r>
      <w:r w:rsidRPr="008E124D">
        <w:rPr>
          <w:rFonts w:ascii="Arial" w:hAnsi="Arial" w:cs="Arial"/>
          <w:sz w:val="16"/>
          <w:szCs w:val="16"/>
        </w:rPr>
        <w:t xml:space="preserve"> datos de 2021</w:t>
      </w:r>
      <w:r>
        <w:rPr>
          <w:rFonts w:ascii="Arial" w:hAnsi="Arial" w:cs="Arial"/>
          <w:sz w:val="16"/>
          <w:szCs w:val="16"/>
        </w:rPr>
        <w:t>. S</w:t>
      </w:r>
      <w:r w:rsidRPr="008E124D">
        <w:rPr>
          <w:rFonts w:ascii="Arial" w:hAnsi="Arial" w:cs="Arial"/>
          <w:sz w:val="16"/>
          <w:szCs w:val="16"/>
        </w:rPr>
        <w:t xml:space="preserve">e puede consultar en: </w:t>
      </w:r>
      <w:hyperlink r:id="rId8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https://www.inegi.org.mx/programas/cnge/2022/</w:t>
        </w:r>
      </w:hyperlink>
      <w:r w:rsidRPr="008E124D">
        <w:rPr>
          <w:rFonts w:ascii="Arial" w:hAnsi="Arial" w:cs="Arial"/>
          <w:sz w:val="16"/>
          <w:szCs w:val="16"/>
        </w:rPr>
        <w:t xml:space="preserve"> y Censo Nacional de Gobiernos Municipales y Demarcaciones Territoriales de la Ciudad de México (CNGMD) 2021, publicado en 2022</w:t>
      </w:r>
      <w:r>
        <w:rPr>
          <w:rFonts w:ascii="Arial" w:hAnsi="Arial" w:cs="Arial"/>
          <w:sz w:val="16"/>
          <w:szCs w:val="16"/>
        </w:rPr>
        <w:t xml:space="preserve"> con</w:t>
      </w:r>
      <w:r w:rsidRPr="008E124D">
        <w:rPr>
          <w:rFonts w:ascii="Arial" w:hAnsi="Arial" w:cs="Arial"/>
          <w:sz w:val="16"/>
          <w:szCs w:val="16"/>
        </w:rPr>
        <w:t xml:space="preserve"> datos de 2020</w:t>
      </w:r>
      <w:r>
        <w:rPr>
          <w:rFonts w:ascii="Arial" w:hAnsi="Arial" w:cs="Arial"/>
          <w:sz w:val="16"/>
          <w:szCs w:val="16"/>
        </w:rPr>
        <w:t>. S</w:t>
      </w:r>
      <w:r w:rsidRPr="008E124D">
        <w:rPr>
          <w:rFonts w:ascii="Arial" w:hAnsi="Arial" w:cs="Arial"/>
          <w:sz w:val="16"/>
          <w:szCs w:val="16"/>
        </w:rPr>
        <w:t xml:space="preserve">e puede consultar en: https://www.inegi.org.mx/programas/cngmd/2021/ </w:t>
      </w:r>
    </w:p>
  </w:footnote>
  <w:footnote w:id="8">
    <w:p w14:paraId="15E76DF2" w14:textId="30EC2B36" w:rsidR="0054739F" w:rsidRPr="008E124D" w:rsidRDefault="0054739F" w:rsidP="00F27545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Se refiere a la población de 18 años y más que habita en áreas urbanas de </w:t>
      </w:r>
      <w:r>
        <w:rPr>
          <w:rFonts w:ascii="Arial" w:hAnsi="Arial" w:cs="Arial"/>
          <w:sz w:val="16"/>
          <w:szCs w:val="16"/>
        </w:rPr>
        <w:t xml:space="preserve">100 </w:t>
      </w:r>
      <w:r w:rsidRPr="008E124D">
        <w:rPr>
          <w:rFonts w:ascii="Arial" w:hAnsi="Arial" w:cs="Arial"/>
          <w:sz w:val="16"/>
          <w:szCs w:val="16"/>
        </w:rPr>
        <w:t xml:space="preserve">mil habitantes. </w:t>
      </w:r>
    </w:p>
  </w:footnote>
  <w:footnote w:id="9">
    <w:p w14:paraId="11B42DB7" w14:textId="6F427AB9" w:rsidR="0054739F" w:rsidRPr="0059124B" w:rsidRDefault="0054739F" w:rsidP="00F27545">
      <w:pPr>
        <w:pStyle w:val="Textonotapie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59124B">
        <w:rPr>
          <w:rFonts w:ascii="Arial" w:hAnsi="Arial" w:cs="Arial"/>
          <w:sz w:val="16"/>
          <w:szCs w:val="16"/>
        </w:rPr>
        <w:t>De acuerdo con la ENCIG 2021, 71</w:t>
      </w:r>
      <w:r>
        <w:rPr>
          <w:rFonts w:ascii="Arial" w:hAnsi="Arial" w:cs="Arial"/>
          <w:sz w:val="16"/>
          <w:szCs w:val="16"/>
        </w:rPr>
        <w:t xml:space="preserve"> </w:t>
      </w:r>
      <w:r w:rsidRPr="0059124B">
        <w:rPr>
          <w:rFonts w:ascii="Arial" w:hAnsi="Arial" w:cs="Arial"/>
          <w:sz w:val="16"/>
          <w:szCs w:val="16"/>
        </w:rPr>
        <w:t>% de las personas de 18 años y más residentes de áreas urbanas consider</w:t>
      </w:r>
      <w:r>
        <w:rPr>
          <w:rFonts w:ascii="Arial" w:hAnsi="Arial" w:cs="Arial"/>
          <w:sz w:val="16"/>
          <w:szCs w:val="16"/>
        </w:rPr>
        <w:t>ó</w:t>
      </w:r>
      <w:r w:rsidRPr="0059124B">
        <w:rPr>
          <w:rFonts w:ascii="Arial" w:hAnsi="Arial" w:cs="Arial"/>
          <w:sz w:val="16"/>
          <w:szCs w:val="16"/>
        </w:rPr>
        <w:t xml:space="preserve"> que el problema de la inseguridad y la delincuencia es el más importante que enfrenta</w:t>
      </w:r>
      <w:r>
        <w:rPr>
          <w:rFonts w:ascii="Arial" w:hAnsi="Arial" w:cs="Arial"/>
          <w:sz w:val="16"/>
          <w:szCs w:val="16"/>
        </w:rPr>
        <w:t xml:space="preserve"> su entidad federativa.</w:t>
      </w:r>
    </w:p>
  </w:footnote>
  <w:footnote w:id="10">
    <w:p w14:paraId="1A2E878F" w14:textId="646B0FAE" w:rsidR="0054739F" w:rsidRPr="00296662" w:rsidRDefault="0054739F">
      <w:pPr>
        <w:pStyle w:val="Textonotapie"/>
        <w:rPr>
          <w:rFonts w:ascii="Arial" w:hAnsi="Arial" w:cs="Arial"/>
          <w:sz w:val="16"/>
          <w:szCs w:val="16"/>
        </w:rPr>
      </w:pPr>
      <w:r w:rsidRPr="00ED398F">
        <w:rPr>
          <w:rStyle w:val="Refdenotaalpie"/>
          <w:rFonts w:ascii="Arial" w:hAnsi="Arial" w:cs="Arial"/>
          <w:sz w:val="16"/>
          <w:szCs w:val="16"/>
        </w:rPr>
        <w:footnoteRef/>
      </w:r>
      <w:r w:rsidRPr="00ED398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Para estimar los</w:t>
      </w:r>
      <w:r w:rsidRPr="00ED398F">
        <w:rPr>
          <w:rFonts w:ascii="Arial" w:hAnsi="Arial" w:cs="Arial"/>
          <w:sz w:val="16"/>
          <w:szCs w:val="16"/>
        </w:rPr>
        <w:t xml:space="preserve"> costos de la corrupción en términos reales </w:t>
      </w:r>
      <w:r>
        <w:rPr>
          <w:rFonts w:ascii="Arial" w:hAnsi="Arial" w:cs="Arial"/>
          <w:sz w:val="16"/>
          <w:szCs w:val="16"/>
        </w:rPr>
        <w:t xml:space="preserve">se usó </w:t>
      </w:r>
      <w:r w:rsidRPr="00ED398F">
        <w:rPr>
          <w:rFonts w:ascii="Arial" w:hAnsi="Arial" w:cs="Arial"/>
          <w:sz w:val="16"/>
          <w:szCs w:val="16"/>
        </w:rPr>
        <w:t xml:space="preserve">como referencia el Índice Nacional de Precios al Consumidor </w:t>
      </w:r>
      <w:r>
        <w:rPr>
          <w:rFonts w:ascii="Arial" w:hAnsi="Arial" w:cs="Arial"/>
          <w:sz w:val="16"/>
          <w:szCs w:val="16"/>
        </w:rPr>
        <w:t xml:space="preserve">(INPC) y se tomaron como base </w:t>
      </w:r>
      <w:r w:rsidRPr="00ED398F">
        <w:rPr>
          <w:rFonts w:ascii="Arial" w:hAnsi="Arial" w:cs="Arial"/>
          <w:sz w:val="16"/>
          <w:szCs w:val="16"/>
        </w:rPr>
        <w:t>los precios de</w:t>
      </w:r>
      <w:r>
        <w:rPr>
          <w:rFonts w:ascii="Arial" w:hAnsi="Arial" w:cs="Arial"/>
          <w:sz w:val="16"/>
          <w:szCs w:val="16"/>
        </w:rPr>
        <w:t xml:space="preserve"> diciembre de 2021 para personas</w:t>
      </w:r>
      <w:r w:rsidRPr="00ED398F">
        <w:rPr>
          <w:rFonts w:ascii="Arial" w:hAnsi="Arial" w:cs="Arial"/>
          <w:sz w:val="16"/>
          <w:szCs w:val="16"/>
        </w:rPr>
        <w:t xml:space="preserve"> y 2020</w:t>
      </w:r>
      <w:r>
        <w:rPr>
          <w:rFonts w:ascii="Arial" w:hAnsi="Arial" w:cs="Arial"/>
          <w:sz w:val="16"/>
          <w:szCs w:val="16"/>
        </w:rPr>
        <w:t xml:space="preserve"> </w:t>
      </w:r>
      <w:r w:rsidRPr="00ED398F">
        <w:rPr>
          <w:rFonts w:ascii="Arial" w:hAnsi="Arial" w:cs="Arial"/>
          <w:sz w:val="16"/>
          <w:szCs w:val="16"/>
        </w:rPr>
        <w:t>para empresas.</w:t>
      </w:r>
    </w:p>
  </w:footnote>
  <w:footnote w:id="11">
    <w:p w14:paraId="0585F034" w14:textId="58C8E591" w:rsidR="0054739F" w:rsidRPr="008E124D" w:rsidRDefault="0054739F">
      <w:pPr>
        <w:pStyle w:val="Textonotapie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UNODC. </w:t>
      </w:r>
      <w:r w:rsidRPr="00845887">
        <w:rPr>
          <w:rFonts w:ascii="Arial" w:hAnsi="Arial" w:cs="Arial"/>
          <w:sz w:val="16"/>
          <w:szCs w:val="16"/>
        </w:rPr>
        <w:t>«</w:t>
      </w:r>
      <w:r w:rsidRPr="00845887">
        <w:rPr>
          <w:rFonts w:ascii="Arial" w:hAnsi="Arial" w:cs="Arial"/>
          <w:iCs/>
          <w:sz w:val="16"/>
          <w:szCs w:val="16"/>
        </w:rPr>
        <w:t>Convención de las Naciones Unidas contra la Corrupción</w:t>
      </w:r>
      <w:r w:rsidRPr="00845887">
        <w:rPr>
          <w:rFonts w:ascii="Arial" w:hAnsi="Arial" w:cs="Arial"/>
          <w:sz w:val="16"/>
          <w:szCs w:val="16"/>
        </w:rPr>
        <w:t>»</w:t>
      </w:r>
      <w:r w:rsidRPr="008E124D">
        <w:rPr>
          <w:rFonts w:ascii="Arial" w:hAnsi="Arial" w:cs="Arial"/>
          <w:sz w:val="16"/>
          <w:szCs w:val="16"/>
        </w:rPr>
        <w:t xml:space="preserve">, Artículo 7, 60, 2004, </w:t>
      </w:r>
      <w:hyperlink r:id="rId9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https://www.unodc.org/documents/mexicoandcentralamerica/publications/Corrupcion/Convencion_de_las_NU_contra_la_Corrupcion.pdf</w:t>
        </w:r>
      </w:hyperlink>
      <w:r w:rsidRPr="008E124D">
        <w:rPr>
          <w:rFonts w:ascii="Arial" w:hAnsi="Arial" w:cs="Arial"/>
          <w:sz w:val="16"/>
          <w:szCs w:val="16"/>
        </w:rPr>
        <w:t xml:space="preserve"> (Fecha de consulta: octubre de 2022)</w:t>
      </w:r>
      <w:r w:rsidR="00F51E3E">
        <w:rPr>
          <w:rFonts w:ascii="Arial" w:hAnsi="Arial" w:cs="Arial"/>
          <w:sz w:val="16"/>
          <w:szCs w:val="16"/>
        </w:rPr>
        <w:t>.</w:t>
      </w:r>
    </w:p>
  </w:footnote>
  <w:footnote w:id="12">
    <w:p w14:paraId="0DA2CC0B" w14:textId="2E1BD2A1" w:rsidR="0054739F" w:rsidRPr="008E124D" w:rsidRDefault="0054739F" w:rsidP="0059670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Eje 2. Combatir la arbitrariedad y el abuso poder. Objetivo 3, Prioridad 12 de la Política Nacional Anticorrupción. Comité Coordinador del Sistema Nacional Anticorrupción. </w:t>
      </w:r>
      <w:r w:rsidR="0079434A" w:rsidRPr="00845887">
        <w:rPr>
          <w:rFonts w:ascii="Arial" w:hAnsi="Arial" w:cs="Arial"/>
          <w:sz w:val="16"/>
          <w:szCs w:val="16"/>
        </w:rPr>
        <w:t>«</w:t>
      </w:r>
      <w:r w:rsidRPr="008E124D">
        <w:rPr>
          <w:rFonts w:ascii="Arial" w:hAnsi="Arial" w:cs="Arial"/>
          <w:i/>
          <w:iCs/>
          <w:sz w:val="16"/>
          <w:szCs w:val="16"/>
        </w:rPr>
        <w:t>Política Nacional Anticorrupción</w:t>
      </w:r>
      <w:r w:rsidRPr="008E124D">
        <w:rPr>
          <w:rFonts w:ascii="Arial" w:hAnsi="Arial" w:cs="Arial"/>
          <w:sz w:val="16"/>
          <w:szCs w:val="16"/>
        </w:rPr>
        <w:t xml:space="preserve"> (2020)</w:t>
      </w:r>
      <w:r w:rsidR="0079434A" w:rsidRPr="00845887">
        <w:rPr>
          <w:rFonts w:ascii="Arial" w:hAnsi="Arial" w:cs="Arial"/>
          <w:sz w:val="16"/>
          <w:szCs w:val="16"/>
        </w:rPr>
        <w:t>»</w:t>
      </w:r>
      <w:r w:rsidRPr="008E124D">
        <w:rPr>
          <w:rFonts w:ascii="Arial" w:hAnsi="Arial" w:cs="Arial"/>
          <w:sz w:val="16"/>
          <w:szCs w:val="16"/>
        </w:rPr>
        <w:t xml:space="preserve">, en: </w:t>
      </w:r>
      <w:hyperlink r:id="rId10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https://www.sesna.gob.mx/wp-content/uploads/2020/02/Pol%C3%ADtica-Nacional-Anticorrupci%C3%B3n.pdf</w:t>
        </w:r>
      </w:hyperlink>
      <w:r w:rsidRPr="008E124D">
        <w:rPr>
          <w:rFonts w:ascii="Arial" w:hAnsi="Arial" w:cs="Arial"/>
          <w:sz w:val="16"/>
          <w:szCs w:val="16"/>
        </w:rPr>
        <w:t xml:space="preserve"> (fecha de consulta: noviembre de 2022)</w:t>
      </w:r>
      <w:r w:rsidR="00F51E3E">
        <w:rPr>
          <w:rFonts w:ascii="Arial" w:hAnsi="Arial" w:cs="Arial"/>
          <w:sz w:val="16"/>
          <w:szCs w:val="16"/>
        </w:rPr>
        <w:t>.</w:t>
      </w:r>
    </w:p>
  </w:footnote>
  <w:footnote w:id="13">
    <w:p w14:paraId="61952FEB" w14:textId="20C59232" w:rsidR="0054739F" w:rsidRPr="008E124D" w:rsidRDefault="0054739F" w:rsidP="0059670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En 2021</w:t>
      </w:r>
      <w:r>
        <w:rPr>
          <w:rFonts w:ascii="Arial" w:hAnsi="Arial" w:cs="Arial"/>
          <w:sz w:val="16"/>
          <w:szCs w:val="16"/>
        </w:rPr>
        <w:t xml:space="preserve">, </w:t>
      </w:r>
      <w:r w:rsidRPr="00DC1302">
        <w:rPr>
          <w:rFonts w:ascii="Arial" w:hAnsi="Arial" w:cs="Arial"/>
          <w:sz w:val="16"/>
          <w:szCs w:val="16"/>
        </w:rPr>
        <w:t>2 216 121</w:t>
      </w:r>
      <w:r>
        <w:rPr>
          <w:rFonts w:ascii="Arial" w:hAnsi="Arial" w:cs="Arial"/>
          <w:sz w:val="16"/>
          <w:szCs w:val="16"/>
        </w:rPr>
        <w:t xml:space="preserve"> </w:t>
      </w:r>
      <w:r w:rsidRPr="008E124D">
        <w:rPr>
          <w:rFonts w:ascii="Arial" w:hAnsi="Arial" w:cs="Arial"/>
          <w:sz w:val="16"/>
          <w:szCs w:val="16"/>
        </w:rPr>
        <w:t xml:space="preserve">personas laboraban en </w:t>
      </w:r>
      <w:r>
        <w:rPr>
          <w:rFonts w:ascii="Arial" w:hAnsi="Arial" w:cs="Arial"/>
          <w:sz w:val="16"/>
          <w:szCs w:val="16"/>
        </w:rPr>
        <w:t>27</w:t>
      </w:r>
      <w:r w:rsidRPr="008E124D">
        <w:rPr>
          <w:rFonts w:ascii="Arial" w:hAnsi="Arial" w:cs="Arial"/>
          <w:sz w:val="16"/>
          <w:szCs w:val="16"/>
        </w:rPr>
        <w:t xml:space="preserve"> administraciones públicas estatales</w:t>
      </w:r>
      <w:r>
        <w:rPr>
          <w:rFonts w:ascii="Arial" w:hAnsi="Arial" w:cs="Arial"/>
          <w:sz w:val="16"/>
          <w:szCs w:val="16"/>
        </w:rPr>
        <w:t xml:space="preserve"> que impartieron acciones de capacitación en materia de corrupción. No se considera el personal de </w:t>
      </w:r>
      <w:r w:rsidRPr="00DC1302">
        <w:rPr>
          <w:rFonts w:ascii="Arial" w:hAnsi="Arial" w:cs="Arial"/>
          <w:sz w:val="16"/>
          <w:szCs w:val="16"/>
        </w:rPr>
        <w:t>Coahuila porque la cifra que reportó incluye personal capacitado de los ámbitos federal y municipal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519C3D3F" w14:textId="4076F6F5" w:rsidR="0054739F" w:rsidRPr="008E124D" w:rsidRDefault="0054739F" w:rsidP="0059670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La proporción es superior a la cantidad de personal total en las administraciones públicas estatales, debido a que los servidores públicos tuvieron más de una capacitación en la materia.</w:t>
      </w:r>
    </w:p>
  </w:footnote>
  <w:footnote w:id="15">
    <w:p w14:paraId="471C82FB" w14:textId="4BEBE50A" w:rsidR="0054739F" w:rsidRPr="008E124D" w:rsidRDefault="0054739F" w:rsidP="0059670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</w:t>
      </w:r>
      <w:r w:rsidR="00F51E3E">
        <w:rPr>
          <w:rFonts w:ascii="Arial" w:hAnsi="Arial" w:cs="Arial"/>
          <w:sz w:val="16"/>
          <w:szCs w:val="16"/>
        </w:rPr>
        <w:t xml:space="preserve">Veinte </w:t>
      </w:r>
      <w:r w:rsidRPr="008E124D">
        <w:rPr>
          <w:rFonts w:ascii="Arial" w:hAnsi="Arial" w:cs="Arial"/>
          <w:sz w:val="16"/>
          <w:szCs w:val="16"/>
        </w:rPr>
        <w:t>(0.8</w:t>
      </w:r>
      <w:r w:rsidR="0079434A">
        <w:rPr>
          <w:rFonts w:ascii="Arial" w:hAnsi="Arial" w:cs="Arial"/>
          <w:sz w:val="16"/>
          <w:szCs w:val="16"/>
        </w:rPr>
        <w:t xml:space="preserve"> </w:t>
      </w:r>
      <w:r w:rsidRPr="008E124D">
        <w:rPr>
          <w:rFonts w:ascii="Arial" w:hAnsi="Arial" w:cs="Arial"/>
          <w:sz w:val="16"/>
          <w:szCs w:val="16"/>
        </w:rPr>
        <w:t>%) de los municipios respondieron «no se sabe» y</w:t>
      </w:r>
      <w:r w:rsidR="000774D4">
        <w:rPr>
          <w:rFonts w:ascii="Arial" w:hAnsi="Arial" w:cs="Arial"/>
          <w:sz w:val="16"/>
          <w:szCs w:val="16"/>
        </w:rPr>
        <w:t>,</w:t>
      </w:r>
      <w:r w:rsidRPr="008E124D">
        <w:rPr>
          <w:rFonts w:ascii="Arial" w:hAnsi="Arial" w:cs="Arial"/>
          <w:sz w:val="16"/>
          <w:szCs w:val="16"/>
        </w:rPr>
        <w:t xml:space="preserve"> en </w:t>
      </w:r>
      <w:r w:rsidR="0079434A">
        <w:rPr>
          <w:rFonts w:ascii="Arial" w:hAnsi="Arial" w:cs="Arial"/>
          <w:sz w:val="16"/>
          <w:szCs w:val="16"/>
        </w:rPr>
        <w:t>un</w:t>
      </w:r>
      <w:r w:rsidR="00F51E3E">
        <w:rPr>
          <w:rFonts w:ascii="Arial" w:hAnsi="Arial" w:cs="Arial"/>
          <w:sz w:val="16"/>
          <w:szCs w:val="16"/>
        </w:rPr>
        <w:t>o</w:t>
      </w:r>
      <w:r w:rsidR="0079434A">
        <w:rPr>
          <w:rFonts w:ascii="Arial" w:hAnsi="Arial" w:cs="Arial"/>
          <w:sz w:val="16"/>
          <w:szCs w:val="16"/>
        </w:rPr>
        <w:t>,</w:t>
      </w:r>
      <w:r w:rsidRPr="008E124D">
        <w:rPr>
          <w:rFonts w:ascii="Arial" w:hAnsi="Arial" w:cs="Arial"/>
          <w:sz w:val="16"/>
          <w:szCs w:val="16"/>
        </w:rPr>
        <w:t xml:space="preserve"> la información </w:t>
      </w:r>
      <w:r w:rsidR="0079434A" w:rsidRPr="008E124D">
        <w:rPr>
          <w:rFonts w:ascii="Arial" w:hAnsi="Arial" w:cs="Arial"/>
          <w:sz w:val="16"/>
          <w:szCs w:val="16"/>
        </w:rPr>
        <w:t>respecto a las acciones impartidas en materia anticorrupción al personal adscrito en las instituciones de sus administraciones públicas</w:t>
      </w:r>
      <w:r w:rsidR="0079434A">
        <w:rPr>
          <w:rFonts w:ascii="Arial" w:hAnsi="Arial" w:cs="Arial"/>
          <w:sz w:val="16"/>
          <w:szCs w:val="16"/>
        </w:rPr>
        <w:t xml:space="preserve"> </w:t>
      </w:r>
      <w:r w:rsidRPr="008E124D">
        <w:rPr>
          <w:rFonts w:ascii="Arial" w:hAnsi="Arial" w:cs="Arial"/>
          <w:sz w:val="16"/>
          <w:szCs w:val="16"/>
        </w:rPr>
        <w:t>no estaba disponible</w:t>
      </w:r>
      <w:r w:rsidR="000774D4">
        <w:rPr>
          <w:rFonts w:ascii="Arial" w:hAnsi="Arial" w:cs="Arial"/>
          <w:sz w:val="16"/>
          <w:szCs w:val="16"/>
        </w:rPr>
        <w:t>.</w:t>
      </w:r>
    </w:p>
  </w:footnote>
  <w:footnote w:id="16">
    <w:p w14:paraId="1B143931" w14:textId="33BE7CD6" w:rsidR="0054739F" w:rsidRPr="008E124D" w:rsidRDefault="0054739F" w:rsidP="0059670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La información corresponde a siete de las 16 demarcaciones territoriales de Ciudad de México</w:t>
      </w:r>
      <w:r w:rsidR="000774D4">
        <w:rPr>
          <w:rFonts w:ascii="Arial" w:hAnsi="Arial" w:cs="Arial"/>
          <w:sz w:val="16"/>
          <w:szCs w:val="16"/>
        </w:rPr>
        <w:t xml:space="preserve"> que</w:t>
      </w:r>
      <w:r w:rsidRPr="008E124D">
        <w:rPr>
          <w:rFonts w:ascii="Arial" w:hAnsi="Arial" w:cs="Arial"/>
          <w:sz w:val="16"/>
          <w:szCs w:val="16"/>
        </w:rPr>
        <w:t xml:space="preserve"> llevaron a cabo acciones de capacitación en materia anticorrupción.</w:t>
      </w:r>
    </w:p>
  </w:footnote>
  <w:footnote w:id="17">
    <w:p w14:paraId="6E3E0546" w14:textId="640567D5" w:rsidR="0054739F" w:rsidRPr="008E124D" w:rsidRDefault="0054739F" w:rsidP="0059670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8E124D">
        <w:rPr>
          <w:rStyle w:val="Refdenotaalpie"/>
          <w:rFonts w:ascii="Arial" w:hAnsi="Arial" w:cs="Arial"/>
          <w:sz w:val="16"/>
          <w:szCs w:val="16"/>
        </w:rPr>
        <w:footnoteRef/>
      </w:r>
      <w:r w:rsidRPr="008E124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Algunos de estos programas son: </w:t>
      </w:r>
      <w:r w:rsidRPr="008E124D">
        <w:rPr>
          <w:rFonts w:ascii="Arial" w:hAnsi="Arial" w:cs="Arial"/>
          <w:sz w:val="16"/>
          <w:szCs w:val="16"/>
        </w:rPr>
        <w:t xml:space="preserve">Encuesta Nacional de Impacto y Calidad Gubernamental (ENCIG) 2021, publicada en 2022 </w:t>
      </w:r>
      <w:r w:rsidR="003C1BA5">
        <w:rPr>
          <w:rFonts w:ascii="Arial" w:hAnsi="Arial" w:cs="Arial"/>
          <w:sz w:val="16"/>
          <w:szCs w:val="16"/>
        </w:rPr>
        <w:t>con</w:t>
      </w:r>
      <w:r w:rsidR="003C1BA5" w:rsidRPr="008E124D">
        <w:rPr>
          <w:rFonts w:ascii="Arial" w:hAnsi="Arial" w:cs="Arial"/>
          <w:sz w:val="16"/>
          <w:szCs w:val="16"/>
        </w:rPr>
        <w:t xml:space="preserve"> </w:t>
      </w:r>
      <w:r w:rsidRPr="008E124D">
        <w:rPr>
          <w:rFonts w:ascii="Arial" w:hAnsi="Arial" w:cs="Arial"/>
          <w:sz w:val="16"/>
          <w:szCs w:val="16"/>
        </w:rPr>
        <w:t>datos de 2021</w:t>
      </w:r>
      <w:r w:rsidR="003C1BA5">
        <w:rPr>
          <w:rFonts w:ascii="Arial" w:hAnsi="Arial" w:cs="Arial"/>
          <w:sz w:val="16"/>
          <w:szCs w:val="16"/>
        </w:rPr>
        <w:t>. S</w:t>
      </w:r>
      <w:r w:rsidRPr="008E124D">
        <w:rPr>
          <w:rFonts w:ascii="Arial" w:hAnsi="Arial" w:cs="Arial"/>
          <w:sz w:val="16"/>
          <w:szCs w:val="16"/>
        </w:rPr>
        <w:t xml:space="preserve">e puede consultar en: </w:t>
      </w:r>
      <w:hyperlink r:id="rId11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https://www.inegi.org.mx/programas/encig/2021/</w:t>
        </w:r>
      </w:hyperlink>
      <w:r w:rsidRPr="008E124D">
        <w:rPr>
          <w:rFonts w:ascii="Arial" w:hAnsi="Arial" w:cs="Arial"/>
          <w:sz w:val="16"/>
          <w:szCs w:val="16"/>
        </w:rPr>
        <w:t xml:space="preserve">; Encuesta Nacional de Calidad Regulatoria e Impacto Gubernamental en Empresas (ENCRIGE) 2020, publicada en 2021 </w:t>
      </w:r>
      <w:r w:rsidR="003C1BA5">
        <w:rPr>
          <w:rFonts w:ascii="Arial" w:hAnsi="Arial" w:cs="Arial"/>
          <w:sz w:val="16"/>
          <w:szCs w:val="16"/>
        </w:rPr>
        <w:t>con</w:t>
      </w:r>
      <w:r w:rsidRPr="008E124D">
        <w:rPr>
          <w:rFonts w:ascii="Arial" w:hAnsi="Arial" w:cs="Arial"/>
          <w:sz w:val="16"/>
          <w:szCs w:val="16"/>
        </w:rPr>
        <w:t xml:space="preserve"> datos de 2020</w:t>
      </w:r>
      <w:r w:rsidR="003C1BA5">
        <w:rPr>
          <w:rFonts w:ascii="Arial" w:hAnsi="Arial" w:cs="Arial"/>
          <w:sz w:val="16"/>
          <w:szCs w:val="16"/>
        </w:rPr>
        <w:t>. S</w:t>
      </w:r>
      <w:r w:rsidRPr="008E124D">
        <w:rPr>
          <w:rFonts w:ascii="Arial" w:hAnsi="Arial" w:cs="Arial"/>
          <w:sz w:val="16"/>
          <w:szCs w:val="16"/>
        </w:rPr>
        <w:t xml:space="preserve">e puede consultar en: </w:t>
      </w:r>
      <w:hyperlink r:id="rId12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https://www.inegi.org.mx/programas/encrige/2020/</w:t>
        </w:r>
      </w:hyperlink>
      <w:r w:rsidRPr="008E124D">
        <w:rPr>
          <w:rFonts w:ascii="Arial" w:hAnsi="Arial" w:cs="Arial"/>
          <w:sz w:val="16"/>
          <w:szCs w:val="16"/>
        </w:rPr>
        <w:t xml:space="preserve">; Censo Nacional de Gobiernos Estatales (CNGE) 2022, publicado en 2022 </w:t>
      </w:r>
      <w:r w:rsidR="003C1BA5">
        <w:rPr>
          <w:rFonts w:ascii="Arial" w:hAnsi="Arial" w:cs="Arial"/>
          <w:sz w:val="16"/>
          <w:szCs w:val="16"/>
        </w:rPr>
        <w:t xml:space="preserve">con </w:t>
      </w:r>
      <w:r w:rsidRPr="008E124D">
        <w:rPr>
          <w:rFonts w:ascii="Arial" w:hAnsi="Arial" w:cs="Arial"/>
          <w:sz w:val="16"/>
          <w:szCs w:val="16"/>
        </w:rPr>
        <w:t>datos de 2021</w:t>
      </w:r>
      <w:r w:rsidR="003C1BA5">
        <w:rPr>
          <w:rFonts w:ascii="Arial" w:hAnsi="Arial" w:cs="Arial"/>
          <w:sz w:val="16"/>
          <w:szCs w:val="16"/>
        </w:rPr>
        <w:t>. S</w:t>
      </w:r>
      <w:r w:rsidRPr="008E124D">
        <w:rPr>
          <w:rFonts w:ascii="Arial" w:hAnsi="Arial" w:cs="Arial"/>
          <w:sz w:val="16"/>
          <w:szCs w:val="16"/>
        </w:rPr>
        <w:t xml:space="preserve">e puede consultar en: </w:t>
      </w:r>
      <w:hyperlink r:id="rId13" w:history="1">
        <w:r w:rsidRPr="008E124D">
          <w:rPr>
            <w:rStyle w:val="Hipervnculo"/>
            <w:rFonts w:ascii="Arial" w:hAnsi="Arial" w:cs="Arial"/>
            <w:sz w:val="16"/>
            <w:szCs w:val="16"/>
          </w:rPr>
          <w:t>https://www.inegi.org.mx/programas/cnge/2022/</w:t>
        </w:r>
      </w:hyperlink>
      <w:r w:rsidRPr="008E124D">
        <w:rPr>
          <w:rFonts w:ascii="Arial" w:hAnsi="Arial" w:cs="Arial"/>
          <w:sz w:val="16"/>
          <w:szCs w:val="16"/>
        </w:rPr>
        <w:t xml:space="preserve"> y Censo Nacional de Gobiernos Municipales y Demarcaciones Territoriales de la Ciudad de México (CNGMD) 2021, publicado en 2022</w:t>
      </w:r>
      <w:r w:rsidR="003C1BA5">
        <w:rPr>
          <w:rFonts w:ascii="Arial" w:hAnsi="Arial" w:cs="Arial"/>
          <w:sz w:val="16"/>
          <w:szCs w:val="16"/>
        </w:rPr>
        <w:t xml:space="preserve"> con</w:t>
      </w:r>
      <w:r w:rsidRPr="008E124D">
        <w:rPr>
          <w:rFonts w:ascii="Arial" w:hAnsi="Arial" w:cs="Arial"/>
          <w:sz w:val="16"/>
          <w:szCs w:val="16"/>
        </w:rPr>
        <w:t xml:space="preserve"> datos de 2020</w:t>
      </w:r>
      <w:r w:rsidR="003C1BA5">
        <w:rPr>
          <w:rFonts w:ascii="Arial" w:hAnsi="Arial" w:cs="Arial"/>
          <w:sz w:val="16"/>
          <w:szCs w:val="16"/>
        </w:rPr>
        <w:t>. S</w:t>
      </w:r>
      <w:r w:rsidRPr="008E124D">
        <w:rPr>
          <w:rFonts w:ascii="Arial" w:hAnsi="Arial" w:cs="Arial"/>
          <w:sz w:val="16"/>
          <w:szCs w:val="16"/>
        </w:rPr>
        <w:t xml:space="preserve">e puede consultar en: https://www.inegi.org.mx/programas/cngmd/2021/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C143" w14:textId="5E4E9D89" w:rsidR="0054739F" w:rsidRPr="005367BA" w:rsidRDefault="0054739F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71E6D5C" wp14:editId="36FB8C6C">
          <wp:simplePos x="0" y="0"/>
          <wp:positionH relativeFrom="margin">
            <wp:posOffset>47625</wp:posOffset>
          </wp:positionH>
          <wp:positionV relativeFrom="margin">
            <wp:posOffset>-940435</wp:posOffset>
          </wp:positionV>
          <wp:extent cx="701675" cy="728980"/>
          <wp:effectExtent l="0" t="0" r="3175" b="0"/>
          <wp:wrapSquare wrapText="bothSides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139">
      <w:rPr>
        <w:rFonts w:ascii="Arial" w:hAnsi="Arial"/>
        <w:b/>
        <w:color w:val="002060"/>
        <w:sz w:val="24"/>
      </w:rPr>
      <w:t xml:space="preserve"> </w:t>
    </w:r>
    <w:r>
      <w:rPr>
        <w:rFonts w:ascii="Arial" w:hAnsi="Arial"/>
        <w:b/>
        <w:color w:val="002060"/>
        <w:sz w:val="24"/>
      </w:rPr>
      <w:t>C</w:t>
    </w:r>
    <w:r w:rsidRPr="00FE1C98">
      <w:rPr>
        <w:rFonts w:ascii="Arial" w:hAnsi="Arial"/>
        <w:b/>
        <w:color w:val="002060"/>
        <w:sz w:val="24"/>
      </w:rPr>
      <w:t>OMUNICADO DE PRENSA NÚM</w:t>
    </w:r>
    <w:r w:rsidRPr="005367BA">
      <w:rPr>
        <w:rFonts w:ascii="Arial" w:hAnsi="Arial"/>
        <w:b/>
        <w:color w:val="002060"/>
        <w:sz w:val="24"/>
      </w:rPr>
      <w:t>.</w:t>
    </w:r>
    <w:r w:rsidRPr="00CC4282">
      <w:rPr>
        <w:rFonts w:ascii="Arial" w:hAnsi="Arial"/>
        <w:b/>
        <w:color w:val="FF0000"/>
        <w:sz w:val="24"/>
      </w:rPr>
      <w:t xml:space="preserve"> </w:t>
    </w:r>
    <w:r w:rsidR="004206C6">
      <w:rPr>
        <w:rFonts w:ascii="Arial" w:hAnsi="Arial"/>
        <w:b/>
        <w:color w:val="002060"/>
        <w:sz w:val="24"/>
      </w:rPr>
      <w:t>735</w:t>
    </w:r>
    <w:r w:rsidRPr="004206C6">
      <w:rPr>
        <w:rFonts w:ascii="Arial" w:hAnsi="Arial"/>
        <w:b/>
        <w:color w:val="002060"/>
        <w:sz w:val="24"/>
      </w:rPr>
      <w:t>/22</w:t>
    </w:r>
  </w:p>
  <w:p w14:paraId="3836D6EC" w14:textId="311D0A42" w:rsidR="0054739F" w:rsidRPr="005367BA" w:rsidRDefault="0054739F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6"/>
        <w:lang w:val="pt-BR"/>
      </w:rPr>
    </w:pPr>
    <w:r w:rsidRPr="0097661E">
      <w:rPr>
        <w:rFonts w:ascii="Arial" w:hAnsi="Arial"/>
        <w:b/>
        <w:color w:val="002060"/>
        <w:sz w:val="24"/>
        <w:lang w:val="pt-BR"/>
      </w:rPr>
      <w:t>7</w:t>
    </w:r>
    <w:r w:rsidRPr="005367BA">
      <w:rPr>
        <w:rFonts w:ascii="Arial" w:hAnsi="Arial"/>
        <w:b/>
        <w:color w:val="002060"/>
        <w:sz w:val="24"/>
        <w:lang w:val="pt-BR"/>
      </w:rPr>
      <w:t xml:space="preserve"> DE </w:t>
    </w:r>
    <w:r>
      <w:rPr>
        <w:rFonts w:ascii="Arial" w:hAnsi="Arial"/>
        <w:b/>
        <w:color w:val="002060"/>
        <w:sz w:val="24"/>
        <w:lang w:val="pt-BR"/>
      </w:rPr>
      <w:t>DICIEMBRE</w:t>
    </w:r>
    <w:r w:rsidRPr="005367BA">
      <w:rPr>
        <w:rFonts w:ascii="Arial" w:hAnsi="Arial"/>
        <w:b/>
        <w:color w:val="002060"/>
        <w:sz w:val="24"/>
        <w:lang w:val="pt-BR"/>
      </w:rPr>
      <w:t xml:space="preserve"> DE 202</w:t>
    </w:r>
    <w:r>
      <w:rPr>
        <w:rFonts w:ascii="Arial" w:hAnsi="Arial"/>
        <w:b/>
        <w:color w:val="002060"/>
        <w:sz w:val="24"/>
        <w:lang w:val="pt-BR"/>
      </w:rPr>
      <w:t>2</w:t>
    </w:r>
  </w:p>
  <w:p w14:paraId="2ADFDC53" w14:textId="61306D8E" w:rsidR="0054739F" w:rsidRPr="005367BA" w:rsidRDefault="0054739F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4"/>
      </w:rPr>
    </w:pPr>
    <w:r w:rsidRPr="005367BA">
      <w:rPr>
        <w:rFonts w:ascii="Arial" w:hAnsi="Arial"/>
        <w:b/>
        <w:color w:val="002060"/>
        <w:sz w:val="24"/>
      </w:rPr>
      <w:t xml:space="preserve">PÁGINA </w:t>
    </w:r>
    <w:r w:rsidRPr="005367BA">
      <w:rPr>
        <w:rFonts w:ascii="Arial" w:hAnsi="Arial"/>
        <w:b/>
        <w:color w:val="002060"/>
        <w:sz w:val="24"/>
      </w:rPr>
      <w:fldChar w:fldCharType="begin"/>
    </w:r>
    <w:r w:rsidRPr="005367BA">
      <w:rPr>
        <w:rFonts w:ascii="Arial" w:hAnsi="Arial"/>
        <w:b/>
        <w:color w:val="002060"/>
        <w:sz w:val="24"/>
      </w:rPr>
      <w:instrText xml:space="preserve"> PAGE  \* Arabic </w:instrText>
    </w:r>
    <w:r w:rsidRPr="005367BA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5367BA">
      <w:rPr>
        <w:rFonts w:ascii="Arial" w:hAnsi="Arial"/>
        <w:b/>
        <w:color w:val="002060"/>
        <w:sz w:val="24"/>
      </w:rPr>
      <w:fldChar w:fldCharType="end"/>
    </w:r>
    <w:r w:rsidRPr="0097661E">
      <w:rPr>
        <w:rFonts w:ascii="Arial" w:hAnsi="Arial"/>
        <w:b/>
        <w:color w:val="002060"/>
        <w:sz w:val="24"/>
      </w:rPr>
      <w:t>/8</w:t>
    </w:r>
  </w:p>
  <w:p w14:paraId="691425A8" w14:textId="77777777" w:rsidR="0054739F" w:rsidRDefault="0054739F" w:rsidP="00B86761">
    <w:pPr>
      <w:pStyle w:val="Encabezado"/>
    </w:pPr>
  </w:p>
  <w:p w14:paraId="44F57F23" w14:textId="77777777" w:rsidR="0054739F" w:rsidRDefault="0054739F" w:rsidP="00B867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D31"/>
    <w:multiLevelType w:val="hybridMultilevel"/>
    <w:tmpl w:val="0D9A1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0052"/>
    <w:multiLevelType w:val="hybridMultilevel"/>
    <w:tmpl w:val="14E4B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5267"/>
    <w:multiLevelType w:val="hybridMultilevel"/>
    <w:tmpl w:val="3F96F0A8"/>
    <w:lvl w:ilvl="0" w:tplc="EBF82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4B22"/>
    <w:multiLevelType w:val="hybridMultilevel"/>
    <w:tmpl w:val="9F483880"/>
    <w:lvl w:ilvl="0" w:tplc="A6DA859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1415">
    <w:abstractNumId w:val="2"/>
  </w:num>
  <w:num w:numId="2" w16cid:durableId="948004285">
    <w:abstractNumId w:val="0"/>
  </w:num>
  <w:num w:numId="3" w16cid:durableId="1749882114">
    <w:abstractNumId w:val="1"/>
  </w:num>
  <w:num w:numId="4" w16cid:durableId="977957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0A84"/>
    <w:rsid w:val="000036E1"/>
    <w:rsid w:val="00005B99"/>
    <w:rsid w:val="000064C3"/>
    <w:rsid w:val="0000720F"/>
    <w:rsid w:val="00007391"/>
    <w:rsid w:val="00007482"/>
    <w:rsid w:val="000074BA"/>
    <w:rsid w:val="000102C7"/>
    <w:rsid w:val="000106D3"/>
    <w:rsid w:val="00010E75"/>
    <w:rsid w:val="000118F8"/>
    <w:rsid w:val="00013097"/>
    <w:rsid w:val="00013720"/>
    <w:rsid w:val="0001447B"/>
    <w:rsid w:val="00015B50"/>
    <w:rsid w:val="00016412"/>
    <w:rsid w:val="000164DD"/>
    <w:rsid w:val="0001799E"/>
    <w:rsid w:val="00021C0E"/>
    <w:rsid w:val="00023FAC"/>
    <w:rsid w:val="0002430E"/>
    <w:rsid w:val="00025A09"/>
    <w:rsid w:val="00025FE1"/>
    <w:rsid w:val="00030091"/>
    <w:rsid w:val="00030726"/>
    <w:rsid w:val="00030E43"/>
    <w:rsid w:val="00032D4F"/>
    <w:rsid w:val="00032FB3"/>
    <w:rsid w:val="00033C10"/>
    <w:rsid w:val="00034B1D"/>
    <w:rsid w:val="00037482"/>
    <w:rsid w:val="00037661"/>
    <w:rsid w:val="000377BB"/>
    <w:rsid w:val="000405B3"/>
    <w:rsid w:val="000414CA"/>
    <w:rsid w:val="0004246D"/>
    <w:rsid w:val="00042EA0"/>
    <w:rsid w:val="00045185"/>
    <w:rsid w:val="00051CE4"/>
    <w:rsid w:val="00051E14"/>
    <w:rsid w:val="00052B63"/>
    <w:rsid w:val="00052BBB"/>
    <w:rsid w:val="00054391"/>
    <w:rsid w:val="00054973"/>
    <w:rsid w:val="0005599B"/>
    <w:rsid w:val="0005647B"/>
    <w:rsid w:val="0005785A"/>
    <w:rsid w:val="00057ED1"/>
    <w:rsid w:val="00060675"/>
    <w:rsid w:val="00062E25"/>
    <w:rsid w:val="00064F63"/>
    <w:rsid w:val="00065541"/>
    <w:rsid w:val="000703BD"/>
    <w:rsid w:val="000707B1"/>
    <w:rsid w:val="0007118A"/>
    <w:rsid w:val="0007155A"/>
    <w:rsid w:val="00071FF8"/>
    <w:rsid w:val="000722B9"/>
    <w:rsid w:val="00072EF3"/>
    <w:rsid w:val="00073230"/>
    <w:rsid w:val="00073E54"/>
    <w:rsid w:val="000747A4"/>
    <w:rsid w:val="00074972"/>
    <w:rsid w:val="00075E6D"/>
    <w:rsid w:val="000773C0"/>
    <w:rsid w:val="000774D4"/>
    <w:rsid w:val="00077ED0"/>
    <w:rsid w:val="00080389"/>
    <w:rsid w:val="0008149D"/>
    <w:rsid w:val="000821A4"/>
    <w:rsid w:val="000822E9"/>
    <w:rsid w:val="0008254F"/>
    <w:rsid w:val="0008286E"/>
    <w:rsid w:val="0008300C"/>
    <w:rsid w:val="00085F69"/>
    <w:rsid w:val="000913DB"/>
    <w:rsid w:val="000920E7"/>
    <w:rsid w:val="0009233F"/>
    <w:rsid w:val="00092A50"/>
    <w:rsid w:val="000936E4"/>
    <w:rsid w:val="000956F1"/>
    <w:rsid w:val="000960A8"/>
    <w:rsid w:val="00096326"/>
    <w:rsid w:val="00096ECA"/>
    <w:rsid w:val="00097A6E"/>
    <w:rsid w:val="00097B26"/>
    <w:rsid w:val="000A0A04"/>
    <w:rsid w:val="000A199A"/>
    <w:rsid w:val="000A2264"/>
    <w:rsid w:val="000A31C7"/>
    <w:rsid w:val="000A38A6"/>
    <w:rsid w:val="000A43C1"/>
    <w:rsid w:val="000A6624"/>
    <w:rsid w:val="000A74CF"/>
    <w:rsid w:val="000A75C0"/>
    <w:rsid w:val="000A7AAF"/>
    <w:rsid w:val="000B24E6"/>
    <w:rsid w:val="000B4980"/>
    <w:rsid w:val="000B4AFB"/>
    <w:rsid w:val="000B503A"/>
    <w:rsid w:val="000B5AA2"/>
    <w:rsid w:val="000B6878"/>
    <w:rsid w:val="000C0111"/>
    <w:rsid w:val="000C049A"/>
    <w:rsid w:val="000C1538"/>
    <w:rsid w:val="000C22B2"/>
    <w:rsid w:val="000C2967"/>
    <w:rsid w:val="000C346F"/>
    <w:rsid w:val="000C3658"/>
    <w:rsid w:val="000C3AF0"/>
    <w:rsid w:val="000C4A02"/>
    <w:rsid w:val="000C4A83"/>
    <w:rsid w:val="000C4D90"/>
    <w:rsid w:val="000C5339"/>
    <w:rsid w:val="000C58F6"/>
    <w:rsid w:val="000C59DE"/>
    <w:rsid w:val="000D14A2"/>
    <w:rsid w:val="000D2372"/>
    <w:rsid w:val="000D3141"/>
    <w:rsid w:val="000D45B1"/>
    <w:rsid w:val="000D4FD3"/>
    <w:rsid w:val="000D6BD7"/>
    <w:rsid w:val="000E12E7"/>
    <w:rsid w:val="000E1738"/>
    <w:rsid w:val="000E32D7"/>
    <w:rsid w:val="000E357B"/>
    <w:rsid w:val="000E35B5"/>
    <w:rsid w:val="000E4156"/>
    <w:rsid w:val="000E43BB"/>
    <w:rsid w:val="000E4855"/>
    <w:rsid w:val="000E5047"/>
    <w:rsid w:val="000E706C"/>
    <w:rsid w:val="000E712D"/>
    <w:rsid w:val="000F1EE5"/>
    <w:rsid w:val="000F2329"/>
    <w:rsid w:val="000F26A0"/>
    <w:rsid w:val="000F2CF5"/>
    <w:rsid w:val="000F438A"/>
    <w:rsid w:val="000F579F"/>
    <w:rsid w:val="000F72E2"/>
    <w:rsid w:val="00100807"/>
    <w:rsid w:val="00100828"/>
    <w:rsid w:val="00101E0E"/>
    <w:rsid w:val="001020C6"/>
    <w:rsid w:val="001022AB"/>
    <w:rsid w:val="0010367F"/>
    <w:rsid w:val="00103B1D"/>
    <w:rsid w:val="00104118"/>
    <w:rsid w:val="00106669"/>
    <w:rsid w:val="001078E2"/>
    <w:rsid w:val="001100CC"/>
    <w:rsid w:val="00111969"/>
    <w:rsid w:val="0011300F"/>
    <w:rsid w:val="0011332F"/>
    <w:rsid w:val="00113FB4"/>
    <w:rsid w:val="00115181"/>
    <w:rsid w:val="001168E5"/>
    <w:rsid w:val="00116C9C"/>
    <w:rsid w:val="00117A8B"/>
    <w:rsid w:val="00117EF0"/>
    <w:rsid w:val="00121236"/>
    <w:rsid w:val="001218B1"/>
    <w:rsid w:val="00121930"/>
    <w:rsid w:val="00121FAC"/>
    <w:rsid w:val="0012226B"/>
    <w:rsid w:val="00122BBD"/>
    <w:rsid w:val="00123CC3"/>
    <w:rsid w:val="00123D04"/>
    <w:rsid w:val="00125212"/>
    <w:rsid w:val="00126FCC"/>
    <w:rsid w:val="001271BD"/>
    <w:rsid w:val="00127763"/>
    <w:rsid w:val="001302CC"/>
    <w:rsid w:val="001306F8"/>
    <w:rsid w:val="00130EAC"/>
    <w:rsid w:val="00132DC5"/>
    <w:rsid w:val="00133D2A"/>
    <w:rsid w:val="001366E9"/>
    <w:rsid w:val="00137BDE"/>
    <w:rsid w:val="00137C29"/>
    <w:rsid w:val="00140B29"/>
    <w:rsid w:val="00141051"/>
    <w:rsid w:val="001414EA"/>
    <w:rsid w:val="001417B9"/>
    <w:rsid w:val="00144899"/>
    <w:rsid w:val="00144D28"/>
    <w:rsid w:val="00144EFC"/>
    <w:rsid w:val="00147084"/>
    <w:rsid w:val="00150E82"/>
    <w:rsid w:val="001511EB"/>
    <w:rsid w:val="00152367"/>
    <w:rsid w:val="00152A65"/>
    <w:rsid w:val="00156B31"/>
    <w:rsid w:val="00156D9C"/>
    <w:rsid w:val="00156FF0"/>
    <w:rsid w:val="001577FC"/>
    <w:rsid w:val="001618D8"/>
    <w:rsid w:val="001633FF"/>
    <w:rsid w:val="00164177"/>
    <w:rsid w:val="00166F64"/>
    <w:rsid w:val="00167269"/>
    <w:rsid w:val="0016738A"/>
    <w:rsid w:val="00171873"/>
    <w:rsid w:val="0017457F"/>
    <w:rsid w:val="001745C9"/>
    <w:rsid w:val="00176BC7"/>
    <w:rsid w:val="001777BD"/>
    <w:rsid w:val="00177E8C"/>
    <w:rsid w:val="00180C97"/>
    <w:rsid w:val="0018137A"/>
    <w:rsid w:val="00182871"/>
    <w:rsid w:val="00183138"/>
    <w:rsid w:val="00184FCD"/>
    <w:rsid w:val="0018682B"/>
    <w:rsid w:val="001908AF"/>
    <w:rsid w:val="001910D4"/>
    <w:rsid w:val="00191538"/>
    <w:rsid w:val="0019174B"/>
    <w:rsid w:val="00192978"/>
    <w:rsid w:val="001930DD"/>
    <w:rsid w:val="0019591C"/>
    <w:rsid w:val="00195CCB"/>
    <w:rsid w:val="00195DE4"/>
    <w:rsid w:val="001977D1"/>
    <w:rsid w:val="001A0615"/>
    <w:rsid w:val="001A13AF"/>
    <w:rsid w:val="001A34E5"/>
    <w:rsid w:val="001A6A60"/>
    <w:rsid w:val="001A6F77"/>
    <w:rsid w:val="001B110F"/>
    <w:rsid w:val="001B157F"/>
    <w:rsid w:val="001B2256"/>
    <w:rsid w:val="001B28EA"/>
    <w:rsid w:val="001B33AC"/>
    <w:rsid w:val="001B38C1"/>
    <w:rsid w:val="001B3C16"/>
    <w:rsid w:val="001B428C"/>
    <w:rsid w:val="001B5607"/>
    <w:rsid w:val="001B5F4A"/>
    <w:rsid w:val="001B7376"/>
    <w:rsid w:val="001B76AA"/>
    <w:rsid w:val="001C02F6"/>
    <w:rsid w:val="001C0751"/>
    <w:rsid w:val="001C443E"/>
    <w:rsid w:val="001C524D"/>
    <w:rsid w:val="001C61A4"/>
    <w:rsid w:val="001D0455"/>
    <w:rsid w:val="001D1025"/>
    <w:rsid w:val="001D1276"/>
    <w:rsid w:val="001D136A"/>
    <w:rsid w:val="001D15CC"/>
    <w:rsid w:val="001D2128"/>
    <w:rsid w:val="001D29C5"/>
    <w:rsid w:val="001D354C"/>
    <w:rsid w:val="001D3B31"/>
    <w:rsid w:val="001D4B04"/>
    <w:rsid w:val="001D6062"/>
    <w:rsid w:val="001D6573"/>
    <w:rsid w:val="001D7143"/>
    <w:rsid w:val="001E046E"/>
    <w:rsid w:val="001E2423"/>
    <w:rsid w:val="001E3269"/>
    <w:rsid w:val="001E3351"/>
    <w:rsid w:val="001E5BF7"/>
    <w:rsid w:val="001E6457"/>
    <w:rsid w:val="001E7D72"/>
    <w:rsid w:val="001E7E52"/>
    <w:rsid w:val="001F049D"/>
    <w:rsid w:val="001F06D1"/>
    <w:rsid w:val="001F08A7"/>
    <w:rsid w:val="001F0F1B"/>
    <w:rsid w:val="001F10C8"/>
    <w:rsid w:val="001F12FD"/>
    <w:rsid w:val="001F1F4F"/>
    <w:rsid w:val="001F49C2"/>
    <w:rsid w:val="001F4E8D"/>
    <w:rsid w:val="001F5F7D"/>
    <w:rsid w:val="001F6C06"/>
    <w:rsid w:val="00201E6C"/>
    <w:rsid w:val="002043FF"/>
    <w:rsid w:val="00204639"/>
    <w:rsid w:val="00205513"/>
    <w:rsid w:val="002057AE"/>
    <w:rsid w:val="002061E5"/>
    <w:rsid w:val="00206A61"/>
    <w:rsid w:val="002076D7"/>
    <w:rsid w:val="00210241"/>
    <w:rsid w:val="002106FF"/>
    <w:rsid w:val="00210F8F"/>
    <w:rsid w:val="0021148B"/>
    <w:rsid w:val="0021186E"/>
    <w:rsid w:val="00212002"/>
    <w:rsid w:val="0021201B"/>
    <w:rsid w:val="00213504"/>
    <w:rsid w:val="00213656"/>
    <w:rsid w:val="0021395A"/>
    <w:rsid w:val="0021406F"/>
    <w:rsid w:val="002154A8"/>
    <w:rsid w:val="00220191"/>
    <w:rsid w:val="002209CD"/>
    <w:rsid w:val="002220C7"/>
    <w:rsid w:val="002228AB"/>
    <w:rsid w:val="00223BAE"/>
    <w:rsid w:val="00223D90"/>
    <w:rsid w:val="00223FBF"/>
    <w:rsid w:val="002240CD"/>
    <w:rsid w:val="002255A3"/>
    <w:rsid w:val="00225DDF"/>
    <w:rsid w:val="002261CA"/>
    <w:rsid w:val="002263B1"/>
    <w:rsid w:val="00227686"/>
    <w:rsid w:val="0023104C"/>
    <w:rsid w:val="002319FD"/>
    <w:rsid w:val="00231B8E"/>
    <w:rsid w:val="0023279E"/>
    <w:rsid w:val="00233E8E"/>
    <w:rsid w:val="00234BBB"/>
    <w:rsid w:val="002361CB"/>
    <w:rsid w:val="002361EF"/>
    <w:rsid w:val="0023628B"/>
    <w:rsid w:val="00236D91"/>
    <w:rsid w:val="00236D92"/>
    <w:rsid w:val="00236E38"/>
    <w:rsid w:val="00242453"/>
    <w:rsid w:val="0024315D"/>
    <w:rsid w:val="00244E2F"/>
    <w:rsid w:val="0024685E"/>
    <w:rsid w:val="00246A70"/>
    <w:rsid w:val="00246F91"/>
    <w:rsid w:val="0024744E"/>
    <w:rsid w:val="00251478"/>
    <w:rsid w:val="0025173E"/>
    <w:rsid w:val="00252725"/>
    <w:rsid w:val="00253777"/>
    <w:rsid w:val="00254D9F"/>
    <w:rsid w:val="00255FA9"/>
    <w:rsid w:val="002566C4"/>
    <w:rsid w:val="002567A5"/>
    <w:rsid w:val="00256818"/>
    <w:rsid w:val="00257607"/>
    <w:rsid w:val="002607A8"/>
    <w:rsid w:val="00260A77"/>
    <w:rsid w:val="00260D41"/>
    <w:rsid w:val="00261028"/>
    <w:rsid w:val="00262E6D"/>
    <w:rsid w:val="00263682"/>
    <w:rsid w:val="002639B5"/>
    <w:rsid w:val="00265E12"/>
    <w:rsid w:val="002671D4"/>
    <w:rsid w:val="002710AC"/>
    <w:rsid w:val="00271D02"/>
    <w:rsid w:val="00272D70"/>
    <w:rsid w:val="00273ACE"/>
    <w:rsid w:val="00273B10"/>
    <w:rsid w:val="00274D66"/>
    <w:rsid w:val="00274FD1"/>
    <w:rsid w:val="0027525F"/>
    <w:rsid w:val="00275F1C"/>
    <w:rsid w:val="00276492"/>
    <w:rsid w:val="00276D02"/>
    <w:rsid w:val="002778B2"/>
    <w:rsid w:val="0028083D"/>
    <w:rsid w:val="002827F0"/>
    <w:rsid w:val="0028370D"/>
    <w:rsid w:val="002839C9"/>
    <w:rsid w:val="00283E86"/>
    <w:rsid w:val="002845E6"/>
    <w:rsid w:val="00284CF0"/>
    <w:rsid w:val="00285150"/>
    <w:rsid w:val="002864BA"/>
    <w:rsid w:val="00286F27"/>
    <w:rsid w:val="00290B3B"/>
    <w:rsid w:val="002913F4"/>
    <w:rsid w:val="00291D3D"/>
    <w:rsid w:val="002936DF"/>
    <w:rsid w:val="00293815"/>
    <w:rsid w:val="0029426A"/>
    <w:rsid w:val="00294BB3"/>
    <w:rsid w:val="00296662"/>
    <w:rsid w:val="00296F71"/>
    <w:rsid w:val="00297DA6"/>
    <w:rsid w:val="002A0A96"/>
    <w:rsid w:val="002A209C"/>
    <w:rsid w:val="002A41D1"/>
    <w:rsid w:val="002A4259"/>
    <w:rsid w:val="002A5A8A"/>
    <w:rsid w:val="002A6794"/>
    <w:rsid w:val="002A742E"/>
    <w:rsid w:val="002B0205"/>
    <w:rsid w:val="002B0DA8"/>
    <w:rsid w:val="002B14E8"/>
    <w:rsid w:val="002B4B2C"/>
    <w:rsid w:val="002B6061"/>
    <w:rsid w:val="002B703C"/>
    <w:rsid w:val="002B705D"/>
    <w:rsid w:val="002B7C78"/>
    <w:rsid w:val="002C06D5"/>
    <w:rsid w:val="002C27BB"/>
    <w:rsid w:val="002C3257"/>
    <w:rsid w:val="002C687D"/>
    <w:rsid w:val="002C718C"/>
    <w:rsid w:val="002C79F2"/>
    <w:rsid w:val="002D05D9"/>
    <w:rsid w:val="002D0DCD"/>
    <w:rsid w:val="002D1326"/>
    <w:rsid w:val="002D1CD9"/>
    <w:rsid w:val="002D2823"/>
    <w:rsid w:val="002D2AB6"/>
    <w:rsid w:val="002D30E9"/>
    <w:rsid w:val="002D35E7"/>
    <w:rsid w:val="002D3991"/>
    <w:rsid w:val="002D3AAD"/>
    <w:rsid w:val="002D3E9E"/>
    <w:rsid w:val="002D4A8A"/>
    <w:rsid w:val="002D5403"/>
    <w:rsid w:val="002D54CD"/>
    <w:rsid w:val="002D6794"/>
    <w:rsid w:val="002D6995"/>
    <w:rsid w:val="002D6D5F"/>
    <w:rsid w:val="002D6E51"/>
    <w:rsid w:val="002D7073"/>
    <w:rsid w:val="002D7F9F"/>
    <w:rsid w:val="002E10BA"/>
    <w:rsid w:val="002E1B5C"/>
    <w:rsid w:val="002E1EB7"/>
    <w:rsid w:val="002E2242"/>
    <w:rsid w:val="002E4D2E"/>
    <w:rsid w:val="002E4D63"/>
    <w:rsid w:val="002E5D8F"/>
    <w:rsid w:val="002E66A2"/>
    <w:rsid w:val="002E7400"/>
    <w:rsid w:val="002F21AC"/>
    <w:rsid w:val="002F2399"/>
    <w:rsid w:val="002F2B05"/>
    <w:rsid w:val="002F2C15"/>
    <w:rsid w:val="002F3261"/>
    <w:rsid w:val="002F4D9E"/>
    <w:rsid w:val="002F55A0"/>
    <w:rsid w:val="002F57DD"/>
    <w:rsid w:val="002F591B"/>
    <w:rsid w:val="002F64D4"/>
    <w:rsid w:val="002F7952"/>
    <w:rsid w:val="00300406"/>
    <w:rsid w:val="00300EDA"/>
    <w:rsid w:val="003011A4"/>
    <w:rsid w:val="0030137A"/>
    <w:rsid w:val="00302480"/>
    <w:rsid w:val="00303165"/>
    <w:rsid w:val="00303BA7"/>
    <w:rsid w:val="00303C3B"/>
    <w:rsid w:val="0030562F"/>
    <w:rsid w:val="00305D92"/>
    <w:rsid w:val="003064A1"/>
    <w:rsid w:val="00306519"/>
    <w:rsid w:val="003124E6"/>
    <w:rsid w:val="00313195"/>
    <w:rsid w:val="00313B57"/>
    <w:rsid w:val="00314190"/>
    <w:rsid w:val="00314A64"/>
    <w:rsid w:val="0031591F"/>
    <w:rsid w:val="00316FB7"/>
    <w:rsid w:val="0031726E"/>
    <w:rsid w:val="00320049"/>
    <w:rsid w:val="0032172C"/>
    <w:rsid w:val="00322B9E"/>
    <w:rsid w:val="00322D24"/>
    <w:rsid w:val="00323F34"/>
    <w:rsid w:val="00327992"/>
    <w:rsid w:val="003311AC"/>
    <w:rsid w:val="00331C4C"/>
    <w:rsid w:val="00332534"/>
    <w:rsid w:val="0033344D"/>
    <w:rsid w:val="00333F8F"/>
    <w:rsid w:val="00334645"/>
    <w:rsid w:val="00334B00"/>
    <w:rsid w:val="0033672F"/>
    <w:rsid w:val="00336DB6"/>
    <w:rsid w:val="00337A1C"/>
    <w:rsid w:val="003408C5"/>
    <w:rsid w:val="00340E08"/>
    <w:rsid w:val="00341D1F"/>
    <w:rsid w:val="00342300"/>
    <w:rsid w:val="00342BA4"/>
    <w:rsid w:val="003430CD"/>
    <w:rsid w:val="003434B6"/>
    <w:rsid w:val="003445BE"/>
    <w:rsid w:val="00344DBE"/>
    <w:rsid w:val="00344DF6"/>
    <w:rsid w:val="00345C72"/>
    <w:rsid w:val="00346DB1"/>
    <w:rsid w:val="00346FE0"/>
    <w:rsid w:val="00347284"/>
    <w:rsid w:val="00347442"/>
    <w:rsid w:val="003504BC"/>
    <w:rsid w:val="003506EB"/>
    <w:rsid w:val="0035274E"/>
    <w:rsid w:val="00355BCC"/>
    <w:rsid w:val="003566F7"/>
    <w:rsid w:val="00356709"/>
    <w:rsid w:val="00356D9D"/>
    <w:rsid w:val="00357302"/>
    <w:rsid w:val="00361BDD"/>
    <w:rsid w:val="00362304"/>
    <w:rsid w:val="00365C2E"/>
    <w:rsid w:val="0036611D"/>
    <w:rsid w:val="003668CB"/>
    <w:rsid w:val="0037123A"/>
    <w:rsid w:val="003719F0"/>
    <w:rsid w:val="00372663"/>
    <w:rsid w:val="00372796"/>
    <w:rsid w:val="00373AA4"/>
    <w:rsid w:val="003740E3"/>
    <w:rsid w:val="00374108"/>
    <w:rsid w:val="003741F2"/>
    <w:rsid w:val="00374D79"/>
    <w:rsid w:val="00375364"/>
    <w:rsid w:val="003810BB"/>
    <w:rsid w:val="003824B0"/>
    <w:rsid w:val="00382543"/>
    <w:rsid w:val="00385AE0"/>
    <w:rsid w:val="003866DD"/>
    <w:rsid w:val="00387C9B"/>
    <w:rsid w:val="003903E3"/>
    <w:rsid w:val="0039105C"/>
    <w:rsid w:val="00391700"/>
    <w:rsid w:val="00392DA2"/>
    <w:rsid w:val="00394572"/>
    <w:rsid w:val="00394666"/>
    <w:rsid w:val="0039748A"/>
    <w:rsid w:val="003A078E"/>
    <w:rsid w:val="003A0DD3"/>
    <w:rsid w:val="003A1665"/>
    <w:rsid w:val="003A1EDC"/>
    <w:rsid w:val="003A41E6"/>
    <w:rsid w:val="003A4AB8"/>
    <w:rsid w:val="003A56CF"/>
    <w:rsid w:val="003A580E"/>
    <w:rsid w:val="003A6E4C"/>
    <w:rsid w:val="003B1032"/>
    <w:rsid w:val="003B27EF"/>
    <w:rsid w:val="003B379F"/>
    <w:rsid w:val="003B425F"/>
    <w:rsid w:val="003B439A"/>
    <w:rsid w:val="003B4E03"/>
    <w:rsid w:val="003B5156"/>
    <w:rsid w:val="003B515B"/>
    <w:rsid w:val="003B5381"/>
    <w:rsid w:val="003B5676"/>
    <w:rsid w:val="003B6523"/>
    <w:rsid w:val="003B666D"/>
    <w:rsid w:val="003B6E88"/>
    <w:rsid w:val="003C03D5"/>
    <w:rsid w:val="003C0EDA"/>
    <w:rsid w:val="003C1BA5"/>
    <w:rsid w:val="003C3EEE"/>
    <w:rsid w:val="003C6A1C"/>
    <w:rsid w:val="003C6FD9"/>
    <w:rsid w:val="003D022B"/>
    <w:rsid w:val="003D0715"/>
    <w:rsid w:val="003D1406"/>
    <w:rsid w:val="003D187D"/>
    <w:rsid w:val="003D452D"/>
    <w:rsid w:val="003D48D5"/>
    <w:rsid w:val="003D4ACF"/>
    <w:rsid w:val="003D5237"/>
    <w:rsid w:val="003D549F"/>
    <w:rsid w:val="003E0F54"/>
    <w:rsid w:val="003E11FF"/>
    <w:rsid w:val="003E1B99"/>
    <w:rsid w:val="003E1E92"/>
    <w:rsid w:val="003E2242"/>
    <w:rsid w:val="003E3390"/>
    <w:rsid w:val="003E38FA"/>
    <w:rsid w:val="003E5A12"/>
    <w:rsid w:val="003E7134"/>
    <w:rsid w:val="003F072D"/>
    <w:rsid w:val="003F25B1"/>
    <w:rsid w:val="003F28D8"/>
    <w:rsid w:val="003F302F"/>
    <w:rsid w:val="003F3392"/>
    <w:rsid w:val="003F3791"/>
    <w:rsid w:val="003F3D7D"/>
    <w:rsid w:val="003F3F28"/>
    <w:rsid w:val="003F5214"/>
    <w:rsid w:val="003F5681"/>
    <w:rsid w:val="003F56B7"/>
    <w:rsid w:val="003F58ED"/>
    <w:rsid w:val="003F657A"/>
    <w:rsid w:val="003F6C59"/>
    <w:rsid w:val="003F7D5E"/>
    <w:rsid w:val="00400FD2"/>
    <w:rsid w:val="00403500"/>
    <w:rsid w:val="00403E32"/>
    <w:rsid w:val="00404214"/>
    <w:rsid w:val="004140EC"/>
    <w:rsid w:val="00415A3A"/>
    <w:rsid w:val="00416023"/>
    <w:rsid w:val="00416124"/>
    <w:rsid w:val="004164C9"/>
    <w:rsid w:val="004166B8"/>
    <w:rsid w:val="004176C7"/>
    <w:rsid w:val="00417B5E"/>
    <w:rsid w:val="00417EC3"/>
    <w:rsid w:val="004206C6"/>
    <w:rsid w:val="00421B0D"/>
    <w:rsid w:val="00422C89"/>
    <w:rsid w:val="004244B0"/>
    <w:rsid w:val="00424D1B"/>
    <w:rsid w:val="004257A1"/>
    <w:rsid w:val="004264BB"/>
    <w:rsid w:val="00426509"/>
    <w:rsid w:val="0042729E"/>
    <w:rsid w:val="00430485"/>
    <w:rsid w:val="004304BC"/>
    <w:rsid w:val="00431F9C"/>
    <w:rsid w:val="00432DDF"/>
    <w:rsid w:val="00433787"/>
    <w:rsid w:val="00434583"/>
    <w:rsid w:val="004349B1"/>
    <w:rsid w:val="00435C0C"/>
    <w:rsid w:val="00435F4D"/>
    <w:rsid w:val="00437C01"/>
    <w:rsid w:val="0044086C"/>
    <w:rsid w:val="00440C78"/>
    <w:rsid w:val="00441F56"/>
    <w:rsid w:val="004445BA"/>
    <w:rsid w:val="004445E4"/>
    <w:rsid w:val="00444F57"/>
    <w:rsid w:val="00450B81"/>
    <w:rsid w:val="00452446"/>
    <w:rsid w:val="0045370A"/>
    <w:rsid w:val="00456A58"/>
    <w:rsid w:val="00457569"/>
    <w:rsid w:val="00457850"/>
    <w:rsid w:val="00457D3B"/>
    <w:rsid w:val="00460798"/>
    <w:rsid w:val="00460CCE"/>
    <w:rsid w:val="004614FC"/>
    <w:rsid w:val="00461BF0"/>
    <w:rsid w:val="00462AAD"/>
    <w:rsid w:val="00462B81"/>
    <w:rsid w:val="00462C9A"/>
    <w:rsid w:val="00463703"/>
    <w:rsid w:val="004640C0"/>
    <w:rsid w:val="0046560A"/>
    <w:rsid w:val="00467A1D"/>
    <w:rsid w:val="00467D25"/>
    <w:rsid w:val="0047076A"/>
    <w:rsid w:val="00470D74"/>
    <w:rsid w:val="00470DEA"/>
    <w:rsid w:val="004718B3"/>
    <w:rsid w:val="00471C63"/>
    <w:rsid w:val="0047262A"/>
    <w:rsid w:val="00474649"/>
    <w:rsid w:val="0047514F"/>
    <w:rsid w:val="00475960"/>
    <w:rsid w:val="004765E0"/>
    <w:rsid w:val="00477148"/>
    <w:rsid w:val="00477CE7"/>
    <w:rsid w:val="00477EDB"/>
    <w:rsid w:val="00482E55"/>
    <w:rsid w:val="00482EBF"/>
    <w:rsid w:val="00483EAC"/>
    <w:rsid w:val="004849D1"/>
    <w:rsid w:val="00484C56"/>
    <w:rsid w:val="0048593E"/>
    <w:rsid w:val="00490354"/>
    <w:rsid w:val="0049042A"/>
    <w:rsid w:val="004921C0"/>
    <w:rsid w:val="004940E0"/>
    <w:rsid w:val="004965CE"/>
    <w:rsid w:val="004A003F"/>
    <w:rsid w:val="004A05BF"/>
    <w:rsid w:val="004A07DC"/>
    <w:rsid w:val="004A1414"/>
    <w:rsid w:val="004A2C43"/>
    <w:rsid w:val="004A4967"/>
    <w:rsid w:val="004A4E42"/>
    <w:rsid w:val="004A5296"/>
    <w:rsid w:val="004A5571"/>
    <w:rsid w:val="004A61A5"/>
    <w:rsid w:val="004B25DA"/>
    <w:rsid w:val="004B3ABF"/>
    <w:rsid w:val="004B3D83"/>
    <w:rsid w:val="004B3DE3"/>
    <w:rsid w:val="004B55D4"/>
    <w:rsid w:val="004B622A"/>
    <w:rsid w:val="004B6BF7"/>
    <w:rsid w:val="004C0473"/>
    <w:rsid w:val="004C1582"/>
    <w:rsid w:val="004C1876"/>
    <w:rsid w:val="004C1950"/>
    <w:rsid w:val="004C225D"/>
    <w:rsid w:val="004C2812"/>
    <w:rsid w:val="004C30D6"/>
    <w:rsid w:val="004C3666"/>
    <w:rsid w:val="004C39BB"/>
    <w:rsid w:val="004C5CC9"/>
    <w:rsid w:val="004C7855"/>
    <w:rsid w:val="004D0AF7"/>
    <w:rsid w:val="004D200C"/>
    <w:rsid w:val="004D202A"/>
    <w:rsid w:val="004D394B"/>
    <w:rsid w:val="004D45BE"/>
    <w:rsid w:val="004D539D"/>
    <w:rsid w:val="004D53E8"/>
    <w:rsid w:val="004D5421"/>
    <w:rsid w:val="004D5A4B"/>
    <w:rsid w:val="004D7B22"/>
    <w:rsid w:val="004E047B"/>
    <w:rsid w:val="004E0F17"/>
    <w:rsid w:val="004E269D"/>
    <w:rsid w:val="004E3726"/>
    <w:rsid w:val="004E495D"/>
    <w:rsid w:val="004E58F7"/>
    <w:rsid w:val="004E680A"/>
    <w:rsid w:val="004F1C90"/>
    <w:rsid w:val="004F22FE"/>
    <w:rsid w:val="004F24B6"/>
    <w:rsid w:val="004F3278"/>
    <w:rsid w:val="004F37E2"/>
    <w:rsid w:val="0050014A"/>
    <w:rsid w:val="00500252"/>
    <w:rsid w:val="00500296"/>
    <w:rsid w:val="00500E86"/>
    <w:rsid w:val="00500F68"/>
    <w:rsid w:val="005025EA"/>
    <w:rsid w:val="00502FA4"/>
    <w:rsid w:val="00503385"/>
    <w:rsid w:val="00503512"/>
    <w:rsid w:val="00504759"/>
    <w:rsid w:val="00504A97"/>
    <w:rsid w:val="00504C3B"/>
    <w:rsid w:val="00504E56"/>
    <w:rsid w:val="00505024"/>
    <w:rsid w:val="0050598C"/>
    <w:rsid w:val="00506416"/>
    <w:rsid w:val="00506540"/>
    <w:rsid w:val="0050717E"/>
    <w:rsid w:val="005079D7"/>
    <w:rsid w:val="0051315F"/>
    <w:rsid w:val="0051425E"/>
    <w:rsid w:val="005174D0"/>
    <w:rsid w:val="005177AD"/>
    <w:rsid w:val="00520038"/>
    <w:rsid w:val="00521E87"/>
    <w:rsid w:val="00523024"/>
    <w:rsid w:val="00523DDD"/>
    <w:rsid w:val="0052452F"/>
    <w:rsid w:val="00524A54"/>
    <w:rsid w:val="00526B0E"/>
    <w:rsid w:val="0053182B"/>
    <w:rsid w:val="00531B5C"/>
    <w:rsid w:val="00532211"/>
    <w:rsid w:val="00532888"/>
    <w:rsid w:val="0053310B"/>
    <w:rsid w:val="0053591D"/>
    <w:rsid w:val="00535ADB"/>
    <w:rsid w:val="00535E92"/>
    <w:rsid w:val="00537023"/>
    <w:rsid w:val="0054006C"/>
    <w:rsid w:val="00540E6A"/>
    <w:rsid w:val="0054174D"/>
    <w:rsid w:val="005430FE"/>
    <w:rsid w:val="005432BF"/>
    <w:rsid w:val="005439E1"/>
    <w:rsid w:val="00546B24"/>
    <w:rsid w:val="0054739F"/>
    <w:rsid w:val="005478BF"/>
    <w:rsid w:val="00550CDD"/>
    <w:rsid w:val="00551568"/>
    <w:rsid w:val="005520D5"/>
    <w:rsid w:val="005530D3"/>
    <w:rsid w:val="005530FC"/>
    <w:rsid w:val="0055638A"/>
    <w:rsid w:val="00556717"/>
    <w:rsid w:val="00557E9E"/>
    <w:rsid w:val="0056385B"/>
    <w:rsid w:val="0056482A"/>
    <w:rsid w:val="005706F0"/>
    <w:rsid w:val="00572085"/>
    <w:rsid w:val="00572862"/>
    <w:rsid w:val="005760EF"/>
    <w:rsid w:val="005760F8"/>
    <w:rsid w:val="00576E8C"/>
    <w:rsid w:val="0057745E"/>
    <w:rsid w:val="00577687"/>
    <w:rsid w:val="00577ABD"/>
    <w:rsid w:val="00581536"/>
    <w:rsid w:val="00581A6D"/>
    <w:rsid w:val="00583E3D"/>
    <w:rsid w:val="0058453F"/>
    <w:rsid w:val="0058484A"/>
    <w:rsid w:val="00584A81"/>
    <w:rsid w:val="0058639F"/>
    <w:rsid w:val="00586C81"/>
    <w:rsid w:val="00587006"/>
    <w:rsid w:val="0058716A"/>
    <w:rsid w:val="00587218"/>
    <w:rsid w:val="0059124B"/>
    <w:rsid w:val="00592CC9"/>
    <w:rsid w:val="00594776"/>
    <w:rsid w:val="00594FCA"/>
    <w:rsid w:val="00595784"/>
    <w:rsid w:val="00595DC5"/>
    <w:rsid w:val="0059670A"/>
    <w:rsid w:val="00596E67"/>
    <w:rsid w:val="005974D6"/>
    <w:rsid w:val="005A007D"/>
    <w:rsid w:val="005A0532"/>
    <w:rsid w:val="005A101E"/>
    <w:rsid w:val="005A23DE"/>
    <w:rsid w:val="005A28A7"/>
    <w:rsid w:val="005A2AC7"/>
    <w:rsid w:val="005A315A"/>
    <w:rsid w:val="005A67B7"/>
    <w:rsid w:val="005A7671"/>
    <w:rsid w:val="005A7797"/>
    <w:rsid w:val="005A7B9A"/>
    <w:rsid w:val="005A7E54"/>
    <w:rsid w:val="005B02AD"/>
    <w:rsid w:val="005B0B9E"/>
    <w:rsid w:val="005B1A6D"/>
    <w:rsid w:val="005B47C8"/>
    <w:rsid w:val="005B4A5B"/>
    <w:rsid w:val="005B51BA"/>
    <w:rsid w:val="005B5B97"/>
    <w:rsid w:val="005B5EEA"/>
    <w:rsid w:val="005B667A"/>
    <w:rsid w:val="005B6A46"/>
    <w:rsid w:val="005B717F"/>
    <w:rsid w:val="005B7726"/>
    <w:rsid w:val="005C07BD"/>
    <w:rsid w:val="005C21AD"/>
    <w:rsid w:val="005C2761"/>
    <w:rsid w:val="005C2A68"/>
    <w:rsid w:val="005C33B2"/>
    <w:rsid w:val="005C49F6"/>
    <w:rsid w:val="005C4E68"/>
    <w:rsid w:val="005C52BB"/>
    <w:rsid w:val="005C5829"/>
    <w:rsid w:val="005C59DE"/>
    <w:rsid w:val="005C65C1"/>
    <w:rsid w:val="005D098D"/>
    <w:rsid w:val="005D360F"/>
    <w:rsid w:val="005D3AFE"/>
    <w:rsid w:val="005D3BAB"/>
    <w:rsid w:val="005D4177"/>
    <w:rsid w:val="005D638B"/>
    <w:rsid w:val="005D6CCC"/>
    <w:rsid w:val="005E09B2"/>
    <w:rsid w:val="005E2AF6"/>
    <w:rsid w:val="005E2BB8"/>
    <w:rsid w:val="005E2F68"/>
    <w:rsid w:val="005E438D"/>
    <w:rsid w:val="005E49EB"/>
    <w:rsid w:val="005E6F19"/>
    <w:rsid w:val="005F097F"/>
    <w:rsid w:val="005F31C6"/>
    <w:rsid w:val="005F37C6"/>
    <w:rsid w:val="005F412B"/>
    <w:rsid w:val="005F4535"/>
    <w:rsid w:val="005F4EF1"/>
    <w:rsid w:val="005F649B"/>
    <w:rsid w:val="005F723E"/>
    <w:rsid w:val="005F7AFE"/>
    <w:rsid w:val="00601DB6"/>
    <w:rsid w:val="0060290E"/>
    <w:rsid w:val="00603727"/>
    <w:rsid w:val="006038AD"/>
    <w:rsid w:val="00603E0E"/>
    <w:rsid w:val="006043BF"/>
    <w:rsid w:val="00604416"/>
    <w:rsid w:val="00604541"/>
    <w:rsid w:val="00605060"/>
    <w:rsid w:val="00605E71"/>
    <w:rsid w:val="00606985"/>
    <w:rsid w:val="00610EA9"/>
    <w:rsid w:val="006131F2"/>
    <w:rsid w:val="00614C33"/>
    <w:rsid w:val="00614EE3"/>
    <w:rsid w:val="00614F88"/>
    <w:rsid w:val="006152BE"/>
    <w:rsid w:val="00616DF9"/>
    <w:rsid w:val="00617216"/>
    <w:rsid w:val="00617C74"/>
    <w:rsid w:val="00617CF5"/>
    <w:rsid w:val="00620363"/>
    <w:rsid w:val="006208C7"/>
    <w:rsid w:val="0062172C"/>
    <w:rsid w:val="0062188C"/>
    <w:rsid w:val="00623C4D"/>
    <w:rsid w:val="00624438"/>
    <w:rsid w:val="00625B1F"/>
    <w:rsid w:val="00626975"/>
    <w:rsid w:val="006269AD"/>
    <w:rsid w:val="0063064D"/>
    <w:rsid w:val="006333C3"/>
    <w:rsid w:val="00633440"/>
    <w:rsid w:val="006334B3"/>
    <w:rsid w:val="00637198"/>
    <w:rsid w:val="006376F0"/>
    <w:rsid w:val="00637747"/>
    <w:rsid w:val="0064054F"/>
    <w:rsid w:val="00640FF8"/>
    <w:rsid w:val="006421AD"/>
    <w:rsid w:val="0064311D"/>
    <w:rsid w:val="00643952"/>
    <w:rsid w:val="00645042"/>
    <w:rsid w:val="006456C3"/>
    <w:rsid w:val="00646035"/>
    <w:rsid w:val="00646D98"/>
    <w:rsid w:val="00646E22"/>
    <w:rsid w:val="0065120D"/>
    <w:rsid w:val="00651564"/>
    <w:rsid w:val="006535CB"/>
    <w:rsid w:val="006546BF"/>
    <w:rsid w:val="00655536"/>
    <w:rsid w:val="00655596"/>
    <w:rsid w:val="006555A4"/>
    <w:rsid w:val="0065625C"/>
    <w:rsid w:val="00656E81"/>
    <w:rsid w:val="0066011A"/>
    <w:rsid w:val="00660D4D"/>
    <w:rsid w:val="006612A9"/>
    <w:rsid w:val="00662683"/>
    <w:rsid w:val="006635B2"/>
    <w:rsid w:val="00663F09"/>
    <w:rsid w:val="00664EE8"/>
    <w:rsid w:val="0066568A"/>
    <w:rsid w:val="00665F94"/>
    <w:rsid w:val="00666173"/>
    <w:rsid w:val="006661BD"/>
    <w:rsid w:val="00667D10"/>
    <w:rsid w:val="00670543"/>
    <w:rsid w:val="0067223E"/>
    <w:rsid w:val="006731E8"/>
    <w:rsid w:val="006741F8"/>
    <w:rsid w:val="006745D8"/>
    <w:rsid w:val="0067569C"/>
    <w:rsid w:val="00675EA3"/>
    <w:rsid w:val="00676C6B"/>
    <w:rsid w:val="006809D8"/>
    <w:rsid w:val="006813FC"/>
    <w:rsid w:val="00681D11"/>
    <w:rsid w:val="00682121"/>
    <w:rsid w:val="006823FB"/>
    <w:rsid w:val="0068378D"/>
    <w:rsid w:val="00683FDF"/>
    <w:rsid w:val="00684376"/>
    <w:rsid w:val="00685A6D"/>
    <w:rsid w:val="00687DD2"/>
    <w:rsid w:val="00690858"/>
    <w:rsid w:val="00690BF8"/>
    <w:rsid w:val="00690CEE"/>
    <w:rsid w:val="00690F74"/>
    <w:rsid w:val="00692A60"/>
    <w:rsid w:val="0069370B"/>
    <w:rsid w:val="00695516"/>
    <w:rsid w:val="00696A87"/>
    <w:rsid w:val="006A0278"/>
    <w:rsid w:val="006A1729"/>
    <w:rsid w:val="006A1838"/>
    <w:rsid w:val="006A34F8"/>
    <w:rsid w:val="006A5F33"/>
    <w:rsid w:val="006A5F65"/>
    <w:rsid w:val="006A723D"/>
    <w:rsid w:val="006A75B8"/>
    <w:rsid w:val="006A7932"/>
    <w:rsid w:val="006A7D4A"/>
    <w:rsid w:val="006A7E7B"/>
    <w:rsid w:val="006B0165"/>
    <w:rsid w:val="006B1844"/>
    <w:rsid w:val="006B2F02"/>
    <w:rsid w:val="006B42A6"/>
    <w:rsid w:val="006B46E1"/>
    <w:rsid w:val="006B4732"/>
    <w:rsid w:val="006B4C8C"/>
    <w:rsid w:val="006B4D7D"/>
    <w:rsid w:val="006B5C2D"/>
    <w:rsid w:val="006B6704"/>
    <w:rsid w:val="006B701C"/>
    <w:rsid w:val="006C211B"/>
    <w:rsid w:val="006C2154"/>
    <w:rsid w:val="006C2EB1"/>
    <w:rsid w:val="006C3C37"/>
    <w:rsid w:val="006C4447"/>
    <w:rsid w:val="006C4E9F"/>
    <w:rsid w:val="006C506F"/>
    <w:rsid w:val="006C56DF"/>
    <w:rsid w:val="006C5D53"/>
    <w:rsid w:val="006C620C"/>
    <w:rsid w:val="006C7156"/>
    <w:rsid w:val="006C719C"/>
    <w:rsid w:val="006C7D3E"/>
    <w:rsid w:val="006D04BE"/>
    <w:rsid w:val="006D093E"/>
    <w:rsid w:val="006D0A93"/>
    <w:rsid w:val="006D2386"/>
    <w:rsid w:val="006D2745"/>
    <w:rsid w:val="006D3543"/>
    <w:rsid w:val="006D3663"/>
    <w:rsid w:val="006D4A65"/>
    <w:rsid w:val="006D4CE9"/>
    <w:rsid w:val="006D59EF"/>
    <w:rsid w:val="006D5CA0"/>
    <w:rsid w:val="006D5E34"/>
    <w:rsid w:val="006D61C7"/>
    <w:rsid w:val="006D61F6"/>
    <w:rsid w:val="006D7113"/>
    <w:rsid w:val="006D71F8"/>
    <w:rsid w:val="006D7A81"/>
    <w:rsid w:val="006D7C4C"/>
    <w:rsid w:val="006E0E14"/>
    <w:rsid w:val="006E1272"/>
    <w:rsid w:val="006E1DBA"/>
    <w:rsid w:val="006E3821"/>
    <w:rsid w:val="006E399F"/>
    <w:rsid w:val="006E4EA8"/>
    <w:rsid w:val="006E5341"/>
    <w:rsid w:val="006E67AE"/>
    <w:rsid w:val="006F0633"/>
    <w:rsid w:val="006F06A9"/>
    <w:rsid w:val="006F0DE0"/>
    <w:rsid w:val="006F1C4F"/>
    <w:rsid w:val="006F285D"/>
    <w:rsid w:val="006F28E1"/>
    <w:rsid w:val="006F33AC"/>
    <w:rsid w:val="006F4270"/>
    <w:rsid w:val="006F4777"/>
    <w:rsid w:val="006F4D74"/>
    <w:rsid w:val="006F542E"/>
    <w:rsid w:val="006F5BA5"/>
    <w:rsid w:val="006F7022"/>
    <w:rsid w:val="006F7C4E"/>
    <w:rsid w:val="007011ED"/>
    <w:rsid w:val="007014EB"/>
    <w:rsid w:val="00701AF9"/>
    <w:rsid w:val="00702293"/>
    <w:rsid w:val="0070414F"/>
    <w:rsid w:val="0070530F"/>
    <w:rsid w:val="00705DD0"/>
    <w:rsid w:val="00706CD1"/>
    <w:rsid w:val="00710A08"/>
    <w:rsid w:val="00710BA9"/>
    <w:rsid w:val="00712204"/>
    <w:rsid w:val="00712DE8"/>
    <w:rsid w:val="007140A7"/>
    <w:rsid w:val="00717B0F"/>
    <w:rsid w:val="00720366"/>
    <w:rsid w:val="007230AD"/>
    <w:rsid w:val="00725123"/>
    <w:rsid w:val="0072591D"/>
    <w:rsid w:val="007269A3"/>
    <w:rsid w:val="00726E0B"/>
    <w:rsid w:val="00727CE3"/>
    <w:rsid w:val="00730C57"/>
    <w:rsid w:val="00733707"/>
    <w:rsid w:val="00733C00"/>
    <w:rsid w:val="007340CA"/>
    <w:rsid w:val="00734BB6"/>
    <w:rsid w:val="00735DEB"/>
    <w:rsid w:val="007365FE"/>
    <w:rsid w:val="00737290"/>
    <w:rsid w:val="0073784A"/>
    <w:rsid w:val="0074113A"/>
    <w:rsid w:val="00741CD9"/>
    <w:rsid w:val="00742366"/>
    <w:rsid w:val="00742CB0"/>
    <w:rsid w:val="007437D2"/>
    <w:rsid w:val="00743DCF"/>
    <w:rsid w:val="00744717"/>
    <w:rsid w:val="00744FC1"/>
    <w:rsid w:val="007454FB"/>
    <w:rsid w:val="00745741"/>
    <w:rsid w:val="00747DA5"/>
    <w:rsid w:val="007504D9"/>
    <w:rsid w:val="00754C97"/>
    <w:rsid w:val="007554FA"/>
    <w:rsid w:val="007566ED"/>
    <w:rsid w:val="00757425"/>
    <w:rsid w:val="007575C5"/>
    <w:rsid w:val="00757B49"/>
    <w:rsid w:val="007607E8"/>
    <w:rsid w:val="00761C93"/>
    <w:rsid w:val="007621F0"/>
    <w:rsid w:val="0076654B"/>
    <w:rsid w:val="00770924"/>
    <w:rsid w:val="00770DEB"/>
    <w:rsid w:val="0077182C"/>
    <w:rsid w:val="007729C4"/>
    <w:rsid w:val="00773287"/>
    <w:rsid w:val="00774429"/>
    <w:rsid w:val="00774616"/>
    <w:rsid w:val="00774E35"/>
    <w:rsid w:val="0077537A"/>
    <w:rsid w:val="00781419"/>
    <w:rsid w:val="00781477"/>
    <w:rsid w:val="00781A53"/>
    <w:rsid w:val="007824F0"/>
    <w:rsid w:val="00783A33"/>
    <w:rsid w:val="00783DDB"/>
    <w:rsid w:val="007853DB"/>
    <w:rsid w:val="007856E3"/>
    <w:rsid w:val="00785DF1"/>
    <w:rsid w:val="00790322"/>
    <w:rsid w:val="00794134"/>
    <w:rsid w:val="0079416E"/>
    <w:rsid w:val="0079434A"/>
    <w:rsid w:val="007955C0"/>
    <w:rsid w:val="0079661C"/>
    <w:rsid w:val="00797E69"/>
    <w:rsid w:val="007A01A4"/>
    <w:rsid w:val="007A0E52"/>
    <w:rsid w:val="007A1945"/>
    <w:rsid w:val="007A20AA"/>
    <w:rsid w:val="007A3261"/>
    <w:rsid w:val="007A38E5"/>
    <w:rsid w:val="007A54AE"/>
    <w:rsid w:val="007A5A95"/>
    <w:rsid w:val="007A6F8F"/>
    <w:rsid w:val="007B0290"/>
    <w:rsid w:val="007B56C9"/>
    <w:rsid w:val="007B6129"/>
    <w:rsid w:val="007B621D"/>
    <w:rsid w:val="007B6343"/>
    <w:rsid w:val="007B6B63"/>
    <w:rsid w:val="007B6CA9"/>
    <w:rsid w:val="007B7D1A"/>
    <w:rsid w:val="007C2391"/>
    <w:rsid w:val="007C3ED3"/>
    <w:rsid w:val="007C4302"/>
    <w:rsid w:val="007C5682"/>
    <w:rsid w:val="007C605E"/>
    <w:rsid w:val="007C757C"/>
    <w:rsid w:val="007C75D1"/>
    <w:rsid w:val="007C76D5"/>
    <w:rsid w:val="007D1493"/>
    <w:rsid w:val="007D1655"/>
    <w:rsid w:val="007D179B"/>
    <w:rsid w:val="007D239B"/>
    <w:rsid w:val="007D2537"/>
    <w:rsid w:val="007D4052"/>
    <w:rsid w:val="007D4140"/>
    <w:rsid w:val="007D617C"/>
    <w:rsid w:val="007D72CE"/>
    <w:rsid w:val="007D7F2E"/>
    <w:rsid w:val="007E1EFE"/>
    <w:rsid w:val="007E2B82"/>
    <w:rsid w:val="007E2E92"/>
    <w:rsid w:val="007E342D"/>
    <w:rsid w:val="007E37E2"/>
    <w:rsid w:val="007E48D5"/>
    <w:rsid w:val="007E5A93"/>
    <w:rsid w:val="007E616A"/>
    <w:rsid w:val="007E6A18"/>
    <w:rsid w:val="007E6AF5"/>
    <w:rsid w:val="007E6FCF"/>
    <w:rsid w:val="007E71CA"/>
    <w:rsid w:val="007F00A3"/>
    <w:rsid w:val="007F05B1"/>
    <w:rsid w:val="007F0DB3"/>
    <w:rsid w:val="007F3A70"/>
    <w:rsid w:val="007F442B"/>
    <w:rsid w:val="007F5A35"/>
    <w:rsid w:val="007F63DB"/>
    <w:rsid w:val="007F7A97"/>
    <w:rsid w:val="007F7F10"/>
    <w:rsid w:val="008000A5"/>
    <w:rsid w:val="008001C1"/>
    <w:rsid w:val="00801BA0"/>
    <w:rsid w:val="008033B9"/>
    <w:rsid w:val="0080377D"/>
    <w:rsid w:val="00803A20"/>
    <w:rsid w:val="00806D18"/>
    <w:rsid w:val="00807755"/>
    <w:rsid w:val="008109D8"/>
    <w:rsid w:val="0081160D"/>
    <w:rsid w:val="00811B38"/>
    <w:rsid w:val="008126C6"/>
    <w:rsid w:val="008127BA"/>
    <w:rsid w:val="00813425"/>
    <w:rsid w:val="008135C0"/>
    <w:rsid w:val="00814153"/>
    <w:rsid w:val="00814D7E"/>
    <w:rsid w:val="008166E9"/>
    <w:rsid w:val="0081730C"/>
    <w:rsid w:val="00822AE8"/>
    <w:rsid w:val="00822B49"/>
    <w:rsid w:val="00822EA3"/>
    <w:rsid w:val="00823C74"/>
    <w:rsid w:val="008246FE"/>
    <w:rsid w:val="00824D65"/>
    <w:rsid w:val="008259BB"/>
    <w:rsid w:val="008267A6"/>
    <w:rsid w:val="008312CC"/>
    <w:rsid w:val="00833091"/>
    <w:rsid w:val="00833240"/>
    <w:rsid w:val="0083325B"/>
    <w:rsid w:val="00833C23"/>
    <w:rsid w:val="00835A4D"/>
    <w:rsid w:val="008376D1"/>
    <w:rsid w:val="00844B3C"/>
    <w:rsid w:val="00844C6C"/>
    <w:rsid w:val="00845F71"/>
    <w:rsid w:val="00847800"/>
    <w:rsid w:val="008505A9"/>
    <w:rsid w:val="00850D6A"/>
    <w:rsid w:val="00851857"/>
    <w:rsid w:val="00853CBE"/>
    <w:rsid w:val="00853F93"/>
    <w:rsid w:val="008541EF"/>
    <w:rsid w:val="00855F88"/>
    <w:rsid w:val="00856947"/>
    <w:rsid w:val="00860191"/>
    <w:rsid w:val="00861CD6"/>
    <w:rsid w:val="00862178"/>
    <w:rsid w:val="008621AA"/>
    <w:rsid w:val="00863946"/>
    <w:rsid w:val="00863CC9"/>
    <w:rsid w:val="00864269"/>
    <w:rsid w:val="00865470"/>
    <w:rsid w:val="00866263"/>
    <w:rsid w:val="0086793D"/>
    <w:rsid w:val="00867AED"/>
    <w:rsid w:val="0087023C"/>
    <w:rsid w:val="00870E24"/>
    <w:rsid w:val="008724B3"/>
    <w:rsid w:val="00874A9E"/>
    <w:rsid w:val="008757E9"/>
    <w:rsid w:val="00875A1C"/>
    <w:rsid w:val="008767A1"/>
    <w:rsid w:val="00880F46"/>
    <w:rsid w:val="00881186"/>
    <w:rsid w:val="0088140A"/>
    <w:rsid w:val="0088267B"/>
    <w:rsid w:val="0088327A"/>
    <w:rsid w:val="00884EF3"/>
    <w:rsid w:val="00885575"/>
    <w:rsid w:val="00885C4B"/>
    <w:rsid w:val="00887231"/>
    <w:rsid w:val="00890FE0"/>
    <w:rsid w:val="008932B5"/>
    <w:rsid w:val="008932E4"/>
    <w:rsid w:val="00894EAA"/>
    <w:rsid w:val="0089544B"/>
    <w:rsid w:val="00895855"/>
    <w:rsid w:val="00896248"/>
    <w:rsid w:val="008962F9"/>
    <w:rsid w:val="008963CE"/>
    <w:rsid w:val="00896784"/>
    <w:rsid w:val="00896813"/>
    <w:rsid w:val="00897213"/>
    <w:rsid w:val="0089797A"/>
    <w:rsid w:val="00897C35"/>
    <w:rsid w:val="008A149B"/>
    <w:rsid w:val="008A16CF"/>
    <w:rsid w:val="008A4C36"/>
    <w:rsid w:val="008A52BD"/>
    <w:rsid w:val="008A58B5"/>
    <w:rsid w:val="008A6573"/>
    <w:rsid w:val="008A7358"/>
    <w:rsid w:val="008A7886"/>
    <w:rsid w:val="008A7D4B"/>
    <w:rsid w:val="008B038A"/>
    <w:rsid w:val="008B1251"/>
    <w:rsid w:val="008B1D2F"/>
    <w:rsid w:val="008B203A"/>
    <w:rsid w:val="008B3A28"/>
    <w:rsid w:val="008B3EBB"/>
    <w:rsid w:val="008B424F"/>
    <w:rsid w:val="008B4DF7"/>
    <w:rsid w:val="008B65B8"/>
    <w:rsid w:val="008B6E2A"/>
    <w:rsid w:val="008B76FE"/>
    <w:rsid w:val="008B7E98"/>
    <w:rsid w:val="008C0822"/>
    <w:rsid w:val="008C14FE"/>
    <w:rsid w:val="008C19D5"/>
    <w:rsid w:val="008C1C78"/>
    <w:rsid w:val="008C3AE7"/>
    <w:rsid w:val="008C53DB"/>
    <w:rsid w:val="008C58CE"/>
    <w:rsid w:val="008C6301"/>
    <w:rsid w:val="008C6331"/>
    <w:rsid w:val="008C6D22"/>
    <w:rsid w:val="008D0419"/>
    <w:rsid w:val="008D140B"/>
    <w:rsid w:val="008D2866"/>
    <w:rsid w:val="008D7F98"/>
    <w:rsid w:val="008E0152"/>
    <w:rsid w:val="008E0987"/>
    <w:rsid w:val="008E124D"/>
    <w:rsid w:val="008E2752"/>
    <w:rsid w:val="008E34C0"/>
    <w:rsid w:val="008E5E96"/>
    <w:rsid w:val="008E622B"/>
    <w:rsid w:val="008F0A10"/>
    <w:rsid w:val="008F0C0F"/>
    <w:rsid w:val="008F1B6D"/>
    <w:rsid w:val="008F347F"/>
    <w:rsid w:val="008F435D"/>
    <w:rsid w:val="008F5908"/>
    <w:rsid w:val="008F651F"/>
    <w:rsid w:val="008F7BD7"/>
    <w:rsid w:val="008F7E51"/>
    <w:rsid w:val="00901D75"/>
    <w:rsid w:val="009021CB"/>
    <w:rsid w:val="009021FB"/>
    <w:rsid w:val="00902BD2"/>
    <w:rsid w:val="00904EDC"/>
    <w:rsid w:val="009066FF"/>
    <w:rsid w:val="00910A38"/>
    <w:rsid w:val="00912C39"/>
    <w:rsid w:val="0091367E"/>
    <w:rsid w:val="00913B3E"/>
    <w:rsid w:val="009141AE"/>
    <w:rsid w:val="0091443B"/>
    <w:rsid w:val="00915578"/>
    <w:rsid w:val="00920785"/>
    <w:rsid w:val="009238AB"/>
    <w:rsid w:val="00923EE4"/>
    <w:rsid w:val="009258AC"/>
    <w:rsid w:val="009264B2"/>
    <w:rsid w:val="00930719"/>
    <w:rsid w:val="00931C82"/>
    <w:rsid w:val="00931CB5"/>
    <w:rsid w:val="009326E0"/>
    <w:rsid w:val="0093356F"/>
    <w:rsid w:val="00935C26"/>
    <w:rsid w:val="00935E50"/>
    <w:rsid w:val="0093737C"/>
    <w:rsid w:val="009406EC"/>
    <w:rsid w:val="00940E04"/>
    <w:rsid w:val="009414CD"/>
    <w:rsid w:val="0094227B"/>
    <w:rsid w:val="009424D1"/>
    <w:rsid w:val="009433BD"/>
    <w:rsid w:val="0094427D"/>
    <w:rsid w:val="00945944"/>
    <w:rsid w:val="00945DAB"/>
    <w:rsid w:val="009463E8"/>
    <w:rsid w:val="0094673F"/>
    <w:rsid w:val="00947302"/>
    <w:rsid w:val="009500A7"/>
    <w:rsid w:val="00950DD7"/>
    <w:rsid w:val="00953691"/>
    <w:rsid w:val="00955F26"/>
    <w:rsid w:val="00956061"/>
    <w:rsid w:val="009563BE"/>
    <w:rsid w:val="00956EFD"/>
    <w:rsid w:val="00957E55"/>
    <w:rsid w:val="00960B28"/>
    <w:rsid w:val="009617BF"/>
    <w:rsid w:val="00961F55"/>
    <w:rsid w:val="00961FB2"/>
    <w:rsid w:val="00963DB7"/>
    <w:rsid w:val="00964A38"/>
    <w:rsid w:val="00964C87"/>
    <w:rsid w:val="00964F20"/>
    <w:rsid w:val="00966C06"/>
    <w:rsid w:val="00966E4A"/>
    <w:rsid w:val="0096775C"/>
    <w:rsid w:val="009704B9"/>
    <w:rsid w:val="00970CC3"/>
    <w:rsid w:val="00971AF5"/>
    <w:rsid w:val="00971E2F"/>
    <w:rsid w:val="00972966"/>
    <w:rsid w:val="009732C6"/>
    <w:rsid w:val="009735C5"/>
    <w:rsid w:val="00973BA3"/>
    <w:rsid w:val="009745BD"/>
    <w:rsid w:val="0097589A"/>
    <w:rsid w:val="00975A7E"/>
    <w:rsid w:val="00976010"/>
    <w:rsid w:val="0097656F"/>
    <w:rsid w:val="0097661E"/>
    <w:rsid w:val="00976928"/>
    <w:rsid w:val="00976CE7"/>
    <w:rsid w:val="009771FA"/>
    <w:rsid w:val="0098013C"/>
    <w:rsid w:val="00981E8A"/>
    <w:rsid w:val="00985033"/>
    <w:rsid w:val="00985A74"/>
    <w:rsid w:val="00985F35"/>
    <w:rsid w:val="00986C91"/>
    <w:rsid w:val="00987063"/>
    <w:rsid w:val="009908FC"/>
    <w:rsid w:val="00990B80"/>
    <w:rsid w:val="00991EF1"/>
    <w:rsid w:val="00992650"/>
    <w:rsid w:val="00993581"/>
    <w:rsid w:val="00993775"/>
    <w:rsid w:val="0099555B"/>
    <w:rsid w:val="00995FCE"/>
    <w:rsid w:val="009964CC"/>
    <w:rsid w:val="00996BB2"/>
    <w:rsid w:val="00996ECB"/>
    <w:rsid w:val="009972AE"/>
    <w:rsid w:val="009A0711"/>
    <w:rsid w:val="009A092D"/>
    <w:rsid w:val="009A2E44"/>
    <w:rsid w:val="009A3B43"/>
    <w:rsid w:val="009A415D"/>
    <w:rsid w:val="009A4D27"/>
    <w:rsid w:val="009A62D2"/>
    <w:rsid w:val="009A6D8F"/>
    <w:rsid w:val="009B086B"/>
    <w:rsid w:val="009B11AD"/>
    <w:rsid w:val="009B1526"/>
    <w:rsid w:val="009B24B0"/>
    <w:rsid w:val="009B3C8B"/>
    <w:rsid w:val="009B4ABB"/>
    <w:rsid w:val="009B4EF2"/>
    <w:rsid w:val="009B56BD"/>
    <w:rsid w:val="009B5F00"/>
    <w:rsid w:val="009B6D47"/>
    <w:rsid w:val="009B772F"/>
    <w:rsid w:val="009B7F70"/>
    <w:rsid w:val="009C02E7"/>
    <w:rsid w:val="009C11B7"/>
    <w:rsid w:val="009C3294"/>
    <w:rsid w:val="009C5231"/>
    <w:rsid w:val="009C5405"/>
    <w:rsid w:val="009C5D3A"/>
    <w:rsid w:val="009C61C0"/>
    <w:rsid w:val="009C658A"/>
    <w:rsid w:val="009D0DE6"/>
    <w:rsid w:val="009D1178"/>
    <w:rsid w:val="009D1FE3"/>
    <w:rsid w:val="009D292D"/>
    <w:rsid w:val="009D400C"/>
    <w:rsid w:val="009D4017"/>
    <w:rsid w:val="009D4E9C"/>
    <w:rsid w:val="009D5400"/>
    <w:rsid w:val="009D6BA3"/>
    <w:rsid w:val="009D71E8"/>
    <w:rsid w:val="009E2548"/>
    <w:rsid w:val="009E3694"/>
    <w:rsid w:val="009E4389"/>
    <w:rsid w:val="009E748A"/>
    <w:rsid w:val="009F0584"/>
    <w:rsid w:val="009F0DDB"/>
    <w:rsid w:val="009F0F11"/>
    <w:rsid w:val="009F25C4"/>
    <w:rsid w:val="009F2BB1"/>
    <w:rsid w:val="009F43E1"/>
    <w:rsid w:val="009F43F3"/>
    <w:rsid w:val="009F4E3D"/>
    <w:rsid w:val="009F52CE"/>
    <w:rsid w:val="009F5B25"/>
    <w:rsid w:val="009F6713"/>
    <w:rsid w:val="009F70AE"/>
    <w:rsid w:val="009F7E6F"/>
    <w:rsid w:val="00A0122C"/>
    <w:rsid w:val="00A01F98"/>
    <w:rsid w:val="00A02101"/>
    <w:rsid w:val="00A02AEC"/>
    <w:rsid w:val="00A0346B"/>
    <w:rsid w:val="00A04103"/>
    <w:rsid w:val="00A04DA1"/>
    <w:rsid w:val="00A052EA"/>
    <w:rsid w:val="00A05943"/>
    <w:rsid w:val="00A05DA9"/>
    <w:rsid w:val="00A0618D"/>
    <w:rsid w:val="00A06E9C"/>
    <w:rsid w:val="00A103A2"/>
    <w:rsid w:val="00A12821"/>
    <w:rsid w:val="00A13624"/>
    <w:rsid w:val="00A14EFD"/>
    <w:rsid w:val="00A14FF8"/>
    <w:rsid w:val="00A15938"/>
    <w:rsid w:val="00A16595"/>
    <w:rsid w:val="00A167CB"/>
    <w:rsid w:val="00A16C3A"/>
    <w:rsid w:val="00A17DED"/>
    <w:rsid w:val="00A21511"/>
    <w:rsid w:val="00A21DD9"/>
    <w:rsid w:val="00A223A5"/>
    <w:rsid w:val="00A22AA8"/>
    <w:rsid w:val="00A22D42"/>
    <w:rsid w:val="00A23463"/>
    <w:rsid w:val="00A23A70"/>
    <w:rsid w:val="00A23F52"/>
    <w:rsid w:val="00A24F23"/>
    <w:rsid w:val="00A25DDA"/>
    <w:rsid w:val="00A30240"/>
    <w:rsid w:val="00A30EC7"/>
    <w:rsid w:val="00A3190F"/>
    <w:rsid w:val="00A325C2"/>
    <w:rsid w:val="00A3275F"/>
    <w:rsid w:val="00A349F1"/>
    <w:rsid w:val="00A35C02"/>
    <w:rsid w:val="00A36A5F"/>
    <w:rsid w:val="00A410D6"/>
    <w:rsid w:val="00A4115A"/>
    <w:rsid w:val="00A41C1F"/>
    <w:rsid w:val="00A430A5"/>
    <w:rsid w:val="00A43875"/>
    <w:rsid w:val="00A43FA3"/>
    <w:rsid w:val="00A45096"/>
    <w:rsid w:val="00A451F7"/>
    <w:rsid w:val="00A45A17"/>
    <w:rsid w:val="00A46341"/>
    <w:rsid w:val="00A46B6C"/>
    <w:rsid w:val="00A46EE3"/>
    <w:rsid w:val="00A503BC"/>
    <w:rsid w:val="00A51470"/>
    <w:rsid w:val="00A51552"/>
    <w:rsid w:val="00A52C56"/>
    <w:rsid w:val="00A54F0C"/>
    <w:rsid w:val="00A557D7"/>
    <w:rsid w:val="00A55B79"/>
    <w:rsid w:val="00A56818"/>
    <w:rsid w:val="00A574F6"/>
    <w:rsid w:val="00A57902"/>
    <w:rsid w:val="00A60C82"/>
    <w:rsid w:val="00A61819"/>
    <w:rsid w:val="00A61FBE"/>
    <w:rsid w:val="00A62CF1"/>
    <w:rsid w:val="00A647B9"/>
    <w:rsid w:val="00A649AA"/>
    <w:rsid w:val="00A64A18"/>
    <w:rsid w:val="00A65150"/>
    <w:rsid w:val="00A667C2"/>
    <w:rsid w:val="00A67072"/>
    <w:rsid w:val="00A67798"/>
    <w:rsid w:val="00A7097E"/>
    <w:rsid w:val="00A70A7F"/>
    <w:rsid w:val="00A71981"/>
    <w:rsid w:val="00A71F80"/>
    <w:rsid w:val="00A7230A"/>
    <w:rsid w:val="00A7235B"/>
    <w:rsid w:val="00A7669C"/>
    <w:rsid w:val="00A768A7"/>
    <w:rsid w:val="00A77FC2"/>
    <w:rsid w:val="00A80BC5"/>
    <w:rsid w:val="00A80E45"/>
    <w:rsid w:val="00A80FEA"/>
    <w:rsid w:val="00A829A3"/>
    <w:rsid w:val="00A8342A"/>
    <w:rsid w:val="00A84AFA"/>
    <w:rsid w:val="00A84F83"/>
    <w:rsid w:val="00A859EF"/>
    <w:rsid w:val="00A87BD0"/>
    <w:rsid w:val="00A9180D"/>
    <w:rsid w:val="00A935DC"/>
    <w:rsid w:val="00A94D97"/>
    <w:rsid w:val="00A96A36"/>
    <w:rsid w:val="00A971B7"/>
    <w:rsid w:val="00AA04FC"/>
    <w:rsid w:val="00AA114A"/>
    <w:rsid w:val="00AA1BA5"/>
    <w:rsid w:val="00AA1D46"/>
    <w:rsid w:val="00AA2831"/>
    <w:rsid w:val="00AA2D95"/>
    <w:rsid w:val="00AA3DC0"/>
    <w:rsid w:val="00AA4FEC"/>
    <w:rsid w:val="00AB2A6E"/>
    <w:rsid w:val="00AB31B8"/>
    <w:rsid w:val="00AB3869"/>
    <w:rsid w:val="00AB4227"/>
    <w:rsid w:val="00AB4A7B"/>
    <w:rsid w:val="00AB4DCB"/>
    <w:rsid w:val="00AB5950"/>
    <w:rsid w:val="00AB6165"/>
    <w:rsid w:val="00AB63A6"/>
    <w:rsid w:val="00AB6B5D"/>
    <w:rsid w:val="00AB6F76"/>
    <w:rsid w:val="00AB7AFD"/>
    <w:rsid w:val="00AC01E5"/>
    <w:rsid w:val="00AC07E1"/>
    <w:rsid w:val="00AC0A8E"/>
    <w:rsid w:val="00AC0CCD"/>
    <w:rsid w:val="00AC111E"/>
    <w:rsid w:val="00AC1572"/>
    <w:rsid w:val="00AC1CC4"/>
    <w:rsid w:val="00AC2020"/>
    <w:rsid w:val="00AC215F"/>
    <w:rsid w:val="00AC220E"/>
    <w:rsid w:val="00AC25B9"/>
    <w:rsid w:val="00AC310B"/>
    <w:rsid w:val="00AC6EC0"/>
    <w:rsid w:val="00AD0EC2"/>
    <w:rsid w:val="00AD1F03"/>
    <w:rsid w:val="00AD4EBB"/>
    <w:rsid w:val="00AD5BEF"/>
    <w:rsid w:val="00AD5BFA"/>
    <w:rsid w:val="00AE1456"/>
    <w:rsid w:val="00AE27AE"/>
    <w:rsid w:val="00AE34FB"/>
    <w:rsid w:val="00AE360B"/>
    <w:rsid w:val="00AE3967"/>
    <w:rsid w:val="00AE3B52"/>
    <w:rsid w:val="00AE3DA8"/>
    <w:rsid w:val="00AE469B"/>
    <w:rsid w:val="00AE4D29"/>
    <w:rsid w:val="00AE52CC"/>
    <w:rsid w:val="00AE615A"/>
    <w:rsid w:val="00AE63F7"/>
    <w:rsid w:val="00AE6733"/>
    <w:rsid w:val="00AE6928"/>
    <w:rsid w:val="00AE6ABA"/>
    <w:rsid w:val="00AE7F0B"/>
    <w:rsid w:val="00AF0C18"/>
    <w:rsid w:val="00AF0F8B"/>
    <w:rsid w:val="00AF0FF6"/>
    <w:rsid w:val="00AF1A39"/>
    <w:rsid w:val="00AF1B7C"/>
    <w:rsid w:val="00AF297D"/>
    <w:rsid w:val="00AF312F"/>
    <w:rsid w:val="00AF3189"/>
    <w:rsid w:val="00AF3264"/>
    <w:rsid w:val="00AF3ECC"/>
    <w:rsid w:val="00AF5F38"/>
    <w:rsid w:val="00AF60F1"/>
    <w:rsid w:val="00AF633F"/>
    <w:rsid w:val="00B00197"/>
    <w:rsid w:val="00B001EF"/>
    <w:rsid w:val="00B00B8A"/>
    <w:rsid w:val="00B030EB"/>
    <w:rsid w:val="00B03859"/>
    <w:rsid w:val="00B047A3"/>
    <w:rsid w:val="00B063D4"/>
    <w:rsid w:val="00B06602"/>
    <w:rsid w:val="00B07223"/>
    <w:rsid w:val="00B0760E"/>
    <w:rsid w:val="00B07984"/>
    <w:rsid w:val="00B07DF2"/>
    <w:rsid w:val="00B102C7"/>
    <w:rsid w:val="00B10C3F"/>
    <w:rsid w:val="00B12179"/>
    <w:rsid w:val="00B12F23"/>
    <w:rsid w:val="00B13586"/>
    <w:rsid w:val="00B140FE"/>
    <w:rsid w:val="00B1638E"/>
    <w:rsid w:val="00B1730C"/>
    <w:rsid w:val="00B17388"/>
    <w:rsid w:val="00B208FD"/>
    <w:rsid w:val="00B20E92"/>
    <w:rsid w:val="00B21CF9"/>
    <w:rsid w:val="00B22336"/>
    <w:rsid w:val="00B226BC"/>
    <w:rsid w:val="00B25D5E"/>
    <w:rsid w:val="00B26C6F"/>
    <w:rsid w:val="00B26F68"/>
    <w:rsid w:val="00B27143"/>
    <w:rsid w:val="00B27652"/>
    <w:rsid w:val="00B27B67"/>
    <w:rsid w:val="00B3114B"/>
    <w:rsid w:val="00B322D6"/>
    <w:rsid w:val="00B3268B"/>
    <w:rsid w:val="00B33455"/>
    <w:rsid w:val="00B33AF5"/>
    <w:rsid w:val="00B35480"/>
    <w:rsid w:val="00B37675"/>
    <w:rsid w:val="00B37879"/>
    <w:rsid w:val="00B4005B"/>
    <w:rsid w:val="00B40EF6"/>
    <w:rsid w:val="00B417B0"/>
    <w:rsid w:val="00B41AE7"/>
    <w:rsid w:val="00B43179"/>
    <w:rsid w:val="00B4405D"/>
    <w:rsid w:val="00B457E8"/>
    <w:rsid w:val="00B474E5"/>
    <w:rsid w:val="00B47EDC"/>
    <w:rsid w:val="00B523B1"/>
    <w:rsid w:val="00B53C1F"/>
    <w:rsid w:val="00B547A4"/>
    <w:rsid w:val="00B54A08"/>
    <w:rsid w:val="00B564C0"/>
    <w:rsid w:val="00B57508"/>
    <w:rsid w:val="00B575B9"/>
    <w:rsid w:val="00B57D6F"/>
    <w:rsid w:val="00B606AE"/>
    <w:rsid w:val="00B61B51"/>
    <w:rsid w:val="00B624B1"/>
    <w:rsid w:val="00B633B4"/>
    <w:rsid w:val="00B633BA"/>
    <w:rsid w:val="00B633D5"/>
    <w:rsid w:val="00B64056"/>
    <w:rsid w:val="00B64D7D"/>
    <w:rsid w:val="00B658AF"/>
    <w:rsid w:val="00B66225"/>
    <w:rsid w:val="00B7002A"/>
    <w:rsid w:val="00B7030D"/>
    <w:rsid w:val="00B70856"/>
    <w:rsid w:val="00B718E1"/>
    <w:rsid w:val="00B73BB2"/>
    <w:rsid w:val="00B73E34"/>
    <w:rsid w:val="00B73E48"/>
    <w:rsid w:val="00B741FF"/>
    <w:rsid w:val="00B75463"/>
    <w:rsid w:val="00B80F59"/>
    <w:rsid w:val="00B81449"/>
    <w:rsid w:val="00B814FC"/>
    <w:rsid w:val="00B82317"/>
    <w:rsid w:val="00B8286C"/>
    <w:rsid w:val="00B829E2"/>
    <w:rsid w:val="00B82EF9"/>
    <w:rsid w:val="00B83ED9"/>
    <w:rsid w:val="00B8620B"/>
    <w:rsid w:val="00B86761"/>
    <w:rsid w:val="00B86FC0"/>
    <w:rsid w:val="00B8726C"/>
    <w:rsid w:val="00B87B31"/>
    <w:rsid w:val="00B903D4"/>
    <w:rsid w:val="00B906E4"/>
    <w:rsid w:val="00B90DBF"/>
    <w:rsid w:val="00B90FF9"/>
    <w:rsid w:val="00B912E1"/>
    <w:rsid w:val="00B9187A"/>
    <w:rsid w:val="00B92894"/>
    <w:rsid w:val="00B9337D"/>
    <w:rsid w:val="00B9380D"/>
    <w:rsid w:val="00B93BE0"/>
    <w:rsid w:val="00B94E49"/>
    <w:rsid w:val="00B95B85"/>
    <w:rsid w:val="00B95D79"/>
    <w:rsid w:val="00B96236"/>
    <w:rsid w:val="00B964C6"/>
    <w:rsid w:val="00B9763C"/>
    <w:rsid w:val="00BA2A4C"/>
    <w:rsid w:val="00BA30EC"/>
    <w:rsid w:val="00BA325D"/>
    <w:rsid w:val="00BA34E6"/>
    <w:rsid w:val="00BA5238"/>
    <w:rsid w:val="00BA5945"/>
    <w:rsid w:val="00BB02B9"/>
    <w:rsid w:val="00BB158D"/>
    <w:rsid w:val="00BB1FAF"/>
    <w:rsid w:val="00BB2335"/>
    <w:rsid w:val="00BB4E63"/>
    <w:rsid w:val="00BB66F6"/>
    <w:rsid w:val="00BB686F"/>
    <w:rsid w:val="00BB6C2B"/>
    <w:rsid w:val="00BB75AD"/>
    <w:rsid w:val="00BC0726"/>
    <w:rsid w:val="00BC0E0F"/>
    <w:rsid w:val="00BC15D3"/>
    <w:rsid w:val="00BC3594"/>
    <w:rsid w:val="00BC3F5F"/>
    <w:rsid w:val="00BC4E5C"/>
    <w:rsid w:val="00BC58D3"/>
    <w:rsid w:val="00BC5BB5"/>
    <w:rsid w:val="00BC6103"/>
    <w:rsid w:val="00BD0220"/>
    <w:rsid w:val="00BD04C0"/>
    <w:rsid w:val="00BD05A0"/>
    <w:rsid w:val="00BD0D4C"/>
    <w:rsid w:val="00BD184C"/>
    <w:rsid w:val="00BD1A10"/>
    <w:rsid w:val="00BD2AEB"/>
    <w:rsid w:val="00BD4D4B"/>
    <w:rsid w:val="00BD566F"/>
    <w:rsid w:val="00BD5A02"/>
    <w:rsid w:val="00BD6CE9"/>
    <w:rsid w:val="00BD781E"/>
    <w:rsid w:val="00BD7CB1"/>
    <w:rsid w:val="00BD7D5C"/>
    <w:rsid w:val="00BE3133"/>
    <w:rsid w:val="00BE38F4"/>
    <w:rsid w:val="00BE4632"/>
    <w:rsid w:val="00BE4BDA"/>
    <w:rsid w:val="00BE559C"/>
    <w:rsid w:val="00BE6813"/>
    <w:rsid w:val="00BE7660"/>
    <w:rsid w:val="00BF0DDC"/>
    <w:rsid w:val="00BF109F"/>
    <w:rsid w:val="00BF1169"/>
    <w:rsid w:val="00BF2BE0"/>
    <w:rsid w:val="00BF3964"/>
    <w:rsid w:val="00BF3D95"/>
    <w:rsid w:val="00BF3E19"/>
    <w:rsid w:val="00BF4AFC"/>
    <w:rsid w:val="00BF4F1E"/>
    <w:rsid w:val="00BF5316"/>
    <w:rsid w:val="00BF5940"/>
    <w:rsid w:val="00BF5D39"/>
    <w:rsid w:val="00BF640A"/>
    <w:rsid w:val="00BF7902"/>
    <w:rsid w:val="00BF7D7C"/>
    <w:rsid w:val="00C0067B"/>
    <w:rsid w:val="00C00D07"/>
    <w:rsid w:val="00C0186A"/>
    <w:rsid w:val="00C02244"/>
    <w:rsid w:val="00C04685"/>
    <w:rsid w:val="00C055C1"/>
    <w:rsid w:val="00C058DB"/>
    <w:rsid w:val="00C05EA8"/>
    <w:rsid w:val="00C06CCC"/>
    <w:rsid w:val="00C0714F"/>
    <w:rsid w:val="00C0777B"/>
    <w:rsid w:val="00C07A1F"/>
    <w:rsid w:val="00C07BEA"/>
    <w:rsid w:val="00C10340"/>
    <w:rsid w:val="00C10910"/>
    <w:rsid w:val="00C1193B"/>
    <w:rsid w:val="00C11C40"/>
    <w:rsid w:val="00C11D10"/>
    <w:rsid w:val="00C1257B"/>
    <w:rsid w:val="00C125D4"/>
    <w:rsid w:val="00C14635"/>
    <w:rsid w:val="00C149CD"/>
    <w:rsid w:val="00C16145"/>
    <w:rsid w:val="00C169DD"/>
    <w:rsid w:val="00C17BC0"/>
    <w:rsid w:val="00C17C9E"/>
    <w:rsid w:val="00C2116F"/>
    <w:rsid w:val="00C2137D"/>
    <w:rsid w:val="00C22446"/>
    <w:rsid w:val="00C235F8"/>
    <w:rsid w:val="00C23BAE"/>
    <w:rsid w:val="00C25411"/>
    <w:rsid w:val="00C25799"/>
    <w:rsid w:val="00C27153"/>
    <w:rsid w:val="00C27A25"/>
    <w:rsid w:val="00C27B3E"/>
    <w:rsid w:val="00C27F41"/>
    <w:rsid w:val="00C33A20"/>
    <w:rsid w:val="00C34E10"/>
    <w:rsid w:val="00C361A9"/>
    <w:rsid w:val="00C366BA"/>
    <w:rsid w:val="00C36E11"/>
    <w:rsid w:val="00C37412"/>
    <w:rsid w:val="00C4020F"/>
    <w:rsid w:val="00C4214F"/>
    <w:rsid w:val="00C4231D"/>
    <w:rsid w:val="00C4333D"/>
    <w:rsid w:val="00C43DAC"/>
    <w:rsid w:val="00C44C3F"/>
    <w:rsid w:val="00C44E9B"/>
    <w:rsid w:val="00C44EEE"/>
    <w:rsid w:val="00C53051"/>
    <w:rsid w:val="00C53623"/>
    <w:rsid w:val="00C5436A"/>
    <w:rsid w:val="00C54649"/>
    <w:rsid w:val="00C576AC"/>
    <w:rsid w:val="00C6049C"/>
    <w:rsid w:val="00C61604"/>
    <w:rsid w:val="00C62608"/>
    <w:rsid w:val="00C63126"/>
    <w:rsid w:val="00C663F4"/>
    <w:rsid w:val="00C66945"/>
    <w:rsid w:val="00C705EF"/>
    <w:rsid w:val="00C70F10"/>
    <w:rsid w:val="00C7144D"/>
    <w:rsid w:val="00C71C1C"/>
    <w:rsid w:val="00C72C69"/>
    <w:rsid w:val="00C72CB8"/>
    <w:rsid w:val="00C7326C"/>
    <w:rsid w:val="00C73662"/>
    <w:rsid w:val="00C73DC1"/>
    <w:rsid w:val="00C7428D"/>
    <w:rsid w:val="00C753E0"/>
    <w:rsid w:val="00C75646"/>
    <w:rsid w:val="00C77D3D"/>
    <w:rsid w:val="00C77DE3"/>
    <w:rsid w:val="00C77F4E"/>
    <w:rsid w:val="00C80F25"/>
    <w:rsid w:val="00C82801"/>
    <w:rsid w:val="00C830D7"/>
    <w:rsid w:val="00C83909"/>
    <w:rsid w:val="00C84097"/>
    <w:rsid w:val="00C842C2"/>
    <w:rsid w:val="00C847FE"/>
    <w:rsid w:val="00C84D61"/>
    <w:rsid w:val="00C84F23"/>
    <w:rsid w:val="00C8659C"/>
    <w:rsid w:val="00C87F8A"/>
    <w:rsid w:val="00C90F5E"/>
    <w:rsid w:val="00C91B65"/>
    <w:rsid w:val="00C926E3"/>
    <w:rsid w:val="00C9271A"/>
    <w:rsid w:val="00C92CA1"/>
    <w:rsid w:val="00C9373B"/>
    <w:rsid w:val="00C9429A"/>
    <w:rsid w:val="00C9482E"/>
    <w:rsid w:val="00C94B25"/>
    <w:rsid w:val="00C953C5"/>
    <w:rsid w:val="00C95F68"/>
    <w:rsid w:val="00C971FC"/>
    <w:rsid w:val="00CA2D17"/>
    <w:rsid w:val="00CA4EA0"/>
    <w:rsid w:val="00CA6299"/>
    <w:rsid w:val="00CA62CB"/>
    <w:rsid w:val="00CA6C62"/>
    <w:rsid w:val="00CA7FF7"/>
    <w:rsid w:val="00CB08B0"/>
    <w:rsid w:val="00CB098B"/>
    <w:rsid w:val="00CB0B5D"/>
    <w:rsid w:val="00CB0BBB"/>
    <w:rsid w:val="00CB1441"/>
    <w:rsid w:val="00CB28DD"/>
    <w:rsid w:val="00CB342C"/>
    <w:rsid w:val="00CB3EF2"/>
    <w:rsid w:val="00CB47E6"/>
    <w:rsid w:val="00CB5962"/>
    <w:rsid w:val="00CB6853"/>
    <w:rsid w:val="00CB6B52"/>
    <w:rsid w:val="00CC3361"/>
    <w:rsid w:val="00CC44C2"/>
    <w:rsid w:val="00CC4AEE"/>
    <w:rsid w:val="00CC52AB"/>
    <w:rsid w:val="00CC5B1E"/>
    <w:rsid w:val="00CC5E1F"/>
    <w:rsid w:val="00CC7E93"/>
    <w:rsid w:val="00CD0353"/>
    <w:rsid w:val="00CD1214"/>
    <w:rsid w:val="00CD1E65"/>
    <w:rsid w:val="00CD23F9"/>
    <w:rsid w:val="00CD29CF"/>
    <w:rsid w:val="00CD6E94"/>
    <w:rsid w:val="00CD70A4"/>
    <w:rsid w:val="00CD7409"/>
    <w:rsid w:val="00CD7A31"/>
    <w:rsid w:val="00CE2358"/>
    <w:rsid w:val="00CE24A3"/>
    <w:rsid w:val="00CE3CE0"/>
    <w:rsid w:val="00CE4075"/>
    <w:rsid w:val="00CE444D"/>
    <w:rsid w:val="00CE457B"/>
    <w:rsid w:val="00CE6D01"/>
    <w:rsid w:val="00CF004E"/>
    <w:rsid w:val="00CF08CF"/>
    <w:rsid w:val="00CF0A21"/>
    <w:rsid w:val="00CF0E18"/>
    <w:rsid w:val="00CF111B"/>
    <w:rsid w:val="00CF119E"/>
    <w:rsid w:val="00CF1768"/>
    <w:rsid w:val="00CF2FBB"/>
    <w:rsid w:val="00CF30F4"/>
    <w:rsid w:val="00CF528F"/>
    <w:rsid w:val="00CF6A15"/>
    <w:rsid w:val="00CF6D58"/>
    <w:rsid w:val="00CF7030"/>
    <w:rsid w:val="00CF70B6"/>
    <w:rsid w:val="00CF74FC"/>
    <w:rsid w:val="00CF7736"/>
    <w:rsid w:val="00D03A97"/>
    <w:rsid w:val="00D043BD"/>
    <w:rsid w:val="00D047DD"/>
    <w:rsid w:val="00D04C3B"/>
    <w:rsid w:val="00D05214"/>
    <w:rsid w:val="00D05F41"/>
    <w:rsid w:val="00D06F2F"/>
    <w:rsid w:val="00D07F48"/>
    <w:rsid w:val="00D103F8"/>
    <w:rsid w:val="00D106CF"/>
    <w:rsid w:val="00D1174D"/>
    <w:rsid w:val="00D1334E"/>
    <w:rsid w:val="00D153E7"/>
    <w:rsid w:val="00D173CF"/>
    <w:rsid w:val="00D17491"/>
    <w:rsid w:val="00D200D8"/>
    <w:rsid w:val="00D200F5"/>
    <w:rsid w:val="00D21A39"/>
    <w:rsid w:val="00D226C6"/>
    <w:rsid w:val="00D238EF"/>
    <w:rsid w:val="00D25AB7"/>
    <w:rsid w:val="00D26A1B"/>
    <w:rsid w:val="00D27067"/>
    <w:rsid w:val="00D27342"/>
    <w:rsid w:val="00D276B5"/>
    <w:rsid w:val="00D318C6"/>
    <w:rsid w:val="00D33951"/>
    <w:rsid w:val="00D33A61"/>
    <w:rsid w:val="00D34F16"/>
    <w:rsid w:val="00D35256"/>
    <w:rsid w:val="00D35C86"/>
    <w:rsid w:val="00D40A98"/>
    <w:rsid w:val="00D41A86"/>
    <w:rsid w:val="00D41DE0"/>
    <w:rsid w:val="00D421C5"/>
    <w:rsid w:val="00D4291E"/>
    <w:rsid w:val="00D45C06"/>
    <w:rsid w:val="00D46C1D"/>
    <w:rsid w:val="00D46D52"/>
    <w:rsid w:val="00D47120"/>
    <w:rsid w:val="00D47CEC"/>
    <w:rsid w:val="00D5006E"/>
    <w:rsid w:val="00D5195A"/>
    <w:rsid w:val="00D527DD"/>
    <w:rsid w:val="00D52ADC"/>
    <w:rsid w:val="00D538F5"/>
    <w:rsid w:val="00D53DD9"/>
    <w:rsid w:val="00D54E05"/>
    <w:rsid w:val="00D550E6"/>
    <w:rsid w:val="00D555A6"/>
    <w:rsid w:val="00D55F08"/>
    <w:rsid w:val="00D56206"/>
    <w:rsid w:val="00D5698E"/>
    <w:rsid w:val="00D61484"/>
    <w:rsid w:val="00D62950"/>
    <w:rsid w:val="00D64493"/>
    <w:rsid w:val="00D64890"/>
    <w:rsid w:val="00D64972"/>
    <w:rsid w:val="00D65522"/>
    <w:rsid w:val="00D655CC"/>
    <w:rsid w:val="00D66516"/>
    <w:rsid w:val="00D667A4"/>
    <w:rsid w:val="00D667D7"/>
    <w:rsid w:val="00D667F2"/>
    <w:rsid w:val="00D66A3B"/>
    <w:rsid w:val="00D6756A"/>
    <w:rsid w:val="00D6786F"/>
    <w:rsid w:val="00D71FF5"/>
    <w:rsid w:val="00D7340C"/>
    <w:rsid w:val="00D73F2C"/>
    <w:rsid w:val="00D75409"/>
    <w:rsid w:val="00D769C6"/>
    <w:rsid w:val="00D805E0"/>
    <w:rsid w:val="00D80D71"/>
    <w:rsid w:val="00D82557"/>
    <w:rsid w:val="00D830F1"/>
    <w:rsid w:val="00D8478A"/>
    <w:rsid w:val="00D85837"/>
    <w:rsid w:val="00D85848"/>
    <w:rsid w:val="00D85B8D"/>
    <w:rsid w:val="00D87044"/>
    <w:rsid w:val="00D87BBE"/>
    <w:rsid w:val="00D905EF"/>
    <w:rsid w:val="00D90C5F"/>
    <w:rsid w:val="00D9123B"/>
    <w:rsid w:val="00D91949"/>
    <w:rsid w:val="00D9218E"/>
    <w:rsid w:val="00D92905"/>
    <w:rsid w:val="00D92DAD"/>
    <w:rsid w:val="00D94ECE"/>
    <w:rsid w:val="00D952C9"/>
    <w:rsid w:val="00D9582D"/>
    <w:rsid w:val="00D959C5"/>
    <w:rsid w:val="00D95E77"/>
    <w:rsid w:val="00D96C6B"/>
    <w:rsid w:val="00D96DE4"/>
    <w:rsid w:val="00D97C31"/>
    <w:rsid w:val="00D97EB3"/>
    <w:rsid w:val="00DA0114"/>
    <w:rsid w:val="00DA1539"/>
    <w:rsid w:val="00DA2EF4"/>
    <w:rsid w:val="00DA41CE"/>
    <w:rsid w:val="00DA4813"/>
    <w:rsid w:val="00DA4914"/>
    <w:rsid w:val="00DA4D4A"/>
    <w:rsid w:val="00DB0238"/>
    <w:rsid w:val="00DB0392"/>
    <w:rsid w:val="00DB26BA"/>
    <w:rsid w:val="00DB2880"/>
    <w:rsid w:val="00DB36B2"/>
    <w:rsid w:val="00DB3FAC"/>
    <w:rsid w:val="00DB5268"/>
    <w:rsid w:val="00DB55F2"/>
    <w:rsid w:val="00DB5900"/>
    <w:rsid w:val="00DB7282"/>
    <w:rsid w:val="00DB7C5A"/>
    <w:rsid w:val="00DC1302"/>
    <w:rsid w:val="00DC13F0"/>
    <w:rsid w:val="00DC1F47"/>
    <w:rsid w:val="00DC2B7A"/>
    <w:rsid w:val="00DC3CBE"/>
    <w:rsid w:val="00DC3D72"/>
    <w:rsid w:val="00DC697D"/>
    <w:rsid w:val="00DC6FFA"/>
    <w:rsid w:val="00DC71CF"/>
    <w:rsid w:val="00DD00AC"/>
    <w:rsid w:val="00DD0491"/>
    <w:rsid w:val="00DD0AD6"/>
    <w:rsid w:val="00DD0F9D"/>
    <w:rsid w:val="00DD67CB"/>
    <w:rsid w:val="00DD703A"/>
    <w:rsid w:val="00DE0A91"/>
    <w:rsid w:val="00DE1408"/>
    <w:rsid w:val="00DE1474"/>
    <w:rsid w:val="00DE2602"/>
    <w:rsid w:val="00DE33D2"/>
    <w:rsid w:val="00DE3CA6"/>
    <w:rsid w:val="00DE4ADE"/>
    <w:rsid w:val="00DE5BAF"/>
    <w:rsid w:val="00DE6791"/>
    <w:rsid w:val="00DE7B2B"/>
    <w:rsid w:val="00DF0367"/>
    <w:rsid w:val="00DF0DDD"/>
    <w:rsid w:val="00DF13B3"/>
    <w:rsid w:val="00DF1DCD"/>
    <w:rsid w:val="00DF2B5A"/>
    <w:rsid w:val="00DF30B1"/>
    <w:rsid w:val="00DF5101"/>
    <w:rsid w:val="00DF547F"/>
    <w:rsid w:val="00DF5860"/>
    <w:rsid w:val="00DF60E5"/>
    <w:rsid w:val="00DF7EFE"/>
    <w:rsid w:val="00E00A2E"/>
    <w:rsid w:val="00E01CA4"/>
    <w:rsid w:val="00E023D0"/>
    <w:rsid w:val="00E0240A"/>
    <w:rsid w:val="00E03C56"/>
    <w:rsid w:val="00E04C94"/>
    <w:rsid w:val="00E05A9C"/>
    <w:rsid w:val="00E05FD4"/>
    <w:rsid w:val="00E10017"/>
    <w:rsid w:val="00E11562"/>
    <w:rsid w:val="00E11945"/>
    <w:rsid w:val="00E121F6"/>
    <w:rsid w:val="00E132C6"/>
    <w:rsid w:val="00E13567"/>
    <w:rsid w:val="00E145AF"/>
    <w:rsid w:val="00E14A04"/>
    <w:rsid w:val="00E16C3A"/>
    <w:rsid w:val="00E21BBF"/>
    <w:rsid w:val="00E23CA0"/>
    <w:rsid w:val="00E27ECA"/>
    <w:rsid w:val="00E3185F"/>
    <w:rsid w:val="00E3188A"/>
    <w:rsid w:val="00E31A5F"/>
    <w:rsid w:val="00E31ABF"/>
    <w:rsid w:val="00E3319A"/>
    <w:rsid w:val="00E3423B"/>
    <w:rsid w:val="00E359CB"/>
    <w:rsid w:val="00E36578"/>
    <w:rsid w:val="00E41207"/>
    <w:rsid w:val="00E41303"/>
    <w:rsid w:val="00E417DD"/>
    <w:rsid w:val="00E418FC"/>
    <w:rsid w:val="00E43D2D"/>
    <w:rsid w:val="00E43FDF"/>
    <w:rsid w:val="00E45EE6"/>
    <w:rsid w:val="00E4778B"/>
    <w:rsid w:val="00E47FF5"/>
    <w:rsid w:val="00E503C1"/>
    <w:rsid w:val="00E50F50"/>
    <w:rsid w:val="00E51201"/>
    <w:rsid w:val="00E51365"/>
    <w:rsid w:val="00E51636"/>
    <w:rsid w:val="00E5380A"/>
    <w:rsid w:val="00E56384"/>
    <w:rsid w:val="00E60683"/>
    <w:rsid w:val="00E606EA"/>
    <w:rsid w:val="00E6076D"/>
    <w:rsid w:val="00E628B0"/>
    <w:rsid w:val="00E62BEA"/>
    <w:rsid w:val="00E63A62"/>
    <w:rsid w:val="00E63A92"/>
    <w:rsid w:val="00E642DC"/>
    <w:rsid w:val="00E66AFE"/>
    <w:rsid w:val="00E66D42"/>
    <w:rsid w:val="00E67278"/>
    <w:rsid w:val="00E70A23"/>
    <w:rsid w:val="00E70B95"/>
    <w:rsid w:val="00E719FC"/>
    <w:rsid w:val="00E721F6"/>
    <w:rsid w:val="00E74D63"/>
    <w:rsid w:val="00E7556A"/>
    <w:rsid w:val="00E764A5"/>
    <w:rsid w:val="00E76ABD"/>
    <w:rsid w:val="00E76F3F"/>
    <w:rsid w:val="00E77A0D"/>
    <w:rsid w:val="00E80A49"/>
    <w:rsid w:val="00E81243"/>
    <w:rsid w:val="00E81363"/>
    <w:rsid w:val="00E83987"/>
    <w:rsid w:val="00E852F2"/>
    <w:rsid w:val="00E87A03"/>
    <w:rsid w:val="00E941BC"/>
    <w:rsid w:val="00E9500D"/>
    <w:rsid w:val="00EA07F9"/>
    <w:rsid w:val="00EA0A95"/>
    <w:rsid w:val="00EA1CC4"/>
    <w:rsid w:val="00EA2E5D"/>
    <w:rsid w:val="00EA4683"/>
    <w:rsid w:val="00EA743B"/>
    <w:rsid w:val="00EA7F76"/>
    <w:rsid w:val="00EB0190"/>
    <w:rsid w:val="00EB0E1A"/>
    <w:rsid w:val="00EB102E"/>
    <w:rsid w:val="00EB1FA7"/>
    <w:rsid w:val="00EB3DC4"/>
    <w:rsid w:val="00EB4BDF"/>
    <w:rsid w:val="00EB5409"/>
    <w:rsid w:val="00EB7AE5"/>
    <w:rsid w:val="00EC1309"/>
    <w:rsid w:val="00EC471D"/>
    <w:rsid w:val="00EC4B36"/>
    <w:rsid w:val="00EC5731"/>
    <w:rsid w:val="00ED00E2"/>
    <w:rsid w:val="00ED0D0C"/>
    <w:rsid w:val="00ED15AD"/>
    <w:rsid w:val="00ED261F"/>
    <w:rsid w:val="00ED3741"/>
    <w:rsid w:val="00ED398F"/>
    <w:rsid w:val="00ED4909"/>
    <w:rsid w:val="00ED57B0"/>
    <w:rsid w:val="00ED7391"/>
    <w:rsid w:val="00EE05ED"/>
    <w:rsid w:val="00EE0942"/>
    <w:rsid w:val="00EE0A8C"/>
    <w:rsid w:val="00EE0D93"/>
    <w:rsid w:val="00EE1A6D"/>
    <w:rsid w:val="00EE2B0D"/>
    <w:rsid w:val="00EE3132"/>
    <w:rsid w:val="00EE4E2E"/>
    <w:rsid w:val="00EE5870"/>
    <w:rsid w:val="00EE5B20"/>
    <w:rsid w:val="00EE68C7"/>
    <w:rsid w:val="00EE6EBF"/>
    <w:rsid w:val="00EF0C2B"/>
    <w:rsid w:val="00EF0D2A"/>
    <w:rsid w:val="00EF0E92"/>
    <w:rsid w:val="00EF167D"/>
    <w:rsid w:val="00EF1BB7"/>
    <w:rsid w:val="00EF1E3C"/>
    <w:rsid w:val="00EF4432"/>
    <w:rsid w:val="00EF5177"/>
    <w:rsid w:val="00EF5359"/>
    <w:rsid w:val="00EF7369"/>
    <w:rsid w:val="00EF7CCF"/>
    <w:rsid w:val="00EF7E37"/>
    <w:rsid w:val="00F006D0"/>
    <w:rsid w:val="00F00A5B"/>
    <w:rsid w:val="00F00F42"/>
    <w:rsid w:val="00F01118"/>
    <w:rsid w:val="00F0192B"/>
    <w:rsid w:val="00F02FEC"/>
    <w:rsid w:val="00F03376"/>
    <w:rsid w:val="00F03E6D"/>
    <w:rsid w:val="00F04D00"/>
    <w:rsid w:val="00F0625A"/>
    <w:rsid w:val="00F06352"/>
    <w:rsid w:val="00F064A7"/>
    <w:rsid w:val="00F103DD"/>
    <w:rsid w:val="00F105B0"/>
    <w:rsid w:val="00F108A5"/>
    <w:rsid w:val="00F1255E"/>
    <w:rsid w:val="00F1332A"/>
    <w:rsid w:val="00F13FC2"/>
    <w:rsid w:val="00F1426E"/>
    <w:rsid w:val="00F142A1"/>
    <w:rsid w:val="00F15526"/>
    <w:rsid w:val="00F166DA"/>
    <w:rsid w:val="00F20632"/>
    <w:rsid w:val="00F20B79"/>
    <w:rsid w:val="00F219A3"/>
    <w:rsid w:val="00F225DE"/>
    <w:rsid w:val="00F22E69"/>
    <w:rsid w:val="00F2357F"/>
    <w:rsid w:val="00F236C7"/>
    <w:rsid w:val="00F25849"/>
    <w:rsid w:val="00F2588E"/>
    <w:rsid w:val="00F265DE"/>
    <w:rsid w:val="00F26807"/>
    <w:rsid w:val="00F27545"/>
    <w:rsid w:val="00F275C3"/>
    <w:rsid w:val="00F27712"/>
    <w:rsid w:val="00F27EB9"/>
    <w:rsid w:val="00F301E7"/>
    <w:rsid w:val="00F3077E"/>
    <w:rsid w:val="00F3244C"/>
    <w:rsid w:val="00F3319A"/>
    <w:rsid w:val="00F3362E"/>
    <w:rsid w:val="00F34772"/>
    <w:rsid w:val="00F347DA"/>
    <w:rsid w:val="00F34EF1"/>
    <w:rsid w:val="00F35481"/>
    <w:rsid w:val="00F363F4"/>
    <w:rsid w:val="00F370F2"/>
    <w:rsid w:val="00F371A2"/>
    <w:rsid w:val="00F37410"/>
    <w:rsid w:val="00F43554"/>
    <w:rsid w:val="00F43600"/>
    <w:rsid w:val="00F44ED5"/>
    <w:rsid w:val="00F454BC"/>
    <w:rsid w:val="00F50221"/>
    <w:rsid w:val="00F502ED"/>
    <w:rsid w:val="00F51E3E"/>
    <w:rsid w:val="00F527A8"/>
    <w:rsid w:val="00F52891"/>
    <w:rsid w:val="00F537F7"/>
    <w:rsid w:val="00F548F5"/>
    <w:rsid w:val="00F5498F"/>
    <w:rsid w:val="00F549D9"/>
    <w:rsid w:val="00F54F41"/>
    <w:rsid w:val="00F558A2"/>
    <w:rsid w:val="00F56231"/>
    <w:rsid w:val="00F575D6"/>
    <w:rsid w:val="00F57DDD"/>
    <w:rsid w:val="00F57FB3"/>
    <w:rsid w:val="00F600E8"/>
    <w:rsid w:val="00F615BC"/>
    <w:rsid w:val="00F627E1"/>
    <w:rsid w:val="00F62A22"/>
    <w:rsid w:val="00F634C2"/>
    <w:rsid w:val="00F63553"/>
    <w:rsid w:val="00F6570E"/>
    <w:rsid w:val="00F65F27"/>
    <w:rsid w:val="00F66071"/>
    <w:rsid w:val="00F66B50"/>
    <w:rsid w:val="00F66DAB"/>
    <w:rsid w:val="00F72D0D"/>
    <w:rsid w:val="00F73C5C"/>
    <w:rsid w:val="00F74830"/>
    <w:rsid w:val="00F74B0D"/>
    <w:rsid w:val="00F76687"/>
    <w:rsid w:val="00F77030"/>
    <w:rsid w:val="00F77F7E"/>
    <w:rsid w:val="00F80FA7"/>
    <w:rsid w:val="00F81825"/>
    <w:rsid w:val="00F822C5"/>
    <w:rsid w:val="00F82A48"/>
    <w:rsid w:val="00F8343A"/>
    <w:rsid w:val="00F84D4B"/>
    <w:rsid w:val="00F85624"/>
    <w:rsid w:val="00F8619F"/>
    <w:rsid w:val="00F8716C"/>
    <w:rsid w:val="00F90263"/>
    <w:rsid w:val="00F918EF"/>
    <w:rsid w:val="00F91FE0"/>
    <w:rsid w:val="00F92802"/>
    <w:rsid w:val="00F92B09"/>
    <w:rsid w:val="00F92C17"/>
    <w:rsid w:val="00F93A92"/>
    <w:rsid w:val="00F94AC4"/>
    <w:rsid w:val="00F9732C"/>
    <w:rsid w:val="00FA1B7E"/>
    <w:rsid w:val="00FA2739"/>
    <w:rsid w:val="00FA316A"/>
    <w:rsid w:val="00FA3AA6"/>
    <w:rsid w:val="00FA4BDB"/>
    <w:rsid w:val="00FA5EFA"/>
    <w:rsid w:val="00FA6533"/>
    <w:rsid w:val="00FB002D"/>
    <w:rsid w:val="00FB04C2"/>
    <w:rsid w:val="00FB0863"/>
    <w:rsid w:val="00FB0C5A"/>
    <w:rsid w:val="00FB1241"/>
    <w:rsid w:val="00FB1DA2"/>
    <w:rsid w:val="00FB3ADC"/>
    <w:rsid w:val="00FB4B65"/>
    <w:rsid w:val="00FB4CC4"/>
    <w:rsid w:val="00FB5A6B"/>
    <w:rsid w:val="00FB673C"/>
    <w:rsid w:val="00FB75F3"/>
    <w:rsid w:val="00FC00C2"/>
    <w:rsid w:val="00FC08E3"/>
    <w:rsid w:val="00FC22CE"/>
    <w:rsid w:val="00FC2E70"/>
    <w:rsid w:val="00FC2FB7"/>
    <w:rsid w:val="00FC58C6"/>
    <w:rsid w:val="00FC7A63"/>
    <w:rsid w:val="00FC7B5E"/>
    <w:rsid w:val="00FD1740"/>
    <w:rsid w:val="00FD4EA0"/>
    <w:rsid w:val="00FD5858"/>
    <w:rsid w:val="00FD687B"/>
    <w:rsid w:val="00FD6EED"/>
    <w:rsid w:val="00FD72DA"/>
    <w:rsid w:val="00FE0629"/>
    <w:rsid w:val="00FE1538"/>
    <w:rsid w:val="00FE187F"/>
    <w:rsid w:val="00FE19FE"/>
    <w:rsid w:val="00FE1D73"/>
    <w:rsid w:val="00FE3A63"/>
    <w:rsid w:val="00FE4696"/>
    <w:rsid w:val="00FE47F8"/>
    <w:rsid w:val="00FE5402"/>
    <w:rsid w:val="00FE588A"/>
    <w:rsid w:val="00FE5E7E"/>
    <w:rsid w:val="00FF0CB1"/>
    <w:rsid w:val="00FF1CCB"/>
    <w:rsid w:val="00FF2111"/>
    <w:rsid w:val="00FF245D"/>
    <w:rsid w:val="00FF3CC5"/>
    <w:rsid w:val="00FF50C8"/>
    <w:rsid w:val="00FF54FB"/>
    <w:rsid w:val="00FF619D"/>
    <w:rsid w:val="00FF667F"/>
    <w:rsid w:val="00FF6C24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78CD2"/>
  <w15:docId w15:val="{8487976B-BA49-44A2-84EF-94832AB5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761"/>
  </w:style>
  <w:style w:type="paragraph" w:styleId="Piedepgina">
    <w:name w:val="footer"/>
    <w:basedOn w:val="Normal"/>
    <w:link w:val="PiedepginaCar"/>
    <w:uiPriority w:val="99"/>
    <w:unhideWhenUsed/>
    <w:rsid w:val="00B86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761"/>
  </w:style>
  <w:style w:type="paragraph" w:styleId="Prrafodelista">
    <w:name w:val="List Paragraph"/>
    <w:basedOn w:val="Normal"/>
    <w:uiPriority w:val="34"/>
    <w:qFormat/>
    <w:rsid w:val="00B86761"/>
    <w:pPr>
      <w:spacing w:line="25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67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67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676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B867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867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6761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21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212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91D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D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f01">
    <w:name w:val="cf01"/>
    <w:basedOn w:val="Fuentedeprrafopredeter"/>
    <w:rsid w:val="00D25AB7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4C187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6160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image" Target="media/image3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twitter.com/INEGI_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programas/cnge/2022/" TargetMode="External"/><Relationship Id="rId13" Type="http://schemas.openxmlformats.org/officeDocument/2006/relationships/hyperlink" Target="https://www.inegi.org.mx/programas/cnge/2022/" TargetMode="External"/><Relationship Id="rId3" Type="http://schemas.openxmlformats.org/officeDocument/2006/relationships/hyperlink" Target="https://www.diputados.gob.mx/LeyesBiblio/pdf/CPEUM.pdf" TargetMode="External"/><Relationship Id="rId7" Type="http://schemas.openxmlformats.org/officeDocument/2006/relationships/hyperlink" Target="https://www.inegi.org.mx/programas/encrige/2020/" TargetMode="External"/><Relationship Id="rId12" Type="http://schemas.openxmlformats.org/officeDocument/2006/relationships/hyperlink" Target="https://www.inegi.org.mx/programas/encrige/2020/" TargetMode="External"/><Relationship Id="rId2" Type="http://schemas.openxmlformats.org/officeDocument/2006/relationships/hyperlink" Target="https://undocs.org/es/A/RES/58/4" TargetMode="External"/><Relationship Id="rId1" Type="http://schemas.openxmlformats.org/officeDocument/2006/relationships/hyperlink" Target="https://www.cdeunodc.inegi.org.mx/unodc/wp-content/uploads/2019/03/Manual-Corrupcion.pdf" TargetMode="External"/><Relationship Id="rId6" Type="http://schemas.openxmlformats.org/officeDocument/2006/relationships/hyperlink" Target="https://www.inegi.org.mx/programas/encig/2021/" TargetMode="External"/><Relationship Id="rId11" Type="http://schemas.openxmlformats.org/officeDocument/2006/relationships/hyperlink" Target="https://www.inegi.org.mx/programas/encig/2021/" TargetMode="External"/><Relationship Id="rId5" Type="http://schemas.openxmlformats.org/officeDocument/2006/relationships/hyperlink" Target="https://www.un.org/sustainabledevelopment/es/peace-justice/" TargetMode="External"/><Relationship Id="rId10" Type="http://schemas.openxmlformats.org/officeDocument/2006/relationships/hyperlink" Target="https://www.sesna.gob.mx/wp-content/uploads/2020/02/Pol%C3%ADtica-Nacional-Anticorrupci%C3%B3n.pdf" TargetMode="External"/><Relationship Id="rId4" Type="http://schemas.openxmlformats.org/officeDocument/2006/relationships/hyperlink" Target="https://www.unodc.org/documents/mexicoandcentralamerica/publications/Corrupcion/Convencion_de_las_NU_contra_la_Corrupcion.pdf" TargetMode="External"/><Relationship Id="rId9" Type="http://schemas.openxmlformats.org/officeDocument/2006/relationships/hyperlink" Target="https://www.unodc.org/documents/mexicoandcentralamerica/publications/Corrupcion/Convencion_de_las_NU_contra_la_Corrupc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sana.alarcon\AppData\Local\Microsoft\Windows\INetCache\Content.Outlook\CAWER32Z\20221114_BD%20bolet&#237;n%20corrupci&#243;n_revSAIG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sana.alarcon\AppData\Local\Microsoft\Windows\INetCache\Content.Outlook\CAWER32Z\20221114_BD%20bolet&#237;n%20corrupci&#243;n_revSAIG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sana.alarcon\AppData\Local\Microsoft\Windows\INetCache\Content.Outlook\CAWER32Z\20221114_BD%20bolet&#237;n%20corrupci&#243;n_revSAIG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sana.alarcon\AppData\Local\Microsoft\Windows\INetCache\Content.Outlook\CAWER32Z\20221125_BD%20bolet&#237;n%20corrupci&#243;n_revSAIG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sana.alarcon\AppData\Local\Microsoft\Windows\INetCache\Content.Outlook\CAWER32Z\20221114_BD%20bolet&#237;n%20corrupci&#243;n_revSAIG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usana.alarcon\AppData\Local\Microsoft\Windows\INetCache\Content.Outlook\CAWER32Z\20221114_BD%20bolet&#237;n%20corrupci&#243;n_revSAIG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648276184960795E-2"/>
          <c:y val="0.11709307984629599"/>
          <c:w val="0.8949404765400828"/>
          <c:h val="0.58088917456746481"/>
        </c:manualLayout>
      </c:layout>
      <c:lineChart>
        <c:grouping val="standard"/>
        <c:varyColors val="0"/>
        <c:ser>
          <c:idx val="0"/>
          <c:order val="0"/>
          <c:tx>
            <c:strRef>
              <c:f>'Graf 1'!$R$6</c:f>
              <c:strCache>
                <c:ptCount val="1"/>
                <c:pt idx="0">
                  <c:v>Población de 18 años y más</c:v>
                </c:pt>
              </c:strCache>
            </c:strRef>
          </c:tx>
          <c:spPr>
            <a:ln w="28575" cap="rnd">
              <a:solidFill>
                <a:srgbClr val="C8C8C8"/>
              </a:solidFill>
              <a:round/>
            </a:ln>
            <a:effectLst/>
          </c:spPr>
          <c:marker>
            <c:symbol val="triangle"/>
            <c:size val="8"/>
            <c:spPr>
              <a:solidFill>
                <a:srgbClr val="C8C8C8"/>
              </a:solidFill>
              <a:ln w="9525">
                <a:solidFill>
                  <a:srgbClr val="C8C8C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041233564216028E-2"/>
                  <c:y val="-4.125841412680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32-476C-AAE0-3CA0CF57D86E}"/>
                </c:ext>
              </c:extLst>
            </c:dLbl>
            <c:dLbl>
              <c:idx val="3"/>
              <c:layout>
                <c:manualLayout>
                  <c:x val="-4.5041233564216028E-2"/>
                  <c:y val="-4.125841412680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32-476C-AAE0-3CA0CF57D86E}"/>
                </c:ext>
              </c:extLst>
            </c:dLbl>
            <c:dLbl>
              <c:idx val="4"/>
              <c:layout>
                <c:manualLayout>
                  <c:x val="-4.5041233564216174E-2"/>
                  <c:y val="-2.76529719499349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32-476C-AAE0-3CA0CF57D8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1'!$H$7:$H$11</c:f>
              <c:strCache>
                <c:ptCount val="5"/>
                <c:pt idx="0">
                  <c:v>2013</c:v>
                </c:pt>
                <c:pt idx="1">
                  <c:v>2015</c:v>
                </c:pt>
                <c:pt idx="2">
                  <c:v>2017</c:v>
                </c:pt>
                <c:pt idx="3">
                  <c:v>2019</c:v>
                </c:pt>
                <c:pt idx="4">
                  <c:v>2021</c:v>
                </c:pt>
              </c:strCache>
            </c:strRef>
          </c:cat>
          <c:val>
            <c:numRef>
              <c:f>'Graf 1'!$R$7:$R$11</c:f>
              <c:numCache>
                <c:formatCode>0.0\ %</c:formatCode>
                <c:ptCount val="5"/>
                <c:pt idx="0">
                  <c:v>0.12079900915072829</c:v>
                </c:pt>
                <c:pt idx="1">
                  <c:v>0.12590428900992315</c:v>
                </c:pt>
                <c:pt idx="2">
                  <c:v>0.146352683957965</c:v>
                </c:pt>
                <c:pt idx="3">
                  <c:v>0.15731675587071792</c:v>
                </c:pt>
                <c:pt idx="4">
                  <c:v>0.14701038155329549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632-476C-AAE0-3CA0CF57D86E}"/>
            </c:ext>
          </c:extLst>
        </c:ser>
        <c:ser>
          <c:idx val="1"/>
          <c:order val="1"/>
          <c:tx>
            <c:strRef>
              <c:f>'Graf 1'!$S$6</c:f>
              <c:strCache>
                <c:ptCount val="1"/>
                <c:pt idx="0">
                  <c:v>Hombres</c:v>
                </c:pt>
              </c:strCache>
            </c:strRef>
          </c:tx>
          <c:spPr>
            <a:ln w="28575" cap="rnd">
              <a:solidFill>
                <a:srgbClr val="2ED9D4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2ED9D4"/>
              </a:solidFill>
              <a:ln w="9525">
                <a:solidFill>
                  <a:srgbClr val="2ED9D4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1'!$H$7:$H$11</c:f>
              <c:strCache>
                <c:ptCount val="5"/>
                <c:pt idx="0">
                  <c:v>2013</c:v>
                </c:pt>
                <c:pt idx="1">
                  <c:v>2015</c:v>
                </c:pt>
                <c:pt idx="2">
                  <c:v>2017</c:v>
                </c:pt>
                <c:pt idx="3">
                  <c:v>2019</c:v>
                </c:pt>
                <c:pt idx="4">
                  <c:v>2021</c:v>
                </c:pt>
              </c:strCache>
            </c:strRef>
          </c:cat>
          <c:val>
            <c:numRef>
              <c:f>'Graf 1'!$S$7:$S$11</c:f>
              <c:numCache>
                <c:formatCode>0.0\ %</c:formatCode>
                <c:ptCount val="5"/>
                <c:pt idx="0">
                  <c:v>0.17278273744230227</c:v>
                </c:pt>
                <c:pt idx="1">
                  <c:v>0.20485088297946366</c:v>
                </c:pt>
                <c:pt idx="2">
                  <c:v>0.21660823030745646</c:v>
                </c:pt>
                <c:pt idx="3">
                  <c:v>0.21237933360641004</c:v>
                </c:pt>
                <c:pt idx="4">
                  <c:v>0.19350211518693705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632-476C-AAE0-3CA0CF57D86E}"/>
            </c:ext>
          </c:extLst>
        </c:ser>
        <c:ser>
          <c:idx val="2"/>
          <c:order val="2"/>
          <c:tx>
            <c:strRef>
              <c:f>'Graf 1'!$T$6</c:f>
              <c:strCache>
                <c:ptCount val="1"/>
                <c:pt idx="0">
                  <c:v>Mujeres</c:v>
                </c:pt>
              </c:strCache>
            </c:strRef>
          </c:tx>
          <c:spPr>
            <a:ln w="28575" cap="rnd">
              <a:solidFill>
                <a:srgbClr val="9214B3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rgbClr val="9214B3"/>
              </a:solidFill>
              <a:ln w="9525">
                <a:solidFill>
                  <a:srgbClr val="9214B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1'!$H$7:$H$11</c:f>
              <c:strCache>
                <c:ptCount val="5"/>
                <c:pt idx="0">
                  <c:v>2013</c:v>
                </c:pt>
                <c:pt idx="1">
                  <c:v>2015</c:v>
                </c:pt>
                <c:pt idx="2">
                  <c:v>2017</c:v>
                </c:pt>
                <c:pt idx="3">
                  <c:v>2019</c:v>
                </c:pt>
                <c:pt idx="4">
                  <c:v>2021</c:v>
                </c:pt>
              </c:strCache>
            </c:strRef>
          </c:cat>
          <c:val>
            <c:numRef>
              <c:f>'Graf 1'!$T$7:$T$11</c:f>
              <c:numCache>
                <c:formatCode>0.0\ %</c:formatCode>
                <c:ptCount val="5"/>
                <c:pt idx="0">
                  <c:v>7.7023672902933091E-2</c:v>
                </c:pt>
                <c:pt idx="1">
                  <c:v>9.3201643175758866E-2</c:v>
                </c:pt>
                <c:pt idx="2">
                  <c:v>8.507112478835048E-2</c:v>
                </c:pt>
                <c:pt idx="3">
                  <c:v>0.10798349584636766</c:v>
                </c:pt>
                <c:pt idx="4">
                  <c:v>0.10312407614448196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632-476C-AAE0-3CA0CF57D86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21147776"/>
        <c:axId val="1321143616"/>
      </c:lineChart>
      <c:catAx>
        <c:axId val="132114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21143616"/>
        <c:crosses val="autoZero"/>
        <c:auto val="1"/>
        <c:lblAlgn val="ctr"/>
        <c:lblOffset val="100"/>
        <c:noMultiLvlLbl val="0"/>
      </c:catAx>
      <c:valAx>
        <c:axId val="1321143616"/>
        <c:scaling>
          <c:orientation val="minMax"/>
          <c:max val="0.4"/>
        </c:scaling>
        <c:delete val="1"/>
        <c:axPos val="l"/>
        <c:numFmt formatCode="0.0\ %" sourceLinked="1"/>
        <c:majorTickMark val="none"/>
        <c:minorTickMark val="none"/>
        <c:tickLblPos val="nextTo"/>
        <c:crossAx val="132114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925967861258279E-2"/>
          <c:y val="0.26410628084994342"/>
          <c:w val="0.94964118271262943"/>
          <c:h val="0.502298337109775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Graf21!$E$6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8B8B8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Graf21!$A$7:$A$11</c:f>
              <c:numCache>
                <c:formatCode>General</c:formatCode>
                <c:ptCount val="5"/>
                <c:pt idx="0">
                  <c:v>2013</c:v>
                </c:pt>
                <c:pt idx="1">
                  <c:v>2015</c:v>
                </c:pt>
                <c:pt idx="2">
                  <c:v>2017</c:v>
                </c:pt>
                <c:pt idx="3">
                  <c:v>2019</c:v>
                </c:pt>
                <c:pt idx="4">
                  <c:v>2021</c:v>
                </c:pt>
              </c:numCache>
            </c:numRef>
          </c:cat>
          <c:val>
            <c:numRef>
              <c:f>(Graf21!$E$7,Graf21!$E$8,Graf21!$E$9,Graf21!$E$10,Graf21!$E$11)</c:f>
              <c:numCache>
                <c:formatCode>0.0\ %</c:formatCode>
                <c:ptCount val="5"/>
                <c:pt idx="0">
                  <c:v>3.6499999999999998E-2</c:v>
                </c:pt>
                <c:pt idx="1">
                  <c:v>4.8599999999999997E-2</c:v>
                </c:pt>
                <c:pt idx="2">
                  <c:v>5.4100000000000002E-2</c:v>
                </c:pt>
                <c:pt idx="3">
                  <c:v>0.04</c:v>
                </c:pt>
                <c:pt idx="4">
                  <c:v>2.8299999999999999E-2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DE-4F7B-9B0B-913A16D6E0BA}"/>
            </c:ext>
          </c:extLst>
        </c:ser>
        <c:ser>
          <c:idx val="1"/>
          <c:order val="1"/>
          <c:tx>
            <c:strRef>
              <c:f>Graf21!$F$6</c:f>
              <c:strCache>
                <c:ptCount val="1"/>
                <c:pt idx="0">
                  <c:v>Comercio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Graf21!$A$7:$A$11</c:f>
              <c:numCache>
                <c:formatCode>General</c:formatCode>
                <c:ptCount val="5"/>
                <c:pt idx="0">
                  <c:v>2013</c:v>
                </c:pt>
                <c:pt idx="1">
                  <c:v>2015</c:v>
                </c:pt>
                <c:pt idx="2">
                  <c:v>2017</c:v>
                </c:pt>
                <c:pt idx="3">
                  <c:v>2019</c:v>
                </c:pt>
                <c:pt idx="4">
                  <c:v>2021</c:v>
                </c:pt>
              </c:numCache>
            </c:numRef>
          </c:cat>
          <c:val>
            <c:numRef>
              <c:f>(Graf21!$F$7,Graf21!$F$8,Graf21!$F$9,Graf21!$F$10,Graf21!$F$11)</c:f>
              <c:numCache>
                <c:formatCode>0.0\ %</c:formatCode>
                <c:ptCount val="5"/>
                <c:pt idx="0">
                  <c:v>3.4248612155457714E-2</c:v>
                </c:pt>
                <c:pt idx="1">
                  <c:v>4.5196661041499081E-2</c:v>
                </c:pt>
                <c:pt idx="2">
                  <c:v>4.4239996402650104E-2</c:v>
                </c:pt>
                <c:pt idx="3">
                  <c:v>3.6176167852905221E-2</c:v>
                </c:pt>
                <c:pt idx="4">
                  <c:v>2.2795092799057587E-2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DE-4F7B-9B0B-913A16D6E0BA}"/>
            </c:ext>
          </c:extLst>
        </c:ser>
        <c:ser>
          <c:idx val="2"/>
          <c:order val="2"/>
          <c:tx>
            <c:strRef>
              <c:f>Graf21!$G$6</c:f>
              <c:strCache>
                <c:ptCount val="1"/>
                <c:pt idx="0">
                  <c:v>Industria</c:v>
                </c:pt>
              </c:strCache>
            </c:strRef>
          </c:tx>
          <c:spPr>
            <a:solidFill>
              <a:srgbClr val="0075C9"/>
            </a:solidFill>
            <a:ln>
              <a:solidFill>
                <a:srgbClr val="007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Graf21!$A$7:$A$11</c:f>
              <c:numCache>
                <c:formatCode>General</c:formatCode>
                <c:ptCount val="5"/>
                <c:pt idx="0">
                  <c:v>2013</c:v>
                </c:pt>
                <c:pt idx="1">
                  <c:v>2015</c:v>
                </c:pt>
                <c:pt idx="2">
                  <c:v>2017</c:v>
                </c:pt>
                <c:pt idx="3">
                  <c:v>2019</c:v>
                </c:pt>
                <c:pt idx="4">
                  <c:v>2021</c:v>
                </c:pt>
              </c:numCache>
            </c:numRef>
          </c:cat>
          <c:val>
            <c:numRef>
              <c:f>(Graf21!$G$7,Graf21!$G$8,Graf21!$G$9,Graf21!$G$10,Graf21!$G$11)</c:f>
              <c:numCache>
                <c:formatCode>0.0\ %</c:formatCode>
                <c:ptCount val="5"/>
                <c:pt idx="0">
                  <c:v>4.9241797461109953E-2</c:v>
                </c:pt>
                <c:pt idx="1">
                  <c:v>4.9888785915426212E-2</c:v>
                </c:pt>
                <c:pt idx="2">
                  <c:v>7.2318414194354599E-2</c:v>
                </c:pt>
                <c:pt idx="3">
                  <c:v>3.6758572031869337E-2</c:v>
                </c:pt>
                <c:pt idx="4">
                  <c:v>2.7989845334402737E-2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DE-4F7B-9B0B-913A16D6E0BA}"/>
            </c:ext>
          </c:extLst>
        </c:ser>
        <c:ser>
          <c:idx val="3"/>
          <c:order val="3"/>
          <c:tx>
            <c:strRef>
              <c:f>Graf21!$H$6</c:f>
              <c:strCache>
                <c:ptCount val="1"/>
                <c:pt idx="0">
                  <c:v>Servicios</c:v>
                </c:pt>
              </c:strCache>
            </c:strRef>
          </c:tx>
          <c:spPr>
            <a:solidFill>
              <a:srgbClr val="23A6A2"/>
            </a:solidFill>
            <a:ln>
              <a:solidFill>
                <a:srgbClr val="23A6A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Graf21!$A$7:$A$11</c:f>
              <c:numCache>
                <c:formatCode>General</c:formatCode>
                <c:ptCount val="5"/>
                <c:pt idx="0">
                  <c:v>2013</c:v>
                </c:pt>
                <c:pt idx="1">
                  <c:v>2015</c:v>
                </c:pt>
                <c:pt idx="2">
                  <c:v>2017</c:v>
                </c:pt>
                <c:pt idx="3">
                  <c:v>2019</c:v>
                </c:pt>
                <c:pt idx="4">
                  <c:v>2021</c:v>
                </c:pt>
              </c:numCache>
            </c:numRef>
          </c:cat>
          <c:val>
            <c:numRef>
              <c:f>(Graf21!$H$7,Graf21!$H$8,Graf21!$H$9,Graf21!$H$10,Graf21!$H$11)</c:f>
              <c:numCache>
                <c:formatCode>0.0\ %</c:formatCode>
                <c:ptCount val="5"/>
                <c:pt idx="0">
                  <c:v>3.5197928045456482E-2</c:v>
                </c:pt>
                <c:pt idx="1">
                  <c:v>5.2381087143373348E-2</c:v>
                </c:pt>
                <c:pt idx="2">
                  <c:v>5.9425921521894409E-2</c:v>
                </c:pt>
                <c:pt idx="3">
                  <c:v>4.5506941200544881E-2</c:v>
                </c:pt>
                <c:pt idx="4">
                  <c:v>3.4513055542839871E-2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DE-4F7B-9B0B-913A16D6E0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axId val="1153509327"/>
        <c:axId val="1153509743"/>
      </c:barChart>
      <c:catAx>
        <c:axId val="115350932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153509743"/>
        <c:crosses val="autoZero"/>
        <c:auto val="1"/>
        <c:lblAlgn val="ctr"/>
        <c:lblOffset val="100"/>
        <c:noMultiLvlLbl val="0"/>
      </c:catAx>
      <c:valAx>
        <c:axId val="1153509743"/>
        <c:scaling>
          <c:orientation val="minMax"/>
          <c:max val="0.2"/>
        </c:scaling>
        <c:delete val="1"/>
        <c:axPos val="l"/>
        <c:numFmt formatCode="0.0\ %" sourceLinked="1"/>
        <c:majorTickMark val="out"/>
        <c:minorTickMark val="none"/>
        <c:tickLblPos val="nextTo"/>
        <c:crossAx val="1153509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831848441090188"/>
          <c:y val="4.2607107750110181E-2"/>
          <c:w val="0.49168151558909806"/>
          <c:h val="0.6329224992709245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CA0CAE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16FD6F64-E461-4D02-AF68-C7F0394A48A8}" type="VALUE">
                      <a:rPr lang="en-US"/>
                      <a:pPr/>
                      <a:t>[VALOR]</a:t>
                    </a:fld>
                    <a:endParaRPr lang="es-MX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69BC-4951-8675-31E2237F3FE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253433A-3538-45C9-9282-F0787A029FCE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9BC-4951-8675-31E2237F3FE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1421550-B478-4193-924F-643ADDB60A18}" type="VALUE">
                      <a:rPr lang="en-US"/>
                      <a:pPr/>
                      <a:t>[VALOR]</a:t>
                    </a:fld>
                    <a:endParaRPr lang="es-MX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9BC-4951-8675-31E2237F3FE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EE76549E-C1AD-4591-AF3E-E37F39A5DD4A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9BC-4951-8675-31E2237F3FE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1CF92DA7-FCA1-4709-9C54-AE65D74EAB7E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69BC-4951-8675-31E2237F3FE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778FFE6A-D108-4E1C-8E32-0D93D7EB2C43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9BC-4951-8675-31E2237F3F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3'!$A$12:$A$21</c:f>
              <c:strCache>
                <c:ptCount val="10"/>
                <c:pt idx="0">
                  <c:v>Contacto con autoridades de seguridad pública </c:v>
                </c:pt>
                <c:pt idx="1">
                  <c:v>Trámites ante el Ministerio Público</c:v>
                </c:pt>
                <c:pt idx="2">
                  <c:v>Permisos relacionados con la propiedad</c:v>
                </c:pt>
                <c:pt idx="3">
                  <c:v>Trámite para abrir una empresa </c:v>
                </c:pt>
                <c:pt idx="4">
                  <c:v>Trámites en juzgados o tribunales</c:v>
                </c:pt>
                <c:pt idx="5">
                  <c:v>Otros pagos, trámites o solicitudes </c:v>
                </c:pt>
                <c:pt idx="6">
                  <c:v>Trámites municipales</c:v>
                </c:pt>
                <c:pt idx="7">
                  <c:v>Trámites vehiculares</c:v>
                </c:pt>
                <c:pt idx="8">
                  <c:v>Servicios municipales</c:v>
                </c:pt>
                <c:pt idx="9">
                  <c:v>Trámites del servicio de energía eléctrica</c:v>
                </c:pt>
              </c:strCache>
            </c:strRef>
          </c:cat>
          <c:val>
            <c:numRef>
              <c:f>'Graf 3'!$D$12:$D$21</c:f>
              <c:numCache>
                <c:formatCode>0.0\ %</c:formatCode>
                <c:ptCount val="10"/>
                <c:pt idx="0">
                  <c:v>0.65016423491028896</c:v>
                </c:pt>
                <c:pt idx="1">
                  <c:v>0.2403185833130915</c:v>
                </c:pt>
                <c:pt idx="2">
                  <c:v>0.22331925302529068</c:v>
                </c:pt>
                <c:pt idx="3">
                  <c:v>0.21878125915672267</c:v>
                </c:pt>
                <c:pt idx="4">
                  <c:v>0.2091949529280458</c:v>
                </c:pt>
                <c:pt idx="5">
                  <c:v>0.1882032274348906</c:v>
                </c:pt>
                <c:pt idx="6">
                  <c:v>0.13812499667872952</c:v>
                </c:pt>
                <c:pt idx="7">
                  <c:v>0.11137815893302723</c:v>
                </c:pt>
                <c:pt idx="8">
                  <c:v>9.953699918472611E-2</c:v>
                </c:pt>
                <c:pt idx="9">
                  <c:v>7.4383124284406132E-2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9BC-4951-8675-31E2237F3F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533838256"/>
        <c:axId val="1533839088"/>
      </c:barChart>
      <c:catAx>
        <c:axId val="15338382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33839088"/>
        <c:crosses val="autoZero"/>
        <c:auto val="1"/>
        <c:lblAlgn val="ctr"/>
        <c:lblOffset val="100"/>
        <c:noMultiLvlLbl val="0"/>
      </c:catAx>
      <c:valAx>
        <c:axId val="1533839088"/>
        <c:scaling>
          <c:orientation val="minMax"/>
          <c:max val="1"/>
        </c:scaling>
        <c:delete val="1"/>
        <c:axPos val="t"/>
        <c:numFmt formatCode="0.0\ %" sourceLinked="1"/>
        <c:majorTickMark val="none"/>
        <c:minorTickMark val="none"/>
        <c:tickLblPos val="nextTo"/>
        <c:crossAx val="153383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87037037037037E-2"/>
          <c:y val="0.16203703703703703"/>
          <c:w val="0.94825925925925925"/>
          <c:h val="0.3935838574423480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2ED9D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A0CA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0-429A-A3ED-96F301E26573}"/>
              </c:ext>
            </c:extLst>
          </c:dPt>
          <c:dPt>
            <c:idx val="1"/>
            <c:invertIfNegative val="0"/>
            <c:bubble3D val="0"/>
            <c:spPr>
              <a:solidFill>
                <a:srgbClr val="CA0CA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0-429A-A3ED-96F301E26573}"/>
              </c:ext>
            </c:extLst>
          </c:dPt>
          <c:dPt>
            <c:idx val="2"/>
            <c:invertIfNegative val="0"/>
            <c:bubble3D val="0"/>
            <c:spPr>
              <a:solidFill>
                <a:srgbClr val="CA0CA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0-429A-A3ED-96F301E26573}"/>
              </c:ext>
            </c:extLst>
          </c:dPt>
          <c:dPt>
            <c:idx val="3"/>
            <c:invertIfNegative val="0"/>
            <c:bubble3D val="0"/>
            <c:spPr>
              <a:solidFill>
                <a:srgbClr val="CA0CA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0-429A-A3ED-96F301E2657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4'!$D$15:$D$20</c:f>
              <c:strCache>
                <c:ptCount val="6"/>
                <c:pt idx="0">
                  <c:v>2015*</c:v>
                </c:pt>
                <c:pt idx="1">
                  <c:v>2017</c:v>
                </c:pt>
                <c:pt idx="2">
                  <c:v>2019*</c:v>
                </c:pt>
                <c:pt idx="3">
                  <c:v>2021</c:v>
                </c:pt>
                <c:pt idx="4">
                  <c:v>2016*</c:v>
                </c:pt>
                <c:pt idx="5">
                  <c:v>2020**</c:v>
                </c:pt>
              </c:strCache>
            </c:strRef>
          </c:cat>
          <c:val>
            <c:numRef>
              <c:f>'Graf 4'!$E$15:$E$20</c:f>
              <c:numCache>
                <c:formatCode>###\ ###\ ###\ ##0</c:formatCode>
                <c:ptCount val="6"/>
                <c:pt idx="0">
                  <c:v>3687.8590742097867</c:v>
                </c:pt>
                <c:pt idx="1">
                  <c:v>2712.8888349244166</c:v>
                </c:pt>
                <c:pt idx="2">
                  <c:v>4232.4260520053576</c:v>
                </c:pt>
                <c:pt idx="3">
                  <c:v>3043.78665187769</c:v>
                </c:pt>
                <c:pt idx="4">
                  <c:v>14535.306308433728</c:v>
                </c:pt>
                <c:pt idx="5">
                  <c:v>7418.7726040820899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600-429A-A3ED-96F301E2657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2054693471"/>
        <c:axId val="2054714271"/>
      </c:barChart>
      <c:catAx>
        <c:axId val="2054693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054714271"/>
        <c:crosses val="autoZero"/>
        <c:auto val="1"/>
        <c:lblAlgn val="ctr"/>
        <c:lblOffset val="100"/>
        <c:noMultiLvlLbl val="0"/>
      </c:catAx>
      <c:valAx>
        <c:axId val="2054714271"/>
        <c:scaling>
          <c:orientation val="minMax"/>
        </c:scaling>
        <c:delete val="1"/>
        <c:axPos val="l"/>
        <c:numFmt formatCode="###\ ###\ ###\ ##0" sourceLinked="1"/>
        <c:majorTickMark val="none"/>
        <c:minorTickMark val="none"/>
        <c:tickLblPos val="nextTo"/>
        <c:crossAx val="20546934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09188163927949E-2"/>
          <c:y val="5.0815711029842156E-2"/>
          <c:w val="0.96378162367214415"/>
          <c:h val="0.4879669664544919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2ED9D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5'!$G$6:$G$33</c:f>
              <c:strCache>
                <c:ptCount val="28"/>
                <c:pt idx="0">
                  <c:v>Nacional</c:v>
                </c:pt>
                <c:pt idx="1">
                  <c:v>Puebla</c:v>
                </c:pt>
                <c:pt idx="2">
                  <c:v>Chiapas</c:v>
                </c:pt>
                <c:pt idx="3">
                  <c:v>Sinaloa</c:v>
                </c:pt>
                <c:pt idx="4">
                  <c:v>Baja California Sur</c:v>
                </c:pt>
                <c:pt idx="5">
                  <c:v>Campeche</c:v>
                </c:pt>
                <c:pt idx="6">
                  <c:v>Sonora</c:v>
                </c:pt>
                <c:pt idx="7">
                  <c:v>Durango</c:v>
                </c:pt>
                <c:pt idx="8">
                  <c:v>Quintana Roo</c:v>
                </c:pt>
                <c:pt idx="9">
                  <c:v>Jalisco</c:v>
                </c:pt>
                <c:pt idx="10">
                  <c:v>México</c:v>
                </c:pt>
                <c:pt idx="11">
                  <c:v>Chihuahua</c:v>
                </c:pt>
                <c:pt idx="12">
                  <c:v>Oaxaca</c:v>
                </c:pt>
                <c:pt idx="13">
                  <c:v>San Luis Potosí</c:v>
                </c:pt>
                <c:pt idx="14">
                  <c:v>Querétaro</c:v>
                </c:pt>
                <c:pt idx="15">
                  <c:v>Baja California</c:v>
                </c:pt>
                <c:pt idx="16">
                  <c:v>Tabasco</c:v>
                </c:pt>
                <c:pt idx="17">
                  <c:v>Tamaulipas</c:v>
                </c:pt>
                <c:pt idx="18">
                  <c:v>Ciudad de México</c:v>
                </c:pt>
                <c:pt idx="19">
                  <c:v>Nuevo León</c:v>
                </c:pt>
                <c:pt idx="20">
                  <c:v>Nayarit</c:v>
                </c:pt>
                <c:pt idx="21">
                  <c:v>Zacatecas</c:v>
                </c:pt>
                <c:pt idx="22">
                  <c:v>Hidalgo</c:v>
                </c:pt>
                <c:pt idx="23">
                  <c:v>Veracruz</c:v>
                </c:pt>
                <c:pt idx="24">
                  <c:v>Morelos</c:v>
                </c:pt>
                <c:pt idx="25">
                  <c:v>Guanajuato</c:v>
                </c:pt>
                <c:pt idx="26">
                  <c:v>Guerrero</c:v>
                </c:pt>
                <c:pt idx="27">
                  <c:v>Aguascalientes</c:v>
                </c:pt>
              </c:strCache>
            </c:strRef>
          </c:cat>
          <c:val>
            <c:numRef>
              <c:f>'Graf 5'!$H$6:$H$33</c:f>
              <c:numCache>
                <c:formatCode>0.0\ %</c:formatCode>
                <c:ptCount val="28"/>
                <c:pt idx="0">
                  <c:v>7.5753986357243133E-2</c:v>
                </c:pt>
                <c:pt idx="1">
                  <c:v>0.93484162895927603</c:v>
                </c:pt>
                <c:pt idx="2">
                  <c:v>0.70739852889954313</c:v>
                </c:pt>
                <c:pt idx="3">
                  <c:v>0.43825290595280031</c:v>
                </c:pt>
                <c:pt idx="4">
                  <c:v>0.23249065903489943</c:v>
                </c:pt>
                <c:pt idx="5">
                  <c:v>0.1793455519290317</c:v>
                </c:pt>
                <c:pt idx="6">
                  <c:v>0.11006344309996662</c:v>
                </c:pt>
                <c:pt idx="7">
                  <c:v>9.5936832830661831E-2</c:v>
                </c:pt>
                <c:pt idx="8">
                  <c:v>7.4765707954388069E-2</c:v>
                </c:pt>
                <c:pt idx="9">
                  <c:v>7.4249210760637868E-2</c:v>
                </c:pt>
                <c:pt idx="10">
                  <c:v>7.2638994100840432E-2</c:v>
                </c:pt>
                <c:pt idx="11">
                  <c:v>5.7488503292577549E-2</c:v>
                </c:pt>
                <c:pt idx="12">
                  <c:v>5.384757725554469E-2</c:v>
                </c:pt>
                <c:pt idx="13">
                  <c:v>4.7563268703184239E-2</c:v>
                </c:pt>
                <c:pt idx="14">
                  <c:v>2.2635789892163197E-2</c:v>
                </c:pt>
                <c:pt idx="15">
                  <c:v>1.5056001876502668E-2</c:v>
                </c:pt>
                <c:pt idx="16">
                  <c:v>1.2635226504394862E-2</c:v>
                </c:pt>
                <c:pt idx="17">
                  <c:v>8.9937524315170381E-3</c:v>
                </c:pt>
                <c:pt idx="18">
                  <c:v>8.8311726993156956E-3</c:v>
                </c:pt>
                <c:pt idx="19">
                  <c:v>7.6399094874845452E-3</c:v>
                </c:pt>
                <c:pt idx="20">
                  <c:v>5.1546391752577319E-3</c:v>
                </c:pt>
                <c:pt idx="21">
                  <c:v>4.9314384402505251E-3</c:v>
                </c:pt>
                <c:pt idx="22">
                  <c:v>2.7627035027133697E-3</c:v>
                </c:pt>
                <c:pt idx="23">
                  <c:v>2.693101940942686E-3</c:v>
                </c:pt>
                <c:pt idx="24">
                  <c:v>2.1625197170915384E-3</c:v>
                </c:pt>
                <c:pt idx="25">
                  <c:v>1.5138482711164632E-3</c:v>
                </c:pt>
                <c:pt idx="26">
                  <c:v>8.7919817126780374E-4</c:v>
                </c:pt>
                <c:pt idx="27">
                  <c:v>5.2755137031468443E-4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31-456A-ABCA-F95080ED05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1086908112"/>
        <c:axId val="1086914352"/>
      </c:barChart>
      <c:catAx>
        <c:axId val="108690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86914352"/>
        <c:crosses val="autoZero"/>
        <c:auto val="1"/>
        <c:lblAlgn val="ctr"/>
        <c:lblOffset val="100"/>
        <c:noMultiLvlLbl val="0"/>
      </c:catAx>
      <c:valAx>
        <c:axId val="1086914352"/>
        <c:scaling>
          <c:orientation val="minMax"/>
          <c:max val="1.1000000000000001"/>
        </c:scaling>
        <c:delete val="1"/>
        <c:axPos val="l"/>
        <c:numFmt formatCode="0.0\ %" sourceLinked="1"/>
        <c:majorTickMark val="out"/>
        <c:minorTickMark val="none"/>
        <c:tickLblPos val="nextTo"/>
        <c:crossAx val="108690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54349913577875E-2"/>
          <c:y val="4.6783633564594737E-2"/>
          <c:w val="0.95934175148838108"/>
          <c:h val="0.4044080184799788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680E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6'!$R$50:$R$82</c:f>
              <c:strCache>
                <c:ptCount val="33"/>
                <c:pt idx="0">
                  <c:v>Nacional </c:v>
                </c:pt>
                <c:pt idx="1">
                  <c:v>Yucatán</c:v>
                </c:pt>
                <c:pt idx="2">
                  <c:v>Querétaro</c:v>
                </c:pt>
                <c:pt idx="3">
                  <c:v>Morelos</c:v>
                </c:pt>
                <c:pt idx="4">
                  <c:v>Aguascalientes</c:v>
                </c:pt>
                <c:pt idx="5">
                  <c:v>Tamaulipas</c:v>
                </c:pt>
                <c:pt idx="6">
                  <c:v>Guanajuato</c:v>
                </c:pt>
                <c:pt idx="7">
                  <c:v>México</c:v>
                </c:pt>
                <c:pt idx="8">
                  <c:v>Coahuila</c:v>
                </c:pt>
                <c:pt idx="9">
                  <c:v>Zacatecas</c:v>
                </c:pt>
                <c:pt idx="10">
                  <c:v>Veracruz</c:v>
                </c:pt>
                <c:pt idx="11">
                  <c:v>Michoacán</c:v>
                </c:pt>
                <c:pt idx="12">
                  <c:v>Hidalgo</c:v>
                </c:pt>
                <c:pt idx="13">
                  <c:v>Puebla</c:v>
                </c:pt>
                <c:pt idx="14">
                  <c:v>Jalisco</c:v>
                </c:pt>
                <c:pt idx="15">
                  <c:v>Chihuahua</c:v>
                </c:pt>
                <c:pt idx="16">
                  <c:v>Nayarit</c:v>
                </c:pt>
                <c:pt idx="17">
                  <c:v>Sinaloa</c:v>
                </c:pt>
                <c:pt idx="18">
                  <c:v>Durango</c:v>
                </c:pt>
                <c:pt idx="19">
                  <c:v>Sonora</c:v>
                </c:pt>
                <c:pt idx="20">
                  <c:v>Oaxaca</c:v>
                </c:pt>
                <c:pt idx="21">
                  <c:v>Colima</c:v>
                </c:pt>
                <c:pt idx="22">
                  <c:v>Tlaxcala</c:v>
                </c:pt>
                <c:pt idx="23">
                  <c:v>Chiapas</c:v>
                </c:pt>
                <c:pt idx="24">
                  <c:v>San Luis Potosí</c:v>
                </c:pt>
                <c:pt idx="25">
                  <c:v>Nuevo León</c:v>
                </c:pt>
                <c:pt idx="26">
                  <c:v>Guerrero</c:v>
                </c:pt>
                <c:pt idx="27">
                  <c:v>Campeche</c:v>
                </c:pt>
                <c:pt idx="28">
                  <c:v>Quintana Roo</c:v>
                </c:pt>
                <c:pt idx="29">
                  <c:v>Baja California</c:v>
                </c:pt>
                <c:pt idx="30">
                  <c:v>Tabasco</c:v>
                </c:pt>
                <c:pt idx="31">
                  <c:v>Baja California Sur</c:v>
                </c:pt>
                <c:pt idx="32">
                  <c:v>Ciudad de México</c:v>
                </c:pt>
              </c:strCache>
            </c:strRef>
          </c:cat>
          <c:val>
            <c:numRef>
              <c:f>'Graf 6'!$S$50:$S$82</c:f>
              <c:numCache>
                <c:formatCode>0.0\ %</c:formatCode>
                <c:ptCount val="33"/>
                <c:pt idx="0">
                  <c:v>0.18232209099049163</c:v>
                </c:pt>
                <c:pt idx="1">
                  <c:v>0.61236010696246412</c:v>
                </c:pt>
                <c:pt idx="2">
                  <c:v>0.48069241011984021</c:v>
                </c:pt>
                <c:pt idx="3">
                  <c:v>0.47934490344659009</c:v>
                </c:pt>
                <c:pt idx="4">
                  <c:v>0.43302540415704388</c:v>
                </c:pt>
                <c:pt idx="5">
                  <c:v>0.4014202172096909</c:v>
                </c:pt>
                <c:pt idx="6">
                  <c:v>0.38263046408626999</c:v>
                </c:pt>
                <c:pt idx="7">
                  <c:v>0.27940244160150851</c:v>
                </c:pt>
                <c:pt idx="8">
                  <c:v>0.26487367563162184</c:v>
                </c:pt>
                <c:pt idx="9">
                  <c:v>0.25461807289066402</c:v>
                </c:pt>
                <c:pt idx="10">
                  <c:v>0.2430165836433571</c:v>
                </c:pt>
                <c:pt idx="11">
                  <c:v>0.20068478020764302</c:v>
                </c:pt>
                <c:pt idx="12">
                  <c:v>0.19756283320639756</c:v>
                </c:pt>
                <c:pt idx="13">
                  <c:v>0.17818838890184191</c:v>
                </c:pt>
                <c:pt idx="14">
                  <c:v>0.14921996879875196</c:v>
                </c:pt>
                <c:pt idx="15">
                  <c:v>0.14920790863318187</c:v>
                </c:pt>
                <c:pt idx="16">
                  <c:v>0.13472095150960658</c:v>
                </c:pt>
                <c:pt idx="17">
                  <c:v>0.11102349787099826</c:v>
                </c:pt>
                <c:pt idx="18">
                  <c:v>0.10826133909287257</c:v>
                </c:pt>
                <c:pt idx="19">
                  <c:v>0.10706603999044054</c:v>
                </c:pt>
                <c:pt idx="20">
                  <c:v>9.4892812105926858E-2</c:v>
                </c:pt>
                <c:pt idx="21">
                  <c:v>9.1703056768558958E-2</c:v>
                </c:pt>
                <c:pt idx="22">
                  <c:v>9.1147786946736684E-2</c:v>
                </c:pt>
                <c:pt idx="23">
                  <c:v>8.3343607446677348E-2</c:v>
                </c:pt>
                <c:pt idx="24">
                  <c:v>8.1897768991810227E-2</c:v>
                </c:pt>
                <c:pt idx="25">
                  <c:v>8.1894070236039146E-2</c:v>
                </c:pt>
                <c:pt idx="26">
                  <c:v>6.9810620126253248E-2</c:v>
                </c:pt>
                <c:pt idx="27">
                  <c:v>6.5739570164348921E-2</c:v>
                </c:pt>
                <c:pt idx="28">
                  <c:v>6.2480687225758606E-2</c:v>
                </c:pt>
                <c:pt idx="29">
                  <c:v>6.186440677966102E-2</c:v>
                </c:pt>
                <c:pt idx="30">
                  <c:v>4.1239515377446412E-2</c:v>
                </c:pt>
                <c:pt idx="31">
                  <c:v>9.5385408610466609E-3</c:v>
                </c:pt>
                <c:pt idx="32">
                  <c:v>1.585770920390014E-3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B3-419C-A692-2B7A746E63A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1079622959"/>
        <c:axId val="1079623375"/>
      </c:barChart>
      <c:catAx>
        <c:axId val="1079622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79623375"/>
        <c:crosses val="autoZero"/>
        <c:auto val="1"/>
        <c:lblAlgn val="ctr"/>
        <c:lblOffset val="100"/>
        <c:noMultiLvlLbl val="0"/>
      </c:catAx>
      <c:valAx>
        <c:axId val="1079623375"/>
        <c:scaling>
          <c:orientation val="minMax"/>
          <c:max val="0.8"/>
        </c:scaling>
        <c:delete val="1"/>
        <c:axPos val="l"/>
        <c:numFmt formatCode="0.0\ %" sourceLinked="1"/>
        <c:majorTickMark val="none"/>
        <c:minorTickMark val="none"/>
        <c:tickLblPos val="nextTo"/>
        <c:crossAx val="1079622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0.80102</cdr:y>
    </cdr:from>
    <cdr:to>
      <cdr:x>1</cdr:x>
      <cdr:y>0.96366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7231551A-903E-7584-484A-E4DD0FC6A6B1}"/>
            </a:ext>
          </a:extLst>
        </cdr:cNvPr>
        <cdr:cNvSpPr txBox="1"/>
      </cdr:nvSpPr>
      <cdr:spPr>
        <a:xfrm xmlns:a="http://schemas.openxmlformats.org/drawingml/2006/main">
          <a:off x="0" y="2054432"/>
          <a:ext cx="6332220" cy="4171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Nota: Se refiere a la población de 18 años y más que tuvo contacto con algún servidor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público y experimentó aglún acto de corrupción.</a:t>
          </a:r>
        </a:p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INEGI. Encuesta Nacional de Calidad e Impacto Gubernamental, 2013-2021</a:t>
          </a:r>
        </a:p>
        <a:p xmlns:a="http://schemas.openxmlformats.org/drawingml/2006/main">
          <a:endParaRPr lang="es-MX" sz="800">
            <a:effectLst/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0.00561</cdr:x>
      <cdr:y>0.86289</cdr:y>
    </cdr:from>
    <cdr:to>
      <cdr:x>0.85154</cdr:x>
      <cdr:y>1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63CD62E9-7E7C-94B5-0591-6757079A8026}"/>
            </a:ext>
          </a:extLst>
        </cdr:cNvPr>
        <cdr:cNvSpPr txBox="1"/>
      </cdr:nvSpPr>
      <cdr:spPr>
        <a:xfrm xmlns:a="http://schemas.openxmlformats.org/drawingml/2006/main">
          <a:off x="34883" y="2128724"/>
          <a:ext cx="5259925" cy="338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Nota: Se refiere a las unidades económicas que fueron víctimas por corrupción.</a:t>
          </a:r>
        </a:p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</a:t>
          </a:r>
          <a:r>
            <a:rPr lang="es-MX" sz="800" baseline="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INEGI. Encuesta Nacional de Victimización a Empresas 2014-2022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0.67732</cdr:y>
    </cdr:from>
    <cdr:to>
      <cdr:x>1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6E06A039-7CA8-897B-0387-9C4EFC069E3C}"/>
            </a:ext>
          </a:extLst>
        </cdr:cNvPr>
        <cdr:cNvSpPr txBox="1"/>
      </cdr:nvSpPr>
      <cdr:spPr>
        <a:xfrm xmlns:a="http://schemas.openxmlformats.org/drawingml/2006/main">
          <a:off x="0" y="1664898"/>
          <a:ext cx="6090285" cy="7931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 baseline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1 Contacto con policías u otras autoridades de seguridad pública por incidentes de tránsito, infracciones, detenciones por riñas, faltas a la moral o administrativas, faltas a la moral o administrativas.</a:t>
          </a:r>
        </a:p>
        <a:p xmlns:a="http://schemas.openxmlformats.org/drawingml/2006/main">
          <a:r>
            <a:rPr lang="es-MX" sz="800" baseline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2 En «Otros pagos, trámites o solicitudes» se incluyen «Carta de no antecedentes penales»; «Solicitud de diversas licencias»</a:t>
          </a:r>
        </a:p>
        <a:p xmlns:a="http://schemas.openxmlformats.org/drawingml/2006/main">
          <a:r>
            <a:rPr lang="es-MX" sz="800" baseline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3 Incluye trámites como permisos para vender en la vía pública, conexión o regulación del servicio de agua potable y drenaje.</a:t>
          </a:r>
        </a:p>
        <a:p xmlns:a="http://schemas.openxmlformats.org/drawingml/2006/main">
          <a:r>
            <a:rPr lang="es-MX" sz="800" baseline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* Presenta un coeficiente de variación (CV) Moderado, en el rango de [15,30).</a:t>
          </a:r>
        </a:p>
        <a:p xmlns:a="http://schemas.openxmlformats.org/drawingml/2006/main">
          <a:r>
            <a:rPr lang="es-MX" sz="800" baseline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Calidad e Impacto Gubernamental, 2021</a:t>
          </a:r>
        </a:p>
      </cdr:txBody>
    </cdr:sp>
  </cdr:relSizeAnchor>
  <cdr:relSizeAnchor xmlns:cdr="http://schemas.openxmlformats.org/drawingml/2006/chartDrawing">
    <cdr:from>
      <cdr:x>0.48045</cdr:x>
      <cdr:y>0.02767</cdr:y>
    </cdr:from>
    <cdr:to>
      <cdr:x>0.50652</cdr:x>
      <cdr:y>0.10323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63FBBF90-AE94-F498-22CB-B3B290380940}"/>
            </a:ext>
          </a:extLst>
        </cdr:cNvPr>
        <cdr:cNvSpPr txBox="1"/>
      </cdr:nvSpPr>
      <cdr:spPr>
        <a:xfrm xmlns:a="http://schemas.openxmlformats.org/drawingml/2006/main" flipH="1">
          <a:off x="2926292" y="84668"/>
          <a:ext cx="158750" cy="231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es-MX" sz="600" baseline="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cdr:txBody>
    </cdr:sp>
  </cdr:relSizeAnchor>
  <cdr:relSizeAnchor xmlns:cdr="http://schemas.openxmlformats.org/drawingml/2006/chartDrawing">
    <cdr:from>
      <cdr:x>0.4844</cdr:x>
      <cdr:y>0.33526</cdr:y>
    </cdr:from>
    <cdr:to>
      <cdr:x>0.51047</cdr:x>
      <cdr:y>0.41083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DB53040E-B86F-3573-1B77-442670FCC963}"/>
            </a:ext>
          </a:extLst>
        </cdr:cNvPr>
        <cdr:cNvSpPr txBox="1"/>
      </cdr:nvSpPr>
      <cdr:spPr>
        <a:xfrm xmlns:a="http://schemas.openxmlformats.org/drawingml/2006/main" flipH="1">
          <a:off x="3040592" y="881366"/>
          <a:ext cx="163640" cy="1986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600" baseline="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cdr:txBody>
    </cdr:sp>
  </cdr:relSizeAnchor>
  <cdr:relSizeAnchor xmlns:cdr="http://schemas.openxmlformats.org/drawingml/2006/chartDrawing">
    <cdr:from>
      <cdr:x>0.4845</cdr:x>
      <cdr:y>0.40731</cdr:y>
    </cdr:from>
    <cdr:to>
      <cdr:x>0.51056</cdr:x>
      <cdr:y>0.48288</cdr:y>
    </cdr:to>
    <cdr:sp macro="" textlink="">
      <cdr:nvSpPr>
        <cdr:cNvPr id="5" name="CuadroTexto 1">
          <a:extLst xmlns:a="http://schemas.openxmlformats.org/drawingml/2006/main">
            <a:ext uri="{FF2B5EF4-FFF2-40B4-BE49-F238E27FC236}">
              <a16:creationId xmlns:a16="http://schemas.microsoft.com/office/drawing/2014/main" id="{265D11A6-F25E-5711-BA77-9AEA3385E79B}"/>
            </a:ext>
          </a:extLst>
        </cdr:cNvPr>
        <cdr:cNvSpPr txBox="1"/>
      </cdr:nvSpPr>
      <cdr:spPr>
        <a:xfrm xmlns:a="http://schemas.openxmlformats.org/drawingml/2006/main" flipH="1">
          <a:off x="3041169" y="1070768"/>
          <a:ext cx="163578" cy="1986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600" baseline="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0.6549</cdr:x>
      <cdr:y>0.01604</cdr:y>
    </cdr:from>
    <cdr:to>
      <cdr:x>0.6549</cdr:x>
      <cdr:y>0.5534</cdr:y>
    </cdr:to>
    <cdr:cxnSp macro="">
      <cdr:nvCxnSpPr>
        <cdr:cNvPr id="2" name="Conector recto 1">
          <a:extLst xmlns:a="http://schemas.openxmlformats.org/drawingml/2006/main">
            <a:ext uri="{FF2B5EF4-FFF2-40B4-BE49-F238E27FC236}">
              <a16:creationId xmlns:a16="http://schemas.microsoft.com/office/drawing/2014/main" id="{0F9F9536-1DA3-E421-66DA-2D8B7F5DFF49}"/>
            </a:ext>
          </a:extLst>
        </cdr:cNvPr>
        <cdr:cNvCxnSpPr/>
      </cdr:nvCxnSpPr>
      <cdr:spPr>
        <a:xfrm xmlns:a="http://schemas.openxmlformats.org/drawingml/2006/main" flipV="1">
          <a:off x="3824063" y="30612"/>
          <a:ext cx="0" cy="1025283"/>
        </a:xfrm>
        <a:prstGeom xmlns:a="http://schemas.openxmlformats.org/drawingml/2006/main" prst="line">
          <a:avLst/>
        </a:prstGeom>
        <a:ln xmlns:a="http://schemas.openxmlformats.org/drawingml/2006/main">
          <a:prstDash val="dash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</cdr:x>
      <cdr:y>0.63567</cdr:y>
    </cdr:from>
    <cdr:to>
      <cdr:x>1</cdr:x>
      <cdr:y>0.99622</cdr:y>
    </cdr:to>
    <cdr:sp macro="" textlink="">
      <cdr:nvSpPr>
        <cdr:cNvPr id="5" name="CuadroTexto 5">
          <a:extLst xmlns:a="http://schemas.openxmlformats.org/drawingml/2006/main">
            <a:ext uri="{FF2B5EF4-FFF2-40B4-BE49-F238E27FC236}">
              <a16:creationId xmlns:a16="http://schemas.microsoft.com/office/drawing/2014/main" id="{0549153B-CBFE-15EA-715A-A241D25CEFDE}"/>
            </a:ext>
          </a:extLst>
        </cdr:cNvPr>
        <cdr:cNvSpPr txBox="1"/>
      </cdr:nvSpPr>
      <cdr:spPr>
        <a:xfrm xmlns:a="http://schemas.openxmlformats.org/drawingml/2006/main">
          <a:off x="0" y="1212852"/>
          <a:ext cx="5839200" cy="6879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0000"/>
            </a:lnSpc>
            <a:spcAft>
              <a:spcPts val="0"/>
            </a:spcAft>
          </a:pPr>
          <a:r>
            <a:rPr lang="es-MX" sz="800">
              <a:solidFill>
                <a:srgbClr val="00000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Precios constantes: Para las personas los precios son de diciembre de 2021 y para las empresas, de diciembre de 2020.</a:t>
          </a:r>
        </a:p>
        <a:p xmlns:a="http://schemas.openxmlformats.org/drawingml/2006/main">
          <a:pPr>
            <a:lnSpc>
              <a:spcPct val="100000"/>
            </a:lnSpc>
            <a:spcAft>
              <a:spcPts val="0"/>
            </a:spcAft>
          </a:pPr>
          <a:r>
            <a:rPr lang="es-MX" sz="800">
              <a:solidFill>
                <a:schemeClr val="dk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Las estimaciones que se presentan en la gráfica están marcadas de acuerdo con su nivel de precisión: Moderado (*) en el rango de [20,30) y Bajo(**), de 30 % en adelante.</a:t>
          </a:r>
          <a:r>
            <a:rPr lang="es-MX" sz="800" baseline="0">
              <a:solidFill>
                <a:schemeClr val="dk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Se</a:t>
          </a:r>
          <a:r>
            <a:rPr lang="es-MX" sz="800">
              <a:solidFill>
                <a:schemeClr val="dk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toma como referencia el coeficiente de variación CV (%).                         </a:t>
          </a:r>
          <a:r>
            <a:rPr lang="es-MX" sz="800">
              <a:solidFill>
                <a:srgbClr val="00000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                                                                                                                      </a:t>
          </a:r>
          <a:r>
            <a:rPr lang="es-MX" sz="800">
              <a:solidFill>
                <a:srgbClr val="000000"/>
              </a:solidFill>
              <a:effectLst/>
              <a:latin typeface="Arial" panose="020B060402020202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Fuente: INEGI. Encuesta Nacional de Calidad e Impacto Gubernamental 2015-2021                                                                     INEGI. Encuesta Nacional de Calidad Regulatoria e Impacto Gubernamental en Empresas 2016 y 2020 </a:t>
          </a:r>
          <a:endParaRPr lang="es-MX" sz="1100">
            <a:effectLst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0.20736</cdr:x>
      <cdr:y>0.00302</cdr:y>
    </cdr:from>
    <cdr:to>
      <cdr:x>0.54485</cdr:x>
      <cdr:y>0.0975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B8BA3E66-6D60-97A3-F12D-0EA0B2CAB0E2}"/>
            </a:ext>
          </a:extLst>
        </cdr:cNvPr>
        <cdr:cNvSpPr txBox="1"/>
      </cdr:nvSpPr>
      <cdr:spPr>
        <a:xfrm xmlns:a="http://schemas.openxmlformats.org/drawingml/2006/main">
          <a:off x="1119725" y="8467"/>
          <a:ext cx="1822446" cy="264577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Población</a:t>
          </a:r>
          <a:r>
            <a:rPr lang="es-MX" sz="800" b="1" baseline="0">
              <a:latin typeface="Arial" panose="020B0604020202020204" pitchFamily="34" charset="0"/>
              <a:cs typeface="Arial" panose="020B0604020202020204" pitchFamily="34" charset="0"/>
            </a:rPr>
            <a:t> de 18 años y más</a:t>
          </a:r>
          <a:endParaRPr lang="es-MX" sz="8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0.65225</cdr:x>
      <cdr:y>0.00302</cdr:y>
    </cdr:from>
    <cdr:to>
      <cdr:x>0.98974</cdr:x>
      <cdr:y>0.0975</cdr:y>
    </cdr:to>
    <cdr:sp macro="" textlink="">
      <cdr:nvSpPr>
        <cdr:cNvPr id="4" name="CuadroTexto 1">
          <a:extLst xmlns:a="http://schemas.openxmlformats.org/drawingml/2006/main">
            <a:ext uri="{FF2B5EF4-FFF2-40B4-BE49-F238E27FC236}">
              <a16:creationId xmlns:a16="http://schemas.microsoft.com/office/drawing/2014/main" id="{DA4CCBA4-540A-7454-65EB-9A66BAA67172}"/>
            </a:ext>
          </a:extLst>
        </cdr:cNvPr>
        <cdr:cNvSpPr txBox="1"/>
      </cdr:nvSpPr>
      <cdr:spPr>
        <a:xfrm xmlns:a="http://schemas.openxmlformats.org/drawingml/2006/main">
          <a:off x="3522147" y="8465"/>
          <a:ext cx="1822446" cy="264577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Unidades económicas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0.00092</cdr:x>
      <cdr:y>0.79044</cdr:y>
    </cdr:from>
    <cdr:to>
      <cdr:x>1</cdr:x>
      <cdr:y>1</cdr:y>
    </cdr:to>
    <cdr:sp macro="" textlink="">
      <cdr:nvSpPr>
        <cdr:cNvPr id="2" name="CuadroTexto 2">
          <a:extLst xmlns:a="http://schemas.openxmlformats.org/drawingml/2006/main">
            <a:ext uri="{FF2B5EF4-FFF2-40B4-BE49-F238E27FC236}">
              <a16:creationId xmlns:a16="http://schemas.microsoft.com/office/drawing/2014/main" id="{F7FA6CF3-7B9E-95A8-9352-BE1436931BAE}"/>
            </a:ext>
          </a:extLst>
        </cdr:cNvPr>
        <cdr:cNvSpPr txBox="1"/>
      </cdr:nvSpPr>
      <cdr:spPr>
        <a:xfrm xmlns:a="http://schemas.openxmlformats.org/drawingml/2006/main">
          <a:off x="5630" y="2478512"/>
          <a:ext cx="6114370" cy="65708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just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 Refiere a datos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preliminares</a:t>
          </a:r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just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Nota: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Se excluyen Colima, Michoacán,Tlaxcala y Yucatán debido a que reportaron no haber impartido acciones formativas en materia de </a:t>
          </a:r>
          <a:r>
            <a:rPr lang="es-MX" sz="800" b="0" i="0">
              <a:solidFill>
                <a:schemeClr val="tx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prevención, detección, control, sanción, disuasión y combate a la corrupción. Se excluye la información de Coahuila porque la cifra que reportó incluye personal capacitado de los ámbitos federal y municipal.</a:t>
          </a:r>
        </a:p>
        <a:p xmlns:a="http://schemas.openxmlformats.org/drawingml/2006/main">
          <a:pPr algn="just"/>
          <a:r>
            <a:rPr lang="es-MX" sz="800" b="0" i="0">
              <a:solidFill>
                <a:schemeClr val="tx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</a:t>
          </a:r>
          <a:r>
            <a:rPr lang="es-MX" sz="800" b="0" i="0" baseline="0">
              <a:solidFill>
                <a:schemeClr val="tx1"/>
              </a:solidFill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INEGI. Censo Nacional de Gobiernos Estatales, 2022</a:t>
          </a:r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0.00768</cdr:x>
      <cdr:y>0.7139</cdr:y>
    </cdr:from>
    <cdr:to>
      <cdr:x>0.99386</cdr:x>
      <cdr:y>1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8E2D29BA-2959-782A-8FB1-3734551F2F64}"/>
            </a:ext>
          </a:extLst>
        </cdr:cNvPr>
        <cdr:cNvSpPr txBox="1"/>
      </cdr:nvSpPr>
      <cdr:spPr>
        <a:xfrm xmlns:a="http://schemas.openxmlformats.org/drawingml/2006/main">
          <a:off x="47992" y="2495550"/>
          <a:ext cx="6162016" cy="1000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just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Nota: El cálculo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se realizó entre la cantidad de personal de los municipios y demarcaciones territoriales que impartieron acciones de formación y su cantidad total de personal. </a:t>
          </a:r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Chihuahua,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Hidalgo, Jalisco, México, Michoacán, Quintana Roo, Veracruz, Yucatán, Zacatecas y </a:t>
          </a:r>
          <a:r>
            <a:rPr lang="es-MX" sz="800" baseline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Tlaxcala,</a:t>
          </a:r>
          <a:r>
            <a:rPr lang="es-MX" sz="1100" baseline="0">
              <a:effectLst/>
              <a:latin typeface="+mn-lt"/>
              <a:ea typeface="+mn-ea"/>
              <a:cs typeface="+mn-cs"/>
            </a:rPr>
            <a:t> 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respondieron no tener disponible la información en el caso de este último, y no saber la cantidad de personal capacitado en materia anticorrupción en algunos de los municipios donde se emprendieron acciones formativas. En el caso de Tlaxcala, Veracruz y Guerrero, también se presentaron casos de  No disponible (ND) y No se sabe (NSS) en la cantidad total de personal en las administraciones públicas municipales.  </a:t>
          </a:r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just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Fuente: INEGI. Censo</a:t>
          </a:r>
          <a:r>
            <a:rPr lang="es-MX" sz="800" baseline="0">
              <a:latin typeface="Arial" panose="020B0604020202020204" pitchFamily="34" charset="0"/>
              <a:cs typeface="Arial" panose="020B0604020202020204" pitchFamily="34" charset="0"/>
            </a:rPr>
            <a:t> Nacional de Gobiernos Municipales y Demarcaciones Territoriales de la Ciudad de México, 2021</a:t>
          </a:r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0.02439</cdr:x>
      <cdr:y>0.46322</cdr:y>
    </cdr:from>
    <cdr:to>
      <cdr:x>0.05488</cdr:x>
      <cdr:y>0.6049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EE6A246E-BD5F-C2E7-8435-F81174B9EA44}"/>
            </a:ext>
          </a:extLst>
        </cdr:cNvPr>
        <cdr:cNvSpPr txBox="1"/>
      </cdr:nvSpPr>
      <cdr:spPr>
        <a:xfrm xmlns:a="http://schemas.openxmlformats.org/drawingml/2006/main">
          <a:off x="152400" y="1619250"/>
          <a:ext cx="190500" cy="4953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vert="vert270" wrap="square" lIns="0" tIns="0" rIns="0" bIns="36000" rtlCol="0" anchor="b"/>
        <a:lstStyle xmlns:a="http://schemas.openxmlformats.org/drawingml/2006/main"/>
        <a:p xmlns:a="http://schemas.openxmlformats.org/drawingml/2006/main">
          <a:r>
            <a:rPr lang="es-MX" sz="800" b="1">
              <a:latin typeface="Arial" panose="020B0604020202020204" pitchFamily="34" charset="0"/>
              <a:cs typeface="Arial" panose="020B0604020202020204" pitchFamily="34" charset="0"/>
            </a:rPr>
            <a:t>Nacional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E331-A4ED-46AB-962E-E2F7FF5B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1928</Words>
  <Characters>10610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SANCHEZ FERNANDA</dc:creator>
  <cp:keywords/>
  <dc:description/>
  <cp:lastModifiedBy>GONZALEZ HERNANDEZ MADELEINE</cp:lastModifiedBy>
  <cp:revision>2</cp:revision>
  <dcterms:created xsi:type="dcterms:W3CDTF">2022-12-07T14:59:00Z</dcterms:created>
  <dcterms:modified xsi:type="dcterms:W3CDTF">2022-12-07T14:59:00Z</dcterms:modified>
</cp:coreProperties>
</file>