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6691" w14:textId="41165F36" w:rsidR="00C33139" w:rsidRPr="006030CA" w:rsidRDefault="00C33139" w:rsidP="00797A4B">
      <w:pPr>
        <w:spacing w:after="0" w:line="240" w:lineRule="auto"/>
        <w:ind w:left="709" w:firstLine="708"/>
        <w:rPr>
          <w:rFonts w:ascii="Arial" w:eastAsiaTheme="majorEastAsia" w:hAnsi="Arial" w:cs="Arial"/>
          <w:b/>
          <w:bCs/>
          <w:color w:val="000000" w:themeColor="text1"/>
        </w:rPr>
      </w:pPr>
    </w:p>
    <w:p w14:paraId="782200EA" w14:textId="77777777" w:rsidR="00AD3637" w:rsidRPr="008B4D09" w:rsidRDefault="00DA3890" w:rsidP="00170EC8">
      <w:pPr>
        <w:spacing w:after="0" w:line="240" w:lineRule="auto"/>
        <w:ind w:left="-567" w:right="-518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ESTADÍSTICAS A PROPÓSITO DEL </w:t>
      </w:r>
      <w:r w:rsidR="00B2574F"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DÍA </w:t>
      </w:r>
      <w:r w:rsidR="00F12623"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NACIONAL DE LA VIVIENDA</w:t>
      </w:r>
    </w:p>
    <w:p w14:paraId="7415D13A" w14:textId="733DFCC1" w:rsidR="00733211" w:rsidRDefault="00BC5358" w:rsidP="00170EC8">
      <w:pPr>
        <w:spacing w:after="0" w:line="240" w:lineRule="auto"/>
        <w:ind w:left="-567" w:right="-518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(7 </w:t>
      </w:r>
      <w:r w:rsidR="003C0ECC"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DE </w:t>
      </w:r>
      <w:r w:rsidR="00F12623"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FEBRERO</w:t>
      </w:r>
      <w:r w:rsidR="003C0ECC"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)</w:t>
      </w:r>
    </w:p>
    <w:p w14:paraId="2C165E78" w14:textId="77777777" w:rsidR="00225B4A" w:rsidRPr="008B4D09" w:rsidRDefault="00225B4A" w:rsidP="00170EC8">
      <w:pPr>
        <w:spacing w:after="0" w:line="240" w:lineRule="auto"/>
        <w:ind w:left="-567" w:right="-518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0CC9DEB1" w14:textId="01D29F42" w:rsidR="00342734" w:rsidRPr="007372F3" w:rsidRDefault="00342734" w:rsidP="00170EC8">
      <w:pPr>
        <w:spacing w:after="0" w:line="240" w:lineRule="auto"/>
        <w:ind w:right="193"/>
        <w:jc w:val="both"/>
        <w:rPr>
          <w:rFonts w:ascii="Arial" w:hAnsi="Arial" w:cs="Arial"/>
          <w:bCs/>
        </w:rPr>
      </w:pPr>
    </w:p>
    <w:p w14:paraId="3E52D225" w14:textId="08092B39" w:rsidR="005A49F8" w:rsidRPr="00225B4A" w:rsidRDefault="008B4D09" w:rsidP="00170EC8">
      <w:pPr>
        <w:pStyle w:val="Prrafodelista"/>
        <w:numPr>
          <w:ilvl w:val="0"/>
          <w:numId w:val="5"/>
        </w:numPr>
        <w:spacing w:after="0" w:line="240" w:lineRule="auto"/>
        <w:ind w:left="284" w:right="51" w:hanging="284"/>
        <w:jc w:val="both"/>
        <w:rPr>
          <w:rFonts w:ascii="Arial" w:hAnsi="Arial" w:cs="Arial"/>
        </w:rPr>
      </w:pPr>
      <w:r w:rsidRPr="00225B4A">
        <w:rPr>
          <w:rFonts w:ascii="Arial" w:hAnsi="Arial" w:cs="Arial"/>
        </w:rPr>
        <w:t>En 2020, d</w:t>
      </w:r>
      <w:r w:rsidR="00833DCA" w:rsidRPr="00225B4A">
        <w:rPr>
          <w:rFonts w:ascii="Arial" w:hAnsi="Arial" w:cs="Arial"/>
        </w:rPr>
        <w:t>e acuerdo con la Encuesta Nacional de Vivienda</w:t>
      </w:r>
      <w:r w:rsidRPr="00225B4A">
        <w:rPr>
          <w:rFonts w:ascii="Arial" w:hAnsi="Arial" w:cs="Arial"/>
        </w:rPr>
        <w:t xml:space="preserve"> (ENVI)</w:t>
      </w:r>
      <w:r w:rsidR="00833DCA" w:rsidRPr="00225B4A">
        <w:rPr>
          <w:rFonts w:ascii="Arial" w:hAnsi="Arial" w:cs="Arial"/>
        </w:rPr>
        <w:t>, e</w:t>
      </w:r>
      <w:r w:rsidR="005A49F8" w:rsidRPr="00225B4A">
        <w:rPr>
          <w:rFonts w:ascii="Arial" w:hAnsi="Arial" w:cs="Arial"/>
        </w:rPr>
        <w:t>l total de viviendas particulares habitadas</w:t>
      </w:r>
      <w:r w:rsidR="00F4246D" w:rsidRPr="00225B4A">
        <w:rPr>
          <w:rFonts w:ascii="Arial" w:hAnsi="Arial" w:cs="Arial"/>
        </w:rPr>
        <w:t xml:space="preserve"> en México </w:t>
      </w:r>
      <w:r w:rsidR="00833DCA" w:rsidRPr="00225B4A">
        <w:rPr>
          <w:rFonts w:ascii="Arial" w:hAnsi="Arial" w:cs="Arial"/>
        </w:rPr>
        <w:t xml:space="preserve">era </w:t>
      </w:r>
      <w:r w:rsidR="005A49F8" w:rsidRPr="00225B4A">
        <w:rPr>
          <w:rFonts w:ascii="Arial" w:hAnsi="Arial" w:cs="Arial"/>
        </w:rPr>
        <w:t>de 35.3 millones</w:t>
      </w:r>
      <w:r w:rsidR="00864867" w:rsidRPr="00225B4A">
        <w:rPr>
          <w:rFonts w:ascii="Arial" w:hAnsi="Arial" w:cs="Arial"/>
        </w:rPr>
        <w:t>.</w:t>
      </w:r>
    </w:p>
    <w:p w14:paraId="62CBD6BD" w14:textId="4A6B222F" w:rsidR="007C381C" w:rsidRPr="00225B4A" w:rsidRDefault="007C381C" w:rsidP="00170EC8">
      <w:pPr>
        <w:pStyle w:val="Prrafodelista"/>
        <w:numPr>
          <w:ilvl w:val="0"/>
          <w:numId w:val="5"/>
        </w:numPr>
        <w:spacing w:after="0" w:line="240" w:lineRule="auto"/>
        <w:ind w:left="284" w:right="51" w:hanging="284"/>
        <w:jc w:val="both"/>
        <w:rPr>
          <w:rFonts w:ascii="Arial" w:hAnsi="Arial" w:cs="Arial"/>
        </w:rPr>
      </w:pPr>
      <w:r w:rsidRPr="00225B4A">
        <w:rPr>
          <w:rFonts w:ascii="Arial" w:hAnsi="Arial" w:cs="Arial"/>
        </w:rPr>
        <w:t>Las actividades económicas relacionadas con este sector aportaron 5.8% al Producto Interno Bruto (PIB)</w:t>
      </w:r>
      <w:r w:rsidRPr="00225B4A">
        <w:rPr>
          <w:rStyle w:val="Refdenotaalpie"/>
          <w:rFonts w:ascii="Arial" w:hAnsi="Arial" w:cs="Arial"/>
        </w:rPr>
        <w:footnoteReference w:id="1"/>
      </w:r>
      <w:r w:rsidRPr="00225B4A">
        <w:rPr>
          <w:rFonts w:ascii="Arial" w:hAnsi="Arial" w:cs="Arial"/>
        </w:rPr>
        <w:t xml:space="preserve"> de la economía nacional.</w:t>
      </w:r>
      <w:r w:rsidR="00394833" w:rsidRPr="00225B4A">
        <w:rPr>
          <w:rFonts w:ascii="Arial" w:hAnsi="Arial" w:cs="Arial"/>
        </w:rPr>
        <w:t xml:space="preserve"> Además, gener</w:t>
      </w:r>
      <w:r w:rsidR="00DB19D8" w:rsidRPr="00225B4A">
        <w:rPr>
          <w:rFonts w:ascii="Arial" w:hAnsi="Arial" w:cs="Arial"/>
        </w:rPr>
        <w:t>aron</w:t>
      </w:r>
      <w:r w:rsidR="00394833" w:rsidRPr="00225B4A">
        <w:rPr>
          <w:rFonts w:ascii="Arial" w:hAnsi="Arial" w:cs="Arial"/>
        </w:rPr>
        <w:t xml:space="preserve"> </w:t>
      </w:r>
      <w:r w:rsidR="00170EC8" w:rsidRPr="00225B4A">
        <w:rPr>
          <w:rFonts w:ascii="Arial" w:hAnsi="Arial" w:cs="Arial"/>
        </w:rPr>
        <w:t>2</w:t>
      </w:r>
      <w:r w:rsidR="00225B4A">
        <w:rPr>
          <w:rFonts w:ascii="Arial" w:hAnsi="Arial" w:cs="Arial"/>
        </w:rPr>
        <w:t>,</w:t>
      </w:r>
      <w:r w:rsidR="00394833" w:rsidRPr="00225B4A">
        <w:rPr>
          <w:rFonts w:ascii="Arial" w:hAnsi="Arial" w:cs="Arial"/>
        </w:rPr>
        <w:t>278</w:t>
      </w:r>
      <w:r w:rsidR="00170EC8" w:rsidRPr="00225B4A">
        <w:rPr>
          <w:rFonts w:ascii="Arial" w:hAnsi="Arial" w:cs="Arial"/>
        </w:rPr>
        <w:t>,</w:t>
      </w:r>
      <w:r w:rsidR="00394833" w:rsidRPr="00225B4A">
        <w:rPr>
          <w:rFonts w:ascii="Arial" w:hAnsi="Arial" w:cs="Arial"/>
        </w:rPr>
        <w:t>417 puestos de trabajo, equivalente</w:t>
      </w:r>
      <w:r w:rsidR="00170EC8" w:rsidRPr="00225B4A">
        <w:rPr>
          <w:rFonts w:ascii="Arial" w:hAnsi="Arial" w:cs="Arial"/>
        </w:rPr>
        <w:t>s</w:t>
      </w:r>
      <w:r w:rsidR="00394833" w:rsidRPr="00225B4A">
        <w:rPr>
          <w:rFonts w:ascii="Arial" w:hAnsi="Arial" w:cs="Arial"/>
        </w:rPr>
        <w:t xml:space="preserve"> a 5.5% del total nacional.</w:t>
      </w:r>
    </w:p>
    <w:p w14:paraId="04C7CAA9" w14:textId="0B0B3C12" w:rsidR="0021669F" w:rsidRDefault="0021669F" w:rsidP="007C381C">
      <w:pPr>
        <w:spacing w:after="0" w:line="264" w:lineRule="auto"/>
        <w:ind w:right="-518"/>
        <w:rPr>
          <w:rFonts w:ascii="Arial" w:eastAsiaTheme="majorEastAsia" w:hAnsi="Arial" w:cs="Arial"/>
          <w:color w:val="000000" w:themeColor="text1"/>
        </w:rPr>
      </w:pPr>
    </w:p>
    <w:p w14:paraId="490C2D98" w14:textId="77777777" w:rsidR="00225B4A" w:rsidRPr="006030CA" w:rsidRDefault="00225B4A" w:rsidP="007C381C">
      <w:pPr>
        <w:spacing w:after="0" w:line="264" w:lineRule="auto"/>
        <w:ind w:right="-518"/>
        <w:rPr>
          <w:rFonts w:ascii="Arial" w:eastAsiaTheme="majorEastAsia" w:hAnsi="Arial" w:cs="Arial"/>
          <w:color w:val="000000" w:themeColor="text1"/>
        </w:rPr>
      </w:pPr>
    </w:p>
    <w:p w14:paraId="7478520F" w14:textId="527C42A1" w:rsidR="006F51A1" w:rsidRPr="006030CA" w:rsidRDefault="006F51A1" w:rsidP="007C381C">
      <w:pPr>
        <w:spacing w:after="0" w:line="264" w:lineRule="auto"/>
        <w:ind w:left="-567" w:right="-518"/>
        <w:jc w:val="both"/>
        <w:rPr>
          <w:rFonts w:ascii="Arial" w:hAnsi="Arial" w:cs="Arial"/>
        </w:rPr>
      </w:pPr>
      <w:r w:rsidRPr="006030CA">
        <w:rPr>
          <w:rFonts w:ascii="Arial" w:hAnsi="Arial" w:cs="Arial"/>
        </w:rPr>
        <w:t xml:space="preserve">En noviembre de 2017, </w:t>
      </w:r>
      <w:r w:rsidR="0098564A">
        <w:rPr>
          <w:rFonts w:ascii="Arial" w:hAnsi="Arial" w:cs="Arial"/>
        </w:rPr>
        <w:t>por iniciativa d</w:t>
      </w:r>
      <w:r w:rsidRPr="006030CA">
        <w:rPr>
          <w:rFonts w:ascii="Arial" w:hAnsi="Arial" w:cs="Arial"/>
        </w:rPr>
        <w:t>el Senado de la República</w:t>
      </w:r>
      <w:r w:rsidR="0098564A">
        <w:rPr>
          <w:rFonts w:ascii="Arial" w:hAnsi="Arial" w:cs="Arial"/>
        </w:rPr>
        <w:t xml:space="preserve"> se</w:t>
      </w:r>
      <w:r w:rsidRPr="006030CA">
        <w:rPr>
          <w:rFonts w:ascii="Arial" w:hAnsi="Arial" w:cs="Arial"/>
        </w:rPr>
        <w:t xml:space="preserve"> estableció el 7 de febrero de cada año como el Día </w:t>
      </w:r>
      <w:r w:rsidR="008B4D09">
        <w:rPr>
          <w:rFonts w:ascii="Arial" w:hAnsi="Arial" w:cs="Arial"/>
        </w:rPr>
        <w:t>n</w:t>
      </w:r>
      <w:r w:rsidRPr="006030CA">
        <w:rPr>
          <w:rFonts w:ascii="Arial" w:hAnsi="Arial" w:cs="Arial"/>
        </w:rPr>
        <w:t xml:space="preserve">acional de la </w:t>
      </w:r>
      <w:r w:rsidR="008B4D09">
        <w:rPr>
          <w:rFonts w:ascii="Arial" w:hAnsi="Arial" w:cs="Arial"/>
        </w:rPr>
        <w:t>v</w:t>
      </w:r>
      <w:r w:rsidRPr="006030CA">
        <w:rPr>
          <w:rFonts w:ascii="Arial" w:hAnsi="Arial" w:cs="Arial"/>
        </w:rPr>
        <w:t>ivienda, con el objetivo de conocer, informar y reforzar las acciones en esta materia, así como analizar los mecanismos que den certeza en la construcción de casas-habitación con todas las medidas de seguridad</w:t>
      </w:r>
      <w:r w:rsidR="004A0FAE">
        <w:rPr>
          <w:rStyle w:val="Refdenotaalpie"/>
          <w:rFonts w:ascii="Arial" w:hAnsi="Arial" w:cs="Arial"/>
        </w:rPr>
        <w:footnoteReference w:id="2"/>
      </w:r>
      <w:r w:rsidRPr="006030CA">
        <w:rPr>
          <w:rFonts w:ascii="Arial" w:hAnsi="Arial" w:cs="Arial"/>
        </w:rPr>
        <w:t>.</w:t>
      </w:r>
    </w:p>
    <w:p w14:paraId="510E2DF7" w14:textId="77777777" w:rsidR="00560A22" w:rsidRPr="006030CA" w:rsidRDefault="00560A22" w:rsidP="007C381C">
      <w:pPr>
        <w:spacing w:after="0" w:line="264" w:lineRule="auto"/>
        <w:ind w:left="-567" w:right="-518"/>
        <w:jc w:val="both"/>
        <w:rPr>
          <w:rFonts w:ascii="Arial" w:hAnsi="Arial" w:cs="Arial"/>
        </w:rPr>
      </w:pPr>
    </w:p>
    <w:p w14:paraId="5C99F96B" w14:textId="6580DD86" w:rsidR="00606DC8" w:rsidRPr="006030CA" w:rsidRDefault="00D30E56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 w:rsidRPr="006030CA">
        <w:rPr>
          <w:rFonts w:ascii="Arial" w:hAnsi="Arial" w:cs="Arial"/>
        </w:rPr>
        <w:t>Como se establece</w:t>
      </w:r>
      <w:r w:rsidR="00F53A34" w:rsidRPr="006030CA">
        <w:rPr>
          <w:rFonts w:ascii="Arial" w:hAnsi="Arial" w:cs="Arial"/>
        </w:rPr>
        <w:t xml:space="preserve"> </w:t>
      </w:r>
      <w:r w:rsidR="00262AA2" w:rsidRPr="006030CA">
        <w:rPr>
          <w:rFonts w:ascii="Arial" w:hAnsi="Arial" w:cs="Arial"/>
        </w:rPr>
        <w:t xml:space="preserve">en </w:t>
      </w:r>
      <w:r w:rsidR="00023A19" w:rsidRPr="006030CA">
        <w:rPr>
          <w:rFonts w:ascii="Arial" w:hAnsi="Arial" w:cs="Arial"/>
        </w:rPr>
        <w:t>el Programa Nacional de Vivienda 2019-20</w:t>
      </w:r>
      <w:r w:rsidR="00705619" w:rsidRPr="006030CA">
        <w:rPr>
          <w:rFonts w:ascii="Arial" w:hAnsi="Arial" w:cs="Arial"/>
        </w:rPr>
        <w:t>2</w:t>
      </w:r>
      <w:r w:rsidR="00023A19" w:rsidRPr="006030CA">
        <w:rPr>
          <w:rFonts w:ascii="Arial" w:hAnsi="Arial" w:cs="Arial"/>
        </w:rPr>
        <w:t xml:space="preserve">4 </w:t>
      </w:r>
      <w:r w:rsidR="00611157" w:rsidRPr="006030CA">
        <w:rPr>
          <w:rFonts w:ascii="Arial" w:hAnsi="Arial" w:cs="Arial"/>
        </w:rPr>
        <w:t>(PNV)</w:t>
      </w:r>
      <w:r w:rsidR="00B26301" w:rsidRPr="006030CA">
        <w:rPr>
          <w:rFonts w:ascii="Arial" w:hAnsi="Arial" w:cs="Arial"/>
        </w:rPr>
        <w:t>,</w:t>
      </w:r>
      <w:r w:rsidR="00611157" w:rsidRPr="006030CA">
        <w:rPr>
          <w:rFonts w:ascii="Arial" w:hAnsi="Arial" w:cs="Arial"/>
        </w:rPr>
        <w:t xml:space="preserve"> </w:t>
      </w:r>
      <w:r w:rsidR="008B4D09">
        <w:rPr>
          <w:rFonts w:ascii="Arial" w:hAnsi="Arial" w:cs="Arial"/>
        </w:rPr>
        <w:t>la vivienda</w:t>
      </w:r>
      <w:r w:rsidR="007A2CAE" w:rsidRPr="006030CA">
        <w:rPr>
          <w:rFonts w:ascii="Arial" w:hAnsi="Arial" w:cs="Arial"/>
        </w:rPr>
        <w:t xml:space="preserve"> se concibe</w:t>
      </w:r>
      <w:r w:rsidR="00F53A34" w:rsidRPr="006030CA">
        <w:rPr>
          <w:rFonts w:ascii="Arial" w:hAnsi="Arial" w:cs="Arial"/>
        </w:rPr>
        <w:t xml:space="preserve"> </w:t>
      </w:r>
      <w:r w:rsidR="00082893" w:rsidRPr="006030CA">
        <w:rPr>
          <w:rFonts w:ascii="Arial" w:hAnsi="Arial" w:cs="Arial"/>
        </w:rPr>
        <w:t>como el espacio que habitan las personas y las familias</w:t>
      </w:r>
      <w:r w:rsidR="00F53A34" w:rsidRPr="006030CA">
        <w:rPr>
          <w:rFonts w:ascii="Arial" w:hAnsi="Arial" w:cs="Arial"/>
        </w:rPr>
        <w:t>,</w:t>
      </w:r>
      <w:r w:rsidR="00082893" w:rsidRPr="006030CA">
        <w:rPr>
          <w:rFonts w:ascii="Arial" w:hAnsi="Arial" w:cs="Arial"/>
        </w:rPr>
        <w:t xml:space="preserve"> edificada</w:t>
      </w:r>
      <w:r w:rsidR="00765866" w:rsidRPr="006030CA">
        <w:rPr>
          <w:rFonts w:ascii="Arial" w:hAnsi="Arial" w:cs="Arial"/>
        </w:rPr>
        <w:t xml:space="preserve"> </w:t>
      </w:r>
      <w:r w:rsidR="00082893" w:rsidRPr="006030CA">
        <w:rPr>
          <w:rFonts w:ascii="Arial" w:hAnsi="Arial" w:cs="Arial"/>
        </w:rPr>
        <w:t>a partir de esfuerzos propi</w:t>
      </w:r>
      <w:r w:rsidR="000D79AC" w:rsidRPr="006030CA">
        <w:rPr>
          <w:rFonts w:ascii="Arial" w:hAnsi="Arial" w:cs="Arial"/>
        </w:rPr>
        <w:t xml:space="preserve">os o a través de algún crédito </w:t>
      </w:r>
      <w:r w:rsidR="00F53A34" w:rsidRPr="006030CA">
        <w:rPr>
          <w:rFonts w:ascii="Arial" w:hAnsi="Arial" w:cs="Arial"/>
        </w:rPr>
        <w:t xml:space="preserve">a fin de ser </w:t>
      </w:r>
      <w:r w:rsidR="00082893" w:rsidRPr="006030CA">
        <w:rPr>
          <w:rFonts w:ascii="Arial" w:hAnsi="Arial" w:cs="Arial"/>
        </w:rPr>
        <w:t>utilizada para habitar o como un patrimonio que permite generar ingresos</w:t>
      </w:r>
      <w:r w:rsidR="008B4D09">
        <w:rPr>
          <w:rFonts w:ascii="Arial" w:hAnsi="Arial" w:cs="Arial"/>
        </w:rPr>
        <w:t>. P</w:t>
      </w:r>
      <w:r w:rsidR="00F53A34" w:rsidRPr="006030CA">
        <w:rPr>
          <w:rFonts w:ascii="Arial" w:hAnsi="Arial" w:cs="Arial"/>
        </w:rPr>
        <w:t xml:space="preserve">or </w:t>
      </w:r>
      <w:r w:rsidR="000D79AC" w:rsidRPr="006030CA">
        <w:rPr>
          <w:rFonts w:ascii="Arial" w:hAnsi="Arial" w:cs="Arial"/>
        </w:rPr>
        <w:t>ello</w:t>
      </w:r>
      <w:r w:rsidR="0077294D" w:rsidRPr="006030CA">
        <w:rPr>
          <w:rFonts w:ascii="Arial" w:hAnsi="Arial" w:cs="Arial"/>
        </w:rPr>
        <w:t>,</w:t>
      </w:r>
      <w:r w:rsidR="000D79AC" w:rsidRPr="006030CA">
        <w:rPr>
          <w:rFonts w:ascii="Arial" w:hAnsi="Arial" w:cs="Arial"/>
        </w:rPr>
        <w:t xml:space="preserve"> </w:t>
      </w:r>
      <w:r w:rsidR="00262AA2" w:rsidRPr="006030CA">
        <w:rPr>
          <w:rFonts w:ascii="Arial" w:hAnsi="Arial" w:cs="Arial"/>
        </w:rPr>
        <w:t xml:space="preserve">la vivienda </w:t>
      </w:r>
      <w:r w:rsidR="00F53A34" w:rsidRPr="006030CA">
        <w:rPr>
          <w:rFonts w:ascii="Arial" w:hAnsi="Arial" w:cs="Arial"/>
        </w:rPr>
        <w:t xml:space="preserve">se considera </w:t>
      </w:r>
      <w:r w:rsidR="00765866" w:rsidRPr="006030CA">
        <w:rPr>
          <w:rFonts w:ascii="Arial" w:hAnsi="Arial" w:cs="Arial"/>
        </w:rPr>
        <w:t xml:space="preserve">mucho </w:t>
      </w:r>
      <w:r w:rsidR="00113750" w:rsidRPr="006030CA">
        <w:rPr>
          <w:rFonts w:ascii="Arial" w:hAnsi="Arial" w:cs="Arial"/>
        </w:rPr>
        <w:t>más</w:t>
      </w:r>
      <w:r w:rsidR="00765866" w:rsidRPr="006030CA">
        <w:rPr>
          <w:rFonts w:ascii="Arial" w:hAnsi="Arial" w:cs="Arial"/>
        </w:rPr>
        <w:t xml:space="preserve"> que un simple espacio edificado</w:t>
      </w:r>
      <w:r w:rsidR="00F53A34" w:rsidRPr="006030CA">
        <w:rPr>
          <w:rFonts w:ascii="Arial" w:hAnsi="Arial" w:cs="Arial"/>
        </w:rPr>
        <w:t xml:space="preserve"> al contener </w:t>
      </w:r>
      <w:r w:rsidR="00765866" w:rsidRPr="006030CA">
        <w:rPr>
          <w:rFonts w:ascii="Arial" w:hAnsi="Arial" w:cs="Arial"/>
        </w:rPr>
        <w:t>múltiples significados y enfoques</w:t>
      </w:r>
      <w:r w:rsidR="004A0FAE">
        <w:rPr>
          <w:rStyle w:val="Refdenotaalpie"/>
          <w:rFonts w:ascii="Arial" w:hAnsi="Arial" w:cs="Arial"/>
        </w:rPr>
        <w:footnoteReference w:id="3"/>
      </w:r>
      <w:r w:rsidR="00C00015" w:rsidRPr="006030CA">
        <w:rPr>
          <w:rFonts w:ascii="Arial" w:hAnsi="Arial" w:cs="Arial"/>
          <w:bCs/>
        </w:rPr>
        <w:t xml:space="preserve"> ya que</w:t>
      </w:r>
      <w:r w:rsidR="0077294D" w:rsidRPr="006030CA">
        <w:rPr>
          <w:rFonts w:ascii="Arial" w:hAnsi="Arial" w:cs="Arial"/>
          <w:bCs/>
        </w:rPr>
        <w:t>,</w:t>
      </w:r>
      <w:r w:rsidR="00C00015" w:rsidRPr="006030CA">
        <w:rPr>
          <w:rFonts w:ascii="Arial" w:hAnsi="Arial" w:cs="Arial"/>
          <w:bCs/>
        </w:rPr>
        <w:t xml:space="preserve"> al mismo tiempo</w:t>
      </w:r>
      <w:r w:rsidR="00460C5C" w:rsidRPr="006030CA">
        <w:rPr>
          <w:rFonts w:ascii="Arial" w:hAnsi="Arial" w:cs="Arial"/>
          <w:bCs/>
        </w:rPr>
        <w:t>,</w:t>
      </w:r>
      <w:r w:rsidR="00C00015" w:rsidRPr="006030CA">
        <w:rPr>
          <w:rFonts w:ascii="Arial" w:hAnsi="Arial" w:cs="Arial"/>
          <w:bCs/>
        </w:rPr>
        <w:t xml:space="preserve"> </w:t>
      </w:r>
      <w:r w:rsidR="00262AA2" w:rsidRPr="006030CA">
        <w:rPr>
          <w:rFonts w:ascii="Arial" w:hAnsi="Arial" w:cs="Arial"/>
          <w:bCs/>
        </w:rPr>
        <w:t>su</w:t>
      </w:r>
      <w:r w:rsidR="00184796" w:rsidRPr="006030CA">
        <w:rPr>
          <w:rFonts w:ascii="Arial" w:hAnsi="Arial" w:cs="Arial"/>
          <w:bCs/>
        </w:rPr>
        <w:t xml:space="preserve"> </w:t>
      </w:r>
      <w:r w:rsidR="00833DCA">
        <w:rPr>
          <w:rFonts w:ascii="Arial" w:hAnsi="Arial" w:cs="Arial"/>
          <w:bCs/>
        </w:rPr>
        <w:t>construcción</w:t>
      </w:r>
      <w:r w:rsidR="00833DCA" w:rsidRPr="006030CA">
        <w:rPr>
          <w:rFonts w:ascii="Arial" w:hAnsi="Arial" w:cs="Arial"/>
          <w:bCs/>
        </w:rPr>
        <w:t xml:space="preserve"> </w:t>
      </w:r>
      <w:r w:rsidR="00C00015" w:rsidRPr="006030CA">
        <w:rPr>
          <w:rFonts w:ascii="Arial" w:hAnsi="Arial" w:cs="Arial"/>
          <w:bCs/>
        </w:rPr>
        <w:t>genera inversión, empleo y posibilita el desarrollo</w:t>
      </w:r>
      <w:r w:rsidR="00F53A34" w:rsidRPr="006030CA">
        <w:rPr>
          <w:rFonts w:ascii="Arial" w:hAnsi="Arial" w:cs="Arial"/>
        </w:rPr>
        <w:t>.</w:t>
      </w:r>
    </w:p>
    <w:p w14:paraId="71E2E051" w14:textId="77777777" w:rsidR="00A05F53" w:rsidRPr="006030CA" w:rsidRDefault="00A05F53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59D2EF64" w14:textId="43907991" w:rsidR="00797A4B" w:rsidRPr="008B4D09" w:rsidRDefault="00A75C85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  <w:r w:rsidRPr="008B4D09">
        <w:rPr>
          <w:b/>
          <w:bCs/>
          <w:smallCaps/>
          <w:sz w:val="22"/>
          <w:szCs w:val="22"/>
        </w:rPr>
        <w:t>Características generales de las viviendas</w:t>
      </w:r>
    </w:p>
    <w:p w14:paraId="18948805" w14:textId="77777777" w:rsidR="008B4D09" w:rsidRPr="006030CA" w:rsidRDefault="008B4D09" w:rsidP="007C381C">
      <w:pPr>
        <w:pStyle w:val="Default"/>
        <w:spacing w:line="264" w:lineRule="auto"/>
        <w:ind w:left="-567"/>
        <w:rPr>
          <w:b/>
          <w:bCs/>
          <w:sz w:val="22"/>
          <w:szCs w:val="22"/>
        </w:rPr>
      </w:pPr>
    </w:p>
    <w:p w14:paraId="2AA54A08" w14:textId="4BE3C7C1" w:rsidR="00797A4B" w:rsidRPr="006030CA" w:rsidRDefault="00797A4B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 w:rsidRPr="006030CA">
        <w:rPr>
          <w:rFonts w:ascii="Arial" w:hAnsi="Arial" w:cs="Arial"/>
        </w:rPr>
        <w:t xml:space="preserve">En </w:t>
      </w:r>
      <w:r w:rsidR="008B4D09">
        <w:rPr>
          <w:rFonts w:ascii="Arial" w:hAnsi="Arial" w:cs="Arial"/>
        </w:rPr>
        <w:t>2020 en M</w:t>
      </w:r>
      <w:r w:rsidRPr="006030CA">
        <w:rPr>
          <w:rFonts w:ascii="Arial" w:hAnsi="Arial" w:cs="Arial"/>
        </w:rPr>
        <w:t>éxico, la Encuesta Nacional de Vivienda (ENVI) 2020 estimó que el total de viviendas particulares habitadas es de 35.3 millones</w:t>
      </w:r>
      <w:r w:rsidR="00844C22" w:rsidRPr="006030CA">
        <w:rPr>
          <w:rFonts w:ascii="Arial" w:hAnsi="Arial" w:cs="Arial"/>
        </w:rPr>
        <w:t>.</w:t>
      </w:r>
      <w:r w:rsidRPr="006030CA">
        <w:rPr>
          <w:rFonts w:ascii="Arial" w:hAnsi="Arial" w:cs="Arial"/>
        </w:rPr>
        <w:t xml:space="preserve"> </w:t>
      </w:r>
      <w:r w:rsidR="00844C22" w:rsidRPr="006030CA">
        <w:rPr>
          <w:rFonts w:ascii="Arial" w:hAnsi="Arial" w:cs="Arial"/>
        </w:rPr>
        <w:t>E</w:t>
      </w:r>
      <w:r w:rsidR="008B4D09">
        <w:rPr>
          <w:rFonts w:ascii="Arial" w:hAnsi="Arial" w:cs="Arial"/>
        </w:rPr>
        <w:t>n</w:t>
      </w:r>
      <w:r w:rsidR="00844C22" w:rsidRPr="006030CA">
        <w:rPr>
          <w:rFonts w:ascii="Arial" w:hAnsi="Arial" w:cs="Arial"/>
        </w:rPr>
        <w:t xml:space="preserve"> </w:t>
      </w:r>
      <w:r w:rsidRPr="006030CA">
        <w:rPr>
          <w:rFonts w:ascii="Arial" w:hAnsi="Arial" w:cs="Arial"/>
        </w:rPr>
        <w:t xml:space="preserve">97.8% (34.5 millones) de las viviendas </w:t>
      </w:r>
      <w:r w:rsidR="008B4D09">
        <w:rPr>
          <w:rFonts w:ascii="Arial" w:hAnsi="Arial" w:cs="Arial"/>
        </w:rPr>
        <w:t>se registró</w:t>
      </w:r>
      <w:r w:rsidR="0008135E">
        <w:rPr>
          <w:rFonts w:ascii="Arial" w:hAnsi="Arial" w:cs="Arial"/>
        </w:rPr>
        <w:t xml:space="preserve"> un </w:t>
      </w:r>
      <w:r w:rsidRPr="006030CA">
        <w:rPr>
          <w:rFonts w:ascii="Arial" w:hAnsi="Arial" w:cs="Arial"/>
        </w:rPr>
        <w:t xml:space="preserve"> solo hogar y </w:t>
      </w:r>
      <w:r w:rsidR="0008135E">
        <w:rPr>
          <w:rFonts w:ascii="Arial" w:hAnsi="Arial" w:cs="Arial"/>
        </w:rPr>
        <w:t xml:space="preserve">en </w:t>
      </w:r>
      <w:r w:rsidRPr="006030CA">
        <w:rPr>
          <w:rFonts w:ascii="Arial" w:hAnsi="Arial" w:cs="Arial"/>
        </w:rPr>
        <w:t>2.2% (778 mil)</w:t>
      </w:r>
      <w:r w:rsidR="0008135E">
        <w:rPr>
          <w:rFonts w:ascii="Arial" w:hAnsi="Arial" w:cs="Arial"/>
        </w:rPr>
        <w:t xml:space="preserve">, </w:t>
      </w:r>
      <w:r w:rsidRPr="006030CA">
        <w:rPr>
          <w:rFonts w:ascii="Arial" w:hAnsi="Arial" w:cs="Arial"/>
        </w:rPr>
        <w:t>dos o más hogares.</w:t>
      </w:r>
    </w:p>
    <w:p w14:paraId="2215E90E" w14:textId="77777777" w:rsidR="00797A4B" w:rsidRPr="006030CA" w:rsidRDefault="00797A4B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3D9A70E3" w14:textId="104C688C" w:rsidR="00797A4B" w:rsidRPr="006030CA" w:rsidRDefault="001672AC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 w:rsidRPr="006030CA">
        <w:rPr>
          <w:rFonts w:ascii="Arial" w:hAnsi="Arial" w:cs="Arial"/>
        </w:rPr>
        <w:t>E</w:t>
      </w:r>
      <w:r w:rsidR="00797A4B" w:rsidRPr="006030CA">
        <w:rPr>
          <w:rFonts w:ascii="Arial" w:hAnsi="Arial" w:cs="Arial"/>
        </w:rPr>
        <w:t>l 97.7% de las viviendas particulares habitadas tenían piso con algún recubrimiento (cemento o firme; madera, mosaico u otro tipo de recubrimiento); 97.6% contaba con servicio sanitario; 92.4% c</w:t>
      </w:r>
      <w:r w:rsidR="0008135E">
        <w:rPr>
          <w:rFonts w:ascii="Arial" w:hAnsi="Arial" w:cs="Arial"/>
        </w:rPr>
        <w:t>ontó</w:t>
      </w:r>
      <w:r w:rsidR="00797A4B" w:rsidRPr="006030CA">
        <w:rPr>
          <w:rFonts w:ascii="Arial" w:hAnsi="Arial" w:cs="Arial"/>
        </w:rPr>
        <w:t xml:space="preserve"> con paredes de materiales de tabique, ladrillo, block, cantera, cemento u otro; 89.2% tenía cuarto para cocinar; 78.4% techo de losa de concreto o de viguetas con bovedilla y 76.9% contaba con agua entubada.</w:t>
      </w:r>
    </w:p>
    <w:p w14:paraId="68E99425" w14:textId="08A19087" w:rsidR="00797A4B" w:rsidRDefault="00797A4B" w:rsidP="007C381C">
      <w:pPr>
        <w:spacing w:after="0" w:line="264" w:lineRule="auto"/>
        <w:ind w:left="-567" w:right="108"/>
        <w:rPr>
          <w:rFonts w:ascii="Arial" w:hAnsi="Arial" w:cs="Arial"/>
        </w:rPr>
      </w:pPr>
    </w:p>
    <w:p w14:paraId="20CEDB54" w14:textId="2C2C7448" w:rsidR="003675D6" w:rsidRDefault="003675D6" w:rsidP="007C381C">
      <w:pPr>
        <w:spacing w:after="0" w:line="264" w:lineRule="auto"/>
        <w:ind w:left="-567" w:right="108"/>
        <w:rPr>
          <w:rFonts w:ascii="Arial" w:hAnsi="Arial" w:cs="Arial"/>
        </w:rPr>
      </w:pPr>
    </w:p>
    <w:p w14:paraId="4075BABC" w14:textId="7F898A32" w:rsidR="007C381C" w:rsidRDefault="007C381C" w:rsidP="007C381C">
      <w:pPr>
        <w:spacing w:after="0" w:line="264" w:lineRule="auto"/>
        <w:ind w:left="-567" w:right="108"/>
        <w:rPr>
          <w:rFonts w:ascii="Arial" w:hAnsi="Arial" w:cs="Arial"/>
        </w:rPr>
      </w:pPr>
    </w:p>
    <w:p w14:paraId="5A87A071" w14:textId="2022E7B1" w:rsidR="007C381C" w:rsidRDefault="007C381C" w:rsidP="007C381C">
      <w:pPr>
        <w:spacing w:after="0" w:line="264" w:lineRule="auto"/>
        <w:ind w:left="-567" w:right="108"/>
        <w:rPr>
          <w:rFonts w:ascii="Arial" w:hAnsi="Arial" w:cs="Arial"/>
        </w:rPr>
      </w:pPr>
    </w:p>
    <w:p w14:paraId="761F4691" w14:textId="28E31DA4" w:rsidR="007C381C" w:rsidRDefault="007C381C" w:rsidP="007C381C">
      <w:pPr>
        <w:spacing w:after="0" w:line="264" w:lineRule="auto"/>
        <w:ind w:left="-567" w:right="108"/>
        <w:rPr>
          <w:rFonts w:ascii="Arial" w:hAnsi="Arial" w:cs="Arial"/>
        </w:rPr>
      </w:pPr>
    </w:p>
    <w:p w14:paraId="2BF4E4E3" w14:textId="6CFD96CE" w:rsidR="007C381C" w:rsidRDefault="007C381C" w:rsidP="007C381C">
      <w:pPr>
        <w:spacing w:after="0" w:line="264" w:lineRule="auto"/>
        <w:ind w:left="-567" w:right="108"/>
        <w:rPr>
          <w:rFonts w:ascii="Arial" w:hAnsi="Arial" w:cs="Arial"/>
        </w:rPr>
      </w:pPr>
    </w:p>
    <w:p w14:paraId="578F3B78" w14:textId="77777777" w:rsidR="007C381C" w:rsidRDefault="007C381C" w:rsidP="007C381C">
      <w:pPr>
        <w:spacing w:after="0" w:line="264" w:lineRule="auto"/>
        <w:ind w:left="-567" w:right="108"/>
        <w:rPr>
          <w:rFonts w:ascii="Arial" w:hAnsi="Arial" w:cs="Arial"/>
        </w:rPr>
      </w:pPr>
    </w:p>
    <w:p w14:paraId="134E7A14" w14:textId="2EBAA1EF" w:rsidR="003675D6" w:rsidRPr="0008135E" w:rsidRDefault="003675D6" w:rsidP="007C381C">
      <w:pPr>
        <w:spacing w:after="0" w:line="264" w:lineRule="auto"/>
        <w:ind w:left="-567" w:right="108"/>
        <w:jc w:val="center"/>
        <w:rPr>
          <w:rFonts w:ascii="Arial" w:hAnsi="Arial" w:cs="Arial"/>
          <w:b/>
          <w:bCs/>
          <w:smallCaps/>
        </w:rPr>
      </w:pPr>
      <w:r w:rsidRPr="0008135E">
        <w:rPr>
          <w:rFonts w:ascii="Arial" w:hAnsi="Arial" w:cs="Arial"/>
          <w:b/>
          <w:bCs/>
          <w:smallCaps/>
        </w:rPr>
        <w:lastRenderedPageBreak/>
        <w:t>Porcentaje de viviendas particulares habitadas según características básicas seleccionadas</w:t>
      </w:r>
    </w:p>
    <w:p w14:paraId="39150BD2" w14:textId="4F6744D9" w:rsidR="00F52331" w:rsidRDefault="00F52331" w:rsidP="007C381C">
      <w:pPr>
        <w:spacing w:after="0" w:line="264" w:lineRule="auto"/>
        <w:ind w:left="-567" w:right="108"/>
        <w:jc w:val="center"/>
        <w:rPr>
          <w:rFonts w:ascii="Arial" w:hAnsi="Arial" w:cs="Arial"/>
          <w:b/>
          <w:bCs/>
        </w:rPr>
      </w:pPr>
      <w:r w:rsidRPr="00F52331">
        <w:rPr>
          <w:noProof/>
        </w:rPr>
        <w:drawing>
          <wp:inline distT="0" distB="0" distL="0" distR="0" wp14:anchorId="4210D821" wp14:editId="74F23D5F">
            <wp:extent cx="4385836" cy="1861951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836" cy="186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3715D" w14:textId="77777777" w:rsidR="003675D6" w:rsidRPr="0008135E" w:rsidRDefault="003675D6" w:rsidP="007C381C">
      <w:pPr>
        <w:spacing w:after="0" w:line="264" w:lineRule="auto"/>
        <w:ind w:left="709" w:right="108"/>
        <w:rPr>
          <w:rFonts w:ascii="Arial" w:hAnsi="Arial" w:cs="Arial"/>
          <w:sz w:val="16"/>
          <w:szCs w:val="16"/>
        </w:rPr>
      </w:pPr>
      <w:r w:rsidRPr="0008135E">
        <w:rPr>
          <w:rFonts w:ascii="Arial" w:hAnsi="Arial" w:cs="Arial"/>
          <w:sz w:val="16"/>
          <w:szCs w:val="16"/>
        </w:rPr>
        <w:t>* Incluye ladrillo, block, piedra, cantera, cemento o concreto.</w:t>
      </w:r>
    </w:p>
    <w:p w14:paraId="6DB0EA2E" w14:textId="77777777" w:rsidR="003675D6" w:rsidRPr="0008135E" w:rsidRDefault="003675D6" w:rsidP="007C381C">
      <w:pPr>
        <w:spacing w:after="0" w:line="264" w:lineRule="auto"/>
        <w:ind w:left="709" w:right="108"/>
        <w:rPr>
          <w:rFonts w:ascii="Arial" w:hAnsi="Arial" w:cs="Arial"/>
          <w:sz w:val="16"/>
          <w:szCs w:val="16"/>
        </w:rPr>
      </w:pPr>
      <w:r w:rsidRPr="0008135E">
        <w:rPr>
          <w:rFonts w:ascii="Arial" w:hAnsi="Arial" w:cs="Arial"/>
          <w:sz w:val="16"/>
          <w:szCs w:val="16"/>
        </w:rPr>
        <w:t>** Incluye viguetas con bovedilla</w:t>
      </w:r>
    </w:p>
    <w:p w14:paraId="3714C80B" w14:textId="77777777" w:rsidR="003675D6" w:rsidRPr="0008135E" w:rsidRDefault="003675D6" w:rsidP="007C381C">
      <w:pPr>
        <w:spacing w:after="0" w:line="264" w:lineRule="auto"/>
        <w:ind w:left="709" w:right="108"/>
        <w:rPr>
          <w:rFonts w:ascii="Arial" w:hAnsi="Arial" w:cs="Arial"/>
          <w:sz w:val="16"/>
          <w:szCs w:val="16"/>
        </w:rPr>
      </w:pPr>
      <w:r w:rsidRPr="0008135E">
        <w:rPr>
          <w:rFonts w:ascii="Arial" w:hAnsi="Arial" w:cs="Arial"/>
          <w:sz w:val="16"/>
          <w:szCs w:val="16"/>
        </w:rPr>
        <w:t>*** Se refiere a agua entubada dentro de la vivienda.</w:t>
      </w:r>
    </w:p>
    <w:p w14:paraId="5558BD8F" w14:textId="64FF1184" w:rsidR="003675D6" w:rsidRPr="0008135E" w:rsidRDefault="003675D6" w:rsidP="007C381C">
      <w:pPr>
        <w:spacing w:after="0" w:line="264" w:lineRule="auto"/>
        <w:ind w:left="709" w:right="108"/>
        <w:rPr>
          <w:rFonts w:ascii="Arial" w:hAnsi="Arial" w:cs="Arial"/>
          <w:sz w:val="16"/>
          <w:szCs w:val="16"/>
        </w:rPr>
      </w:pPr>
      <w:r w:rsidRPr="0008135E">
        <w:rPr>
          <w:rFonts w:ascii="Arial" w:hAnsi="Arial" w:cs="Arial"/>
          <w:sz w:val="16"/>
          <w:szCs w:val="16"/>
        </w:rPr>
        <w:t>Fuente: INEGI. Encuesta Nacional de Vivienda 2020. Base de datos.</w:t>
      </w:r>
    </w:p>
    <w:p w14:paraId="1704FF8E" w14:textId="35CCBB23" w:rsidR="003675D6" w:rsidRDefault="003675D6" w:rsidP="007C381C">
      <w:pPr>
        <w:spacing w:after="0" w:line="264" w:lineRule="auto"/>
        <w:ind w:left="-567" w:right="108"/>
        <w:jc w:val="center"/>
        <w:rPr>
          <w:rFonts w:ascii="Arial" w:hAnsi="Arial" w:cs="Arial"/>
        </w:rPr>
      </w:pPr>
    </w:p>
    <w:p w14:paraId="18481DA9" w14:textId="7EB40521" w:rsidR="00797A4B" w:rsidRPr="00142569" w:rsidRDefault="0008135E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En cuanto a superficie,</w:t>
      </w:r>
      <w:r w:rsidR="008E1B0A" w:rsidRPr="006030CA">
        <w:rPr>
          <w:rFonts w:ascii="Arial" w:hAnsi="Arial" w:cs="Arial"/>
        </w:rPr>
        <w:t xml:space="preserve"> </w:t>
      </w:r>
      <w:r w:rsidR="00797A4B" w:rsidRPr="006030CA">
        <w:rPr>
          <w:rFonts w:ascii="Arial" w:hAnsi="Arial" w:cs="Arial"/>
        </w:rPr>
        <w:t xml:space="preserve">12.1% de las viviendas </w:t>
      </w:r>
      <w:r>
        <w:rPr>
          <w:rFonts w:ascii="Arial" w:hAnsi="Arial" w:cs="Arial"/>
        </w:rPr>
        <w:t>fueron construidas</w:t>
      </w:r>
      <w:r w:rsidR="00797A4B" w:rsidRPr="006030CA">
        <w:rPr>
          <w:rFonts w:ascii="Arial" w:hAnsi="Arial" w:cs="Arial"/>
        </w:rPr>
        <w:t xml:space="preserve"> en terrenos de hasta 60 m</w:t>
      </w:r>
      <w:r w:rsidR="00797A4B" w:rsidRPr="00082B52">
        <w:rPr>
          <w:rFonts w:ascii="Arial" w:hAnsi="Arial" w:cs="Arial"/>
          <w:vertAlign w:val="superscript"/>
        </w:rPr>
        <w:t>2</w:t>
      </w:r>
      <w:r w:rsidR="00AE7C53">
        <w:rPr>
          <w:rFonts w:ascii="Arial" w:hAnsi="Arial" w:cs="Arial"/>
        </w:rPr>
        <w:t>;</w:t>
      </w:r>
      <w:r w:rsidR="00797A4B" w:rsidRPr="006030CA">
        <w:rPr>
          <w:rFonts w:ascii="Arial" w:hAnsi="Arial" w:cs="Arial"/>
        </w:rPr>
        <w:t xml:space="preserve"> 13.6% </w:t>
      </w:r>
      <w:r>
        <w:rPr>
          <w:rFonts w:ascii="Arial" w:hAnsi="Arial" w:cs="Arial"/>
        </w:rPr>
        <w:t>en</w:t>
      </w:r>
      <w:r w:rsidR="00797A4B" w:rsidRPr="006030CA">
        <w:rPr>
          <w:rFonts w:ascii="Arial" w:hAnsi="Arial" w:cs="Arial"/>
        </w:rPr>
        <w:t xml:space="preserve"> una superficie de 61 a 90 </w:t>
      </w:r>
      <w:bookmarkStart w:id="0" w:name="_Hlk94610362"/>
      <w:r w:rsidR="00797A4B" w:rsidRPr="006030CA">
        <w:rPr>
          <w:rFonts w:ascii="Arial" w:hAnsi="Arial" w:cs="Arial"/>
        </w:rPr>
        <w:t>m</w:t>
      </w:r>
      <w:r w:rsidR="00797A4B" w:rsidRPr="00082B52">
        <w:rPr>
          <w:rFonts w:ascii="Arial" w:hAnsi="Arial" w:cs="Arial"/>
          <w:vertAlign w:val="superscript"/>
        </w:rPr>
        <w:t>2</w:t>
      </w:r>
      <w:bookmarkEnd w:id="0"/>
      <w:r w:rsidR="00797A4B" w:rsidRPr="006030CA">
        <w:rPr>
          <w:rFonts w:ascii="Arial" w:hAnsi="Arial" w:cs="Arial"/>
        </w:rPr>
        <w:t xml:space="preserve">; en 30.2% de las viviendas el tamaño del terreno está en el rango de 91 a 160 </w:t>
      </w:r>
      <w:r w:rsidR="00390272" w:rsidRPr="006030CA">
        <w:rPr>
          <w:rFonts w:ascii="Arial" w:hAnsi="Arial" w:cs="Arial"/>
        </w:rPr>
        <w:t>m</w:t>
      </w:r>
      <w:r w:rsidR="00390272" w:rsidRPr="004032E2">
        <w:rPr>
          <w:rFonts w:ascii="Arial" w:hAnsi="Arial" w:cs="Arial"/>
          <w:vertAlign w:val="superscript"/>
        </w:rPr>
        <w:t>2</w:t>
      </w:r>
      <w:r w:rsidR="00142569">
        <w:rPr>
          <w:rFonts w:ascii="Arial" w:hAnsi="Arial" w:cs="Arial"/>
        </w:rPr>
        <w:t>;</w:t>
      </w:r>
      <w:r w:rsidR="00797A4B" w:rsidRPr="006030CA">
        <w:rPr>
          <w:rFonts w:ascii="Arial" w:hAnsi="Arial" w:cs="Arial"/>
        </w:rPr>
        <w:t xml:space="preserve"> 23.7% de 161 a 300 </w:t>
      </w:r>
      <w:r w:rsidR="00390272" w:rsidRPr="006030CA">
        <w:rPr>
          <w:rFonts w:ascii="Arial" w:hAnsi="Arial" w:cs="Arial"/>
        </w:rPr>
        <w:t>m</w:t>
      </w:r>
      <w:r w:rsidR="00390272" w:rsidRPr="004032E2">
        <w:rPr>
          <w:rFonts w:ascii="Arial" w:hAnsi="Arial" w:cs="Arial"/>
          <w:vertAlign w:val="superscript"/>
        </w:rPr>
        <w:t>2</w:t>
      </w:r>
      <w:r w:rsidR="00142569">
        <w:rPr>
          <w:rFonts w:ascii="Arial" w:hAnsi="Arial" w:cs="Arial"/>
        </w:rPr>
        <w:t>;</w:t>
      </w:r>
      <w:r w:rsidR="00797A4B" w:rsidRPr="00142569">
        <w:rPr>
          <w:rFonts w:ascii="Arial" w:hAnsi="Arial" w:cs="Arial"/>
        </w:rPr>
        <w:t xml:space="preserve"> </w:t>
      </w:r>
      <w:r w:rsidR="00797A4B" w:rsidRPr="006030CA">
        <w:rPr>
          <w:rFonts w:ascii="Arial" w:hAnsi="Arial" w:cs="Arial"/>
        </w:rPr>
        <w:t>y en 17% de las viviendas la superficie del terreno super</w:t>
      </w:r>
      <w:r>
        <w:rPr>
          <w:rFonts w:ascii="Arial" w:hAnsi="Arial" w:cs="Arial"/>
        </w:rPr>
        <w:t>ó</w:t>
      </w:r>
      <w:r w:rsidR="00797A4B" w:rsidRPr="006030CA">
        <w:rPr>
          <w:rFonts w:ascii="Arial" w:hAnsi="Arial" w:cs="Arial"/>
        </w:rPr>
        <w:t xml:space="preserve"> los 300 metros cuadrados.</w:t>
      </w:r>
    </w:p>
    <w:p w14:paraId="21A6ADB2" w14:textId="4E3D7FE4" w:rsidR="00797A4B" w:rsidRDefault="00797A4B" w:rsidP="007C381C">
      <w:pPr>
        <w:tabs>
          <w:tab w:val="left" w:pos="774"/>
        </w:tabs>
        <w:spacing w:after="0" w:line="264" w:lineRule="auto"/>
        <w:ind w:left="-567" w:right="108"/>
        <w:rPr>
          <w:rFonts w:ascii="Arial" w:hAnsi="Arial" w:cs="Arial"/>
          <w:bCs/>
        </w:rPr>
      </w:pPr>
    </w:p>
    <w:p w14:paraId="5FA22491" w14:textId="2CE95452" w:rsidR="002C50F5" w:rsidRDefault="002C50F5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 w:rsidRPr="00A63BE0">
        <w:rPr>
          <w:rFonts w:ascii="Arial" w:hAnsi="Arial" w:cs="Arial"/>
        </w:rPr>
        <w:t xml:space="preserve">El 67.0% de las viviendas </w:t>
      </w:r>
      <w:r w:rsidR="0008135E">
        <w:rPr>
          <w:rFonts w:ascii="Arial" w:hAnsi="Arial" w:cs="Arial"/>
        </w:rPr>
        <w:t>contó con</w:t>
      </w:r>
      <w:r w:rsidRPr="00A63BE0">
        <w:rPr>
          <w:rFonts w:ascii="Arial" w:hAnsi="Arial" w:cs="Arial"/>
        </w:rPr>
        <w:t xml:space="preserve"> menos de 100 </w:t>
      </w:r>
      <w:r w:rsidR="00416C90" w:rsidRPr="006030CA">
        <w:rPr>
          <w:rFonts w:ascii="Arial" w:hAnsi="Arial" w:cs="Arial"/>
        </w:rPr>
        <w:t>m</w:t>
      </w:r>
      <w:r w:rsidR="00416C90" w:rsidRPr="00082B52">
        <w:rPr>
          <w:rFonts w:ascii="Arial" w:hAnsi="Arial" w:cs="Arial"/>
        </w:rPr>
        <w:t>2</w:t>
      </w:r>
      <w:r w:rsidRPr="00A63BE0">
        <w:rPr>
          <w:rFonts w:ascii="Arial" w:hAnsi="Arial" w:cs="Arial"/>
        </w:rPr>
        <w:t xml:space="preserve"> de superficie construida.</w:t>
      </w:r>
      <w:r>
        <w:rPr>
          <w:rFonts w:ascii="Arial" w:hAnsi="Arial" w:cs="Arial"/>
        </w:rPr>
        <w:t xml:space="preserve"> En particular,</w:t>
      </w:r>
      <w:r w:rsidRPr="006030CA">
        <w:rPr>
          <w:rFonts w:ascii="Arial" w:hAnsi="Arial" w:cs="Arial"/>
        </w:rPr>
        <w:t xml:space="preserve"> 18.3% </w:t>
      </w:r>
      <w:r w:rsidR="0008135E">
        <w:rPr>
          <w:rFonts w:ascii="Arial" w:hAnsi="Arial" w:cs="Arial"/>
        </w:rPr>
        <w:t>declaró contar con</w:t>
      </w:r>
      <w:r w:rsidRPr="006030CA">
        <w:rPr>
          <w:rFonts w:ascii="Arial" w:hAnsi="Arial" w:cs="Arial"/>
        </w:rPr>
        <w:t xml:space="preserve"> una construcción de 45 </w:t>
      </w:r>
      <w:r w:rsidR="00416C90" w:rsidRPr="006030CA">
        <w:rPr>
          <w:rFonts w:ascii="Arial" w:hAnsi="Arial" w:cs="Arial"/>
        </w:rPr>
        <w:t>m</w:t>
      </w:r>
      <w:r w:rsidR="00082B52" w:rsidRPr="00082B52">
        <w:rPr>
          <w:rFonts w:ascii="Arial" w:hAnsi="Arial" w:cs="Arial"/>
          <w:vertAlign w:val="superscript"/>
        </w:rPr>
        <w:t>2</w:t>
      </w:r>
      <w:r w:rsidRPr="006030CA">
        <w:rPr>
          <w:rFonts w:ascii="Arial" w:hAnsi="Arial" w:cs="Arial"/>
        </w:rPr>
        <w:t xml:space="preserve"> o meno</w:t>
      </w:r>
      <w:r>
        <w:rPr>
          <w:rFonts w:ascii="Arial" w:hAnsi="Arial" w:cs="Arial"/>
        </w:rPr>
        <w:t>s</w:t>
      </w:r>
      <w:r w:rsidRPr="006030CA">
        <w:rPr>
          <w:rFonts w:ascii="Arial" w:hAnsi="Arial" w:cs="Arial"/>
        </w:rPr>
        <w:t xml:space="preserve">; en 26.8% de las viviendas la superficie de construcción </w:t>
      </w:r>
      <w:r w:rsidR="0008135E">
        <w:rPr>
          <w:rFonts w:ascii="Arial" w:hAnsi="Arial" w:cs="Arial"/>
        </w:rPr>
        <w:t>se ubicó en</w:t>
      </w:r>
      <w:r w:rsidRPr="006030CA">
        <w:rPr>
          <w:rFonts w:ascii="Arial" w:hAnsi="Arial" w:cs="Arial"/>
        </w:rPr>
        <w:t xml:space="preserve"> el rango de 46 a 75 </w:t>
      </w:r>
      <w:r w:rsidR="00416C90" w:rsidRPr="006030CA">
        <w:rPr>
          <w:rFonts w:ascii="Arial" w:hAnsi="Arial" w:cs="Arial"/>
        </w:rPr>
        <w:t>m</w:t>
      </w:r>
      <w:r w:rsidR="00082B52" w:rsidRPr="00082B52">
        <w:rPr>
          <w:rFonts w:ascii="Arial" w:hAnsi="Arial" w:cs="Arial"/>
          <w:vertAlign w:val="superscript"/>
        </w:rPr>
        <w:t>2</w:t>
      </w:r>
      <w:r w:rsidRPr="006030CA">
        <w:rPr>
          <w:rFonts w:ascii="Arial" w:hAnsi="Arial" w:cs="Arial"/>
        </w:rPr>
        <w:t xml:space="preserve">. En 21.9% de las viviendas la extensión de construcción </w:t>
      </w:r>
      <w:r w:rsidR="00082F6A">
        <w:rPr>
          <w:rFonts w:ascii="Arial" w:hAnsi="Arial" w:cs="Arial"/>
        </w:rPr>
        <w:t>osciló</w:t>
      </w:r>
      <w:r w:rsidRPr="006030CA">
        <w:rPr>
          <w:rFonts w:ascii="Arial" w:hAnsi="Arial" w:cs="Arial"/>
        </w:rPr>
        <w:t xml:space="preserve"> entre 76 y 100 </w:t>
      </w:r>
      <w:r w:rsidR="00416C90" w:rsidRPr="006030CA">
        <w:rPr>
          <w:rFonts w:ascii="Arial" w:hAnsi="Arial" w:cs="Arial"/>
        </w:rPr>
        <w:t>m</w:t>
      </w:r>
      <w:r w:rsidR="00416C90" w:rsidRPr="00FA6E38">
        <w:rPr>
          <w:rFonts w:ascii="Arial" w:hAnsi="Arial" w:cs="Arial"/>
          <w:vertAlign w:val="superscript"/>
        </w:rPr>
        <w:t>2</w:t>
      </w:r>
      <w:r w:rsidRPr="006030CA">
        <w:rPr>
          <w:rFonts w:ascii="Arial" w:hAnsi="Arial" w:cs="Arial"/>
        </w:rPr>
        <w:t xml:space="preserve">; 15% </w:t>
      </w:r>
      <w:r w:rsidR="00082F6A">
        <w:rPr>
          <w:rFonts w:ascii="Arial" w:hAnsi="Arial" w:cs="Arial"/>
        </w:rPr>
        <w:t>reportaron</w:t>
      </w:r>
      <w:r w:rsidRPr="006030CA">
        <w:rPr>
          <w:rFonts w:ascii="Arial" w:hAnsi="Arial" w:cs="Arial"/>
        </w:rPr>
        <w:t xml:space="preserve"> entre 101 y 150 m</w:t>
      </w:r>
      <w:r w:rsidRPr="00082B52">
        <w:rPr>
          <w:rFonts w:ascii="Arial" w:hAnsi="Arial" w:cs="Arial"/>
        </w:rPr>
        <w:t>2</w:t>
      </w:r>
      <w:r w:rsidRPr="006030CA">
        <w:rPr>
          <w:rFonts w:ascii="Arial" w:hAnsi="Arial" w:cs="Arial"/>
        </w:rPr>
        <w:t xml:space="preserve"> construidos </w:t>
      </w:r>
      <w:r w:rsidRPr="00082B52">
        <w:rPr>
          <w:rFonts w:ascii="Arial" w:hAnsi="Arial" w:cs="Arial"/>
        </w:rPr>
        <w:t xml:space="preserve">y </w:t>
      </w:r>
      <w:r w:rsidR="00416C90" w:rsidRPr="00082B52">
        <w:rPr>
          <w:rFonts w:ascii="Arial" w:hAnsi="Arial" w:cs="Arial"/>
        </w:rPr>
        <w:t>14.6</w:t>
      </w:r>
      <w:r w:rsidRPr="00082B52">
        <w:rPr>
          <w:rFonts w:ascii="Arial" w:hAnsi="Arial" w:cs="Arial"/>
        </w:rPr>
        <w:t xml:space="preserve">% </w:t>
      </w:r>
      <w:r w:rsidRPr="00174B4C">
        <w:rPr>
          <w:rFonts w:ascii="Arial" w:hAnsi="Arial" w:cs="Arial"/>
        </w:rPr>
        <w:t>super</w:t>
      </w:r>
      <w:r w:rsidR="00082F6A">
        <w:rPr>
          <w:rFonts w:ascii="Arial" w:hAnsi="Arial" w:cs="Arial"/>
        </w:rPr>
        <w:t>ó</w:t>
      </w:r>
      <w:r w:rsidRPr="00174B4C">
        <w:rPr>
          <w:rFonts w:ascii="Arial" w:hAnsi="Arial" w:cs="Arial"/>
        </w:rPr>
        <w:t xml:space="preserve"> los 150 m</w:t>
      </w:r>
      <w:r w:rsidRPr="00082B52">
        <w:rPr>
          <w:rFonts w:ascii="Arial" w:hAnsi="Arial" w:cs="Arial"/>
        </w:rPr>
        <w:t>2</w:t>
      </w:r>
      <w:r w:rsidRPr="00174B4C">
        <w:rPr>
          <w:rFonts w:ascii="Arial" w:hAnsi="Arial" w:cs="Arial"/>
        </w:rPr>
        <w:t xml:space="preserve"> de superficie construida</w:t>
      </w:r>
      <w:r w:rsidRPr="006030CA">
        <w:rPr>
          <w:rFonts w:ascii="Arial" w:hAnsi="Arial" w:cs="Arial"/>
        </w:rPr>
        <w:t>.</w:t>
      </w:r>
      <w:r w:rsidR="006E79FB">
        <w:rPr>
          <w:rFonts w:ascii="Arial" w:hAnsi="Arial" w:cs="Arial"/>
        </w:rPr>
        <w:t xml:space="preserve"> </w:t>
      </w:r>
    </w:p>
    <w:p w14:paraId="661C3661" w14:textId="77777777" w:rsidR="002C50F5" w:rsidRDefault="002C50F5" w:rsidP="007C381C">
      <w:pPr>
        <w:tabs>
          <w:tab w:val="left" w:pos="774"/>
        </w:tabs>
        <w:spacing w:after="0" w:line="264" w:lineRule="auto"/>
        <w:ind w:left="-567" w:right="108"/>
        <w:rPr>
          <w:rFonts w:ascii="Arial" w:hAnsi="Arial" w:cs="Arial"/>
          <w:bCs/>
        </w:rPr>
      </w:pPr>
    </w:p>
    <w:p w14:paraId="48A22135" w14:textId="75D0CB82" w:rsidR="00B9579B" w:rsidRDefault="00B9579B" w:rsidP="007C381C">
      <w:pPr>
        <w:tabs>
          <w:tab w:val="left" w:pos="774"/>
        </w:tabs>
        <w:spacing w:after="0" w:line="264" w:lineRule="auto"/>
        <w:ind w:left="-567" w:right="108"/>
        <w:rPr>
          <w:rFonts w:ascii="Arial" w:hAnsi="Arial" w:cs="Arial"/>
          <w:bCs/>
        </w:rPr>
        <w:sectPr w:rsidR="00B9579B" w:rsidSect="00960DEC">
          <w:headerReference w:type="default" r:id="rId12"/>
          <w:footerReference w:type="default" r:id="rId13"/>
          <w:pgSz w:w="12240" w:h="15840"/>
          <w:pgMar w:top="1417" w:right="1701" w:bottom="993" w:left="1701" w:header="708" w:footer="322" w:gutter="0"/>
          <w:cols w:space="708"/>
          <w:docGrid w:linePitch="360"/>
        </w:sectPr>
      </w:pPr>
    </w:p>
    <w:p w14:paraId="30E8BED7" w14:textId="084E1B16" w:rsidR="002920BB" w:rsidRPr="00082F6A" w:rsidRDefault="002920BB" w:rsidP="007C381C">
      <w:pPr>
        <w:tabs>
          <w:tab w:val="left" w:pos="774"/>
        </w:tabs>
        <w:spacing w:after="0" w:line="264" w:lineRule="auto"/>
        <w:ind w:left="-567" w:right="108"/>
        <w:jc w:val="center"/>
        <w:rPr>
          <w:rFonts w:ascii="Arial" w:hAnsi="Arial" w:cs="Arial"/>
          <w:b/>
          <w:smallCaps/>
        </w:rPr>
      </w:pPr>
      <w:r w:rsidRPr="00082F6A">
        <w:rPr>
          <w:rFonts w:ascii="Arial" w:hAnsi="Arial" w:cs="Arial"/>
          <w:b/>
          <w:smallCaps/>
        </w:rPr>
        <w:t>Porcentaje de viviendas particulares habitadas, según extensión del terreno (metros cuadrados)</w:t>
      </w:r>
    </w:p>
    <w:p w14:paraId="1100B32A" w14:textId="4BF80605" w:rsidR="002920BB" w:rsidRDefault="002920BB" w:rsidP="007C381C">
      <w:pPr>
        <w:tabs>
          <w:tab w:val="left" w:pos="774"/>
        </w:tabs>
        <w:spacing w:after="0" w:line="264" w:lineRule="auto"/>
        <w:ind w:left="-567" w:right="108"/>
        <w:jc w:val="center"/>
        <w:rPr>
          <w:rFonts w:ascii="Arial" w:hAnsi="Arial" w:cs="Arial"/>
          <w:bCs/>
        </w:rPr>
      </w:pPr>
      <w:r w:rsidRPr="002920BB">
        <w:rPr>
          <w:noProof/>
        </w:rPr>
        <w:drawing>
          <wp:inline distT="0" distB="0" distL="0" distR="0" wp14:anchorId="463E2ADE" wp14:editId="086FFF02">
            <wp:extent cx="2583712" cy="1852148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243" cy="185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8049E" w14:textId="77777777" w:rsidR="00880913" w:rsidRPr="00082F6A" w:rsidRDefault="00880913" w:rsidP="007C381C">
      <w:pPr>
        <w:tabs>
          <w:tab w:val="left" w:pos="774"/>
        </w:tabs>
        <w:spacing w:after="0" w:line="264" w:lineRule="auto"/>
        <w:ind w:left="-426" w:right="108"/>
        <w:rPr>
          <w:rFonts w:ascii="Arial" w:hAnsi="Arial" w:cs="Arial"/>
          <w:bCs/>
          <w:sz w:val="16"/>
          <w:szCs w:val="16"/>
        </w:rPr>
      </w:pPr>
      <w:r w:rsidRPr="00082F6A">
        <w:rPr>
          <w:rFonts w:ascii="Arial" w:hAnsi="Arial" w:cs="Arial"/>
          <w:bCs/>
          <w:sz w:val="16"/>
          <w:szCs w:val="16"/>
        </w:rPr>
        <w:t>Nota: No incluye 1 183 566 viviendas que no especificaron el tamaño del terreno.</w:t>
      </w:r>
    </w:p>
    <w:p w14:paraId="7F6E8870" w14:textId="77777777" w:rsidR="00E37A06" w:rsidRDefault="00880913" w:rsidP="007C381C">
      <w:pPr>
        <w:tabs>
          <w:tab w:val="left" w:pos="774"/>
        </w:tabs>
        <w:spacing w:after="0" w:line="264" w:lineRule="auto"/>
        <w:ind w:left="-426" w:right="108"/>
        <w:rPr>
          <w:rFonts w:ascii="Arial" w:hAnsi="Arial" w:cs="Arial"/>
          <w:bCs/>
          <w:sz w:val="16"/>
          <w:szCs w:val="16"/>
        </w:rPr>
      </w:pPr>
      <w:r w:rsidRPr="00082F6A">
        <w:rPr>
          <w:rFonts w:ascii="Arial" w:hAnsi="Arial" w:cs="Arial"/>
          <w:bCs/>
          <w:sz w:val="16"/>
          <w:szCs w:val="16"/>
        </w:rPr>
        <w:t xml:space="preserve">Fuente: INEGI. Encuesta Nacional de Vivienda 2020. </w:t>
      </w:r>
    </w:p>
    <w:p w14:paraId="5E075578" w14:textId="12F5EC14" w:rsidR="002920BB" w:rsidRPr="00082F6A" w:rsidRDefault="00880913" w:rsidP="007C381C">
      <w:pPr>
        <w:tabs>
          <w:tab w:val="left" w:pos="774"/>
        </w:tabs>
        <w:spacing w:after="0" w:line="264" w:lineRule="auto"/>
        <w:ind w:left="-426" w:right="108"/>
        <w:rPr>
          <w:rFonts w:ascii="Arial" w:hAnsi="Arial" w:cs="Arial"/>
          <w:bCs/>
          <w:sz w:val="16"/>
          <w:szCs w:val="16"/>
        </w:rPr>
      </w:pPr>
      <w:r w:rsidRPr="00082F6A">
        <w:rPr>
          <w:rFonts w:ascii="Arial" w:hAnsi="Arial" w:cs="Arial"/>
          <w:bCs/>
          <w:sz w:val="16"/>
          <w:szCs w:val="16"/>
        </w:rPr>
        <w:t>Base de datos.</w:t>
      </w:r>
    </w:p>
    <w:p w14:paraId="33D2F694" w14:textId="77777777" w:rsidR="002920BB" w:rsidRPr="006F26A8" w:rsidRDefault="002920BB" w:rsidP="007C381C">
      <w:pPr>
        <w:tabs>
          <w:tab w:val="left" w:pos="774"/>
        </w:tabs>
        <w:spacing w:after="0" w:line="264" w:lineRule="auto"/>
        <w:ind w:left="-567" w:right="108"/>
        <w:rPr>
          <w:rFonts w:ascii="Arial" w:hAnsi="Arial" w:cs="Arial"/>
          <w:bCs/>
        </w:rPr>
      </w:pPr>
    </w:p>
    <w:p w14:paraId="1ADB59A8" w14:textId="602D49CC" w:rsidR="00EB3876" w:rsidRPr="00E37A06" w:rsidRDefault="00D62258" w:rsidP="007C381C">
      <w:pPr>
        <w:tabs>
          <w:tab w:val="left" w:pos="774"/>
        </w:tabs>
        <w:spacing w:after="0" w:line="264" w:lineRule="auto"/>
        <w:ind w:left="-284" w:right="108" w:hanging="142"/>
        <w:jc w:val="center"/>
        <w:rPr>
          <w:rFonts w:ascii="Arial" w:hAnsi="Arial" w:cs="Arial"/>
          <w:b/>
          <w:smallCaps/>
        </w:rPr>
      </w:pPr>
      <w:r w:rsidRPr="00E37A06">
        <w:rPr>
          <w:rFonts w:ascii="Arial" w:hAnsi="Arial" w:cs="Arial"/>
          <w:b/>
          <w:smallCaps/>
        </w:rPr>
        <w:t xml:space="preserve">Porcentaje de viviendas particulares habitadas, </w:t>
      </w:r>
      <w:r w:rsidR="00E37A06" w:rsidRPr="00E37A06">
        <w:rPr>
          <w:rFonts w:ascii="Arial" w:hAnsi="Arial" w:cs="Arial"/>
          <w:b/>
          <w:smallCaps/>
        </w:rPr>
        <w:t>según superficie</w:t>
      </w:r>
      <w:r w:rsidRPr="00E37A06">
        <w:rPr>
          <w:rFonts w:ascii="Arial" w:hAnsi="Arial" w:cs="Arial"/>
          <w:b/>
          <w:smallCaps/>
        </w:rPr>
        <w:t xml:space="preserve"> construida (metros cuadrados)</w:t>
      </w:r>
    </w:p>
    <w:p w14:paraId="0DD713F7" w14:textId="24007083" w:rsidR="003E5EC5" w:rsidRDefault="003E5EC5" w:rsidP="007C381C">
      <w:pPr>
        <w:tabs>
          <w:tab w:val="left" w:pos="774"/>
        </w:tabs>
        <w:spacing w:after="0" w:line="264" w:lineRule="auto"/>
        <w:ind w:left="-567" w:right="108"/>
        <w:jc w:val="center"/>
        <w:rPr>
          <w:rFonts w:ascii="Arial" w:hAnsi="Arial" w:cs="Arial"/>
          <w:bCs/>
        </w:rPr>
      </w:pPr>
      <w:r w:rsidRPr="003E5EC5">
        <w:rPr>
          <w:noProof/>
        </w:rPr>
        <w:drawing>
          <wp:inline distT="0" distB="0" distL="0" distR="0" wp14:anchorId="21022284" wp14:editId="27631C35">
            <wp:extent cx="2731419" cy="18923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132" cy="189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F75">
        <w:rPr>
          <w:rFonts w:ascii="Arial" w:hAnsi="Arial" w:cs="Arial"/>
          <w:bCs/>
        </w:rPr>
        <w:t xml:space="preserve">  </w:t>
      </w:r>
    </w:p>
    <w:p w14:paraId="387E5B9D" w14:textId="013F8999" w:rsidR="00D62258" w:rsidRPr="00082F6A" w:rsidRDefault="00A67F75" w:rsidP="007C381C">
      <w:pPr>
        <w:tabs>
          <w:tab w:val="left" w:pos="774"/>
        </w:tabs>
        <w:spacing w:after="0" w:line="264" w:lineRule="auto"/>
        <w:ind w:right="108"/>
        <w:rPr>
          <w:rFonts w:ascii="Arial" w:hAnsi="Arial" w:cs="Arial"/>
          <w:bCs/>
          <w:sz w:val="16"/>
          <w:szCs w:val="16"/>
        </w:rPr>
      </w:pPr>
      <w:r w:rsidRPr="00082F6A">
        <w:rPr>
          <w:rFonts w:ascii="Arial" w:hAnsi="Arial" w:cs="Arial"/>
          <w:bCs/>
          <w:sz w:val="16"/>
          <w:szCs w:val="16"/>
        </w:rPr>
        <w:t>N</w:t>
      </w:r>
      <w:r w:rsidR="00D62258" w:rsidRPr="00082F6A">
        <w:rPr>
          <w:rFonts w:ascii="Arial" w:hAnsi="Arial" w:cs="Arial"/>
          <w:bCs/>
          <w:sz w:val="16"/>
          <w:szCs w:val="16"/>
        </w:rPr>
        <w:t xml:space="preserve">ota: No incluye 1 195 280 viviendas que no </w:t>
      </w:r>
      <w:r w:rsidR="0083616B" w:rsidRPr="00082F6A">
        <w:rPr>
          <w:rFonts w:ascii="Arial" w:hAnsi="Arial" w:cs="Arial"/>
          <w:bCs/>
          <w:sz w:val="16"/>
          <w:szCs w:val="16"/>
        </w:rPr>
        <w:t>e</w:t>
      </w:r>
      <w:r w:rsidR="00D62258" w:rsidRPr="00082F6A">
        <w:rPr>
          <w:rFonts w:ascii="Arial" w:hAnsi="Arial" w:cs="Arial"/>
          <w:bCs/>
          <w:sz w:val="16"/>
          <w:szCs w:val="16"/>
        </w:rPr>
        <w:t>specificaron la superficie construida.</w:t>
      </w:r>
    </w:p>
    <w:p w14:paraId="4354F343" w14:textId="672CE1C2" w:rsidR="00D62258" w:rsidRPr="00082F6A" w:rsidRDefault="00D62258" w:rsidP="007C381C">
      <w:pPr>
        <w:tabs>
          <w:tab w:val="left" w:pos="774"/>
        </w:tabs>
        <w:spacing w:after="0" w:line="264" w:lineRule="auto"/>
        <w:ind w:right="108"/>
        <w:rPr>
          <w:rFonts w:ascii="Arial" w:hAnsi="Arial" w:cs="Arial"/>
          <w:bCs/>
          <w:sz w:val="16"/>
          <w:szCs w:val="16"/>
        </w:rPr>
      </w:pPr>
      <w:r w:rsidRPr="00082F6A">
        <w:rPr>
          <w:rFonts w:ascii="Arial" w:hAnsi="Arial" w:cs="Arial"/>
          <w:bCs/>
          <w:sz w:val="16"/>
          <w:szCs w:val="16"/>
        </w:rPr>
        <w:t>Fuente: INEGI. Encuesta Nacional de Vivienda 2020. Base de datos</w:t>
      </w:r>
    </w:p>
    <w:p w14:paraId="3FDDAE7C" w14:textId="77777777" w:rsidR="000F1B31" w:rsidRDefault="000F1B31" w:rsidP="007C381C">
      <w:pPr>
        <w:tabs>
          <w:tab w:val="left" w:pos="774"/>
        </w:tabs>
        <w:spacing w:after="0" w:line="264" w:lineRule="auto"/>
        <w:ind w:right="108"/>
        <w:rPr>
          <w:rFonts w:ascii="Arial" w:hAnsi="Arial" w:cs="Arial"/>
          <w:bCs/>
        </w:rPr>
      </w:pPr>
    </w:p>
    <w:p w14:paraId="04E0B13A" w14:textId="77777777" w:rsidR="002C50F5" w:rsidRDefault="002C50F5" w:rsidP="007C381C">
      <w:pPr>
        <w:tabs>
          <w:tab w:val="left" w:pos="774"/>
        </w:tabs>
        <w:spacing w:after="0" w:line="264" w:lineRule="auto"/>
        <w:ind w:left="-567" w:right="108"/>
        <w:rPr>
          <w:rFonts w:ascii="Arial" w:hAnsi="Arial" w:cs="Arial"/>
          <w:bCs/>
        </w:rPr>
        <w:sectPr w:rsidR="002C50F5" w:rsidSect="002C50F5">
          <w:type w:val="continuous"/>
          <w:pgSz w:w="12240" w:h="15840"/>
          <w:pgMar w:top="1417" w:right="1701" w:bottom="993" w:left="1701" w:header="708" w:footer="322" w:gutter="0"/>
          <w:cols w:num="2" w:space="708"/>
          <w:docGrid w:linePitch="360"/>
        </w:sectPr>
      </w:pPr>
    </w:p>
    <w:p w14:paraId="214EEE79" w14:textId="6C1F50D3" w:rsidR="003E5EC5" w:rsidRPr="00082F6A" w:rsidRDefault="003E5EC5" w:rsidP="007C381C">
      <w:pPr>
        <w:tabs>
          <w:tab w:val="left" w:pos="774"/>
        </w:tabs>
        <w:spacing w:after="0" w:line="264" w:lineRule="auto"/>
        <w:ind w:left="-567" w:right="108"/>
        <w:rPr>
          <w:rFonts w:ascii="Arial" w:hAnsi="Arial" w:cs="Arial"/>
          <w:bCs/>
          <w:smallCaps/>
        </w:rPr>
      </w:pPr>
    </w:p>
    <w:p w14:paraId="72F3857D" w14:textId="77777777" w:rsidR="007372F3" w:rsidRDefault="007372F3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171A0280" w14:textId="0DC252EA" w:rsidR="00797A4B" w:rsidRDefault="00797A4B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  <w:r w:rsidRPr="00082F6A">
        <w:rPr>
          <w:b/>
          <w:bCs/>
          <w:smallCaps/>
          <w:sz w:val="22"/>
          <w:szCs w:val="22"/>
        </w:rPr>
        <w:t>Problemas estructurales de las viviendas</w:t>
      </w:r>
    </w:p>
    <w:p w14:paraId="4A33E1E6" w14:textId="77777777" w:rsidR="00082F6A" w:rsidRPr="00082F6A" w:rsidRDefault="00082F6A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0BC15AC0" w14:textId="721C23E3" w:rsidR="00797A4B" w:rsidRPr="006030CA" w:rsidRDefault="00695407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 w:rsidRPr="00082B52">
        <w:rPr>
          <w:rFonts w:ascii="Arial" w:hAnsi="Arial" w:cs="Arial"/>
        </w:rPr>
        <w:t xml:space="preserve">Los </w:t>
      </w:r>
      <w:r w:rsidR="00797A4B" w:rsidRPr="00082B52">
        <w:rPr>
          <w:rFonts w:ascii="Arial" w:hAnsi="Arial" w:cs="Arial"/>
        </w:rPr>
        <w:t>principal</w:t>
      </w:r>
      <w:r w:rsidRPr="00082B52">
        <w:rPr>
          <w:rFonts w:ascii="Arial" w:hAnsi="Arial" w:cs="Arial"/>
        </w:rPr>
        <w:t>es</w:t>
      </w:r>
      <w:r w:rsidR="00797A4B" w:rsidRPr="00082B52">
        <w:rPr>
          <w:rFonts w:ascii="Arial" w:hAnsi="Arial" w:cs="Arial"/>
        </w:rPr>
        <w:t xml:space="preserve"> problema</w:t>
      </w:r>
      <w:r w:rsidRPr="00082B52">
        <w:rPr>
          <w:rFonts w:ascii="Arial" w:hAnsi="Arial" w:cs="Arial"/>
        </w:rPr>
        <w:t>s</w:t>
      </w:r>
      <w:r w:rsidR="00797A4B" w:rsidRPr="00082B52">
        <w:rPr>
          <w:rFonts w:ascii="Arial" w:hAnsi="Arial" w:cs="Arial"/>
        </w:rPr>
        <w:t xml:space="preserve"> </w:t>
      </w:r>
      <w:r w:rsidR="009674BF" w:rsidRPr="00082B52">
        <w:rPr>
          <w:rFonts w:ascii="Arial" w:hAnsi="Arial" w:cs="Arial"/>
        </w:rPr>
        <w:t xml:space="preserve">estructurales </w:t>
      </w:r>
      <w:r w:rsidR="007A5CB4" w:rsidRPr="00082B52">
        <w:rPr>
          <w:rFonts w:ascii="Arial" w:hAnsi="Arial" w:cs="Arial"/>
        </w:rPr>
        <w:t xml:space="preserve">de las viviendas </w:t>
      </w:r>
      <w:r w:rsidR="00082F6A">
        <w:rPr>
          <w:rFonts w:ascii="Arial" w:hAnsi="Arial" w:cs="Arial"/>
        </w:rPr>
        <w:t>fueron</w:t>
      </w:r>
      <w:r w:rsidRPr="00082B52">
        <w:rPr>
          <w:rFonts w:ascii="Arial" w:hAnsi="Arial" w:cs="Arial"/>
        </w:rPr>
        <w:t xml:space="preserve"> </w:t>
      </w:r>
      <w:r w:rsidR="00797A4B" w:rsidRPr="00082B52">
        <w:rPr>
          <w:rFonts w:ascii="Arial" w:hAnsi="Arial" w:cs="Arial"/>
        </w:rPr>
        <w:t>la</w:t>
      </w:r>
      <w:r w:rsidR="00735AC1" w:rsidRPr="00082B52">
        <w:rPr>
          <w:rFonts w:ascii="Arial" w:hAnsi="Arial" w:cs="Arial"/>
        </w:rPr>
        <w:t>s</w:t>
      </w:r>
      <w:r w:rsidR="00797A4B" w:rsidRPr="00082B52">
        <w:rPr>
          <w:rFonts w:ascii="Arial" w:hAnsi="Arial" w:cs="Arial"/>
        </w:rPr>
        <w:t xml:space="preserve"> humedad</w:t>
      </w:r>
      <w:r w:rsidR="00735AC1" w:rsidRPr="00082B52">
        <w:rPr>
          <w:rFonts w:ascii="Arial" w:hAnsi="Arial" w:cs="Arial"/>
        </w:rPr>
        <w:t>es</w:t>
      </w:r>
      <w:r w:rsidR="00797A4B" w:rsidRPr="00082B52">
        <w:rPr>
          <w:rFonts w:ascii="Arial" w:hAnsi="Arial" w:cs="Arial"/>
        </w:rPr>
        <w:t xml:space="preserve"> y </w:t>
      </w:r>
      <w:r w:rsidR="00735AC1" w:rsidRPr="00082B52">
        <w:rPr>
          <w:rFonts w:ascii="Arial" w:hAnsi="Arial" w:cs="Arial"/>
        </w:rPr>
        <w:t xml:space="preserve">las </w:t>
      </w:r>
      <w:r w:rsidR="00797A4B" w:rsidRPr="00082B52">
        <w:rPr>
          <w:rFonts w:ascii="Arial" w:hAnsi="Arial" w:cs="Arial"/>
        </w:rPr>
        <w:t>filtraciones de agua en cimientos, muros o techos con 44.2%; las grietas o cuarteaduras en techos o muro</w:t>
      </w:r>
      <w:r w:rsidR="00082F6A">
        <w:rPr>
          <w:rFonts w:ascii="Arial" w:hAnsi="Arial" w:cs="Arial"/>
        </w:rPr>
        <w:t xml:space="preserve"> se presentaron en</w:t>
      </w:r>
      <w:r w:rsidR="00797A4B" w:rsidRPr="00082B52">
        <w:rPr>
          <w:rFonts w:ascii="Arial" w:hAnsi="Arial" w:cs="Arial"/>
        </w:rPr>
        <w:t xml:space="preserve"> 40.8%</w:t>
      </w:r>
      <w:r w:rsidR="00082F6A">
        <w:rPr>
          <w:rFonts w:ascii="Arial" w:hAnsi="Arial" w:cs="Arial"/>
        </w:rPr>
        <w:t>;</w:t>
      </w:r>
      <w:r w:rsidR="00797A4B" w:rsidRPr="00082B52">
        <w:rPr>
          <w:rFonts w:ascii="Arial" w:hAnsi="Arial" w:cs="Arial"/>
        </w:rPr>
        <w:t xml:space="preserve"> </w:t>
      </w:r>
      <w:r w:rsidR="00082F6A" w:rsidRPr="00082B52">
        <w:rPr>
          <w:rFonts w:ascii="Arial" w:hAnsi="Arial" w:cs="Arial"/>
        </w:rPr>
        <w:t xml:space="preserve">pandeos o deformaciones en marcos de puertas y ventanas </w:t>
      </w:r>
      <w:r w:rsidR="00082F6A">
        <w:rPr>
          <w:rFonts w:ascii="Arial" w:hAnsi="Arial" w:cs="Arial"/>
        </w:rPr>
        <w:t xml:space="preserve">se registraron </w:t>
      </w:r>
      <w:r w:rsidR="00797A4B" w:rsidRPr="00082B52">
        <w:rPr>
          <w:rFonts w:ascii="Arial" w:hAnsi="Arial" w:cs="Arial"/>
        </w:rPr>
        <w:t xml:space="preserve">en 16.2% de las viviendas y 14.8% </w:t>
      </w:r>
      <w:r w:rsidR="00B9579B">
        <w:rPr>
          <w:rFonts w:ascii="Arial" w:hAnsi="Arial" w:cs="Arial"/>
        </w:rPr>
        <w:t xml:space="preserve">tuvieron </w:t>
      </w:r>
      <w:r w:rsidR="00797A4B" w:rsidRPr="00082B52">
        <w:rPr>
          <w:rFonts w:ascii="Arial" w:hAnsi="Arial" w:cs="Arial"/>
        </w:rPr>
        <w:t>levantamiento o hundimiento de pisos.</w:t>
      </w:r>
    </w:p>
    <w:p w14:paraId="0D8821A5" w14:textId="3A7F7E6C" w:rsidR="005A721C" w:rsidRPr="006030CA" w:rsidRDefault="005A721C" w:rsidP="007C381C">
      <w:pPr>
        <w:pStyle w:val="Default"/>
        <w:spacing w:line="264" w:lineRule="auto"/>
        <w:ind w:left="-567"/>
        <w:rPr>
          <w:sz w:val="22"/>
          <w:szCs w:val="22"/>
        </w:rPr>
      </w:pPr>
    </w:p>
    <w:p w14:paraId="54F6C5EF" w14:textId="436E0E9E" w:rsidR="005A721C" w:rsidRDefault="00751493" w:rsidP="007C381C">
      <w:pPr>
        <w:spacing w:after="0" w:line="264" w:lineRule="auto"/>
        <w:ind w:left="-567" w:right="-518"/>
        <w:jc w:val="both"/>
        <w:rPr>
          <w:rFonts w:ascii="Arial" w:hAnsi="Arial" w:cs="Arial"/>
          <w:b/>
          <w:smallCaps/>
          <w:color w:val="000000" w:themeColor="text1"/>
        </w:rPr>
      </w:pPr>
      <w:r w:rsidRPr="00082F6A">
        <w:rPr>
          <w:rFonts w:ascii="Arial" w:hAnsi="Arial" w:cs="Arial"/>
          <w:b/>
          <w:smallCaps/>
          <w:color w:val="000000" w:themeColor="text1"/>
        </w:rPr>
        <w:t>La vivienda en la contabilidad nacional</w:t>
      </w:r>
    </w:p>
    <w:p w14:paraId="7033A9F9" w14:textId="77777777" w:rsidR="00082F6A" w:rsidRPr="00082F6A" w:rsidRDefault="00082F6A" w:rsidP="007C381C">
      <w:pPr>
        <w:spacing w:after="0" w:line="264" w:lineRule="auto"/>
        <w:ind w:left="-567" w:right="-518"/>
        <w:jc w:val="both"/>
        <w:rPr>
          <w:rFonts w:ascii="Arial" w:hAnsi="Arial" w:cs="Arial"/>
          <w:b/>
          <w:smallCaps/>
          <w:color w:val="000000" w:themeColor="text1"/>
        </w:rPr>
      </w:pPr>
    </w:p>
    <w:p w14:paraId="1A1447A8" w14:textId="46DCDCEF" w:rsidR="005A721C" w:rsidRPr="006030CA" w:rsidRDefault="005A721C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 w:rsidRPr="00416C90">
        <w:rPr>
          <w:rFonts w:ascii="Arial" w:hAnsi="Arial" w:cs="Arial"/>
        </w:rPr>
        <w:t>Para cuantificar las actividades relacionadas con el sector de la vivienda se utilizan las recomendaciones de la contabilidad satélite del Sistema de Cuentas Nacionales 2008 (SCN)</w:t>
      </w:r>
      <w:r w:rsidR="004A0FAE">
        <w:rPr>
          <w:rStyle w:val="Refdenotaalpie"/>
          <w:rFonts w:ascii="Arial" w:hAnsi="Arial" w:cs="Arial"/>
        </w:rPr>
        <w:footnoteReference w:id="4"/>
      </w:r>
      <w:r w:rsidRPr="00B9579B">
        <w:rPr>
          <w:rFonts w:ascii="Arial" w:hAnsi="Arial" w:cs="Arial"/>
          <w:vertAlign w:val="superscript"/>
        </w:rPr>
        <w:t xml:space="preserve"> </w:t>
      </w:r>
      <w:r w:rsidRPr="00416C90">
        <w:rPr>
          <w:rFonts w:ascii="Arial" w:hAnsi="Arial" w:cs="Arial"/>
        </w:rPr>
        <w:t>de las Naciones Unidas y</w:t>
      </w:r>
      <w:r w:rsidRPr="006030CA">
        <w:rPr>
          <w:rFonts w:ascii="Arial" w:hAnsi="Arial" w:cs="Arial"/>
        </w:rPr>
        <w:t xml:space="preserve"> otros organismos internacionales. Adicionalmente, se hace uso de clasificadores como el Sistema de Clasificación Industrial de América del Norte 2013 (SCIAN)</w:t>
      </w:r>
      <w:r w:rsidR="004A0FAE">
        <w:rPr>
          <w:rStyle w:val="Refdenotaalpie"/>
          <w:rFonts w:ascii="Arial" w:hAnsi="Arial" w:cs="Arial"/>
        </w:rPr>
        <w:footnoteReference w:id="5"/>
      </w:r>
      <w:r w:rsidRPr="006030CA">
        <w:rPr>
          <w:rFonts w:ascii="Arial" w:hAnsi="Arial" w:cs="Arial"/>
        </w:rPr>
        <w:t xml:space="preserve"> y un clasificador funcional propio de la vivienda</w:t>
      </w:r>
      <w:r w:rsidR="004A0FAE">
        <w:rPr>
          <w:rStyle w:val="Refdenotaalpie"/>
          <w:rFonts w:ascii="Arial" w:hAnsi="Arial" w:cs="Arial"/>
        </w:rPr>
        <w:footnoteReference w:id="6"/>
      </w:r>
      <w:r w:rsidRPr="006030CA">
        <w:rPr>
          <w:rFonts w:ascii="Arial" w:hAnsi="Arial" w:cs="Arial"/>
        </w:rPr>
        <w:t>.</w:t>
      </w:r>
    </w:p>
    <w:p w14:paraId="170DA5BE" w14:textId="77777777" w:rsidR="005A721C" w:rsidRPr="006030CA" w:rsidRDefault="005A721C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5BFF565D" w14:textId="090CA8DA" w:rsidR="005A721C" w:rsidRPr="00B9579B" w:rsidRDefault="005A721C" w:rsidP="007C381C">
      <w:pPr>
        <w:pStyle w:val="Prrafodelista"/>
        <w:numPr>
          <w:ilvl w:val="0"/>
          <w:numId w:val="8"/>
        </w:numPr>
        <w:tabs>
          <w:tab w:val="left" w:pos="3256"/>
        </w:tabs>
        <w:spacing w:after="0" w:line="264" w:lineRule="auto"/>
        <w:ind w:right="-518"/>
        <w:jc w:val="both"/>
        <w:rPr>
          <w:rFonts w:ascii="Arial" w:hAnsi="Arial" w:cs="Arial"/>
          <w:b/>
          <w:bCs/>
          <w:smallCaps/>
        </w:rPr>
      </w:pPr>
      <w:r w:rsidRPr="00B9579B">
        <w:rPr>
          <w:rFonts w:ascii="Arial" w:hAnsi="Arial" w:cs="Arial"/>
          <w:b/>
          <w:bCs/>
          <w:smallCaps/>
        </w:rPr>
        <w:t>El PIB de la vivienda</w:t>
      </w:r>
    </w:p>
    <w:p w14:paraId="45B65C2E" w14:textId="77777777" w:rsidR="00082F6A" w:rsidRPr="00082F6A" w:rsidRDefault="00082F6A" w:rsidP="007C381C">
      <w:pPr>
        <w:tabs>
          <w:tab w:val="left" w:pos="3256"/>
        </w:tabs>
        <w:spacing w:after="0" w:line="264" w:lineRule="auto"/>
        <w:ind w:left="-567" w:right="-518"/>
        <w:jc w:val="both"/>
        <w:rPr>
          <w:rFonts w:ascii="Arial" w:hAnsi="Arial" w:cs="Arial"/>
          <w:b/>
          <w:bCs/>
          <w:smallCaps/>
        </w:rPr>
      </w:pPr>
    </w:p>
    <w:p w14:paraId="6DA10586" w14:textId="46BEE3F6" w:rsidR="005A721C" w:rsidRDefault="00B9579B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En 2020, d</w:t>
      </w:r>
      <w:r w:rsidR="005A721C" w:rsidRPr="00702EC7">
        <w:rPr>
          <w:rFonts w:ascii="Arial" w:hAnsi="Arial" w:cs="Arial"/>
        </w:rPr>
        <w:t>e acuerdo con la Cuenta Satélite de Vivienda de México, el sector de la vivienda generó un PIB de 1 billón 273 mil 268 millones de pesos corrientes, cantidad que corresponde a 5.8% del PIB del país.</w:t>
      </w:r>
    </w:p>
    <w:p w14:paraId="243C412A" w14:textId="369CB835" w:rsidR="00870E87" w:rsidRDefault="00870E87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638DCDEF" w14:textId="172EC3D6" w:rsidR="00870E87" w:rsidRPr="005117DB" w:rsidRDefault="005117DB" w:rsidP="007C381C">
      <w:pPr>
        <w:tabs>
          <w:tab w:val="left" w:pos="3256"/>
        </w:tabs>
        <w:spacing w:after="0" w:line="264" w:lineRule="auto"/>
        <w:ind w:left="-567" w:right="-516"/>
        <w:jc w:val="center"/>
        <w:rPr>
          <w:rFonts w:ascii="Arial" w:hAnsi="Arial" w:cs="Arial"/>
          <w:b/>
          <w:bCs/>
          <w:smallCaps/>
        </w:rPr>
      </w:pPr>
      <w:r w:rsidRPr="005117DB">
        <w:rPr>
          <w:rFonts w:ascii="Arial" w:hAnsi="Arial" w:cs="Arial"/>
          <w:b/>
          <w:bCs/>
          <w:smallCaps/>
        </w:rPr>
        <w:t>PIB de la vivienda y su participación en el total nacional</w:t>
      </w:r>
    </w:p>
    <w:p w14:paraId="781BAA00" w14:textId="1B944FBE" w:rsidR="005117DB" w:rsidRPr="005117DB" w:rsidRDefault="005117DB" w:rsidP="007C381C">
      <w:pPr>
        <w:tabs>
          <w:tab w:val="left" w:pos="3256"/>
        </w:tabs>
        <w:spacing w:after="0" w:line="264" w:lineRule="auto"/>
        <w:ind w:left="-567" w:right="-516"/>
        <w:jc w:val="center"/>
        <w:rPr>
          <w:rFonts w:ascii="Arial" w:hAnsi="Arial" w:cs="Arial"/>
          <w:bCs/>
          <w:sz w:val="18"/>
          <w:szCs w:val="18"/>
        </w:rPr>
      </w:pPr>
      <w:r w:rsidRPr="005117DB">
        <w:rPr>
          <w:rFonts w:ascii="Arial" w:hAnsi="Arial" w:cs="Arial"/>
          <w:bCs/>
          <w:sz w:val="18"/>
          <w:szCs w:val="18"/>
        </w:rPr>
        <w:t>(Miles de millones de pesos corrientes y porcentaje)</w:t>
      </w:r>
    </w:p>
    <w:p w14:paraId="52223353" w14:textId="05D679A0" w:rsidR="00870E87" w:rsidRDefault="00870E87" w:rsidP="007C381C">
      <w:pPr>
        <w:tabs>
          <w:tab w:val="left" w:pos="3256"/>
        </w:tabs>
        <w:spacing w:line="264" w:lineRule="auto"/>
        <w:ind w:left="-567" w:right="-518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7C49827F" wp14:editId="3C9658A7">
            <wp:extent cx="5457139" cy="1858061"/>
            <wp:effectExtent l="95250" t="38100" r="29845" b="10414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21B783" w14:textId="201A9CD2" w:rsidR="00C06086" w:rsidRPr="00C06086" w:rsidRDefault="00C06086" w:rsidP="007C381C">
      <w:pPr>
        <w:tabs>
          <w:tab w:val="left" w:pos="3256"/>
        </w:tabs>
        <w:spacing w:after="0" w:line="264" w:lineRule="auto"/>
        <w:ind w:left="-567" w:right="-516" w:firstLine="567"/>
        <w:jc w:val="both"/>
        <w:rPr>
          <w:rFonts w:ascii="Arial" w:hAnsi="Arial" w:cs="Arial"/>
          <w:bCs/>
          <w:sz w:val="16"/>
          <w:szCs w:val="16"/>
        </w:rPr>
      </w:pPr>
      <w:r w:rsidRPr="00C06086">
        <w:rPr>
          <w:rFonts w:ascii="Arial" w:hAnsi="Arial" w:cs="Arial"/>
          <w:bCs/>
          <w:sz w:val="16"/>
          <w:szCs w:val="16"/>
          <w:vertAlign w:val="superscript"/>
        </w:rPr>
        <w:t>P</w:t>
      </w:r>
      <w:r w:rsidRPr="00C06086">
        <w:rPr>
          <w:rFonts w:ascii="Arial" w:hAnsi="Arial" w:cs="Arial"/>
          <w:bCs/>
          <w:sz w:val="16"/>
          <w:szCs w:val="16"/>
        </w:rPr>
        <w:t xml:space="preserve"> Cifra preliminar.</w:t>
      </w:r>
    </w:p>
    <w:p w14:paraId="7F77D920" w14:textId="77777777" w:rsidR="00C06086" w:rsidRPr="00C06086" w:rsidRDefault="00C06086" w:rsidP="007C381C">
      <w:pPr>
        <w:tabs>
          <w:tab w:val="left" w:pos="3256"/>
        </w:tabs>
        <w:spacing w:after="0" w:line="264" w:lineRule="auto"/>
        <w:ind w:left="-567" w:right="-516" w:firstLine="567"/>
        <w:jc w:val="both"/>
        <w:rPr>
          <w:rFonts w:ascii="Arial" w:hAnsi="Arial" w:cs="Arial"/>
          <w:bCs/>
          <w:sz w:val="16"/>
          <w:szCs w:val="16"/>
        </w:rPr>
      </w:pPr>
      <w:r w:rsidRPr="00C06086">
        <w:rPr>
          <w:rFonts w:ascii="Arial" w:hAnsi="Arial" w:cs="Arial"/>
          <w:bCs/>
          <w:sz w:val="16"/>
          <w:szCs w:val="16"/>
        </w:rPr>
        <w:t>INEGI. Sistema de Cuentas Nacionales de México. Cuenta Satélite de Vivienda de México, 2020. Preliminar. Año Base 2013</w:t>
      </w:r>
    </w:p>
    <w:p w14:paraId="02F0BC67" w14:textId="77777777" w:rsidR="00C06086" w:rsidRDefault="00C06086" w:rsidP="007C381C">
      <w:pPr>
        <w:tabs>
          <w:tab w:val="left" w:pos="3256"/>
        </w:tabs>
        <w:spacing w:line="264" w:lineRule="auto"/>
        <w:ind w:left="-567" w:right="-518"/>
        <w:jc w:val="center"/>
        <w:rPr>
          <w:rFonts w:ascii="Arial" w:hAnsi="Arial" w:cs="Arial"/>
          <w:bCs/>
        </w:rPr>
      </w:pPr>
    </w:p>
    <w:p w14:paraId="12DBA085" w14:textId="77777777" w:rsidR="00170EC8" w:rsidRDefault="00170EC8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205CE75A" w14:textId="77777777" w:rsidR="00170EC8" w:rsidRDefault="00170EC8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1CE6C531" w14:textId="7132D9DD" w:rsidR="005A721C" w:rsidRPr="00AC0BCE" w:rsidRDefault="005A721C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 w:rsidRPr="00702EC7">
        <w:rPr>
          <w:rFonts w:ascii="Arial" w:hAnsi="Arial" w:cs="Arial"/>
        </w:rPr>
        <w:lastRenderedPageBreak/>
        <w:t>El sector de la vivienda, de acuerdo con su clasificación funcional, se compone por la autoproducción, la cual aportó 35.7% al sector en 2020; el alquiler efectivo de vivienda, aportó 28.3%</w:t>
      </w:r>
      <w:r w:rsidR="00BF3BB0" w:rsidRPr="00AC0BCE">
        <w:rPr>
          <w:rFonts w:ascii="Arial" w:hAnsi="Arial" w:cs="Arial"/>
        </w:rPr>
        <w:t>;</w:t>
      </w:r>
      <w:r w:rsidRPr="00702EC7">
        <w:rPr>
          <w:rFonts w:ascii="Arial" w:hAnsi="Arial" w:cs="Arial"/>
        </w:rPr>
        <w:t xml:space="preserve"> la producción de la industria inmobiliaria, participó con</w:t>
      </w:r>
      <w:r w:rsidR="00B9579B">
        <w:rPr>
          <w:rFonts w:ascii="Arial" w:hAnsi="Arial" w:cs="Arial"/>
        </w:rPr>
        <w:t xml:space="preserve"> </w:t>
      </w:r>
      <w:r w:rsidRPr="00702EC7">
        <w:rPr>
          <w:rFonts w:ascii="Arial" w:hAnsi="Arial" w:cs="Arial"/>
        </w:rPr>
        <w:t>24.0%</w:t>
      </w:r>
      <w:r w:rsidR="00BF3BB0" w:rsidRPr="00AC0BCE">
        <w:rPr>
          <w:rFonts w:ascii="Arial" w:hAnsi="Arial" w:cs="Arial"/>
        </w:rPr>
        <w:t>;</w:t>
      </w:r>
      <w:r w:rsidRPr="00702EC7">
        <w:rPr>
          <w:rFonts w:ascii="Arial" w:hAnsi="Arial" w:cs="Arial"/>
        </w:rPr>
        <w:t xml:space="preserve"> las actividades relacionadas con el financiamiento para la adquisición y mejoramiento de las casas aportaron 4.5%</w:t>
      </w:r>
      <w:r w:rsidR="00BF3BB0" w:rsidRPr="00AC0BCE">
        <w:rPr>
          <w:rFonts w:ascii="Arial" w:hAnsi="Arial" w:cs="Arial"/>
        </w:rPr>
        <w:t>;</w:t>
      </w:r>
      <w:r w:rsidRPr="00702EC7">
        <w:rPr>
          <w:rFonts w:ascii="Arial" w:hAnsi="Arial" w:cs="Arial"/>
        </w:rPr>
        <w:t xml:space="preserve"> la autoconstrucción,</w:t>
      </w:r>
      <w:r w:rsidR="007372F3">
        <w:rPr>
          <w:rFonts w:ascii="Arial" w:hAnsi="Arial" w:cs="Arial"/>
        </w:rPr>
        <w:t xml:space="preserve"> </w:t>
      </w:r>
      <w:r w:rsidRPr="00702EC7">
        <w:rPr>
          <w:rFonts w:ascii="Arial" w:hAnsi="Arial" w:cs="Arial"/>
        </w:rPr>
        <w:t xml:space="preserve">ampliación y mejoramiento de la vivienda, </w:t>
      </w:r>
      <w:r w:rsidR="00BF3BB0" w:rsidRPr="00AC0BCE">
        <w:rPr>
          <w:rFonts w:ascii="Arial" w:hAnsi="Arial" w:cs="Arial"/>
        </w:rPr>
        <w:t>contribuyó con</w:t>
      </w:r>
      <w:r w:rsidRPr="00702EC7">
        <w:rPr>
          <w:rFonts w:ascii="Arial" w:hAnsi="Arial" w:cs="Arial"/>
        </w:rPr>
        <w:t xml:space="preserve"> 3.2%; los servicios inmobiliarios, participaron con 1.9%</w:t>
      </w:r>
      <w:r w:rsidR="008A0EA2">
        <w:rPr>
          <w:rFonts w:ascii="Arial" w:hAnsi="Arial" w:cs="Arial"/>
        </w:rPr>
        <w:t>;</w:t>
      </w:r>
      <w:r w:rsidRPr="00702EC7">
        <w:rPr>
          <w:rFonts w:ascii="Arial" w:hAnsi="Arial" w:cs="Arial"/>
        </w:rPr>
        <w:t xml:space="preserve"> </w:t>
      </w:r>
      <w:r w:rsidR="008A0EA2">
        <w:rPr>
          <w:rFonts w:ascii="Arial" w:hAnsi="Arial" w:cs="Arial"/>
        </w:rPr>
        <w:t xml:space="preserve">y </w:t>
      </w:r>
      <w:r w:rsidRPr="00702EC7">
        <w:rPr>
          <w:rFonts w:ascii="Arial" w:hAnsi="Arial" w:cs="Arial"/>
        </w:rPr>
        <w:t>otras actividades aportaron en conjunto 2.4 por ciento.</w:t>
      </w:r>
    </w:p>
    <w:p w14:paraId="5C27B2E7" w14:textId="77777777" w:rsidR="005A721C" w:rsidRPr="00AC0BCE" w:rsidRDefault="005A721C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1AA061AD" w14:textId="071C276D" w:rsidR="00E37A06" w:rsidRDefault="005A721C" w:rsidP="007C381C">
      <w:pPr>
        <w:tabs>
          <w:tab w:val="left" w:pos="3256"/>
        </w:tabs>
        <w:spacing w:after="0" w:line="264" w:lineRule="auto"/>
        <w:ind w:left="-567" w:right="-518"/>
        <w:jc w:val="center"/>
        <w:rPr>
          <w:rFonts w:ascii="Arial" w:eastAsia="Times New Roman" w:hAnsi="Arial" w:cs="Arial"/>
          <w:b/>
          <w:bCs/>
          <w:smallCaps/>
          <w:color w:val="000000"/>
          <w:lang w:eastAsia="es-MX"/>
        </w:rPr>
      </w:pPr>
      <w:r w:rsidRPr="00B9579B">
        <w:rPr>
          <w:rFonts w:ascii="Arial" w:eastAsia="Times New Roman" w:hAnsi="Arial" w:cs="Arial"/>
          <w:b/>
          <w:bCs/>
          <w:smallCaps/>
          <w:color w:val="000000"/>
          <w:lang w:eastAsia="es-MX"/>
        </w:rPr>
        <w:t xml:space="preserve">PIB del sector de la vivienda por clasificación funcional </w:t>
      </w:r>
      <w:r w:rsidR="007372F3">
        <w:rPr>
          <w:rFonts w:ascii="Arial" w:eastAsia="Times New Roman" w:hAnsi="Arial" w:cs="Arial"/>
          <w:b/>
          <w:bCs/>
          <w:smallCaps/>
          <w:color w:val="000000"/>
          <w:lang w:eastAsia="es-MX"/>
        </w:rPr>
        <w:t xml:space="preserve"> </w:t>
      </w:r>
    </w:p>
    <w:p w14:paraId="7A073A68" w14:textId="698B2892" w:rsidR="005A721C" w:rsidRPr="00B9579B" w:rsidRDefault="005A721C" w:rsidP="007C381C">
      <w:pPr>
        <w:tabs>
          <w:tab w:val="left" w:pos="3256"/>
        </w:tabs>
        <w:spacing w:after="0" w:line="264" w:lineRule="auto"/>
        <w:ind w:left="-567" w:right="-518"/>
        <w:jc w:val="center"/>
        <w:rPr>
          <w:rFonts w:ascii="Arial" w:eastAsia="Times New Roman" w:hAnsi="Arial" w:cs="Arial"/>
          <w:b/>
          <w:bCs/>
          <w:smallCaps/>
          <w:color w:val="000000"/>
          <w:lang w:eastAsia="es-MX"/>
        </w:rPr>
      </w:pPr>
      <w:r w:rsidRPr="00B9579B">
        <w:rPr>
          <w:rFonts w:ascii="Arial" w:eastAsia="Times New Roman" w:hAnsi="Arial" w:cs="Arial"/>
          <w:b/>
          <w:bCs/>
          <w:smallCaps/>
          <w:color w:val="000000"/>
          <w:lang w:eastAsia="es-MX"/>
        </w:rPr>
        <w:t>2020</w:t>
      </w:r>
    </w:p>
    <w:p w14:paraId="0258969B" w14:textId="77777777" w:rsidR="005A721C" w:rsidRPr="00B9579B" w:rsidRDefault="005A721C" w:rsidP="007C381C">
      <w:pPr>
        <w:tabs>
          <w:tab w:val="left" w:pos="3256"/>
        </w:tabs>
        <w:spacing w:after="0" w:line="264" w:lineRule="auto"/>
        <w:ind w:left="-567" w:right="-518"/>
        <w:jc w:val="center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B9579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(Porcentaje)</w:t>
      </w:r>
    </w:p>
    <w:p w14:paraId="1B965E4D" w14:textId="210293E2" w:rsidR="005A721C" w:rsidRPr="006030CA" w:rsidRDefault="006A5063" w:rsidP="007C381C">
      <w:pPr>
        <w:tabs>
          <w:tab w:val="left" w:pos="3256"/>
        </w:tabs>
        <w:spacing w:after="0" w:line="264" w:lineRule="auto"/>
        <w:ind w:left="-567" w:right="-518"/>
        <w:jc w:val="center"/>
        <w:rPr>
          <w:rFonts w:ascii="Arial" w:hAnsi="Arial" w:cs="Arial"/>
          <w:bCs/>
        </w:rPr>
      </w:pPr>
      <w:r w:rsidRPr="006A5063">
        <w:rPr>
          <w:noProof/>
        </w:rPr>
        <w:drawing>
          <wp:inline distT="0" distB="0" distL="0" distR="0" wp14:anchorId="48C196FB" wp14:editId="0C8DE84B">
            <wp:extent cx="3913632" cy="219638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502" cy="220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C66F8" w14:textId="77777777" w:rsidR="005A721C" w:rsidRPr="00F043F3" w:rsidRDefault="005A721C" w:rsidP="007C381C">
      <w:pPr>
        <w:tabs>
          <w:tab w:val="left" w:pos="3256"/>
        </w:tabs>
        <w:spacing w:after="0" w:line="264" w:lineRule="auto"/>
        <w:ind w:left="1276" w:right="1325"/>
        <w:jc w:val="both"/>
        <w:rPr>
          <w:rFonts w:ascii="Arial" w:hAnsi="Arial" w:cs="Arial"/>
          <w:bCs/>
          <w:sz w:val="16"/>
          <w:szCs w:val="16"/>
        </w:rPr>
      </w:pPr>
      <w:r w:rsidRPr="00F043F3">
        <w:rPr>
          <w:rFonts w:ascii="Arial" w:hAnsi="Arial" w:cs="Arial"/>
          <w:bCs/>
          <w:sz w:val="16"/>
          <w:szCs w:val="16"/>
        </w:rPr>
        <w:t>*/Comprende preparación de terrenos, planeación y diseño, trabajos especializados, supervisión, servicios inmobiliarios, servicios notariales, seguros, diseño, administración de bienes raíces, viviendas colectivas, apoyo en producción, regulación y fomento.</w:t>
      </w:r>
    </w:p>
    <w:p w14:paraId="23DA955A" w14:textId="77777777" w:rsidR="00E37A06" w:rsidRDefault="00E37A06" w:rsidP="007C381C">
      <w:pPr>
        <w:tabs>
          <w:tab w:val="left" w:pos="3256"/>
        </w:tabs>
        <w:spacing w:after="0" w:line="264" w:lineRule="auto"/>
        <w:ind w:left="-567" w:right="-518"/>
        <w:jc w:val="both"/>
        <w:rPr>
          <w:rFonts w:ascii="Arial" w:hAnsi="Arial" w:cs="Arial"/>
          <w:b/>
          <w:bCs/>
          <w:smallCaps/>
        </w:rPr>
      </w:pPr>
    </w:p>
    <w:p w14:paraId="58C77253" w14:textId="38655E2C" w:rsidR="005A721C" w:rsidRPr="007372F3" w:rsidRDefault="005A721C" w:rsidP="007C381C">
      <w:pPr>
        <w:pStyle w:val="Prrafodelista"/>
        <w:numPr>
          <w:ilvl w:val="0"/>
          <w:numId w:val="8"/>
        </w:numPr>
        <w:tabs>
          <w:tab w:val="left" w:pos="3256"/>
        </w:tabs>
        <w:spacing w:after="0" w:line="264" w:lineRule="auto"/>
        <w:ind w:right="-518"/>
        <w:jc w:val="both"/>
        <w:rPr>
          <w:rFonts w:ascii="Arial" w:hAnsi="Arial" w:cs="Arial"/>
          <w:b/>
          <w:bCs/>
          <w:smallCaps/>
        </w:rPr>
      </w:pPr>
      <w:r w:rsidRPr="007372F3">
        <w:rPr>
          <w:rFonts w:ascii="Arial" w:hAnsi="Arial" w:cs="Arial"/>
          <w:b/>
          <w:bCs/>
          <w:smallCaps/>
        </w:rPr>
        <w:t>Comportamiento del sector</w:t>
      </w:r>
    </w:p>
    <w:p w14:paraId="2D3AB438" w14:textId="77777777" w:rsidR="00B9579B" w:rsidRPr="006030CA" w:rsidRDefault="00B9579B" w:rsidP="007C381C">
      <w:pPr>
        <w:tabs>
          <w:tab w:val="left" w:pos="3256"/>
        </w:tabs>
        <w:spacing w:after="0" w:line="264" w:lineRule="auto"/>
        <w:ind w:left="-567" w:right="-518"/>
        <w:jc w:val="both"/>
        <w:rPr>
          <w:rFonts w:ascii="Arial" w:hAnsi="Arial" w:cs="Arial"/>
          <w:b/>
          <w:bCs/>
        </w:rPr>
      </w:pPr>
    </w:p>
    <w:p w14:paraId="7679BACF" w14:textId="4141961C" w:rsidR="005A721C" w:rsidRDefault="00A65121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9579B">
        <w:rPr>
          <w:rFonts w:ascii="Arial" w:hAnsi="Arial" w:cs="Arial"/>
        </w:rPr>
        <w:t>n 2020, e</w:t>
      </w:r>
      <w:r>
        <w:rPr>
          <w:rFonts w:ascii="Arial" w:hAnsi="Arial" w:cs="Arial"/>
        </w:rPr>
        <w:t xml:space="preserve">l sector de la vivienda resintió los efectos de la pandemia causada por </w:t>
      </w:r>
      <w:r w:rsidR="00B9579B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COVID 19</w:t>
      </w:r>
      <w:r w:rsidR="00B9579B">
        <w:rPr>
          <w:rFonts w:ascii="Arial" w:hAnsi="Arial" w:cs="Arial"/>
        </w:rPr>
        <w:t>. E</w:t>
      </w:r>
      <w:r w:rsidR="005A721C" w:rsidRPr="006030CA">
        <w:rPr>
          <w:rFonts w:ascii="Arial" w:hAnsi="Arial" w:cs="Arial"/>
        </w:rPr>
        <w:t>l PIB del sector de la vivienda present</w:t>
      </w:r>
      <w:r>
        <w:rPr>
          <w:rFonts w:ascii="Arial" w:hAnsi="Arial" w:cs="Arial"/>
        </w:rPr>
        <w:t>ó</w:t>
      </w:r>
      <w:r w:rsidR="005A721C" w:rsidRPr="006030CA">
        <w:rPr>
          <w:rFonts w:ascii="Arial" w:hAnsi="Arial" w:cs="Arial"/>
        </w:rPr>
        <w:t xml:space="preserve"> una caída de 9.1%, </w:t>
      </w:r>
      <w:r w:rsidR="00E34D0D" w:rsidRPr="0083582B">
        <w:rPr>
          <w:rFonts w:ascii="Arial" w:hAnsi="Arial" w:cs="Arial"/>
        </w:rPr>
        <w:t>medido</w:t>
      </w:r>
      <w:r w:rsidR="00E34D0D" w:rsidRPr="006030CA">
        <w:rPr>
          <w:rFonts w:ascii="Arial" w:hAnsi="Arial" w:cs="Arial"/>
        </w:rPr>
        <w:t xml:space="preserve"> a precios de 2013</w:t>
      </w:r>
      <w:r w:rsidR="00E34D0D">
        <w:rPr>
          <w:rFonts w:ascii="Arial" w:hAnsi="Arial" w:cs="Arial"/>
        </w:rPr>
        <w:t xml:space="preserve">, </w:t>
      </w:r>
      <w:r w:rsidR="005A721C" w:rsidRPr="006030CA">
        <w:rPr>
          <w:rFonts w:ascii="Arial" w:hAnsi="Arial" w:cs="Arial"/>
        </w:rPr>
        <w:t>mientras que el total de la economía disminuy</w:t>
      </w:r>
      <w:r>
        <w:rPr>
          <w:rFonts w:ascii="Arial" w:hAnsi="Arial" w:cs="Arial"/>
        </w:rPr>
        <w:t>ó</w:t>
      </w:r>
      <w:r w:rsidR="005A721C" w:rsidRPr="006030CA">
        <w:rPr>
          <w:rFonts w:ascii="Arial" w:hAnsi="Arial" w:cs="Arial"/>
        </w:rPr>
        <w:t xml:space="preserve"> 7.9%, en el mismo año.</w:t>
      </w:r>
      <w:r w:rsidR="0038449F">
        <w:rPr>
          <w:rFonts w:ascii="Arial" w:hAnsi="Arial" w:cs="Arial"/>
        </w:rPr>
        <w:t xml:space="preserve"> </w:t>
      </w:r>
    </w:p>
    <w:p w14:paraId="0C288B37" w14:textId="4BD46491" w:rsidR="005117DB" w:rsidRDefault="005117DB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2E22F7CD" w14:textId="077BA6D8" w:rsidR="005117DB" w:rsidRPr="005117DB" w:rsidRDefault="005117DB" w:rsidP="007C381C">
      <w:pPr>
        <w:spacing w:after="0" w:line="264" w:lineRule="auto"/>
        <w:ind w:left="-567" w:right="-516"/>
        <w:jc w:val="center"/>
        <w:rPr>
          <w:rFonts w:ascii="Arial" w:hAnsi="Arial" w:cs="Arial"/>
          <w:b/>
          <w:smallCaps/>
        </w:rPr>
      </w:pPr>
      <w:r w:rsidRPr="005117DB">
        <w:rPr>
          <w:rFonts w:ascii="Arial" w:hAnsi="Arial" w:cs="Arial"/>
          <w:b/>
          <w:smallCaps/>
        </w:rPr>
        <w:t>PIB nacional y del sector de la vivienda</w:t>
      </w:r>
    </w:p>
    <w:p w14:paraId="2DBC5E73" w14:textId="2B0847DF" w:rsidR="005117DB" w:rsidRPr="005117DB" w:rsidRDefault="005117DB" w:rsidP="007C381C">
      <w:pPr>
        <w:spacing w:after="0" w:line="264" w:lineRule="auto"/>
        <w:ind w:left="-567" w:right="-516"/>
        <w:jc w:val="center"/>
        <w:rPr>
          <w:rFonts w:ascii="Arial" w:hAnsi="Arial" w:cs="Arial"/>
          <w:sz w:val="18"/>
          <w:szCs w:val="18"/>
        </w:rPr>
      </w:pPr>
      <w:r w:rsidRPr="005117DB">
        <w:rPr>
          <w:rFonts w:ascii="Arial" w:hAnsi="Arial" w:cs="Arial"/>
          <w:sz w:val="18"/>
          <w:szCs w:val="18"/>
        </w:rPr>
        <w:t>(Variación porcentual anual)</w:t>
      </w:r>
    </w:p>
    <w:p w14:paraId="58CDE129" w14:textId="77777777" w:rsidR="00E37A06" w:rsidRPr="00E37A06" w:rsidRDefault="005117DB" w:rsidP="00170EC8">
      <w:pPr>
        <w:tabs>
          <w:tab w:val="left" w:pos="3256"/>
        </w:tabs>
        <w:spacing w:after="0" w:line="264" w:lineRule="auto"/>
        <w:ind w:right="-516"/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inline distT="0" distB="0" distL="0" distR="0" wp14:anchorId="09553B80" wp14:editId="6ED3DB94">
            <wp:extent cx="5530291" cy="2048256"/>
            <wp:effectExtent l="0" t="0" r="13335" b="9525"/>
            <wp:docPr id="60" name="Gráfico 6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1A01E3">
        <w:rPr>
          <w:rFonts w:ascii="Arial" w:hAnsi="Arial" w:cs="Arial"/>
        </w:rPr>
        <w:br/>
      </w:r>
      <w:r w:rsidR="00E37A06" w:rsidRPr="00E37A06">
        <w:rPr>
          <w:rFonts w:ascii="Arial" w:hAnsi="Arial" w:cs="Arial"/>
          <w:bCs/>
          <w:sz w:val="16"/>
          <w:szCs w:val="16"/>
          <w:vertAlign w:val="superscript"/>
        </w:rPr>
        <w:t>P</w:t>
      </w:r>
      <w:r w:rsidR="00E37A06" w:rsidRPr="00E37A06">
        <w:rPr>
          <w:rFonts w:ascii="Arial" w:hAnsi="Arial" w:cs="Arial"/>
          <w:bCs/>
          <w:sz w:val="16"/>
          <w:szCs w:val="16"/>
        </w:rPr>
        <w:t xml:space="preserve"> Cifra preliminar.</w:t>
      </w:r>
    </w:p>
    <w:p w14:paraId="6D43D9ED" w14:textId="77777777" w:rsidR="00E37A06" w:rsidRPr="00E37A06" w:rsidRDefault="00E37A06" w:rsidP="00170EC8">
      <w:pPr>
        <w:tabs>
          <w:tab w:val="left" w:pos="3256"/>
        </w:tabs>
        <w:spacing w:after="0" w:line="264" w:lineRule="auto"/>
        <w:ind w:left="-567" w:right="-516" w:firstLine="567"/>
        <w:jc w:val="both"/>
        <w:rPr>
          <w:rFonts w:ascii="Arial" w:hAnsi="Arial" w:cs="Arial"/>
          <w:bCs/>
          <w:sz w:val="16"/>
          <w:szCs w:val="16"/>
        </w:rPr>
      </w:pPr>
      <w:r w:rsidRPr="00E37A06">
        <w:rPr>
          <w:rFonts w:ascii="Arial" w:hAnsi="Arial" w:cs="Arial"/>
          <w:bCs/>
          <w:sz w:val="16"/>
          <w:szCs w:val="16"/>
        </w:rPr>
        <w:t xml:space="preserve">FUENTE: INEGI. Sistema de Cuentas Nacionales de México. Cuenta Satélite de Vivienda de México, 2020. Preliminar. </w:t>
      </w:r>
    </w:p>
    <w:p w14:paraId="5F0C58D9" w14:textId="13872E60" w:rsidR="00E37A06" w:rsidRDefault="00E37A06" w:rsidP="00170EC8">
      <w:pPr>
        <w:tabs>
          <w:tab w:val="left" w:pos="3256"/>
        </w:tabs>
        <w:spacing w:after="0" w:line="264" w:lineRule="auto"/>
        <w:ind w:left="-567" w:right="-516" w:firstLine="567"/>
        <w:jc w:val="both"/>
        <w:rPr>
          <w:rFonts w:ascii="Arial" w:hAnsi="Arial" w:cs="Arial"/>
          <w:bCs/>
          <w:sz w:val="16"/>
          <w:szCs w:val="16"/>
        </w:rPr>
      </w:pPr>
      <w:r w:rsidRPr="00E37A06">
        <w:rPr>
          <w:rFonts w:ascii="Arial" w:hAnsi="Arial" w:cs="Arial"/>
          <w:bCs/>
          <w:sz w:val="16"/>
          <w:szCs w:val="16"/>
        </w:rPr>
        <w:t>Año Base 2013</w:t>
      </w:r>
    </w:p>
    <w:p w14:paraId="44700E27" w14:textId="5BBCF229" w:rsidR="005A721C" w:rsidRPr="007372F3" w:rsidRDefault="00D94D09" w:rsidP="007C381C">
      <w:pPr>
        <w:pStyle w:val="Prrafodelista"/>
        <w:numPr>
          <w:ilvl w:val="0"/>
          <w:numId w:val="8"/>
        </w:numPr>
        <w:tabs>
          <w:tab w:val="left" w:pos="3256"/>
        </w:tabs>
        <w:spacing w:after="0" w:line="264" w:lineRule="auto"/>
        <w:ind w:right="-518"/>
        <w:jc w:val="both"/>
        <w:rPr>
          <w:rFonts w:ascii="Arial" w:hAnsi="Arial" w:cs="Arial"/>
          <w:b/>
          <w:bCs/>
          <w:smallCaps/>
        </w:rPr>
      </w:pPr>
      <w:r w:rsidRPr="007372F3">
        <w:rPr>
          <w:rFonts w:ascii="Arial" w:hAnsi="Arial" w:cs="Arial"/>
          <w:b/>
          <w:bCs/>
          <w:smallCaps/>
        </w:rPr>
        <w:lastRenderedPageBreak/>
        <w:t>Importancia económica de la vivienda</w:t>
      </w:r>
    </w:p>
    <w:p w14:paraId="7AA2F638" w14:textId="77777777" w:rsidR="00B9579B" w:rsidRPr="006030CA" w:rsidRDefault="00B9579B" w:rsidP="007C381C">
      <w:pPr>
        <w:tabs>
          <w:tab w:val="left" w:pos="3256"/>
        </w:tabs>
        <w:spacing w:after="0" w:line="264" w:lineRule="auto"/>
        <w:ind w:left="-567" w:right="-518"/>
        <w:jc w:val="both"/>
        <w:rPr>
          <w:rFonts w:ascii="Arial" w:hAnsi="Arial" w:cs="Arial"/>
          <w:b/>
          <w:bCs/>
        </w:rPr>
      </w:pPr>
    </w:p>
    <w:p w14:paraId="19DBC264" w14:textId="229B6036" w:rsidR="005A721C" w:rsidRPr="00702EC7" w:rsidRDefault="004A0FAE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2020, </w:t>
      </w:r>
      <w:r w:rsidRPr="00702EC7">
        <w:rPr>
          <w:rFonts w:ascii="Arial" w:hAnsi="Arial" w:cs="Arial"/>
        </w:rPr>
        <w:t xml:space="preserve">del total de la construcción que se realizó en México </w:t>
      </w:r>
      <w:r>
        <w:rPr>
          <w:rFonts w:ascii="Arial" w:hAnsi="Arial" w:cs="Arial"/>
        </w:rPr>
        <w:t>más</w:t>
      </w:r>
      <w:r w:rsidR="005A721C" w:rsidRPr="00702EC7">
        <w:rPr>
          <w:rFonts w:ascii="Arial" w:hAnsi="Arial" w:cs="Arial"/>
        </w:rPr>
        <w:t xml:space="preserve"> de la mitad de la construcción residencial</w:t>
      </w:r>
      <w:r>
        <w:rPr>
          <w:rFonts w:ascii="Arial" w:hAnsi="Arial" w:cs="Arial"/>
        </w:rPr>
        <w:t xml:space="preserve"> (</w:t>
      </w:r>
      <w:r w:rsidR="005A721C" w:rsidRPr="00702EC7">
        <w:rPr>
          <w:rFonts w:ascii="Arial" w:hAnsi="Arial" w:cs="Arial"/>
        </w:rPr>
        <w:t>55.0%</w:t>
      </w:r>
      <w:r>
        <w:rPr>
          <w:rFonts w:ascii="Arial" w:hAnsi="Arial" w:cs="Arial"/>
        </w:rPr>
        <w:t>),</w:t>
      </w:r>
      <w:r w:rsidR="005A721C" w:rsidRPr="00702EC7">
        <w:rPr>
          <w:rFonts w:ascii="Arial" w:hAnsi="Arial" w:cs="Arial"/>
        </w:rPr>
        <w:t xml:space="preserve"> mientras que la construcción no residencial (puentes, carreteras, puertos, hospitales, oficinas, etc.) contribuyó con 45.0</w:t>
      </w:r>
      <w:r>
        <w:rPr>
          <w:rFonts w:ascii="Arial" w:hAnsi="Arial" w:cs="Arial"/>
        </w:rPr>
        <w:t xml:space="preserve"> por ciento</w:t>
      </w:r>
      <w:r w:rsidR="005A721C" w:rsidRPr="00702EC7">
        <w:rPr>
          <w:rFonts w:ascii="Arial" w:hAnsi="Arial" w:cs="Arial"/>
        </w:rPr>
        <w:t>.</w:t>
      </w:r>
    </w:p>
    <w:p w14:paraId="1EBD301A" w14:textId="77777777" w:rsidR="005A721C" w:rsidRPr="00702EC7" w:rsidRDefault="005A721C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72E03CCA" w14:textId="77777777" w:rsidR="004A0FAE" w:rsidRDefault="004A0FAE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En 2020, a</w:t>
      </w:r>
      <w:r w:rsidR="005A721C" w:rsidRPr="00702EC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comparar la</w:t>
      </w:r>
      <w:r w:rsidR="005A721C" w:rsidRPr="00702EC7">
        <w:rPr>
          <w:rFonts w:ascii="Arial" w:hAnsi="Arial" w:cs="Arial"/>
        </w:rPr>
        <w:t xml:space="preserve"> participación del sector de la vivienda en el PIB nacional con otras actividades económicas se observa que ocupa el tercer lugar en orden de importancia, solo detrás de sectores </w:t>
      </w:r>
      <w:r w:rsidR="00702EC7">
        <w:rPr>
          <w:rFonts w:ascii="Arial" w:hAnsi="Arial" w:cs="Arial"/>
        </w:rPr>
        <w:t xml:space="preserve">como el </w:t>
      </w:r>
      <w:r w:rsidR="005A721C" w:rsidRPr="00702EC7">
        <w:rPr>
          <w:rFonts w:ascii="Arial" w:hAnsi="Arial" w:cs="Arial"/>
        </w:rPr>
        <w:t xml:space="preserve">comercio y </w:t>
      </w:r>
      <w:r w:rsidR="00702EC7">
        <w:rPr>
          <w:rFonts w:ascii="Arial" w:hAnsi="Arial" w:cs="Arial"/>
        </w:rPr>
        <w:t xml:space="preserve">las </w:t>
      </w:r>
      <w:r w:rsidR="005A721C" w:rsidRPr="00702EC7">
        <w:rPr>
          <w:rFonts w:ascii="Arial" w:hAnsi="Arial" w:cs="Arial"/>
        </w:rPr>
        <w:t>manufacturas</w:t>
      </w:r>
      <w:r>
        <w:rPr>
          <w:rFonts w:ascii="Arial" w:hAnsi="Arial" w:cs="Arial"/>
        </w:rPr>
        <w:t xml:space="preserve"> que </w:t>
      </w:r>
      <w:r w:rsidR="005A721C" w:rsidRPr="00702EC7">
        <w:rPr>
          <w:rFonts w:ascii="Arial" w:hAnsi="Arial" w:cs="Arial"/>
        </w:rPr>
        <w:t xml:space="preserve">aportaron 19.9% y 18.4%, respectivamente. </w:t>
      </w:r>
    </w:p>
    <w:p w14:paraId="65B1590D" w14:textId="77777777" w:rsidR="004A0FAE" w:rsidRDefault="004A0FAE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5AEB0AA5" w14:textId="22149B29" w:rsidR="005A721C" w:rsidRPr="00702EC7" w:rsidRDefault="00BD3F0C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 w:rsidRPr="006437DC">
        <w:rPr>
          <w:rFonts w:ascii="Arial" w:hAnsi="Arial" w:cs="Arial"/>
        </w:rPr>
        <w:t xml:space="preserve">Si </w:t>
      </w:r>
      <w:r w:rsidR="004A0FAE">
        <w:rPr>
          <w:rFonts w:ascii="Arial" w:hAnsi="Arial" w:cs="Arial"/>
        </w:rPr>
        <w:t xml:space="preserve">se </w:t>
      </w:r>
      <w:r w:rsidRPr="006437DC">
        <w:rPr>
          <w:rFonts w:ascii="Arial" w:hAnsi="Arial" w:cs="Arial"/>
        </w:rPr>
        <w:t>elimin</w:t>
      </w:r>
      <w:r w:rsidR="004A0FAE">
        <w:rPr>
          <w:rFonts w:ascii="Arial" w:hAnsi="Arial" w:cs="Arial"/>
        </w:rPr>
        <w:t>a</w:t>
      </w:r>
      <w:r w:rsidRPr="006437DC">
        <w:rPr>
          <w:rFonts w:ascii="Arial" w:hAnsi="Arial" w:cs="Arial"/>
        </w:rPr>
        <w:t xml:space="preserve"> </w:t>
      </w:r>
      <w:r w:rsidR="005A721C" w:rsidRPr="00702EC7">
        <w:rPr>
          <w:rFonts w:ascii="Arial" w:hAnsi="Arial" w:cs="Arial"/>
        </w:rPr>
        <w:t>el alquiler imputado</w:t>
      </w:r>
      <w:r w:rsidR="00225B4A">
        <w:rPr>
          <w:rStyle w:val="Refdenotaalpie"/>
          <w:rFonts w:ascii="Arial" w:hAnsi="Arial" w:cs="Arial"/>
        </w:rPr>
        <w:footnoteReference w:id="7"/>
      </w:r>
      <w:r w:rsidR="00393AEC" w:rsidRPr="00393AEC">
        <w:rPr>
          <w:rFonts w:ascii="Arial" w:hAnsi="Arial" w:cs="Arial"/>
          <w:vertAlign w:val="superscript"/>
        </w:rPr>
        <w:t>7</w:t>
      </w:r>
      <w:r w:rsidR="005A721C" w:rsidRPr="00702EC7">
        <w:rPr>
          <w:rFonts w:ascii="Arial" w:hAnsi="Arial" w:cs="Arial"/>
        </w:rPr>
        <w:t xml:space="preserve">, </w:t>
      </w:r>
      <w:r w:rsidRPr="006437DC">
        <w:rPr>
          <w:rFonts w:ascii="Arial" w:hAnsi="Arial" w:cs="Arial"/>
        </w:rPr>
        <w:t>el sector de la vivienda registró</w:t>
      </w:r>
      <w:r w:rsidRPr="00702EC7">
        <w:rPr>
          <w:rFonts w:ascii="Arial" w:hAnsi="Arial" w:cs="Arial"/>
        </w:rPr>
        <w:t xml:space="preserve"> </w:t>
      </w:r>
      <w:r w:rsidR="005A721C" w:rsidRPr="00702EC7">
        <w:rPr>
          <w:rFonts w:ascii="Arial" w:hAnsi="Arial" w:cs="Arial"/>
        </w:rPr>
        <w:t xml:space="preserve">una participación similar al </w:t>
      </w:r>
      <w:r w:rsidR="00487CD1" w:rsidRPr="00702EC7">
        <w:rPr>
          <w:rFonts w:ascii="Arial" w:hAnsi="Arial" w:cs="Arial"/>
        </w:rPr>
        <w:t xml:space="preserve">que </w:t>
      </w:r>
      <w:r w:rsidR="005A721C" w:rsidRPr="00702EC7">
        <w:rPr>
          <w:rFonts w:ascii="Arial" w:hAnsi="Arial" w:cs="Arial"/>
        </w:rPr>
        <w:t>tiene el sector transporte en el país.</w:t>
      </w:r>
    </w:p>
    <w:p w14:paraId="06043470" w14:textId="15AB64E7" w:rsidR="005A721C" w:rsidRDefault="005A721C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p w14:paraId="6D4EDA73" w14:textId="77777777" w:rsidR="00E37A06" w:rsidRDefault="005117DB" w:rsidP="007C381C">
      <w:pPr>
        <w:spacing w:after="0" w:line="264" w:lineRule="auto"/>
        <w:ind w:left="-567" w:right="-516"/>
        <w:jc w:val="center"/>
        <w:rPr>
          <w:rFonts w:ascii="Arial" w:hAnsi="Arial" w:cs="Arial"/>
          <w:b/>
          <w:smallCaps/>
        </w:rPr>
      </w:pPr>
      <w:r w:rsidRPr="00E37A06">
        <w:rPr>
          <w:rFonts w:ascii="Arial" w:hAnsi="Arial" w:cs="Arial"/>
          <w:b/>
          <w:smallCaps/>
        </w:rPr>
        <w:t xml:space="preserve">Participación del PIB de la vivienda y </w:t>
      </w:r>
      <w:r w:rsidR="00E37A06" w:rsidRPr="00E37A06">
        <w:rPr>
          <w:rFonts w:ascii="Arial" w:hAnsi="Arial" w:cs="Arial"/>
          <w:b/>
          <w:smallCaps/>
        </w:rPr>
        <w:t>de sectores de</w:t>
      </w:r>
      <w:r w:rsidRPr="00E37A06">
        <w:rPr>
          <w:rFonts w:ascii="Arial" w:hAnsi="Arial" w:cs="Arial"/>
          <w:b/>
          <w:smallCaps/>
        </w:rPr>
        <w:t xml:space="preserve"> actividad económica seleccionados </w:t>
      </w:r>
    </w:p>
    <w:p w14:paraId="2513FF69" w14:textId="66DAA73E" w:rsidR="005117DB" w:rsidRPr="00E37A06" w:rsidRDefault="005117DB" w:rsidP="007C381C">
      <w:pPr>
        <w:spacing w:after="0" w:line="264" w:lineRule="auto"/>
        <w:ind w:left="-567" w:right="-516"/>
        <w:jc w:val="center"/>
        <w:rPr>
          <w:rFonts w:ascii="Arial" w:hAnsi="Arial" w:cs="Arial"/>
          <w:b/>
          <w:smallCaps/>
        </w:rPr>
      </w:pPr>
      <w:r w:rsidRPr="00E37A06">
        <w:rPr>
          <w:rFonts w:ascii="Arial" w:hAnsi="Arial" w:cs="Arial"/>
          <w:b/>
          <w:smallCaps/>
        </w:rPr>
        <w:t xml:space="preserve">en el </w:t>
      </w:r>
      <w:r w:rsidR="00E37A06" w:rsidRPr="00E37A06">
        <w:rPr>
          <w:rFonts w:ascii="Arial" w:hAnsi="Arial" w:cs="Arial"/>
          <w:b/>
          <w:smallCaps/>
        </w:rPr>
        <w:t>PIB</w:t>
      </w:r>
      <w:r w:rsidRPr="00E37A06">
        <w:rPr>
          <w:rFonts w:ascii="Arial" w:hAnsi="Arial" w:cs="Arial"/>
          <w:b/>
          <w:smallCaps/>
        </w:rPr>
        <w:t xml:space="preserve"> nacional</w:t>
      </w:r>
    </w:p>
    <w:p w14:paraId="7F9BF081" w14:textId="1C280352" w:rsidR="005117DB" w:rsidRPr="00E37A06" w:rsidRDefault="005117DB" w:rsidP="007C381C">
      <w:pPr>
        <w:spacing w:after="0" w:line="264" w:lineRule="auto"/>
        <w:ind w:left="-567" w:right="-516"/>
        <w:jc w:val="center"/>
        <w:rPr>
          <w:rFonts w:ascii="Arial" w:hAnsi="Arial" w:cs="Arial"/>
          <w:sz w:val="18"/>
          <w:szCs w:val="18"/>
        </w:rPr>
      </w:pPr>
      <w:r w:rsidRPr="00E37A06">
        <w:rPr>
          <w:rFonts w:ascii="Arial" w:hAnsi="Arial" w:cs="Arial"/>
          <w:sz w:val="18"/>
          <w:szCs w:val="18"/>
        </w:rPr>
        <w:t>(Porcentaje)</w:t>
      </w:r>
    </w:p>
    <w:p w14:paraId="661CA9EC" w14:textId="11475F6C" w:rsidR="005117DB" w:rsidRDefault="005117DB" w:rsidP="007C381C">
      <w:pPr>
        <w:tabs>
          <w:tab w:val="left" w:pos="3256"/>
        </w:tabs>
        <w:spacing w:line="264" w:lineRule="auto"/>
        <w:ind w:left="-567" w:right="-518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12AE8734" wp14:editId="3F288605">
            <wp:extent cx="3028493" cy="2428646"/>
            <wp:effectExtent l="95250" t="38100" r="38735" b="10541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8CCAD51C-0609-4962-B016-EE60F0A0D6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A5C4DA7" w14:textId="56AD4700" w:rsidR="005A721C" w:rsidRPr="00170EC8" w:rsidRDefault="00E37A06" w:rsidP="00170EC8">
      <w:pPr>
        <w:tabs>
          <w:tab w:val="left" w:pos="3256"/>
        </w:tabs>
        <w:spacing w:line="264" w:lineRule="auto"/>
        <w:ind w:left="1843" w:right="1892"/>
        <w:rPr>
          <w:rFonts w:ascii="Arial" w:hAnsi="Arial" w:cs="Arial"/>
          <w:bCs/>
          <w:sz w:val="16"/>
          <w:szCs w:val="16"/>
        </w:rPr>
      </w:pPr>
      <w:r w:rsidRPr="00E37A06">
        <w:rPr>
          <w:rFonts w:ascii="Arial" w:hAnsi="Arial" w:cs="Arial"/>
          <w:bCs/>
          <w:sz w:val="16"/>
          <w:szCs w:val="16"/>
        </w:rPr>
        <w:t>FUENTE: INEGI. Sistema de Cuentas Nacionales de México. Cuenta Satélite de Vivienda de México, 2020. Preliminar. Año Base 2013</w:t>
      </w:r>
    </w:p>
    <w:p w14:paraId="4A6DA0B5" w14:textId="77777777" w:rsidR="007372F3" w:rsidRDefault="007372F3" w:rsidP="007C381C">
      <w:pPr>
        <w:tabs>
          <w:tab w:val="left" w:pos="3256"/>
        </w:tabs>
        <w:spacing w:after="0" w:line="264" w:lineRule="auto"/>
        <w:ind w:left="-567" w:right="-518"/>
        <w:jc w:val="both"/>
        <w:rPr>
          <w:rFonts w:ascii="Arial" w:hAnsi="Arial" w:cs="Arial"/>
          <w:b/>
          <w:bCs/>
          <w:smallCaps/>
        </w:rPr>
      </w:pPr>
      <w:r w:rsidRPr="00B9579B">
        <w:rPr>
          <w:rFonts w:ascii="Arial" w:hAnsi="Arial" w:cs="Arial"/>
          <w:b/>
          <w:bCs/>
          <w:smallCaps/>
        </w:rPr>
        <w:t>La vivienda y el empleo</w:t>
      </w:r>
    </w:p>
    <w:p w14:paraId="6ABB1FCF" w14:textId="77777777" w:rsidR="007372F3" w:rsidRPr="00B9579B" w:rsidRDefault="007372F3" w:rsidP="007C381C">
      <w:pPr>
        <w:tabs>
          <w:tab w:val="left" w:pos="3256"/>
        </w:tabs>
        <w:spacing w:after="0" w:line="264" w:lineRule="auto"/>
        <w:ind w:left="-567" w:right="-518"/>
        <w:jc w:val="both"/>
        <w:rPr>
          <w:rFonts w:ascii="Arial" w:hAnsi="Arial" w:cs="Arial"/>
          <w:b/>
          <w:bCs/>
          <w:smallCaps/>
        </w:rPr>
      </w:pPr>
    </w:p>
    <w:p w14:paraId="27C04329" w14:textId="10D1285B" w:rsidR="007372F3" w:rsidRPr="00702EC7" w:rsidRDefault="007372F3" w:rsidP="007C381C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 w:rsidRPr="00702EC7">
        <w:rPr>
          <w:rFonts w:ascii="Arial" w:hAnsi="Arial" w:cs="Arial"/>
        </w:rPr>
        <w:t>En 2020 las actividades económicas del sector vivienda generaron 2</w:t>
      </w:r>
      <w:r w:rsidR="007D19D5">
        <w:rPr>
          <w:rFonts w:ascii="Arial" w:hAnsi="Arial" w:cs="Arial"/>
        </w:rPr>
        <w:t>,</w:t>
      </w:r>
      <w:r w:rsidRPr="00702EC7">
        <w:rPr>
          <w:rFonts w:ascii="Arial" w:hAnsi="Arial" w:cs="Arial"/>
        </w:rPr>
        <w:t>278</w:t>
      </w:r>
      <w:r w:rsidR="007D19D5">
        <w:rPr>
          <w:rFonts w:ascii="Arial" w:hAnsi="Arial" w:cs="Arial"/>
        </w:rPr>
        <w:t>,</w:t>
      </w:r>
      <w:r w:rsidRPr="00702EC7">
        <w:rPr>
          <w:rFonts w:ascii="Arial" w:hAnsi="Arial" w:cs="Arial"/>
        </w:rPr>
        <w:t xml:space="preserve">417 puestos de trabajo, cantidad que equivale a 5.5% del total nacional. De </w:t>
      </w:r>
      <w:r>
        <w:rPr>
          <w:rFonts w:ascii="Arial" w:hAnsi="Arial" w:cs="Arial"/>
        </w:rPr>
        <w:t>este</w:t>
      </w:r>
      <w:r w:rsidRPr="00702EC7">
        <w:rPr>
          <w:rFonts w:ascii="Arial" w:hAnsi="Arial" w:cs="Arial"/>
        </w:rPr>
        <w:t xml:space="preserve"> total, y de acuerdo con el clasificador SCIAN, 86.6% de los puestos de trabajo est</w:t>
      </w:r>
      <w:r>
        <w:rPr>
          <w:rFonts w:ascii="Arial" w:hAnsi="Arial" w:cs="Arial"/>
        </w:rPr>
        <w:t>uvieron</w:t>
      </w:r>
      <w:r w:rsidRPr="00702EC7">
        <w:rPr>
          <w:rFonts w:ascii="Arial" w:hAnsi="Arial" w:cs="Arial"/>
        </w:rPr>
        <w:t xml:space="preserve"> involucrados en actividades del sector de la construcción; 9.3% en los servicios inmobiliarios; 2.4% en servicios financieros y 0.7% en los servicios profesionales. El restante 1.0% lo aportaron otras actividades relacionadas con la vivienda.</w:t>
      </w:r>
    </w:p>
    <w:p w14:paraId="129B50A7" w14:textId="77777777" w:rsidR="004A0FAE" w:rsidRDefault="004A0FAE" w:rsidP="007C381C">
      <w:pPr>
        <w:pStyle w:val="NormalWeb"/>
        <w:spacing w:before="0" w:beforeAutospacing="0" w:after="0" w:afterAutospacing="0" w:line="264" w:lineRule="auto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09C063F5" w14:textId="13D7BE54" w:rsidR="004A0FAE" w:rsidRPr="00170EC8" w:rsidRDefault="007F7A68" w:rsidP="00170EC8">
      <w:pPr>
        <w:pStyle w:val="NormalWeb"/>
        <w:spacing w:before="0" w:beforeAutospacing="0" w:after="0" w:afterAutospacing="0" w:line="264" w:lineRule="auto"/>
        <w:ind w:left="-425" w:right="-516"/>
        <w:jc w:val="center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6030CA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20" w:history="1">
        <w:r w:rsidRPr="006030C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</w:p>
    <w:p w14:paraId="3044B12B" w14:textId="34C771F7" w:rsidR="007F7A68" w:rsidRDefault="007F7A68" w:rsidP="007C381C">
      <w:pPr>
        <w:pStyle w:val="NormalWeb"/>
        <w:spacing w:before="0" w:beforeAutospacing="0" w:after="0" w:afterAutospacing="0" w:line="264" w:lineRule="auto"/>
        <w:ind w:left="-425" w:right="-516"/>
        <w:jc w:val="center"/>
        <w:rPr>
          <w:rFonts w:ascii="Arial" w:hAnsi="Arial" w:cs="Arial"/>
          <w:sz w:val="22"/>
          <w:szCs w:val="22"/>
        </w:rPr>
      </w:pPr>
      <w:r w:rsidRPr="006030CA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5D5B1F73" w14:textId="3538F8A8" w:rsidR="002503DA" w:rsidRPr="00225B4A" w:rsidRDefault="007F7A68" w:rsidP="00225B4A">
      <w:pPr>
        <w:spacing w:after="0" w:line="264" w:lineRule="auto"/>
        <w:ind w:right="-516"/>
        <w:contextualSpacing/>
        <w:jc w:val="center"/>
        <w:rPr>
          <w:rFonts w:ascii="Arial" w:eastAsia="Times New Roman" w:hAnsi="Arial" w:cs="Arial"/>
          <w:lang w:val="es-ES_tradnl" w:eastAsia="es-MX"/>
        </w:rPr>
      </w:pP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1CAD8F6A" wp14:editId="31A5F3FE">
            <wp:extent cx="216770" cy="219456"/>
            <wp:effectExtent l="0" t="0" r="0" b="9525"/>
            <wp:docPr id="47" name="Imagen 47" descr="C:\Users\saladeprensa\Desktop\NVOS LOGOS\F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" cy="23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0A2F015C" wp14:editId="104B8552">
            <wp:extent cx="224790" cy="223257"/>
            <wp:effectExtent l="0" t="0" r="3810" b="5715"/>
            <wp:docPr id="48" name="Imagen 48" descr="C:\Users\saladeprensa\Desktop\NVOS LOGOS\I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2" cy="31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564DC208" wp14:editId="564FBE91">
            <wp:extent cx="217548" cy="219456"/>
            <wp:effectExtent l="0" t="0" r="0" b="9525"/>
            <wp:docPr id="49" name="Imagen 49" descr="C:\Users\saladeprensa\Desktop\NVOS LOGOS\T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8" cy="2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719A794B" wp14:editId="4643E4F9">
            <wp:extent cx="217367" cy="220952"/>
            <wp:effectExtent l="0" t="0" r="0" b="8255"/>
            <wp:docPr id="50" name="Imagen 50" descr="C:\Users\saladeprensa\Desktop\NVOS LOGOS\Y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9" cy="2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0E6A9E41" wp14:editId="6501A16F">
            <wp:extent cx="1716495" cy="236228"/>
            <wp:effectExtent l="0" t="0" r="0" b="0"/>
            <wp:docPr id="51" name="Imagen 5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85" cy="2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3DA" w:rsidRPr="00225B4A" w:rsidSect="00393AEC">
      <w:type w:val="continuous"/>
      <w:pgSz w:w="12240" w:h="15840"/>
      <w:pgMar w:top="1417" w:right="1701" w:bottom="0" w:left="1701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E584" w14:textId="77777777" w:rsidR="007E754C" w:rsidRDefault="007E754C" w:rsidP="00DA3890">
      <w:pPr>
        <w:spacing w:after="0" w:line="240" w:lineRule="auto"/>
      </w:pPr>
      <w:r>
        <w:separator/>
      </w:r>
    </w:p>
  </w:endnote>
  <w:endnote w:type="continuationSeparator" w:id="0">
    <w:p w14:paraId="30D84D5E" w14:textId="77777777" w:rsidR="007E754C" w:rsidRDefault="007E754C" w:rsidP="00DA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9B2F" w14:textId="77777777" w:rsidR="00FE7A85" w:rsidRPr="004B64BD" w:rsidRDefault="00FE7A85" w:rsidP="00DA3890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AD2A33">
      <w:rPr>
        <w:rFonts w:ascii="Arial" w:hAnsi="Arial" w:cs="Arial"/>
        <w:b/>
        <w:noProof/>
        <w:color w:val="002060"/>
        <w:sz w:val="20"/>
        <w:szCs w:val="20"/>
        <w:lang w:eastAsia="es-MX"/>
      </w:rPr>
      <w:t>COMUNICACIÓN SOCIAL</w:t>
    </w:r>
  </w:p>
  <w:p w14:paraId="7CBF418C" w14:textId="77777777" w:rsidR="00FE7A85" w:rsidRDefault="00FE7A85" w:rsidP="00DA389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658C" w14:textId="77777777" w:rsidR="007E754C" w:rsidRDefault="007E754C" w:rsidP="00DA3890">
      <w:pPr>
        <w:spacing w:after="0" w:line="240" w:lineRule="auto"/>
      </w:pPr>
      <w:r>
        <w:separator/>
      </w:r>
    </w:p>
  </w:footnote>
  <w:footnote w:type="continuationSeparator" w:id="0">
    <w:p w14:paraId="3AA450DC" w14:textId="77777777" w:rsidR="007E754C" w:rsidRDefault="007E754C" w:rsidP="00DA3890">
      <w:pPr>
        <w:spacing w:after="0" w:line="240" w:lineRule="auto"/>
      </w:pPr>
      <w:r>
        <w:continuationSeparator/>
      </w:r>
    </w:p>
  </w:footnote>
  <w:footnote w:id="1">
    <w:p w14:paraId="4F9A572E" w14:textId="77777777" w:rsidR="007C381C" w:rsidRPr="004A0FAE" w:rsidRDefault="007C381C" w:rsidP="007C381C">
      <w:pPr>
        <w:pStyle w:val="Textonotapie"/>
        <w:ind w:left="-426" w:right="-518" w:hanging="141"/>
        <w:rPr>
          <w:sz w:val="16"/>
          <w:szCs w:val="16"/>
        </w:rPr>
      </w:pPr>
      <w:r w:rsidRPr="004A0FAE">
        <w:rPr>
          <w:rStyle w:val="Refdenotaalpie"/>
          <w:sz w:val="16"/>
          <w:szCs w:val="16"/>
        </w:rPr>
        <w:footnoteRef/>
      </w:r>
      <w:r w:rsidRPr="004A0FAE">
        <w:rPr>
          <w:sz w:val="16"/>
          <w:szCs w:val="16"/>
        </w:rPr>
        <w:t xml:space="preserve"> </w:t>
      </w:r>
      <w:r w:rsidRPr="004A0FAE">
        <w:rPr>
          <w:rFonts w:ascii="Arial" w:hAnsi="Arial" w:cs="Arial"/>
          <w:sz w:val="16"/>
          <w:szCs w:val="16"/>
        </w:rPr>
        <w:t>Se refiere al valor agregado bruto en esta y en las siguientes referencias a esta variable económica del sector vivienda o de la economía nacional.</w:t>
      </w:r>
    </w:p>
  </w:footnote>
  <w:footnote w:id="2">
    <w:p w14:paraId="45FD5333" w14:textId="18F38D31" w:rsidR="004A0FAE" w:rsidRPr="004A0FAE" w:rsidRDefault="004A0FAE" w:rsidP="004A0FAE">
      <w:pPr>
        <w:pStyle w:val="Textonotapie"/>
        <w:ind w:left="-426" w:right="-518" w:hanging="141"/>
        <w:rPr>
          <w:sz w:val="16"/>
          <w:szCs w:val="16"/>
        </w:rPr>
      </w:pPr>
      <w:r w:rsidRPr="004A0FAE">
        <w:rPr>
          <w:rStyle w:val="Refdenotaalpie"/>
          <w:sz w:val="16"/>
          <w:szCs w:val="16"/>
        </w:rPr>
        <w:footnoteRef/>
      </w:r>
      <w:r w:rsidRPr="004A0FAE">
        <w:rPr>
          <w:sz w:val="16"/>
          <w:szCs w:val="16"/>
        </w:rPr>
        <w:t xml:space="preserve"> </w:t>
      </w:r>
      <w:r w:rsidRPr="004A0FAE">
        <w:rPr>
          <w:rFonts w:ascii="Arial" w:hAnsi="Arial" w:cs="Arial"/>
          <w:sz w:val="16"/>
          <w:szCs w:val="16"/>
        </w:rPr>
        <w:t>Senado de la República. Boletín no. 371. 7 de noviembre de 2017. Esta declaratoria fue avalada por la Cámara de Diputados. Ver H. Congreso de la Unión. Diario Oficial de la Federación. 12/09/2019.</w:t>
      </w:r>
    </w:p>
  </w:footnote>
  <w:footnote w:id="3">
    <w:p w14:paraId="31BA7A07" w14:textId="065AD3ED" w:rsidR="004A0FAE" w:rsidRDefault="004A0FAE" w:rsidP="004A0FAE">
      <w:pPr>
        <w:pStyle w:val="Textonotapie"/>
        <w:ind w:left="-426" w:right="-518" w:hanging="141"/>
      </w:pPr>
      <w:r w:rsidRPr="004A0FAE">
        <w:rPr>
          <w:rStyle w:val="Refdenotaalpie"/>
          <w:sz w:val="16"/>
          <w:szCs w:val="16"/>
        </w:rPr>
        <w:footnoteRef/>
      </w:r>
      <w:r w:rsidRPr="004A0FAE">
        <w:rPr>
          <w:sz w:val="16"/>
          <w:szCs w:val="16"/>
        </w:rPr>
        <w:t xml:space="preserve"> </w:t>
      </w:r>
      <w:r w:rsidRPr="004A0FAE">
        <w:rPr>
          <w:rFonts w:ascii="Arial" w:hAnsi="Arial" w:cs="Arial"/>
          <w:sz w:val="16"/>
          <w:szCs w:val="16"/>
        </w:rPr>
        <w:t>SEDATU. Programa Nacional de Vivienda 2019-2024. Consultado el 3 de enero de 2021 en https://www.gob.mx/cms/uploads/attachment/file/513675/Programa_Nacional_de_Vivienda_2019-2024.pdf</w:t>
      </w:r>
    </w:p>
  </w:footnote>
  <w:footnote w:id="4">
    <w:p w14:paraId="2D9FB017" w14:textId="59E9EB2B" w:rsidR="004A0FAE" w:rsidRDefault="004A0FAE" w:rsidP="004A0FAE">
      <w:pPr>
        <w:pStyle w:val="Textonotapie"/>
        <w:ind w:left="-426" w:right="-518" w:hanging="141"/>
      </w:pPr>
      <w:r>
        <w:rPr>
          <w:rStyle w:val="Refdenotaalpie"/>
        </w:rPr>
        <w:footnoteRef/>
      </w:r>
      <w:r w:rsidRPr="007C381C">
        <w:rPr>
          <w:lang w:val="en-US"/>
        </w:rPr>
        <w:t xml:space="preserve"> </w:t>
      </w:r>
      <w:r w:rsidRPr="00B9579B">
        <w:rPr>
          <w:rFonts w:ascii="Arial" w:hAnsi="Arial" w:cs="Arial"/>
          <w:sz w:val="16"/>
          <w:szCs w:val="16"/>
          <w:lang w:val="en-US"/>
        </w:rPr>
        <w:t xml:space="preserve">European Comission, European Communities, International Monetary Fund, Organisation for Economic Cooperation and Development, United Nations and World Bank. </w:t>
      </w:r>
      <w:r w:rsidRPr="00B9579B">
        <w:rPr>
          <w:rFonts w:ascii="Arial" w:hAnsi="Arial" w:cs="Arial"/>
          <w:sz w:val="16"/>
          <w:szCs w:val="16"/>
        </w:rPr>
        <w:t>System of National Accounts, 2008. New York, 2009.</w:t>
      </w:r>
    </w:p>
  </w:footnote>
  <w:footnote w:id="5">
    <w:p w14:paraId="0090727D" w14:textId="23D8ED75" w:rsidR="004A0FAE" w:rsidRDefault="004A0FAE" w:rsidP="004A0FAE">
      <w:pPr>
        <w:pStyle w:val="Textonotapie"/>
        <w:ind w:left="-426" w:right="-518" w:hanging="141"/>
      </w:pPr>
      <w:r>
        <w:rPr>
          <w:rStyle w:val="Refdenotaalpie"/>
        </w:rPr>
        <w:footnoteRef/>
      </w:r>
      <w:r>
        <w:t xml:space="preserve"> </w:t>
      </w:r>
      <w:r w:rsidRPr="00B9579B">
        <w:rPr>
          <w:rFonts w:ascii="Arial" w:hAnsi="Arial" w:cs="Arial"/>
          <w:sz w:val="16"/>
          <w:szCs w:val="16"/>
        </w:rPr>
        <w:t>INEGI. Sistema de Clasificación Industrial de América del Norte, México SCIAN 2013</w:t>
      </w:r>
    </w:p>
  </w:footnote>
  <w:footnote w:id="6">
    <w:p w14:paraId="5C2D566D" w14:textId="6F7748B6" w:rsidR="004A0FAE" w:rsidRDefault="004A0FAE" w:rsidP="004A0FAE">
      <w:pPr>
        <w:pStyle w:val="Textonotapie"/>
        <w:ind w:left="-426" w:right="-518" w:hanging="141"/>
      </w:pPr>
      <w:r>
        <w:rPr>
          <w:rStyle w:val="Refdenotaalpie"/>
        </w:rPr>
        <w:footnoteRef/>
      </w:r>
      <w:r>
        <w:t xml:space="preserve"> </w:t>
      </w:r>
      <w:r w:rsidRPr="00B9579B">
        <w:rPr>
          <w:rFonts w:ascii="Arial" w:hAnsi="Arial" w:cs="Arial"/>
          <w:sz w:val="16"/>
          <w:szCs w:val="16"/>
        </w:rPr>
        <w:t>La clasificación funcional de las actividades económicas integra las recomendaciones realizadas por el Sistema de Cuentas Nacionales (SCN) en su versión 2008 y los acuerdos alcanzados por el Grupo Técnico de Trabajo de Vivienda.</w:t>
      </w:r>
    </w:p>
  </w:footnote>
  <w:footnote w:id="7">
    <w:p w14:paraId="0B9141AC" w14:textId="1293F6C8" w:rsidR="00225B4A" w:rsidRDefault="00225B4A" w:rsidP="00225B4A">
      <w:pPr>
        <w:pStyle w:val="Textonotapie"/>
        <w:ind w:left="-426" w:right="-518" w:hanging="141"/>
      </w:pPr>
      <w:r>
        <w:rPr>
          <w:rStyle w:val="Refdenotaalpie"/>
        </w:rPr>
        <w:footnoteRef/>
      </w:r>
      <w:r>
        <w:t xml:space="preserve"> </w:t>
      </w:r>
      <w:r w:rsidRPr="00170EC8">
        <w:rPr>
          <w:rFonts w:ascii="Arial" w:hAnsi="Arial" w:cs="Arial"/>
          <w:sz w:val="16"/>
          <w:szCs w:val="16"/>
        </w:rPr>
        <w:t>Se llama alquiler imputado a la estimación monetaria que se realiza para fines de la Cuenta Satélite de la Vivienda como si el dueño de una vivienda pagar</w:t>
      </w:r>
      <w:r>
        <w:rPr>
          <w:rFonts w:ascii="Arial" w:hAnsi="Arial" w:cs="Arial"/>
          <w:sz w:val="16"/>
          <w:szCs w:val="16"/>
        </w:rPr>
        <w:t>a</w:t>
      </w:r>
      <w:r w:rsidRPr="00170EC8">
        <w:rPr>
          <w:rFonts w:ascii="Arial" w:hAnsi="Arial" w:cs="Arial"/>
          <w:sz w:val="16"/>
          <w:szCs w:val="16"/>
        </w:rPr>
        <w:t xml:space="preserve"> una renta por vivir en ella.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F7B2" w14:textId="75A95188" w:rsidR="00FE7A85" w:rsidRPr="00FE1C98" w:rsidRDefault="00FE7A85" w:rsidP="00C33139">
    <w:pPr>
      <w:pStyle w:val="Encabezado"/>
      <w:tabs>
        <w:tab w:val="clear" w:pos="4419"/>
        <w:tab w:val="clear" w:pos="8838"/>
      </w:tabs>
      <w:ind w:left="-567" w:right="-376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971413" wp14:editId="2D360DF6">
          <wp:simplePos x="0" y="0"/>
          <wp:positionH relativeFrom="margin">
            <wp:posOffset>-327660</wp:posOffset>
          </wp:positionH>
          <wp:positionV relativeFrom="margin">
            <wp:posOffset>-892175</wp:posOffset>
          </wp:positionV>
          <wp:extent cx="828675" cy="827405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24"/>
                  <a:stretch/>
                </pic:blipFill>
                <pic:spPr bwMode="auto">
                  <a:xfrm>
                    <a:off x="0" y="0"/>
                    <a:ext cx="82867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C</w:t>
    </w:r>
    <w:r w:rsidRPr="00FE1C98">
      <w:rPr>
        <w:rFonts w:ascii="Arial" w:hAnsi="Arial"/>
        <w:b/>
        <w:color w:val="002060"/>
        <w:sz w:val="24"/>
      </w:rPr>
      <w:t>OMUNICADO DE PRENSA NÚM.</w:t>
    </w:r>
    <w:r>
      <w:rPr>
        <w:rFonts w:ascii="Arial" w:hAnsi="Arial"/>
        <w:b/>
        <w:color w:val="002060"/>
        <w:sz w:val="24"/>
      </w:rPr>
      <w:t xml:space="preserve"> </w:t>
    </w:r>
    <w:r w:rsidR="00393AEC" w:rsidRPr="00393AEC">
      <w:rPr>
        <w:rFonts w:ascii="Arial" w:hAnsi="Arial"/>
        <w:b/>
        <w:color w:val="002060"/>
        <w:sz w:val="24"/>
      </w:rPr>
      <w:t>76</w:t>
    </w:r>
    <w:r w:rsidRPr="00393AEC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t>2</w:t>
    </w:r>
    <w:r w:rsidR="00BF764A">
      <w:rPr>
        <w:rFonts w:ascii="Arial" w:hAnsi="Arial"/>
        <w:b/>
        <w:color w:val="002060"/>
        <w:sz w:val="24"/>
      </w:rPr>
      <w:t>2</w:t>
    </w:r>
  </w:p>
  <w:p w14:paraId="6A26434D" w14:textId="0E45A7F6" w:rsidR="00FE7A85" w:rsidRPr="00FE1C98" w:rsidRDefault="008B4D09" w:rsidP="00C33139">
    <w:pPr>
      <w:pStyle w:val="Encabezado"/>
      <w:tabs>
        <w:tab w:val="clear" w:pos="4419"/>
        <w:tab w:val="clear" w:pos="8838"/>
      </w:tabs>
      <w:ind w:left="-567" w:right="-376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>3</w:t>
    </w:r>
    <w:r w:rsidR="00FE7A85" w:rsidRPr="00CE5330">
      <w:rPr>
        <w:rFonts w:ascii="Arial" w:hAnsi="Arial"/>
        <w:b/>
        <w:color w:val="002060"/>
        <w:sz w:val="24"/>
        <w:lang w:val="pt-BR"/>
      </w:rPr>
      <w:t xml:space="preserve"> DE FEBRERO DE 202</w:t>
    </w:r>
    <w:r w:rsidR="00BF764A">
      <w:rPr>
        <w:rFonts w:ascii="Arial" w:hAnsi="Arial"/>
        <w:b/>
        <w:color w:val="002060"/>
        <w:sz w:val="24"/>
        <w:lang w:val="pt-BR"/>
      </w:rPr>
      <w:t>2</w:t>
    </w:r>
  </w:p>
  <w:p w14:paraId="58F0C06E" w14:textId="558DA091" w:rsidR="00FE7A85" w:rsidRPr="00FE1C98" w:rsidRDefault="00FE7A85" w:rsidP="00C33139">
    <w:pPr>
      <w:pStyle w:val="Encabezado"/>
      <w:tabs>
        <w:tab w:val="clear" w:pos="4419"/>
        <w:tab w:val="clear" w:pos="8838"/>
      </w:tabs>
      <w:ind w:left="-567" w:right="-376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 w:rsidR="00B77C94">
      <w:rPr>
        <w:rFonts w:ascii="Arial" w:hAnsi="Arial"/>
        <w:b/>
        <w:noProof/>
        <w:color w:val="002060"/>
        <w:sz w:val="24"/>
      </w:rPr>
      <w:t>6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 w:rsidR="00067237">
      <w:rPr>
        <w:rFonts w:ascii="Arial" w:hAnsi="Arial"/>
        <w:b/>
        <w:color w:val="002060"/>
        <w:sz w:val="24"/>
      </w:rPr>
      <w:t>5</w:t>
    </w:r>
  </w:p>
  <w:p w14:paraId="2493CFFD" w14:textId="77777777" w:rsidR="00FE7A85" w:rsidRDefault="00FE7A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969"/>
    <w:multiLevelType w:val="hybridMultilevel"/>
    <w:tmpl w:val="BDD65EFE"/>
    <w:lvl w:ilvl="0" w:tplc="F86E3FD2">
      <w:start w:val="7"/>
      <w:numFmt w:val="decimal"/>
      <w:lvlText w:val="(%1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9117A84"/>
    <w:multiLevelType w:val="hybridMultilevel"/>
    <w:tmpl w:val="751C0EA6"/>
    <w:lvl w:ilvl="0" w:tplc="8DFC69DC">
      <w:start w:val="7"/>
      <w:numFmt w:val="decimal"/>
      <w:lvlText w:val="%1"/>
      <w:lvlJc w:val="left"/>
      <w:pPr>
        <w:ind w:left="5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33" w:hanging="360"/>
      </w:pPr>
    </w:lvl>
    <w:lvl w:ilvl="2" w:tplc="080A001B" w:tentative="1">
      <w:start w:val="1"/>
      <w:numFmt w:val="lowerRoman"/>
      <w:lvlText w:val="%3."/>
      <w:lvlJc w:val="right"/>
      <w:pPr>
        <w:ind w:left="1953" w:hanging="180"/>
      </w:pPr>
    </w:lvl>
    <w:lvl w:ilvl="3" w:tplc="080A000F" w:tentative="1">
      <w:start w:val="1"/>
      <w:numFmt w:val="decimal"/>
      <w:lvlText w:val="%4."/>
      <w:lvlJc w:val="left"/>
      <w:pPr>
        <w:ind w:left="2673" w:hanging="360"/>
      </w:pPr>
    </w:lvl>
    <w:lvl w:ilvl="4" w:tplc="080A0019" w:tentative="1">
      <w:start w:val="1"/>
      <w:numFmt w:val="lowerLetter"/>
      <w:lvlText w:val="%5."/>
      <w:lvlJc w:val="left"/>
      <w:pPr>
        <w:ind w:left="3393" w:hanging="360"/>
      </w:pPr>
    </w:lvl>
    <w:lvl w:ilvl="5" w:tplc="080A001B" w:tentative="1">
      <w:start w:val="1"/>
      <w:numFmt w:val="lowerRoman"/>
      <w:lvlText w:val="%6."/>
      <w:lvlJc w:val="right"/>
      <w:pPr>
        <w:ind w:left="4113" w:hanging="180"/>
      </w:pPr>
    </w:lvl>
    <w:lvl w:ilvl="6" w:tplc="080A000F" w:tentative="1">
      <w:start w:val="1"/>
      <w:numFmt w:val="decimal"/>
      <w:lvlText w:val="%7."/>
      <w:lvlJc w:val="left"/>
      <w:pPr>
        <w:ind w:left="4833" w:hanging="360"/>
      </w:pPr>
    </w:lvl>
    <w:lvl w:ilvl="7" w:tplc="080A0019" w:tentative="1">
      <w:start w:val="1"/>
      <w:numFmt w:val="lowerLetter"/>
      <w:lvlText w:val="%8."/>
      <w:lvlJc w:val="left"/>
      <w:pPr>
        <w:ind w:left="5553" w:hanging="360"/>
      </w:pPr>
    </w:lvl>
    <w:lvl w:ilvl="8" w:tplc="080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3C996CBE"/>
    <w:multiLevelType w:val="hybridMultilevel"/>
    <w:tmpl w:val="C3B0DF0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D19734F"/>
    <w:multiLevelType w:val="hybridMultilevel"/>
    <w:tmpl w:val="BB1CC5B0"/>
    <w:lvl w:ilvl="0" w:tplc="58EA7346">
      <w:start w:val="7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98267AC"/>
    <w:multiLevelType w:val="hybridMultilevel"/>
    <w:tmpl w:val="2D047B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60136"/>
    <w:multiLevelType w:val="hybridMultilevel"/>
    <w:tmpl w:val="25E082C2"/>
    <w:lvl w:ilvl="0" w:tplc="0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74E55650"/>
    <w:multiLevelType w:val="hybridMultilevel"/>
    <w:tmpl w:val="457893F4"/>
    <w:lvl w:ilvl="0" w:tplc="CD46B5AE">
      <w:numFmt w:val="bullet"/>
      <w:lvlText w:val=""/>
      <w:lvlJc w:val="left"/>
      <w:pPr>
        <w:ind w:left="502" w:hanging="360"/>
      </w:pPr>
      <w:rPr>
        <w:rFonts w:ascii="Symbol" w:eastAsiaTheme="majorEastAsia" w:hAnsi="Symbol" w:cs="Arial" w:hint="default"/>
      </w:rPr>
    </w:lvl>
    <w:lvl w:ilvl="1" w:tplc="080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7B9F6466"/>
    <w:multiLevelType w:val="hybridMultilevel"/>
    <w:tmpl w:val="D99E1392"/>
    <w:lvl w:ilvl="0" w:tplc="21EC9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90"/>
    <w:rsid w:val="00000704"/>
    <w:rsid w:val="00001D72"/>
    <w:rsid w:val="00003AE2"/>
    <w:rsid w:val="00003AF0"/>
    <w:rsid w:val="00003C70"/>
    <w:rsid w:val="00003FC3"/>
    <w:rsid w:val="00004278"/>
    <w:rsid w:val="000046C3"/>
    <w:rsid w:val="0000667B"/>
    <w:rsid w:val="00007299"/>
    <w:rsid w:val="000072D3"/>
    <w:rsid w:val="00010A9B"/>
    <w:rsid w:val="0001115F"/>
    <w:rsid w:val="000111C4"/>
    <w:rsid w:val="00012C4D"/>
    <w:rsid w:val="00012E63"/>
    <w:rsid w:val="000138DF"/>
    <w:rsid w:val="00015D46"/>
    <w:rsid w:val="00017CE1"/>
    <w:rsid w:val="00020929"/>
    <w:rsid w:val="00022EFB"/>
    <w:rsid w:val="00023A19"/>
    <w:rsid w:val="00024084"/>
    <w:rsid w:val="00024726"/>
    <w:rsid w:val="000251C4"/>
    <w:rsid w:val="000264E1"/>
    <w:rsid w:val="00026562"/>
    <w:rsid w:val="00026608"/>
    <w:rsid w:val="00026A89"/>
    <w:rsid w:val="00026FA1"/>
    <w:rsid w:val="000272C0"/>
    <w:rsid w:val="000275B6"/>
    <w:rsid w:val="0003030C"/>
    <w:rsid w:val="0003098B"/>
    <w:rsid w:val="00031002"/>
    <w:rsid w:val="0003181A"/>
    <w:rsid w:val="00031C5C"/>
    <w:rsid w:val="000324C9"/>
    <w:rsid w:val="000329B3"/>
    <w:rsid w:val="000369D1"/>
    <w:rsid w:val="000375B3"/>
    <w:rsid w:val="000415FA"/>
    <w:rsid w:val="000422CA"/>
    <w:rsid w:val="000423FF"/>
    <w:rsid w:val="00043A3E"/>
    <w:rsid w:val="00044A78"/>
    <w:rsid w:val="00044E9F"/>
    <w:rsid w:val="00053E60"/>
    <w:rsid w:val="000544A9"/>
    <w:rsid w:val="000577B5"/>
    <w:rsid w:val="00060265"/>
    <w:rsid w:val="00061DD8"/>
    <w:rsid w:val="000657D4"/>
    <w:rsid w:val="00066144"/>
    <w:rsid w:val="00066FD5"/>
    <w:rsid w:val="00067237"/>
    <w:rsid w:val="00070072"/>
    <w:rsid w:val="000704CB"/>
    <w:rsid w:val="000708E6"/>
    <w:rsid w:val="000720F4"/>
    <w:rsid w:val="0007455A"/>
    <w:rsid w:val="000750E0"/>
    <w:rsid w:val="00076EB2"/>
    <w:rsid w:val="000777DD"/>
    <w:rsid w:val="00077AA3"/>
    <w:rsid w:val="00080B87"/>
    <w:rsid w:val="0008135E"/>
    <w:rsid w:val="00082893"/>
    <w:rsid w:val="00082B52"/>
    <w:rsid w:val="00082D70"/>
    <w:rsid w:val="00082F6A"/>
    <w:rsid w:val="000858BC"/>
    <w:rsid w:val="00085EE7"/>
    <w:rsid w:val="00090185"/>
    <w:rsid w:val="00090AC9"/>
    <w:rsid w:val="00090D86"/>
    <w:rsid w:val="0009147A"/>
    <w:rsid w:val="00093230"/>
    <w:rsid w:val="0009351F"/>
    <w:rsid w:val="000958F4"/>
    <w:rsid w:val="00096A0E"/>
    <w:rsid w:val="000A0871"/>
    <w:rsid w:val="000A0C6E"/>
    <w:rsid w:val="000A1474"/>
    <w:rsid w:val="000A22BF"/>
    <w:rsid w:val="000A2D65"/>
    <w:rsid w:val="000A2DFC"/>
    <w:rsid w:val="000A3E28"/>
    <w:rsid w:val="000A431F"/>
    <w:rsid w:val="000A491A"/>
    <w:rsid w:val="000A50CE"/>
    <w:rsid w:val="000A789C"/>
    <w:rsid w:val="000A7ADA"/>
    <w:rsid w:val="000B0375"/>
    <w:rsid w:val="000B166D"/>
    <w:rsid w:val="000B198A"/>
    <w:rsid w:val="000B1A3A"/>
    <w:rsid w:val="000B343C"/>
    <w:rsid w:val="000B3C7F"/>
    <w:rsid w:val="000B4569"/>
    <w:rsid w:val="000B5569"/>
    <w:rsid w:val="000B5875"/>
    <w:rsid w:val="000B5904"/>
    <w:rsid w:val="000B64AA"/>
    <w:rsid w:val="000C10BD"/>
    <w:rsid w:val="000C339C"/>
    <w:rsid w:val="000C6175"/>
    <w:rsid w:val="000C6181"/>
    <w:rsid w:val="000C7EFA"/>
    <w:rsid w:val="000D0D62"/>
    <w:rsid w:val="000D33AD"/>
    <w:rsid w:val="000D3BCF"/>
    <w:rsid w:val="000D403D"/>
    <w:rsid w:val="000D4AED"/>
    <w:rsid w:val="000D79AC"/>
    <w:rsid w:val="000D7B7A"/>
    <w:rsid w:val="000E15FF"/>
    <w:rsid w:val="000E2427"/>
    <w:rsid w:val="000E32C6"/>
    <w:rsid w:val="000E33F1"/>
    <w:rsid w:val="000E372B"/>
    <w:rsid w:val="000E45B4"/>
    <w:rsid w:val="000E4D3B"/>
    <w:rsid w:val="000E5DFC"/>
    <w:rsid w:val="000E5FC4"/>
    <w:rsid w:val="000E637E"/>
    <w:rsid w:val="000F1B31"/>
    <w:rsid w:val="000F2467"/>
    <w:rsid w:val="000F2666"/>
    <w:rsid w:val="000F3A24"/>
    <w:rsid w:val="000F3A39"/>
    <w:rsid w:val="000F6900"/>
    <w:rsid w:val="0010162A"/>
    <w:rsid w:val="0010301C"/>
    <w:rsid w:val="001038EA"/>
    <w:rsid w:val="00110D43"/>
    <w:rsid w:val="00111590"/>
    <w:rsid w:val="00111F35"/>
    <w:rsid w:val="001121DD"/>
    <w:rsid w:val="00112781"/>
    <w:rsid w:val="001135DA"/>
    <w:rsid w:val="00113750"/>
    <w:rsid w:val="00114058"/>
    <w:rsid w:val="001148BD"/>
    <w:rsid w:val="00116556"/>
    <w:rsid w:val="0012015E"/>
    <w:rsid w:val="00120349"/>
    <w:rsid w:val="00120BED"/>
    <w:rsid w:val="0012110B"/>
    <w:rsid w:val="00122AE9"/>
    <w:rsid w:val="00122AFD"/>
    <w:rsid w:val="00122EF9"/>
    <w:rsid w:val="00126E2F"/>
    <w:rsid w:val="001275CB"/>
    <w:rsid w:val="00127A51"/>
    <w:rsid w:val="00130F51"/>
    <w:rsid w:val="001318CA"/>
    <w:rsid w:val="00132FE8"/>
    <w:rsid w:val="00136B98"/>
    <w:rsid w:val="00136D4D"/>
    <w:rsid w:val="00137575"/>
    <w:rsid w:val="00137BB1"/>
    <w:rsid w:val="00141973"/>
    <w:rsid w:val="00141F5D"/>
    <w:rsid w:val="00142569"/>
    <w:rsid w:val="0014276D"/>
    <w:rsid w:val="001431F4"/>
    <w:rsid w:val="00143577"/>
    <w:rsid w:val="001440A9"/>
    <w:rsid w:val="001440C6"/>
    <w:rsid w:val="00145F56"/>
    <w:rsid w:val="0014638A"/>
    <w:rsid w:val="00146BFE"/>
    <w:rsid w:val="00146FCB"/>
    <w:rsid w:val="00147E61"/>
    <w:rsid w:val="00153B68"/>
    <w:rsid w:val="00154542"/>
    <w:rsid w:val="001547FC"/>
    <w:rsid w:val="00154BBA"/>
    <w:rsid w:val="00155161"/>
    <w:rsid w:val="001552D7"/>
    <w:rsid w:val="00155512"/>
    <w:rsid w:val="00157910"/>
    <w:rsid w:val="001603BF"/>
    <w:rsid w:val="0016063C"/>
    <w:rsid w:val="00161ECF"/>
    <w:rsid w:val="001629A0"/>
    <w:rsid w:val="001644F9"/>
    <w:rsid w:val="00164C3C"/>
    <w:rsid w:val="00164CBE"/>
    <w:rsid w:val="001654D0"/>
    <w:rsid w:val="001669D7"/>
    <w:rsid w:val="001672AC"/>
    <w:rsid w:val="0017045D"/>
    <w:rsid w:val="00170EC8"/>
    <w:rsid w:val="00172BB6"/>
    <w:rsid w:val="00172DC1"/>
    <w:rsid w:val="00172DD5"/>
    <w:rsid w:val="00174B4C"/>
    <w:rsid w:val="00174D55"/>
    <w:rsid w:val="0017579B"/>
    <w:rsid w:val="001762E9"/>
    <w:rsid w:val="00177359"/>
    <w:rsid w:val="00180D5C"/>
    <w:rsid w:val="00181333"/>
    <w:rsid w:val="00184796"/>
    <w:rsid w:val="0018666D"/>
    <w:rsid w:val="00186729"/>
    <w:rsid w:val="00190517"/>
    <w:rsid w:val="0019109B"/>
    <w:rsid w:val="001919CD"/>
    <w:rsid w:val="00193EB0"/>
    <w:rsid w:val="00196938"/>
    <w:rsid w:val="001A01E3"/>
    <w:rsid w:val="001A04F6"/>
    <w:rsid w:val="001A0618"/>
    <w:rsid w:val="001A1162"/>
    <w:rsid w:val="001A1F76"/>
    <w:rsid w:val="001A2D73"/>
    <w:rsid w:val="001A3535"/>
    <w:rsid w:val="001A43C3"/>
    <w:rsid w:val="001A62D7"/>
    <w:rsid w:val="001A655E"/>
    <w:rsid w:val="001A6A2C"/>
    <w:rsid w:val="001B00DB"/>
    <w:rsid w:val="001B0626"/>
    <w:rsid w:val="001B1D11"/>
    <w:rsid w:val="001B30B4"/>
    <w:rsid w:val="001B3B3F"/>
    <w:rsid w:val="001B5796"/>
    <w:rsid w:val="001B6771"/>
    <w:rsid w:val="001C1C77"/>
    <w:rsid w:val="001C3139"/>
    <w:rsid w:val="001C5607"/>
    <w:rsid w:val="001C685F"/>
    <w:rsid w:val="001C7202"/>
    <w:rsid w:val="001C7ACB"/>
    <w:rsid w:val="001D32BF"/>
    <w:rsid w:val="001D4698"/>
    <w:rsid w:val="001D490B"/>
    <w:rsid w:val="001D4D49"/>
    <w:rsid w:val="001D6D89"/>
    <w:rsid w:val="001D74BB"/>
    <w:rsid w:val="001E00F1"/>
    <w:rsid w:val="001E1C75"/>
    <w:rsid w:val="001E23FD"/>
    <w:rsid w:val="001E2F46"/>
    <w:rsid w:val="001E5418"/>
    <w:rsid w:val="001E579D"/>
    <w:rsid w:val="001E6B0B"/>
    <w:rsid w:val="001E704E"/>
    <w:rsid w:val="001E795B"/>
    <w:rsid w:val="001F14D3"/>
    <w:rsid w:val="001F19F2"/>
    <w:rsid w:val="001F37ED"/>
    <w:rsid w:val="001F42E6"/>
    <w:rsid w:val="001F4F42"/>
    <w:rsid w:val="001F5A2E"/>
    <w:rsid w:val="001F631B"/>
    <w:rsid w:val="001F69AC"/>
    <w:rsid w:val="00202A64"/>
    <w:rsid w:val="002043FF"/>
    <w:rsid w:val="0020532A"/>
    <w:rsid w:val="00206B2D"/>
    <w:rsid w:val="00206CE6"/>
    <w:rsid w:val="002072AF"/>
    <w:rsid w:val="002076D5"/>
    <w:rsid w:val="002114C7"/>
    <w:rsid w:val="00211FCD"/>
    <w:rsid w:val="00213191"/>
    <w:rsid w:val="00213DF2"/>
    <w:rsid w:val="002159CA"/>
    <w:rsid w:val="002161C6"/>
    <w:rsid w:val="0021669F"/>
    <w:rsid w:val="002247AA"/>
    <w:rsid w:val="00224A77"/>
    <w:rsid w:val="00225B4A"/>
    <w:rsid w:val="00226C03"/>
    <w:rsid w:val="0023050F"/>
    <w:rsid w:val="00230F25"/>
    <w:rsid w:val="0023136D"/>
    <w:rsid w:val="00232B7D"/>
    <w:rsid w:val="00232F09"/>
    <w:rsid w:val="00234442"/>
    <w:rsid w:val="00234B75"/>
    <w:rsid w:val="00236925"/>
    <w:rsid w:val="00237693"/>
    <w:rsid w:val="00242819"/>
    <w:rsid w:val="00244D3C"/>
    <w:rsid w:val="00245125"/>
    <w:rsid w:val="00246539"/>
    <w:rsid w:val="00246CAD"/>
    <w:rsid w:val="00246CE2"/>
    <w:rsid w:val="0024773E"/>
    <w:rsid w:val="002503DA"/>
    <w:rsid w:val="002521BB"/>
    <w:rsid w:val="00252368"/>
    <w:rsid w:val="002529FC"/>
    <w:rsid w:val="00252A28"/>
    <w:rsid w:val="00253BD5"/>
    <w:rsid w:val="00253C2A"/>
    <w:rsid w:val="00255319"/>
    <w:rsid w:val="002562E7"/>
    <w:rsid w:val="00256B81"/>
    <w:rsid w:val="002602B8"/>
    <w:rsid w:val="002605BF"/>
    <w:rsid w:val="00260ACC"/>
    <w:rsid w:val="00262AA2"/>
    <w:rsid w:val="002643FA"/>
    <w:rsid w:val="002644D4"/>
    <w:rsid w:val="002673E5"/>
    <w:rsid w:val="002675B2"/>
    <w:rsid w:val="00273706"/>
    <w:rsid w:val="00273C1C"/>
    <w:rsid w:val="00274544"/>
    <w:rsid w:val="002760C1"/>
    <w:rsid w:val="00283A81"/>
    <w:rsid w:val="002854E0"/>
    <w:rsid w:val="002902E8"/>
    <w:rsid w:val="002916F6"/>
    <w:rsid w:val="002920BB"/>
    <w:rsid w:val="00292C71"/>
    <w:rsid w:val="00293BE9"/>
    <w:rsid w:val="00293F09"/>
    <w:rsid w:val="0029403D"/>
    <w:rsid w:val="002948B8"/>
    <w:rsid w:val="00295D12"/>
    <w:rsid w:val="00296A4D"/>
    <w:rsid w:val="00297980"/>
    <w:rsid w:val="002A27F5"/>
    <w:rsid w:val="002A4B6E"/>
    <w:rsid w:val="002A4DB3"/>
    <w:rsid w:val="002A520B"/>
    <w:rsid w:val="002A649D"/>
    <w:rsid w:val="002A66D5"/>
    <w:rsid w:val="002B09B3"/>
    <w:rsid w:val="002B0DCF"/>
    <w:rsid w:val="002B151A"/>
    <w:rsid w:val="002B3729"/>
    <w:rsid w:val="002B381D"/>
    <w:rsid w:val="002B567E"/>
    <w:rsid w:val="002B6FF8"/>
    <w:rsid w:val="002B7B39"/>
    <w:rsid w:val="002C0771"/>
    <w:rsid w:val="002C0934"/>
    <w:rsid w:val="002C0C95"/>
    <w:rsid w:val="002C1E16"/>
    <w:rsid w:val="002C28C7"/>
    <w:rsid w:val="002C2BE3"/>
    <w:rsid w:val="002C2DE4"/>
    <w:rsid w:val="002C38B5"/>
    <w:rsid w:val="002C502C"/>
    <w:rsid w:val="002C503D"/>
    <w:rsid w:val="002C50F5"/>
    <w:rsid w:val="002D06CB"/>
    <w:rsid w:val="002D0E1F"/>
    <w:rsid w:val="002D1AED"/>
    <w:rsid w:val="002D2CC1"/>
    <w:rsid w:val="002D354A"/>
    <w:rsid w:val="002D7C4B"/>
    <w:rsid w:val="002E02B4"/>
    <w:rsid w:val="002E1703"/>
    <w:rsid w:val="002E18F6"/>
    <w:rsid w:val="002E3511"/>
    <w:rsid w:val="002E4302"/>
    <w:rsid w:val="002E775B"/>
    <w:rsid w:val="002E7BC4"/>
    <w:rsid w:val="002F11D7"/>
    <w:rsid w:val="002F1F64"/>
    <w:rsid w:val="002F2282"/>
    <w:rsid w:val="002F24D4"/>
    <w:rsid w:val="002F4687"/>
    <w:rsid w:val="002F7FCF"/>
    <w:rsid w:val="003014EE"/>
    <w:rsid w:val="00302970"/>
    <w:rsid w:val="00303BC3"/>
    <w:rsid w:val="00304846"/>
    <w:rsid w:val="00306342"/>
    <w:rsid w:val="0030673F"/>
    <w:rsid w:val="00306E6D"/>
    <w:rsid w:val="00307103"/>
    <w:rsid w:val="0030797F"/>
    <w:rsid w:val="0031171E"/>
    <w:rsid w:val="003121C1"/>
    <w:rsid w:val="003133AE"/>
    <w:rsid w:val="00313A06"/>
    <w:rsid w:val="00314D32"/>
    <w:rsid w:val="00314DF1"/>
    <w:rsid w:val="003150DF"/>
    <w:rsid w:val="00315A43"/>
    <w:rsid w:val="003162E4"/>
    <w:rsid w:val="00316903"/>
    <w:rsid w:val="00320999"/>
    <w:rsid w:val="00320B50"/>
    <w:rsid w:val="00320FED"/>
    <w:rsid w:val="00321A0A"/>
    <w:rsid w:val="0032554F"/>
    <w:rsid w:val="00326B04"/>
    <w:rsid w:val="00326CB9"/>
    <w:rsid w:val="003279A3"/>
    <w:rsid w:val="00327A2D"/>
    <w:rsid w:val="00330CEC"/>
    <w:rsid w:val="003325B3"/>
    <w:rsid w:val="003330ED"/>
    <w:rsid w:val="0033362F"/>
    <w:rsid w:val="00333C27"/>
    <w:rsid w:val="0033536A"/>
    <w:rsid w:val="00335421"/>
    <w:rsid w:val="00340498"/>
    <w:rsid w:val="00341332"/>
    <w:rsid w:val="00341794"/>
    <w:rsid w:val="00342734"/>
    <w:rsid w:val="00342864"/>
    <w:rsid w:val="00342B79"/>
    <w:rsid w:val="00342DCF"/>
    <w:rsid w:val="003441FE"/>
    <w:rsid w:val="00345D5C"/>
    <w:rsid w:val="00347269"/>
    <w:rsid w:val="003505D8"/>
    <w:rsid w:val="00352F55"/>
    <w:rsid w:val="0035334E"/>
    <w:rsid w:val="00355264"/>
    <w:rsid w:val="00355CF1"/>
    <w:rsid w:val="00356F00"/>
    <w:rsid w:val="0035792A"/>
    <w:rsid w:val="00357EBD"/>
    <w:rsid w:val="003603D5"/>
    <w:rsid w:val="0036174C"/>
    <w:rsid w:val="003637F7"/>
    <w:rsid w:val="00363A2C"/>
    <w:rsid w:val="00365254"/>
    <w:rsid w:val="00365874"/>
    <w:rsid w:val="00365A5B"/>
    <w:rsid w:val="003675D6"/>
    <w:rsid w:val="00371AD6"/>
    <w:rsid w:val="003724BE"/>
    <w:rsid w:val="00372FDC"/>
    <w:rsid w:val="003746C5"/>
    <w:rsid w:val="00382226"/>
    <w:rsid w:val="00382C0A"/>
    <w:rsid w:val="0038449F"/>
    <w:rsid w:val="003846DF"/>
    <w:rsid w:val="003862C5"/>
    <w:rsid w:val="00390272"/>
    <w:rsid w:val="003916D5"/>
    <w:rsid w:val="00391E6F"/>
    <w:rsid w:val="00391EA1"/>
    <w:rsid w:val="003929E1"/>
    <w:rsid w:val="0039330B"/>
    <w:rsid w:val="00393325"/>
    <w:rsid w:val="00393AEC"/>
    <w:rsid w:val="00393B0A"/>
    <w:rsid w:val="00394833"/>
    <w:rsid w:val="00394B5E"/>
    <w:rsid w:val="00394E14"/>
    <w:rsid w:val="00395950"/>
    <w:rsid w:val="00395C9C"/>
    <w:rsid w:val="00396383"/>
    <w:rsid w:val="003A0EC4"/>
    <w:rsid w:val="003A1298"/>
    <w:rsid w:val="003A1691"/>
    <w:rsid w:val="003A27B8"/>
    <w:rsid w:val="003A3525"/>
    <w:rsid w:val="003A7650"/>
    <w:rsid w:val="003B11FA"/>
    <w:rsid w:val="003B1924"/>
    <w:rsid w:val="003B352C"/>
    <w:rsid w:val="003B3FFB"/>
    <w:rsid w:val="003B4281"/>
    <w:rsid w:val="003B513B"/>
    <w:rsid w:val="003B5163"/>
    <w:rsid w:val="003B587F"/>
    <w:rsid w:val="003B5BF2"/>
    <w:rsid w:val="003C03CE"/>
    <w:rsid w:val="003C0E05"/>
    <w:rsid w:val="003C0ECC"/>
    <w:rsid w:val="003C2366"/>
    <w:rsid w:val="003C31F3"/>
    <w:rsid w:val="003C3C37"/>
    <w:rsid w:val="003C49BE"/>
    <w:rsid w:val="003C6BA0"/>
    <w:rsid w:val="003D045D"/>
    <w:rsid w:val="003D16E2"/>
    <w:rsid w:val="003D24E0"/>
    <w:rsid w:val="003D4329"/>
    <w:rsid w:val="003D4347"/>
    <w:rsid w:val="003D4968"/>
    <w:rsid w:val="003D6632"/>
    <w:rsid w:val="003E0D0D"/>
    <w:rsid w:val="003E11CD"/>
    <w:rsid w:val="003E1356"/>
    <w:rsid w:val="003E2D56"/>
    <w:rsid w:val="003E33B1"/>
    <w:rsid w:val="003E35CF"/>
    <w:rsid w:val="003E5EC5"/>
    <w:rsid w:val="003E690B"/>
    <w:rsid w:val="003E6BD0"/>
    <w:rsid w:val="003E6C96"/>
    <w:rsid w:val="003E72C2"/>
    <w:rsid w:val="003F1EEA"/>
    <w:rsid w:val="003F2138"/>
    <w:rsid w:val="003F23D1"/>
    <w:rsid w:val="003F3936"/>
    <w:rsid w:val="003F4AEB"/>
    <w:rsid w:val="003F56E1"/>
    <w:rsid w:val="003F5C8C"/>
    <w:rsid w:val="003F61A6"/>
    <w:rsid w:val="003F67E9"/>
    <w:rsid w:val="003F6B1C"/>
    <w:rsid w:val="003F793A"/>
    <w:rsid w:val="00400EBB"/>
    <w:rsid w:val="00401B44"/>
    <w:rsid w:val="004021AB"/>
    <w:rsid w:val="00403AA0"/>
    <w:rsid w:val="0040497D"/>
    <w:rsid w:val="0040622F"/>
    <w:rsid w:val="0040692A"/>
    <w:rsid w:val="0040704F"/>
    <w:rsid w:val="004072AA"/>
    <w:rsid w:val="00407A85"/>
    <w:rsid w:val="004114FB"/>
    <w:rsid w:val="00411AF5"/>
    <w:rsid w:val="00412DB0"/>
    <w:rsid w:val="00413BE7"/>
    <w:rsid w:val="00415775"/>
    <w:rsid w:val="00416C90"/>
    <w:rsid w:val="004171D8"/>
    <w:rsid w:val="004178B0"/>
    <w:rsid w:val="00423D2B"/>
    <w:rsid w:val="00423E7B"/>
    <w:rsid w:val="0042440E"/>
    <w:rsid w:val="00424B4A"/>
    <w:rsid w:val="00424BD0"/>
    <w:rsid w:val="00425455"/>
    <w:rsid w:val="0042791D"/>
    <w:rsid w:val="00431BF1"/>
    <w:rsid w:val="00431C47"/>
    <w:rsid w:val="004330DC"/>
    <w:rsid w:val="00434289"/>
    <w:rsid w:val="00434ED2"/>
    <w:rsid w:val="0043544D"/>
    <w:rsid w:val="00441419"/>
    <w:rsid w:val="004445A7"/>
    <w:rsid w:val="00446436"/>
    <w:rsid w:val="004471D2"/>
    <w:rsid w:val="004507D4"/>
    <w:rsid w:val="00450E09"/>
    <w:rsid w:val="00451646"/>
    <w:rsid w:val="004549E8"/>
    <w:rsid w:val="004566F7"/>
    <w:rsid w:val="00457635"/>
    <w:rsid w:val="00460895"/>
    <w:rsid w:val="00460C5C"/>
    <w:rsid w:val="00460E71"/>
    <w:rsid w:val="004617EC"/>
    <w:rsid w:val="00462933"/>
    <w:rsid w:val="00462AF9"/>
    <w:rsid w:val="00464161"/>
    <w:rsid w:val="00466AB2"/>
    <w:rsid w:val="00467782"/>
    <w:rsid w:val="00467FB9"/>
    <w:rsid w:val="004705A5"/>
    <w:rsid w:val="00470EDD"/>
    <w:rsid w:val="0047165D"/>
    <w:rsid w:val="00474EFC"/>
    <w:rsid w:val="00474F60"/>
    <w:rsid w:val="00475B95"/>
    <w:rsid w:val="004762C5"/>
    <w:rsid w:val="00477017"/>
    <w:rsid w:val="004800B4"/>
    <w:rsid w:val="0048069C"/>
    <w:rsid w:val="00481CAC"/>
    <w:rsid w:val="004837AF"/>
    <w:rsid w:val="00484B6C"/>
    <w:rsid w:val="00486F20"/>
    <w:rsid w:val="00487CD1"/>
    <w:rsid w:val="004906C7"/>
    <w:rsid w:val="004906D2"/>
    <w:rsid w:val="004907DF"/>
    <w:rsid w:val="00490D6B"/>
    <w:rsid w:val="004934C7"/>
    <w:rsid w:val="00494C8B"/>
    <w:rsid w:val="004960FD"/>
    <w:rsid w:val="004A0AA1"/>
    <w:rsid w:val="004A0FAE"/>
    <w:rsid w:val="004A2C62"/>
    <w:rsid w:val="004A2F56"/>
    <w:rsid w:val="004A45F6"/>
    <w:rsid w:val="004A62B5"/>
    <w:rsid w:val="004A633B"/>
    <w:rsid w:val="004A6678"/>
    <w:rsid w:val="004A7EEB"/>
    <w:rsid w:val="004B031A"/>
    <w:rsid w:val="004B08F5"/>
    <w:rsid w:val="004B1AB2"/>
    <w:rsid w:val="004B3DC1"/>
    <w:rsid w:val="004B4B4C"/>
    <w:rsid w:val="004B544D"/>
    <w:rsid w:val="004B6165"/>
    <w:rsid w:val="004B798A"/>
    <w:rsid w:val="004B7A0E"/>
    <w:rsid w:val="004C12FD"/>
    <w:rsid w:val="004C14A9"/>
    <w:rsid w:val="004C34B7"/>
    <w:rsid w:val="004C4029"/>
    <w:rsid w:val="004C4572"/>
    <w:rsid w:val="004C4ABF"/>
    <w:rsid w:val="004C77F8"/>
    <w:rsid w:val="004D0E70"/>
    <w:rsid w:val="004D2177"/>
    <w:rsid w:val="004D27F8"/>
    <w:rsid w:val="004D3016"/>
    <w:rsid w:val="004D385E"/>
    <w:rsid w:val="004E0078"/>
    <w:rsid w:val="004E362E"/>
    <w:rsid w:val="004E3DEA"/>
    <w:rsid w:val="004E618C"/>
    <w:rsid w:val="004E6AF2"/>
    <w:rsid w:val="004E6D14"/>
    <w:rsid w:val="004F181F"/>
    <w:rsid w:val="004F1F31"/>
    <w:rsid w:val="004F32C8"/>
    <w:rsid w:val="004F6149"/>
    <w:rsid w:val="004F76EC"/>
    <w:rsid w:val="004F7A32"/>
    <w:rsid w:val="00500556"/>
    <w:rsid w:val="00501C57"/>
    <w:rsid w:val="00501CCD"/>
    <w:rsid w:val="00502856"/>
    <w:rsid w:val="00504E4F"/>
    <w:rsid w:val="00504E66"/>
    <w:rsid w:val="00507487"/>
    <w:rsid w:val="00507E88"/>
    <w:rsid w:val="005117DB"/>
    <w:rsid w:val="00511907"/>
    <w:rsid w:val="00512BB3"/>
    <w:rsid w:val="00513F78"/>
    <w:rsid w:val="00516268"/>
    <w:rsid w:val="00517286"/>
    <w:rsid w:val="0052142F"/>
    <w:rsid w:val="00523EC6"/>
    <w:rsid w:val="00523FE0"/>
    <w:rsid w:val="0052409C"/>
    <w:rsid w:val="00524549"/>
    <w:rsid w:val="0052537C"/>
    <w:rsid w:val="00526465"/>
    <w:rsid w:val="00527C4A"/>
    <w:rsid w:val="00534DF3"/>
    <w:rsid w:val="0053627C"/>
    <w:rsid w:val="00536645"/>
    <w:rsid w:val="00536D03"/>
    <w:rsid w:val="0053722D"/>
    <w:rsid w:val="005379A1"/>
    <w:rsid w:val="0054091F"/>
    <w:rsid w:val="00542AA4"/>
    <w:rsid w:val="00542D9B"/>
    <w:rsid w:val="00544187"/>
    <w:rsid w:val="005455A9"/>
    <w:rsid w:val="0054576B"/>
    <w:rsid w:val="005475C2"/>
    <w:rsid w:val="00547A2C"/>
    <w:rsid w:val="00547C7E"/>
    <w:rsid w:val="00550E3B"/>
    <w:rsid w:val="0055124A"/>
    <w:rsid w:val="005514A8"/>
    <w:rsid w:val="00551F63"/>
    <w:rsid w:val="0055322B"/>
    <w:rsid w:val="005533BF"/>
    <w:rsid w:val="005534F8"/>
    <w:rsid w:val="005537BD"/>
    <w:rsid w:val="00553C2E"/>
    <w:rsid w:val="005543B4"/>
    <w:rsid w:val="00556156"/>
    <w:rsid w:val="005605FF"/>
    <w:rsid w:val="00560705"/>
    <w:rsid w:val="00560A22"/>
    <w:rsid w:val="00560B28"/>
    <w:rsid w:val="00560D35"/>
    <w:rsid w:val="00561F71"/>
    <w:rsid w:val="005625AB"/>
    <w:rsid w:val="005633D8"/>
    <w:rsid w:val="00563AFE"/>
    <w:rsid w:val="00564081"/>
    <w:rsid w:val="00565591"/>
    <w:rsid w:val="00565D7A"/>
    <w:rsid w:val="00566CA6"/>
    <w:rsid w:val="00567B81"/>
    <w:rsid w:val="00570865"/>
    <w:rsid w:val="00571556"/>
    <w:rsid w:val="005720FB"/>
    <w:rsid w:val="005733BC"/>
    <w:rsid w:val="00573666"/>
    <w:rsid w:val="00574A48"/>
    <w:rsid w:val="00577E89"/>
    <w:rsid w:val="00582185"/>
    <w:rsid w:val="00586256"/>
    <w:rsid w:val="00591059"/>
    <w:rsid w:val="0059121D"/>
    <w:rsid w:val="00592910"/>
    <w:rsid w:val="0059328A"/>
    <w:rsid w:val="005933AF"/>
    <w:rsid w:val="005934C0"/>
    <w:rsid w:val="0059385E"/>
    <w:rsid w:val="00595553"/>
    <w:rsid w:val="005962AB"/>
    <w:rsid w:val="00596ECF"/>
    <w:rsid w:val="0059709B"/>
    <w:rsid w:val="005A0122"/>
    <w:rsid w:val="005A0809"/>
    <w:rsid w:val="005A11FC"/>
    <w:rsid w:val="005A1B88"/>
    <w:rsid w:val="005A1C8B"/>
    <w:rsid w:val="005A2F5C"/>
    <w:rsid w:val="005A2FF9"/>
    <w:rsid w:val="005A49F8"/>
    <w:rsid w:val="005A5F97"/>
    <w:rsid w:val="005A721C"/>
    <w:rsid w:val="005B038F"/>
    <w:rsid w:val="005B0D11"/>
    <w:rsid w:val="005B0D15"/>
    <w:rsid w:val="005B10DD"/>
    <w:rsid w:val="005B2C2D"/>
    <w:rsid w:val="005B4F8C"/>
    <w:rsid w:val="005B5235"/>
    <w:rsid w:val="005B7C72"/>
    <w:rsid w:val="005C06B6"/>
    <w:rsid w:val="005C117C"/>
    <w:rsid w:val="005C1532"/>
    <w:rsid w:val="005C1A31"/>
    <w:rsid w:val="005C1A85"/>
    <w:rsid w:val="005C1AC4"/>
    <w:rsid w:val="005C2094"/>
    <w:rsid w:val="005C30F4"/>
    <w:rsid w:val="005C334D"/>
    <w:rsid w:val="005C4DF7"/>
    <w:rsid w:val="005C621C"/>
    <w:rsid w:val="005C63CC"/>
    <w:rsid w:val="005C6B9E"/>
    <w:rsid w:val="005D0AED"/>
    <w:rsid w:val="005D116D"/>
    <w:rsid w:val="005D28B9"/>
    <w:rsid w:val="005D2A24"/>
    <w:rsid w:val="005D5EE5"/>
    <w:rsid w:val="005D6F5E"/>
    <w:rsid w:val="005D7796"/>
    <w:rsid w:val="005E1A74"/>
    <w:rsid w:val="005E1C7D"/>
    <w:rsid w:val="005E314D"/>
    <w:rsid w:val="005E468C"/>
    <w:rsid w:val="005E4E70"/>
    <w:rsid w:val="005E504F"/>
    <w:rsid w:val="005E6096"/>
    <w:rsid w:val="005E7147"/>
    <w:rsid w:val="005E71CF"/>
    <w:rsid w:val="005E7E0B"/>
    <w:rsid w:val="005E7E24"/>
    <w:rsid w:val="005F0D25"/>
    <w:rsid w:val="005F0E4D"/>
    <w:rsid w:val="005F1551"/>
    <w:rsid w:val="005F1FCB"/>
    <w:rsid w:val="005F3151"/>
    <w:rsid w:val="005F3BC1"/>
    <w:rsid w:val="005F3E66"/>
    <w:rsid w:val="005F4277"/>
    <w:rsid w:val="005F4553"/>
    <w:rsid w:val="005F5568"/>
    <w:rsid w:val="005F5B8B"/>
    <w:rsid w:val="005F7FE3"/>
    <w:rsid w:val="00601690"/>
    <w:rsid w:val="00602053"/>
    <w:rsid w:val="006030A0"/>
    <w:rsid w:val="006030CA"/>
    <w:rsid w:val="0060320D"/>
    <w:rsid w:val="0060531A"/>
    <w:rsid w:val="00605952"/>
    <w:rsid w:val="00605DCB"/>
    <w:rsid w:val="00606BBE"/>
    <w:rsid w:val="00606DC8"/>
    <w:rsid w:val="00607A23"/>
    <w:rsid w:val="00607A33"/>
    <w:rsid w:val="0061102C"/>
    <w:rsid w:val="00611157"/>
    <w:rsid w:val="00614D2F"/>
    <w:rsid w:val="0061763B"/>
    <w:rsid w:val="00620659"/>
    <w:rsid w:val="0062131C"/>
    <w:rsid w:val="00622EE5"/>
    <w:rsid w:val="00622F67"/>
    <w:rsid w:val="00623AA4"/>
    <w:rsid w:val="00624CD0"/>
    <w:rsid w:val="00636501"/>
    <w:rsid w:val="006366A4"/>
    <w:rsid w:val="00636874"/>
    <w:rsid w:val="00636FC6"/>
    <w:rsid w:val="0063710D"/>
    <w:rsid w:val="00642686"/>
    <w:rsid w:val="00642865"/>
    <w:rsid w:val="006437DC"/>
    <w:rsid w:val="006454FE"/>
    <w:rsid w:val="00647E28"/>
    <w:rsid w:val="006501CA"/>
    <w:rsid w:val="006514A8"/>
    <w:rsid w:val="0065198A"/>
    <w:rsid w:val="00653775"/>
    <w:rsid w:val="00653CB7"/>
    <w:rsid w:val="00654F6F"/>
    <w:rsid w:val="006559C8"/>
    <w:rsid w:val="00656F0D"/>
    <w:rsid w:val="006571E0"/>
    <w:rsid w:val="006573D9"/>
    <w:rsid w:val="006602D4"/>
    <w:rsid w:val="00660AFA"/>
    <w:rsid w:val="00662177"/>
    <w:rsid w:val="0066241D"/>
    <w:rsid w:val="00662D91"/>
    <w:rsid w:val="00662E53"/>
    <w:rsid w:val="006632E2"/>
    <w:rsid w:val="006653E3"/>
    <w:rsid w:val="00665B13"/>
    <w:rsid w:val="00666A13"/>
    <w:rsid w:val="00672160"/>
    <w:rsid w:val="006728E8"/>
    <w:rsid w:val="00672DA1"/>
    <w:rsid w:val="00674E5F"/>
    <w:rsid w:val="00676344"/>
    <w:rsid w:val="00677033"/>
    <w:rsid w:val="00677258"/>
    <w:rsid w:val="00677487"/>
    <w:rsid w:val="00677E3E"/>
    <w:rsid w:val="0068391A"/>
    <w:rsid w:val="00684C50"/>
    <w:rsid w:val="006862A7"/>
    <w:rsid w:val="00692853"/>
    <w:rsid w:val="00695407"/>
    <w:rsid w:val="006972E8"/>
    <w:rsid w:val="006978E4"/>
    <w:rsid w:val="006A21C9"/>
    <w:rsid w:val="006A2D6F"/>
    <w:rsid w:val="006A3945"/>
    <w:rsid w:val="006A5063"/>
    <w:rsid w:val="006A65E6"/>
    <w:rsid w:val="006A7287"/>
    <w:rsid w:val="006B2164"/>
    <w:rsid w:val="006B30A5"/>
    <w:rsid w:val="006B30CC"/>
    <w:rsid w:val="006B65F5"/>
    <w:rsid w:val="006B7E74"/>
    <w:rsid w:val="006C0D77"/>
    <w:rsid w:val="006C0E58"/>
    <w:rsid w:val="006C4718"/>
    <w:rsid w:val="006C523D"/>
    <w:rsid w:val="006C7857"/>
    <w:rsid w:val="006D09AC"/>
    <w:rsid w:val="006D1361"/>
    <w:rsid w:val="006D1C83"/>
    <w:rsid w:val="006D20D3"/>
    <w:rsid w:val="006D3716"/>
    <w:rsid w:val="006D3C68"/>
    <w:rsid w:val="006D3EC5"/>
    <w:rsid w:val="006D5FA7"/>
    <w:rsid w:val="006D607E"/>
    <w:rsid w:val="006D697A"/>
    <w:rsid w:val="006E05FF"/>
    <w:rsid w:val="006E072E"/>
    <w:rsid w:val="006E08EB"/>
    <w:rsid w:val="006E1204"/>
    <w:rsid w:val="006E1C03"/>
    <w:rsid w:val="006E2699"/>
    <w:rsid w:val="006E3641"/>
    <w:rsid w:val="006E4EC8"/>
    <w:rsid w:val="006E5147"/>
    <w:rsid w:val="006E5797"/>
    <w:rsid w:val="006E6D5A"/>
    <w:rsid w:val="006E72B0"/>
    <w:rsid w:val="006E77C3"/>
    <w:rsid w:val="006E79FB"/>
    <w:rsid w:val="006E7B5E"/>
    <w:rsid w:val="006F1437"/>
    <w:rsid w:val="006F1F19"/>
    <w:rsid w:val="006F26A8"/>
    <w:rsid w:val="006F2FB0"/>
    <w:rsid w:val="006F338D"/>
    <w:rsid w:val="006F42A7"/>
    <w:rsid w:val="006F4E3C"/>
    <w:rsid w:val="006F51A1"/>
    <w:rsid w:val="006F7813"/>
    <w:rsid w:val="007001E7"/>
    <w:rsid w:val="0070150E"/>
    <w:rsid w:val="00702535"/>
    <w:rsid w:val="00702EC7"/>
    <w:rsid w:val="00705619"/>
    <w:rsid w:val="0070569C"/>
    <w:rsid w:val="00706311"/>
    <w:rsid w:val="00706B27"/>
    <w:rsid w:val="007070D1"/>
    <w:rsid w:val="0070770C"/>
    <w:rsid w:val="00710F87"/>
    <w:rsid w:val="00712160"/>
    <w:rsid w:val="00712597"/>
    <w:rsid w:val="00712A10"/>
    <w:rsid w:val="00713DAD"/>
    <w:rsid w:val="00716211"/>
    <w:rsid w:val="00717E4E"/>
    <w:rsid w:val="0072044D"/>
    <w:rsid w:val="00721215"/>
    <w:rsid w:val="007224F4"/>
    <w:rsid w:val="007232BF"/>
    <w:rsid w:val="007236F6"/>
    <w:rsid w:val="00723784"/>
    <w:rsid w:val="007238A6"/>
    <w:rsid w:val="00725D46"/>
    <w:rsid w:val="00726248"/>
    <w:rsid w:val="0072646F"/>
    <w:rsid w:val="00726BEB"/>
    <w:rsid w:val="0072765D"/>
    <w:rsid w:val="00727896"/>
    <w:rsid w:val="00730AC8"/>
    <w:rsid w:val="00731CB0"/>
    <w:rsid w:val="00733203"/>
    <w:rsid w:val="00733211"/>
    <w:rsid w:val="0073392E"/>
    <w:rsid w:val="007349F2"/>
    <w:rsid w:val="007357B4"/>
    <w:rsid w:val="00735AC1"/>
    <w:rsid w:val="00736229"/>
    <w:rsid w:val="007372F3"/>
    <w:rsid w:val="007376FD"/>
    <w:rsid w:val="00745E0F"/>
    <w:rsid w:val="00747D76"/>
    <w:rsid w:val="00751493"/>
    <w:rsid w:val="0075239C"/>
    <w:rsid w:val="007530BA"/>
    <w:rsid w:val="00753BD1"/>
    <w:rsid w:val="0075625C"/>
    <w:rsid w:val="00756DD7"/>
    <w:rsid w:val="0076339F"/>
    <w:rsid w:val="00763B99"/>
    <w:rsid w:val="00764C1D"/>
    <w:rsid w:val="007656FF"/>
    <w:rsid w:val="00765866"/>
    <w:rsid w:val="00766988"/>
    <w:rsid w:val="0077294D"/>
    <w:rsid w:val="00772A43"/>
    <w:rsid w:val="007737D7"/>
    <w:rsid w:val="00774D36"/>
    <w:rsid w:val="007759F1"/>
    <w:rsid w:val="00775C51"/>
    <w:rsid w:val="00775D76"/>
    <w:rsid w:val="0077712A"/>
    <w:rsid w:val="00777E74"/>
    <w:rsid w:val="00780646"/>
    <w:rsid w:val="00781F16"/>
    <w:rsid w:val="0078309A"/>
    <w:rsid w:val="0078374E"/>
    <w:rsid w:val="00783D41"/>
    <w:rsid w:val="00784601"/>
    <w:rsid w:val="00785BDE"/>
    <w:rsid w:val="00786E2E"/>
    <w:rsid w:val="007879E1"/>
    <w:rsid w:val="007915C0"/>
    <w:rsid w:val="00791ECA"/>
    <w:rsid w:val="00792091"/>
    <w:rsid w:val="007924C1"/>
    <w:rsid w:val="00794D00"/>
    <w:rsid w:val="00794D63"/>
    <w:rsid w:val="00797854"/>
    <w:rsid w:val="00797A4B"/>
    <w:rsid w:val="007A2CAE"/>
    <w:rsid w:val="007A3C59"/>
    <w:rsid w:val="007A3FE5"/>
    <w:rsid w:val="007A4BA1"/>
    <w:rsid w:val="007A5CB4"/>
    <w:rsid w:val="007A6CA8"/>
    <w:rsid w:val="007A73E7"/>
    <w:rsid w:val="007A7F69"/>
    <w:rsid w:val="007B267C"/>
    <w:rsid w:val="007B2B8F"/>
    <w:rsid w:val="007B396F"/>
    <w:rsid w:val="007B3CDB"/>
    <w:rsid w:val="007B4070"/>
    <w:rsid w:val="007B4534"/>
    <w:rsid w:val="007B684D"/>
    <w:rsid w:val="007B748A"/>
    <w:rsid w:val="007B78B8"/>
    <w:rsid w:val="007C029C"/>
    <w:rsid w:val="007C06C6"/>
    <w:rsid w:val="007C0E50"/>
    <w:rsid w:val="007C100F"/>
    <w:rsid w:val="007C1946"/>
    <w:rsid w:val="007C1B75"/>
    <w:rsid w:val="007C2B69"/>
    <w:rsid w:val="007C381C"/>
    <w:rsid w:val="007C419E"/>
    <w:rsid w:val="007C4BCD"/>
    <w:rsid w:val="007C560D"/>
    <w:rsid w:val="007C6D41"/>
    <w:rsid w:val="007C7134"/>
    <w:rsid w:val="007C786A"/>
    <w:rsid w:val="007D13BA"/>
    <w:rsid w:val="007D1997"/>
    <w:rsid w:val="007D19D5"/>
    <w:rsid w:val="007D2454"/>
    <w:rsid w:val="007D34D6"/>
    <w:rsid w:val="007D517D"/>
    <w:rsid w:val="007D6664"/>
    <w:rsid w:val="007D73E5"/>
    <w:rsid w:val="007E03ED"/>
    <w:rsid w:val="007E0509"/>
    <w:rsid w:val="007E3776"/>
    <w:rsid w:val="007E4086"/>
    <w:rsid w:val="007E43A3"/>
    <w:rsid w:val="007E754C"/>
    <w:rsid w:val="007E75E4"/>
    <w:rsid w:val="007E7CA5"/>
    <w:rsid w:val="007F00A9"/>
    <w:rsid w:val="007F120D"/>
    <w:rsid w:val="007F36B4"/>
    <w:rsid w:val="007F374B"/>
    <w:rsid w:val="007F3FC9"/>
    <w:rsid w:val="007F43DE"/>
    <w:rsid w:val="007F6603"/>
    <w:rsid w:val="007F7A68"/>
    <w:rsid w:val="00801014"/>
    <w:rsid w:val="00801EC3"/>
    <w:rsid w:val="00801F1B"/>
    <w:rsid w:val="008023FC"/>
    <w:rsid w:val="00802573"/>
    <w:rsid w:val="00802E63"/>
    <w:rsid w:val="00804A18"/>
    <w:rsid w:val="00805A61"/>
    <w:rsid w:val="008062DE"/>
    <w:rsid w:val="008065A5"/>
    <w:rsid w:val="0080678D"/>
    <w:rsid w:val="0080733A"/>
    <w:rsid w:val="00810C3A"/>
    <w:rsid w:val="00817705"/>
    <w:rsid w:val="00817B4A"/>
    <w:rsid w:val="00821E11"/>
    <w:rsid w:val="00822540"/>
    <w:rsid w:val="0082274A"/>
    <w:rsid w:val="00826F96"/>
    <w:rsid w:val="00827646"/>
    <w:rsid w:val="00827A97"/>
    <w:rsid w:val="00830D22"/>
    <w:rsid w:val="00831743"/>
    <w:rsid w:val="00832439"/>
    <w:rsid w:val="00832D41"/>
    <w:rsid w:val="0083310D"/>
    <w:rsid w:val="00833854"/>
    <w:rsid w:val="00833DCA"/>
    <w:rsid w:val="00834066"/>
    <w:rsid w:val="00834E73"/>
    <w:rsid w:val="0083582B"/>
    <w:rsid w:val="0083616B"/>
    <w:rsid w:val="008376CD"/>
    <w:rsid w:val="0083781C"/>
    <w:rsid w:val="00837ECE"/>
    <w:rsid w:val="00840641"/>
    <w:rsid w:val="00841AF0"/>
    <w:rsid w:val="00841CB3"/>
    <w:rsid w:val="00844435"/>
    <w:rsid w:val="00844BAE"/>
    <w:rsid w:val="00844C22"/>
    <w:rsid w:val="008450B8"/>
    <w:rsid w:val="00845AE7"/>
    <w:rsid w:val="00845E63"/>
    <w:rsid w:val="00846224"/>
    <w:rsid w:val="00846FF6"/>
    <w:rsid w:val="00850C72"/>
    <w:rsid w:val="00851488"/>
    <w:rsid w:val="0085163D"/>
    <w:rsid w:val="00852584"/>
    <w:rsid w:val="008529C3"/>
    <w:rsid w:val="00853F21"/>
    <w:rsid w:val="00854AA7"/>
    <w:rsid w:val="00854DA8"/>
    <w:rsid w:val="00854F23"/>
    <w:rsid w:val="0085586B"/>
    <w:rsid w:val="008570F6"/>
    <w:rsid w:val="00860BE9"/>
    <w:rsid w:val="008626C2"/>
    <w:rsid w:val="00862837"/>
    <w:rsid w:val="008632CC"/>
    <w:rsid w:val="00864770"/>
    <w:rsid w:val="00864867"/>
    <w:rsid w:val="00864F11"/>
    <w:rsid w:val="00865135"/>
    <w:rsid w:val="008655A3"/>
    <w:rsid w:val="0086628F"/>
    <w:rsid w:val="008666A3"/>
    <w:rsid w:val="00870E87"/>
    <w:rsid w:val="00871B3E"/>
    <w:rsid w:val="008739EF"/>
    <w:rsid w:val="00875B8B"/>
    <w:rsid w:val="008770CE"/>
    <w:rsid w:val="0088077C"/>
    <w:rsid w:val="00880913"/>
    <w:rsid w:val="0088514A"/>
    <w:rsid w:val="0088555E"/>
    <w:rsid w:val="0088594D"/>
    <w:rsid w:val="0088638E"/>
    <w:rsid w:val="00891F2F"/>
    <w:rsid w:val="008922F0"/>
    <w:rsid w:val="00892BFF"/>
    <w:rsid w:val="008939DA"/>
    <w:rsid w:val="00894D7B"/>
    <w:rsid w:val="00895A71"/>
    <w:rsid w:val="008961E9"/>
    <w:rsid w:val="008A0579"/>
    <w:rsid w:val="008A0EA2"/>
    <w:rsid w:val="008A1C49"/>
    <w:rsid w:val="008A365C"/>
    <w:rsid w:val="008A3921"/>
    <w:rsid w:val="008A514E"/>
    <w:rsid w:val="008A5768"/>
    <w:rsid w:val="008A59EA"/>
    <w:rsid w:val="008A636F"/>
    <w:rsid w:val="008A6DC7"/>
    <w:rsid w:val="008B20DA"/>
    <w:rsid w:val="008B30A1"/>
    <w:rsid w:val="008B4D09"/>
    <w:rsid w:val="008B5715"/>
    <w:rsid w:val="008B62F6"/>
    <w:rsid w:val="008B6E62"/>
    <w:rsid w:val="008B7AA2"/>
    <w:rsid w:val="008C099E"/>
    <w:rsid w:val="008C3392"/>
    <w:rsid w:val="008C43CD"/>
    <w:rsid w:val="008C4FD4"/>
    <w:rsid w:val="008C545E"/>
    <w:rsid w:val="008C5A17"/>
    <w:rsid w:val="008C6377"/>
    <w:rsid w:val="008C6845"/>
    <w:rsid w:val="008C7C51"/>
    <w:rsid w:val="008C7E6B"/>
    <w:rsid w:val="008D256E"/>
    <w:rsid w:val="008D31CB"/>
    <w:rsid w:val="008D3AAD"/>
    <w:rsid w:val="008D5870"/>
    <w:rsid w:val="008D6EB6"/>
    <w:rsid w:val="008D7BD6"/>
    <w:rsid w:val="008D7CE8"/>
    <w:rsid w:val="008E1683"/>
    <w:rsid w:val="008E19D6"/>
    <w:rsid w:val="008E1B0A"/>
    <w:rsid w:val="008E1FB4"/>
    <w:rsid w:val="008E21C1"/>
    <w:rsid w:val="008E2F0C"/>
    <w:rsid w:val="008E3E09"/>
    <w:rsid w:val="008E475C"/>
    <w:rsid w:val="008E57A5"/>
    <w:rsid w:val="008E5D9C"/>
    <w:rsid w:val="008E68AB"/>
    <w:rsid w:val="008E7140"/>
    <w:rsid w:val="008E728E"/>
    <w:rsid w:val="008E7F1A"/>
    <w:rsid w:val="008F0409"/>
    <w:rsid w:val="008F0CF7"/>
    <w:rsid w:val="008F128F"/>
    <w:rsid w:val="008F1380"/>
    <w:rsid w:val="008F311F"/>
    <w:rsid w:val="008F3B2F"/>
    <w:rsid w:val="008F5110"/>
    <w:rsid w:val="008F513B"/>
    <w:rsid w:val="008F5D7B"/>
    <w:rsid w:val="008F5FE7"/>
    <w:rsid w:val="008F722D"/>
    <w:rsid w:val="008F7C58"/>
    <w:rsid w:val="0090133B"/>
    <w:rsid w:val="00901778"/>
    <w:rsid w:val="009022A6"/>
    <w:rsid w:val="009029A4"/>
    <w:rsid w:val="00903634"/>
    <w:rsid w:val="009055B4"/>
    <w:rsid w:val="009068A1"/>
    <w:rsid w:val="00906E46"/>
    <w:rsid w:val="00907DB7"/>
    <w:rsid w:val="00907F37"/>
    <w:rsid w:val="009126EA"/>
    <w:rsid w:val="00912941"/>
    <w:rsid w:val="00914D36"/>
    <w:rsid w:val="009167AC"/>
    <w:rsid w:val="00917784"/>
    <w:rsid w:val="00920D74"/>
    <w:rsid w:val="00921501"/>
    <w:rsid w:val="009239D8"/>
    <w:rsid w:val="009248D5"/>
    <w:rsid w:val="00924903"/>
    <w:rsid w:val="00926AC1"/>
    <w:rsid w:val="009315F1"/>
    <w:rsid w:val="009323DA"/>
    <w:rsid w:val="0093399B"/>
    <w:rsid w:val="009345E6"/>
    <w:rsid w:val="00935580"/>
    <w:rsid w:val="00935CEB"/>
    <w:rsid w:val="0094007B"/>
    <w:rsid w:val="00944A74"/>
    <w:rsid w:val="00944DC9"/>
    <w:rsid w:val="00945392"/>
    <w:rsid w:val="00945A19"/>
    <w:rsid w:val="00946579"/>
    <w:rsid w:val="009465DB"/>
    <w:rsid w:val="009465E6"/>
    <w:rsid w:val="009473B0"/>
    <w:rsid w:val="009502C6"/>
    <w:rsid w:val="0095222E"/>
    <w:rsid w:val="00953A00"/>
    <w:rsid w:val="00955520"/>
    <w:rsid w:val="00955C14"/>
    <w:rsid w:val="00956A05"/>
    <w:rsid w:val="00956A94"/>
    <w:rsid w:val="0095748A"/>
    <w:rsid w:val="00960462"/>
    <w:rsid w:val="00960DEC"/>
    <w:rsid w:val="009612AA"/>
    <w:rsid w:val="0096201A"/>
    <w:rsid w:val="0096246D"/>
    <w:rsid w:val="00966F30"/>
    <w:rsid w:val="009674BF"/>
    <w:rsid w:val="00970203"/>
    <w:rsid w:val="00970707"/>
    <w:rsid w:val="00972050"/>
    <w:rsid w:val="0097421D"/>
    <w:rsid w:val="00974387"/>
    <w:rsid w:val="00974C0D"/>
    <w:rsid w:val="00975ED9"/>
    <w:rsid w:val="009766FB"/>
    <w:rsid w:val="00976DDB"/>
    <w:rsid w:val="009810CA"/>
    <w:rsid w:val="00981492"/>
    <w:rsid w:val="0098344D"/>
    <w:rsid w:val="009835AF"/>
    <w:rsid w:val="0098564A"/>
    <w:rsid w:val="00987081"/>
    <w:rsid w:val="00987928"/>
    <w:rsid w:val="00992745"/>
    <w:rsid w:val="00993B19"/>
    <w:rsid w:val="009949E9"/>
    <w:rsid w:val="00994AE2"/>
    <w:rsid w:val="009956B7"/>
    <w:rsid w:val="0099675B"/>
    <w:rsid w:val="0099766E"/>
    <w:rsid w:val="009A1532"/>
    <w:rsid w:val="009A2797"/>
    <w:rsid w:val="009A2B06"/>
    <w:rsid w:val="009A5707"/>
    <w:rsid w:val="009A7103"/>
    <w:rsid w:val="009B072E"/>
    <w:rsid w:val="009B2EB2"/>
    <w:rsid w:val="009B427E"/>
    <w:rsid w:val="009C29C7"/>
    <w:rsid w:val="009C2E74"/>
    <w:rsid w:val="009C423C"/>
    <w:rsid w:val="009C751B"/>
    <w:rsid w:val="009C79A2"/>
    <w:rsid w:val="009D150D"/>
    <w:rsid w:val="009D284F"/>
    <w:rsid w:val="009D3083"/>
    <w:rsid w:val="009D3496"/>
    <w:rsid w:val="009D461E"/>
    <w:rsid w:val="009D5BD7"/>
    <w:rsid w:val="009D6D0A"/>
    <w:rsid w:val="009E0495"/>
    <w:rsid w:val="009E0980"/>
    <w:rsid w:val="009E1A37"/>
    <w:rsid w:val="009E6694"/>
    <w:rsid w:val="009E6A37"/>
    <w:rsid w:val="009E7CEB"/>
    <w:rsid w:val="009F0124"/>
    <w:rsid w:val="009F0BE5"/>
    <w:rsid w:val="009F2D5B"/>
    <w:rsid w:val="009F459F"/>
    <w:rsid w:val="00A0039A"/>
    <w:rsid w:val="00A00EE8"/>
    <w:rsid w:val="00A04A07"/>
    <w:rsid w:val="00A04B96"/>
    <w:rsid w:val="00A04D22"/>
    <w:rsid w:val="00A05F53"/>
    <w:rsid w:val="00A06385"/>
    <w:rsid w:val="00A06633"/>
    <w:rsid w:val="00A105DF"/>
    <w:rsid w:val="00A12E4C"/>
    <w:rsid w:val="00A13886"/>
    <w:rsid w:val="00A1507D"/>
    <w:rsid w:val="00A15676"/>
    <w:rsid w:val="00A15924"/>
    <w:rsid w:val="00A1653C"/>
    <w:rsid w:val="00A168F7"/>
    <w:rsid w:val="00A1727F"/>
    <w:rsid w:val="00A200DA"/>
    <w:rsid w:val="00A2092D"/>
    <w:rsid w:val="00A210DF"/>
    <w:rsid w:val="00A21229"/>
    <w:rsid w:val="00A2237B"/>
    <w:rsid w:val="00A23153"/>
    <w:rsid w:val="00A262E5"/>
    <w:rsid w:val="00A27A2A"/>
    <w:rsid w:val="00A30614"/>
    <w:rsid w:val="00A307D4"/>
    <w:rsid w:val="00A314F2"/>
    <w:rsid w:val="00A31ECD"/>
    <w:rsid w:val="00A33792"/>
    <w:rsid w:val="00A34B74"/>
    <w:rsid w:val="00A366C5"/>
    <w:rsid w:val="00A3791A"/>
    <w:rsid w:val="00A404F6"/>
    <w:rsid w:val="00A406F2"/>
    <w:rsid w:val="00A40914"/>
    <w:rsid w:val="00A40DFB"/>
    <w:rsid w:val="00A42058"/>
    <w:rsid w:val="00A42D36"/>
    <w:rsid w:val="00A447C1"/>
    <w:rsid w:val="00A45D40"/>
    <w:rsid w:val="00A45DE5"/>
    <w:rsid w:val="00A46892"/>
    <w:rsid w:val="00A47151"/>
    <w:rsid w:val="00A47797"/>
    <w:rsid w:val="00A47BD3"/>
    <w:rsid w:val="00A5067D"/>
    <w:rsid w:val="00A506F9"/>
    <w:rsid w:val="00A5233B"/>
    <w:rsid w:val="00A528AA"/>
    <w:rsid w:val="00A538FB"/>
    <w:rsid w:val="00A53E8F"/>
    <w:rsid w:val="00A54947"/>
    <w:rsid w:val="00A54E4F"/>
    <w:rsid w:val="00A54F58"/>
    <w:rsid w:val="00A56436"/>
    <w:rsid w:val="00A56BAC"/>
    <w:rsid w:val="00A576C4"/>
    <w:rsid w:val="00A57C0B"/>
    <w:rsid w:val="00A57ED8"/>
    <w:rsid w:val="00A62B32"/>
    <w:rsid w:val="00A62B39"/>
    <w:rsid w:val="00A63A18"/>
    <w:rsid w:val="00A63BE0"/>
    <w:rsid w:val="00A643B6"/>
    <w:rsid w:val="00A65121"/>
    <w:rsid w:val="00A661AB"/>
    <w:rsid w:val="00A6683A"/>
    <w:rsid w:val="00A67461"/>
    <w:rsid w:val="00A67F0E"/>
    <w:rsid w:val="00A67F75"/>
    <w:rsid w:val="00A70DBA"/>
    <w:rsid w:val="00A719BD"/>
    <w:rsid w:val="00A72D88"/>
    <w:rsid w:val="00A7387D"/>
    <w:rsid w:val="00A73F2E"/>
    <w:rsid w:val="00A74501"/>
    <w:rsid w:val="00A74510"/>
    <w:rsid w:val="00A74B94"/>
    <w:rsid w:val="00A75C85"/>
    <w:rsid w:val="00A75D08"/>
    <w:rsid w:val="00A760B1"/>
    <w:rsid w:val="00A76D2E"/>
    <w:rsid w:val="00A776C1"/>
    <w:rsid w:val="00A802B6"/>
    <w:rsid w:val="00A80416"/>
    <w:rsid w:val="00A828EF"/>
    <w:rsid w:val="00A830E5"/>
    <w:rsid w:val="00A840B8"/>
    <w:rsid w:val="00A84383"/>
    <w:rsid w:val="00A843EE"/>
    <w:rsid w:val="00A8481F"/>
    <w:rsid w:val="00A856D0"/>
    <w:rsid w:val="00A85DFA"/>
    <w:rsid w:val="00A925FC"/>
    <w:rsid w:val="00A93C79"/>
    <w:rsid w:val="00A93E9C"/>
    <w:rsid w:val="00A940A7"/>
    <w:rsid w:val="00A953B5"/>
    <w:rsid w:val="00A95425"/>
    <w:rsid w:val="00A95500"/>
    <w:rsid w:val="00A95D10"/>
    <w:rsid w:val="00A96E78"/>
    <w:rsid w:val="00AA02D3"/>
    <w:rsid w:val="00AA0522"/>
    <w:rsid w:val="00AA16A9"/>
    <w:rsid w:val="00AA1E05"/>
    <w:rsid w:val="00AA2EC4"/>
    <w:rsid w:val="00AA7522"/>
    <w:rsid w:val="00AB0A35"/>
    <w:rsid w:val="00AB2CE9"/>
    <w:rsid w:val="00AB487E"/>
    <w:rsid w:val="00AB608E"/>
    <w:rsid w:val="00AB7775"/>
    <w:rsid w:val="00AB7C79"/>
    <w:rsid w:val="00AB7DF7"/>
    <w:rsid w:val="00AC0BCE"/>
    <w:rsid w:val="00AC0D4E"/>
    <w:rsid w:val="00AC114A"/>
    <w:rsid w:val="00AC1D1E"/>
    <w:rsid w:val="00AC3E0B"/>
    <w:rsid w:val="00AC48BD"/>
    <w:rsid w:val="00AC5B38"/>
    <w:rsid w:val="00AC6349"/>
    <w:rsid w:val="00AC6955"/>
    <w:rsid w:val="00AD20FD"/>
    <w:rsid w:val="00AD2287"/>
    <w:rsid w:val="00AD24BB"/>
    <w:rsid w:val="00AD2735"/>
    <w:rsid w:val="00AD3152"/>
    <w:rsid w:val="00AD3524"/>
    <w:rsid w:val="00AD3637"/>
    <w:rsid w:val="00AD3886"/>
    <w:rsid w:val="00AD4582"/>
    <w:rsid w:val="00AD58DF"/>
    <w:rsid w:val="00AD6552"/>
    <w:rsid w:val="00AD7BDF"/>
    <w:rsid w:val="00AE3283"/>
    <w:rsid w:val="00AE3B26"/>
    <w:rsid w:val="00AE3B56"/>
    <w:rsid w:val="00AE580B"/>
    <w:rsid w:val="00AE7C53"/>
    <w:rsid w:val="00AE7F20"/>
    <w:rsid w:val="00AF0281"/>
    <w:rsid w:val="00AF0327"/>
    <w:rsid w:val="00AF1B79"/>
    <w:rsid w:val="00AF20E2"/>
    <w:rsid w:val="00AF2BDD"/>
    <w:rsid w:val="00AF3312"/>
    <w:rsid w:val="00AF3DD1"/>
    <w:rsid w:val="00AF4770"/>
    <w:rsid w:val="00AF666E"/>
    <w:rsid w:val="00B02E12"/>
    <w:rsid w:val="00B03535"/>
    <w:rsid w:val="00B03A3B"/>
    <w:rsid w:val="00B0549B"/>
    <w:rsid w:val="00B05C2C"/>
    <w:rsid w:val="00B06249"/>
    <w:rsid w:val="00B06A6C"/>
    <w:rsid w:val="00B076AF"/>
    <w:rsid w:val="00B07AAD"/>
    <w:rsid w:val="00B10CF8"/>
    <w:rsid w:val="00B122F7"/>
    <w:rsid w:val="00B12A96"/>
    <w:rsid w:val="00B1484A"/>
    <w:rsid w:val="00B14911"/>
    <w:rsid w:val="00B14DE4"/>
    <w:rsid w:val="00B1507A"/>
    <w:rsid w:val="00B15D88"/>
    <w:rsid w:val="00B16384"/>
    <w:rsid w:val="00B165A2"/>
    <w:rsid w:val="00B1701A"/>
    <w:rsid w:val="00B172EF"/>
    <w:rsid w:val="00B20C69"/>
    <w:rsid w:val="00B2103D"/>
    <w:rsid w:val="00B21377"/>
    <w:rsid w:val="00B222B3"/>
    <w:rsid w:val="00B240E5"/>
    <w:rsid w:val="00B246C0"/>
    <w:rsid w:val="00B2574F"/>
    <w:rsid w:val="00B26301"/>
    <w:rsid w:val="00B2679E"/>
    <w:rsid w:val="00B26BF0"/>
    <w:rsid w:val="00B27459"/>
    <w:rsid w:val="00B3032F"/>
    <w:rsid w:val="00B3418B"/>
    <w:rsid w:val="00B36CDA"/>
    <w:rsid w:val="00B377CD"/>
    <w:rsid w:val="00B37F69"/>
    <w:rsid w:val="00B41946"/>
    <w:rsid w:val="00B43F1E"/>
    <w:rsid w:val="00B453A8"/>
    <w:rsid w:val="00B463AC"/>
    <w:rsid w:val="00B467AC"/>
    <w:rsid w:val="00B53C47"/>
    <w:rsid w:val="00B54534"/>
    <w:rsid w:val="00B55D31"/>
    <w:rsid w:val="00B55E1E"/>
    <w:rsid w:val="00B5787F"/>
    <w:rsid w:val="00B6037A"/>
    <w:rsid w:val="00B6084A"/>
    <w:rsid w:val="00B61CC9"/>
    <w:rsid w:val="00B6378C"/>
    <w:rsid w:val="00B64908"/>
    <w:rsid w:val="00B72153"/>
    <w:rsid w:val="00B7326D"/>
    <w:rsid w:val="00B734F0"/>
    <w:rsid w:val="00B739DE"/>
    <w:rsid w:val="00B75A47"/>
    <w:rsid w:val="00B75D71"/>
    <w:rsid w:val="00B77C94"/>
    <w:rsid w:val="00B8027C"/>
    <w:rsid w:val="00B80CD2"/>
    <w:rsid w:val="00B81463"/>
    <w:rsid w:val="00B81721"/>
    <w:rsid w:val="00B81ABA"/>
    <w:rsid w:val="00B81F0A"/>
    <w:rsid w:val="00B8256C"/>
    <w:rsid w:val="00B83584"/>
    <w:rsid w:val="00B84849"/>
    <w:rsid w:val="00B864E9"/>
    <w:rsid w:val="00B86596"/>
    <w:rsid w:val="00B866AB"/>
    <w:rsid w:val="00B90AE8"/>
    <w:rsid w:val="00B91FCC"/>
    <w:rsid w:val="00B93B97"/>
    <w:rsid w:val="00B941BF"/>
    <w:rsid w:val="00B947B3"/>
    <w:rsid w:val="00B95542"/>
    <w:rsid w:val="00B9579B"/>
    <w:rsid w:val="00B95845"/>
    <w:rsid w:val="00B96B26"/>
    <w:rsid w:val="00B97025"/>
    <w:rsid w:val="00BA1350"/>
    <w:rsid w:val="00BA1602"/>
    <w:rsid w:val="00BA173C"/>
    <w:rsid w:val="00BA222D"/>
    <w:rsid w:val="00BA26C1"/>
    <w:rsid w:val="00BA35EA"/>
    <w:rsid w:val="00BA3939"/>
    <w:rsid w:val="00BA3C06"/>
    <w:rsid w:val="00BA6622"/>
    <w:rsid w:val="00BA6C86"/>
    <w:rsid w:val="00BB18A4"/>
    <w:rsid w:val="00BB2C9E"/>
    <w:rsid w:val="00BB45B1"/>
    <w:rsid w:val="00BB4AD5"/>
    <w:rsid w:val="00BB5186"/>
    <w:rsid w:val="00BB5E30"/>
    <w:rsid w:val="00BB7746"/>
    <w:rsid w:val="00BC068A"/>
    <w:rsid w:val="00BC1B92"/>
    <w:rsid w:val="00BC36E5"/>
    <w:rsid w:val="00BC390F"/>
    <w:rsid w:val="00BC4F35"/>
    <w:rsid w:val="00BC5358"/>
    <w:rsid w:val="00BD0AA8"/>
    <w:rsid w:val="00BD0B07"/>
    <w:rsid w:val="00BD10D7"/>
    <w:rsid w:val="00BD2B9A"/>
    <w:rsid w:val="00BD376E"/>
    <w:rsid w:val="00BD3F0C"/>
    <w:rsid w:val="00BD4CA7"/>
    <w:rsid w:val="00BD5D39"/>
    <w:rsid w:val="00BD5DF2"/>
    <w:rsid w:val="00BD6EB9"/>
    <w:rsid w:val="00BD7769"/>
    <w:rsid w:val="00BE2C82"/>
    <w:rsid w:val="00BE4C6E"/>
    <w:rsid w:val="00BE60B2"/>
    <w:rsid w:val="00BF053C"/>
    <w:rsid w:val="00BF1D19"/>
    <w:rsid w:val="00BF2908"/>
    <w:rsid w:val="00BF3BB0"/>
    <w:rsid w:val="00BF7203"/>
    <w:rsid w:val="00BF728E"/>
    <w:rsid w:val="00BF764A"/>
    <w:rsid w:val="00C00015"/>
    <w:rsid w:val="00C0031A"/>
    <w:rsid w:val="00C01AE3"/>
    <w:rsid w:val="00C027FC"/>
    <w:rsid w:val="00C02E65"/>
    <w:rsid w:val="00C03250"/>
    <w:rsid w:val="00C03BAC"/>
    <w:rsid w:val="00C04C38"/>
    <w:rsid w:val="00C06086"/>
    <w:rsid w:val="00C062EE"/>
    <w:rsid w:val="00C06EEA"/>
    <w:rsid w:val="00C06FB0"/>
    <w:rsid w:val="00C11A65"/>
    <w:rsid w:val="00C12932"/>
    <w:rsid w:val="00C12BAA"/>
    <w:rsid w:val="00C13C1F"/>
    <w:rsid w:val="00C1404A"/>
    <w:rsid w:val="00C141BB"/>
    <w:rsid w:val="00C153EA"/>
    <w:rsid w:val="00C1656C"/>
    <w:rsid w:val="00C16798"/>
    <w:rsid w:val="00C16952"/>
    <w:rsid w:val="00C16E60"/>
    <w:rsid w:val="00C1704D"/>
    <w:rsid w:val="00C17EDE"/>
    <w:rsid w:val="00C209AF"/>
    <w:rsid w:val="00C221CD"/>
    <w:rsid w:val="00C22412"/>
    <w:rsid w:val="00C22721"/>
    <w:rsid w:val="00C22B77"/>
    <w:rsid w:val="00C24DD5"/>
    <w:rsid w:val="00C24F57"/>
    <w:rsid w:val="00C25456"/>
    <w:rsid w:val="00C25DEF"/>
    <w:rsid w:val="00C26600"/>
    <w:rsid w:val="00C271FD"/>
    <w:rsid w:val="00C276E7"/>
    <w:rsid w:val="00C27FC5"/>
    <w:rsid w:val="00C30BEA"/>
    <w:rsid w:val="00C33139"/>
    <w:rsid w:val="00C338D8"/>
    <w:rsid w:val="00C34F91"/>
    <w:rsid w:val="00C36A0D"/>
    <w:rsid w:val="00C36DEB"/>
    <w:rsid w:val="00C37506"/>
    <w:rsid w:val="00C37953"/>
    <w:rsid w:val="00C42A0E"/>
    <w:rsid w:val="00C43979"/>
    <w:rsid w:val="00C45EF8"/>
    <w:rsid w:val="00C46B60"/>
    <w:rsid w:val="00C505B1"/>
    <w:rsid w:val="00C518D5"/>
    <w:rsid w:val="00C5231B"/>
    <w:rsid w:val="00C54067"/>
    <w:rsid w:val="00C54E53"/>
    <w:rsid w:val="00C551B3"/>
    <w:rsid w:val="00C561F6"/>
    <w:rsid w:val="00C566E4"/>
    <w:rsid w:val="00C56A4C"/>
    <w:rsid w:val="00C57571"/>
    <w:rsid w:val="00C578B2"/>
    <w:rsid w:val="00C60532"/>
    <w:rsid w:val="00C62D4B"/>
    <w:rsid w:val="00C64AB0"/>
    <w:rsid w:val="00C703E9"/>
    <w:rsid w:val="00C704C1"/>
    <w:rsid w:val="00C70A41"/>
    <w:rsid w:val="00C71092"/>
    <w:rsid w:val="00C71FAC"/>
    <w:rsid w:val="00C7646B"/>
    <w:rsid w:val="00C80961"/>
    <w:rsid w:val="00C80FCB"/>
    <w:rsid w:val="00C8228B"/>
    <w:rsid w:val="00C84065"/>
    <w:rsid w:val="00C84281"/>
    <w:rsid w:val="00C85EDA"/>
    <w:rsid w:val="00C85FBD"/>
    <w:rsid w:val="00C862DC"/>
    <w:rsid w:val="00C86FF3"/>
    <w:rsid w:val="00C87107"/>
    <w:rsid w:val="00C8777F"/>
    <w:rsid w:val="00C91217"/>
    <w:rsid w:val="00C927AF"/>
    <w:rsid w:val="00C934AF"/>
    <w:rsid w:val="00C941CF"/>
    <w:rsid w:val="00C94577"/>
    <w:rsid w:val="00C95718"/>
    <w:rsid w:val="00C965FC"/>
    <w:rsid w:val="00C96EC5"/>
    <w:rsid w:val="00C97672"/>
    <w:rsid w:val="00C976B1"/>
    <w:rsid w:val="00C97CEB"/>
    <w:rsid w:val="00CA1290"/>
    <w:rsid w:val="00CA1F67"/>
    <w:rsid w:val="00CA27C1"/>
    <w:rsid w:val="00CA3002"/>
    <w:rsid w:val="00CA5D32"/>
    <w:rsid w:val="00CA5D92"/>
    <w:rsid w:val="00CA6183"/>
    <w:rsid w:val="00CA6BE0"/>
    <w:rsid w:val="00CA7938"/>
    <w:rsid w:val="00CB0207"/>
    <w:rsid w:val="00CB1244"/>
    <w:rsid w:val="00CB1F07"/>
    <w:rsid w:val="00CB2575"/>
    <w:rsid w:val="00CB3C53"/>
    <w:rsid w:val="00CB60E0"/>
    <w:rsid w:val="00CB66C0"/>
    <w:rsid w:val="00CB6813"/>
    <w:rsid w:val="00CB6E18"/>
    <w:rsid w:val="00CB7DB5"/>
    <w:rsid w:val="00CC2351"/>
    <w:rsid w:val="00CC3AA9"/>
    <w:rsid w:val="00CC49CE"/>
    <w:rsid w:val="00CC5030"/>
    <w:rsid w:val="00CC6ACA"/>
    <w:rsid w:val="00CC73DC"/>
    <w:rsid w:val="00CC7794"/>
    <w:rsid w:val="00CD604A"/>
    <w:rsid w:val="00CD6DE4"/>
    <w:rsid w:val="00CD71BA"/>
    <w:rsid w:val="00CD7D70"/>
    <w:rsid w:val="00CE141C"/>
    <w:rsid w:val="00CE1594"/>
    <w:rsid w:val="00CE30F4"/>
    <w:rsid w:val="00CE34DA"/>
    <w:rsid w:val="00CE38EF"/>
    <w:rsid w:val="00CE4F12"/>
    <w:rsid w:val="00CE5330"/>
    <w:rsid w:val="00CE5357"/>
    <w:rsid w:val="00CE59E9"/>
    <w:rsid w:val="00CE6961"/>
    <w:rsid w:val="00CE7A25"/>
    <w:rsid w:val="00CF0B7F"/>
    <w:rsid w:val="00CF0FA8"/>
    <w:rsid w:val="00CF0FD8"/>
    <w:rsid w:val="00CF267E"/>
    <w:rsid w:val="00CF2979"/>
    <w:rsid w:val="00CF30AB"/>
    <w:rsid w:val="00D002AC"/>
    <w:rsid w:val="00D01B47"/>
    <w:rsid w:val="00D020A0"/>
    <w:rsid w:val="00D02D79"/>
    <w:rsid w:val="00D033A7"/>
    <w:rsid w:val="00D03809"/>
    <w:rsid w:val="00D0468E"/>
    <w:rsid w:val="00D04710"/>
    <w:rsid w:val="00D05179"/>
    <w:rsid w:val="00D05A48"/>
    <w:rsid w:val="00D066DE"/>
    <w:rsid w:val="00D111E3"/>
    <w:rsid w:val="00D12AAA"/>
    <w:rsid w:val="00D13917"/>
    <w:rsid w:val="00D15296"/>
    <w:rsid w:val="00D1555C"/>
    <w:rsid w:val="00D15EB5"/>
    <w:rsid w:val="00D17A55"/>
    <w:rsid w:val="00D2005F"/>
    <w:rsid w:val="00D220FF"/>
    <w:rsid w:val="00D22130"/>
    <w:rsid w:val="00D2280B"/>
    <w:rsid w:val="00D23D33"/>
    <w:rsid w:val="00D25865"/>
    <w:rsid w:val="00D2616A"/>
    <w:rsid w:val="00D26E47"/>
    <w:rsid w:val="00D273DF"/>
    <w:rsid w:val="00D277E3"/>
    <w:rsid w:val="00D30951"/>
    <w:rsid w:val="00D30B1B"/>
    <w:rsid w:val="00D30E56"/>
    <w:rsid w:val="00D31220"/>
    <w:rsid w:val="00D32B6A"/>
    <w:rsid w:val="00D3304E"/>
    <w:rsid w:val="00D34F11"/>
    <w:rsid w:val="00D3535E"/>
    <w:rsid w:val="00D35B67"/>
    <w:rsid w:val="00D37B3C"/>
    <w:rsid w:val="00D40F1F"/>
    <w:rsid w:val="00D410F0"/>
    <w:rsid w:val="00D41677"/>
    <w:rsid w:val="00D41E47"/>
    <w:rsid w:val="00D41F10"/>
    <w:rsid w:val="00D42191"/>
    <w:rsid w:val="00D42817"/>
    <w:rsid w:val="00D42E8E"/>
    <w:rsid w:val="00D45439"/>
    <w:rsid w:val="00D45F55"/>
    <w:rsid w:val="00D473DD"/>
    <w:rsid w:val="00D51E46"/>
    <w:rsid w:val="00D52C0E"/>
    <w:rsid w:val="00D53221"/>
    <w:rsid w:val="00D533FB"/>
    <w:rsid w:val="00D54F2D"/>
    <w:rsid w:val="00D555DB"/>
    <w:rsid w:val="00D55BE2"/>
    <w:rsid w:val="00D561D4"/>
    <w:rsid w:val="00D60031"/>
    <w:rsid w:val="00D607B9"/>
    <w:rsid w:val="00D617D7"/>
    <w:rsid w:val="00D62258"/>
    <w:rsid w:val="00D63596"/>
    <w:rsid w:val="00D63EDA"/>
    <w:rsid w:val="00D64067"/>
    <w:rsid w:val="00D64ABE"/>
    <w:rsid w:val="00D64FA7"/>
    <w:rsid w:val="00D6753B"/>
    <w:rsid w:val="00D71094"/>
    <w:rsid w:val="00D7227B"/>
    <w:rsid w:val="00D72CFE"/>
    <w:rsid w:val="00D72E97"/>
    <w:rsid w:val="00D740D4"/>
    <w:rsid w:val="00D7422A"/>
    <w:rsid w:val="00D744D4"/>
    <w:rsid w:val="00D749AF"/>
    <w:rsid w:val="00D76182"/>
    <w:rsid w:val="00D762EB"/>
    <w:rsid w:val="00D76CB7"/>
    <w:rsid w:val="00D7770E"/>
    <w:rsid w:val="00D77A75"/>
    <w:rsid w:val="00D808FE"/>
    <w:rsid w:val="00D80C88"/>
    <w:rsid w:val="00D80CDC"/>
    <w:rsid w:val="00D810A9"/>
    <w:rsid w:val="00D81805"/>
    <w:rsid w:val="00D81A21"/>
    <w:rsid w:val="00D81EDA"/>
    <w:rsid w:val="00D82505"/>
    <w:rsid w:val="00D83BBD"/>
    <w:rsid w:val="00D84BEE"/>
    <w:rsid w:val="00D874EE"/>
    <w:rsid w:val="00D87C15"/>
    <w:rsid w:val="00D9170A"/>
    <w:rsid w:val="00D93816"/>
    <w:rsid w:val="00D93FF2"/>
    <w:rsid w:val="00D9475E"/>
    <w:rsid w:val="00D94D09"/>
    <w:rsid w:val="00D95F71"/>
    <w:rsid w:val="00D96EA3"/>
    <w:rsid w:val="00D97C8B"/>
    <w:rsid w:val="00DA13EB"/>
    <w:rsid w:val="00DA186B"/>
    <w:rsid w:val="00DA2F5F"/>
    <w:rsid w:val="00DA3890"/>
    <w:rsid w:val="00DA4750"/>
    <w:rsid w:val="00DA485E"/>
    <w:rsid w:val="00DA4E37"/>
    <w:rsid w:val="00DA4EAD"/>
    <w:rsid w:val="00DA50F8"/>
    <w:rsid w:val="00DA530A"/>
    <w:rsid w:val="00DA5C01"/>
    <w:rsid w:val="00DA5C21"/>
    <w:rsid w:val="00DA660C"/>
    <w:rsid w:val="00DA7AF4"/>
    <w:rsid w:val="00DA7CED"/>
    <w:rsid w:val="00DB040B"/>
    <w:rsid w:val="00DB0730"/>
    <w:rsid w:val="00DB0FDF"/>
    <w:rsid w:val="00DB19D8"/>
    <w:rsid w:val="00DB2038"/>
    <w:rsid w:val="00DB24B8"/>
    <w:rsid w:val="00DB351D"/>
    <w:rsid w:val="00DB43A5"/>
    <w:rsid w:val="00DB47A1"/>
    <w:rsid w:val="00DB5934"/>
    <w:rsid w:val="00DB6C0C"/>
    <w:rsid w:val="00DC0B4C"/>
    <w:rsid w:val="00DC1179"/>
    <w:rsid w:val="00DC14A1"/>
    <w:rsid w:val="00DC2A2A"/>
    <w:rsid w:val="00DC2C77"/>
    <w:rsid w:val="00DC35FD"/>
    <w:rsid w:val="00DC4EFB"/>
    <w:rsid w:val="00DC6637"/>
    <w:rsid w:val="00DD2A49"/>
    <w:rsid w:val="00DD3F28"/>
    <w:rsid w:val="00DD4D88"/>
    <w:rsid w:val="00DD5C4C"/>
    <w:rsid w:val="00DD7AA7"/>
    <w:rsid w:val="00DE2B11"/>
    <w:rsid w:val="00DE5175"/>
    <w:rsid w:val="00DE6D9B"/>
    <w:rsid w:val="00DF4EBD"/>
    <w:rsid w:val="00DF5739"/>
    <w:rsid w:val="00DF6B41"/>
    <w:rsid w:val="00DF6C31"/>
    <w:rsid w:val="00DF6CAD"/>
    <w:rsid w:val="00E00AF1"/>
    <w:rsid w:val="00E0122F"/>
    <w:rsid w:val="00E02DE1"/>
    <w:rsid w:val="00E04521"/>
    <w:rsid w:val="00E05919"/>
    <w:rsid w:val="00E0731C"/>
    <w:rsid w:val="00E1041D"/>
    <w:rsid w:val="00E1138E"/>
    <w:rsid w:val="00E11737"/>
    <w:rsid w:val="00E1261E"/>
    <w:rsid w:val="00E12CF0"/>
    <w:rsid w:val="00E1393B"/>
    <w:rsid w:val="00E13CC9"/>
    <w:rsid w:val="00E155A0"/>
    <w:rsid w:val="00E17E85"/>
    <w:rsid w:val="00E2266F"/>
    <w:rsid w:val="00E22A2B"/>
    <w:rsid w:val="00E22F16"/>
    <w:rsid w:val="00E254B2"/>
    <w:rsid w:val="00E25643"/>
    <w:rsid w:val="00E256B4"/>
    <w:rsid w:val="00E25B29"/>
    <w:rsid w:val="00E2677D"/>
    <w:rsid w:val="00E27B50"/>
    <w:rsid w:val="00E3074E"/>
    <w:rsid w:val="00E318A9"/>
    <w:rsid w:val="00E31A76"/>
    <w:rsid w:val="00E32E1F"/>
    <w:rsid w:val="00E33603"/>
    <w:rsid w:val="00E34D0D"/>
    <w:rsid w:val="00E36B06"/>
    <w:rsid w:val="00E36D08"/>
    <w:rsid w:val="00E374A7"/>
    <w:rsid w:val="00E37A06"/>
    <w:rsid w:val="00E37C4E"/>
    <w:rsid w:val="00E40207"/>
    <w:rsid w:val="00E4062D"/>
    <w:rsid w:val="00E40CAF"/>
    <w:rsid w:val="00E414A4"/>
    <w:rsid w:val="00E416A2"/>
    <w:rsid w:val="00E41D31"/>
    <w:rsid w:val="00E4409F"/>
    <w:rsid w:val="00E44586"/>
    <w:rsid w:val="00E4574E"/>
    <w:rsid w:val="00E45B93"/>
    <w:rsid w:val="00E516CB"/>
    <w:rsid w:val="00E52690"/>
    <w:rsid w:val="00E5387F"/>
    <w:rsid w:val="00E540AF"/>
    <w:rsid w:val="00E541A1"/>
    <w:rsid w:val="00E54270"/>
    <w:rsid w:val="00E560C0"/>
    <w:rsid w:val="00E5774C"/>
    <w:rsid w:val="00E63027"/>
    <w:rsid w:val="00E652AE"/>
    <w:rsid w:val="00E65F77"/>
    <w:rsid w:val="00E72385"/>
    <w:rsid w:val="00E730D1"/>
    <w:rsid w:val="00E73E53"/>
    <w:rsid w:val="00E74084"/>
    <w:rsid w:val="00E74293"/>
    <w:rsid w:val="00E7476D"/>
    <w:rsid w:val="00E7527E"/>
    <w:rsid w:val="00E76963"/>
    <w:rsid w:val="00E76DEB"/>
    <w:rsid w:val="00E8112F"/>
    <w:rsid w:val="00E82244"/>
    <w:rsid w:val="00E840B6"/>
    <w:rsid w:val="00E844AA"/>
    <w:rsid w:val="00E84AC4"/>
    <w:rsid w:val="00E85907"/>
    <w:rsid w:val="00E860DA"/>
    <w:rsid w:val="00E8695A"/>
    <w:rsid w:val="00E87A74"/>
    <w:rsid w:val="00E90279"/>
    <w:rsid w:val="00E90765"/>
    <w:rsid w:val="00E9209C"/>
    <w:rsid w:val="00E949A6"/>
    <w:rsid w:val="00E9578F"/>
    <w:rsid w:val="00E9672A"/>
    <w:rsid w:val="00E977FD"/>
    <w:rsid w:val="00EA1DF9"/>
    <w:rsid w:val="00EA297F"/>
    <w:rsid w:val="00EA38E6"/>
    <w:rsid w:val="00EA4AB2"/>
    <w:rsid w:val="00EA65A2"/>
    <w:rsid w:val="00EA6AA8"/>
    <w:rsid w:val="00EA7A6E"/>
    <w:rsid w:val="00EA7DD6"/>
    <w:rsid w:val="00EB151E"/>
    <w:rsid w:val="00EB1D88"/>
    <w:rsid w:val="00EB3876"/>
    <w:rsid w:val="00EB587D"/>
    <w:rsid w:val="00EB61D4"/>
    <w:rsid w:val="00EB65A5"/>
    <w:rsid w:val="00EB6DDD"/>
    <w:rsid w:val="00EB7488"/>
    <w:rsid w:val="00EC07A1"/>
    <w:rsid w:val="00EC1908"/>
    <w:rsid w:val="00EC1CA5"/>
    <w:rsid w:val="00EC4216"/>
    <w:rsid w:val="00EC4CF9"/>
    <w:rsid w:val="00EC5D07"/>
    <w:rsid w:val="00ED0708"/>
    <w:rsid w:val="00ED0CC4"/>
    <w:rsid w:val="00ED1EB4"/>
    <w:rsid w:val="00ED20C7"/>
    <w:rsid w:val="00ED2489"/>
    <w:rsid w:val="00ED251E"/>
    <w:rsid w:val="00ED3EA7"/>
    <w:rsid w:val="00ED6139"/>
    <w:rsid w:val="00ED695D"/>
    <w:rsid w:val="00EE0BC4"/>
    <w:rsid w:val="00EE18C4"/>
    <w:rsid w:val="00EE1A4E"/>
    <w:rsid w:val="00EE257D"/>
    <w:rsid w:val="00EE26C8"/>
    <w:rsid w:val="00EE26FC"/>
    <w:rsid w:val="00EE29D7"/>
    <w:rsid w:val="00EE3DAF"/>
    <w:rsid w:val="00EE6519"/>
    <w:rsid w:val="00EE6783"/>
    <w:rsid w:val="00EF0515"/>
    <w:rsid w:val="00EF0541"/>
    <w:rsid w:val="00EF138F"/>
    <w:rsid w:val="00EF1E92"/>
    <w:rsid w:val="00EF1E93"/>
    <w:rsid w:val="00EF509E"/>
    <w:rsid w:val="00EF723C"/>
    <w:rsid w:val="00EF7E5B"/>
    <w:rsid w:val="00F00054"/>
    <w:rsid w:val="00F002DA"/>
    <w:rsid w:val="00F00B57"/>
    <w:rsid w:val="00F01D8A"/>
    <w:rsid w:val="00F02698"/>
    <w:rsid w:val="00F03777"/>
    <w:rsid w:val="00F043F3"/>
    <w:rsid w:val="00F048C3"/>
    <w:rsid w:val="00F0596E"/>
    <w:rsid w:val="00F06DA7"/>
    <w:rsid w:val="00F07C7F"/>
    <w:rsid w:val="00F1091A"/>
    <w:rsid w:val="00F110CC"/>
    <w:rsid w:val="00F12623"/>
    <w:rsid w:val="00F12BED"/>
    <w:rsid w:val="00F13464"/>
    <w:rsid w:val="00F135D5"/>
    <w:rsid w:val="00F1382D"/>
    <w:rsid w:val="00F13A46"/>
    <w:rsid w:val="00F13A81"/>
    <w:rsid w:val="00F1784E"/>
    <w:rsid w:val="00F21248"/>
    <w:rsid w:val="00F21959"/>
    <w:rsid w:val="00F23665"/>
    <w:rsid w:val="00F2473C"/>
    <w:rsid w:val="00F254AD"/>
    <w:rsid w:val="00F25AF5"/>
    <w:rsid w:val="00F269DC"/>
    <w:rsid w:val="00F3217C"/>
    <w:rsid w:val="00F33337"/>
    <w:rsid w:val="00F334E6"/>
    <w:rsid w:val="00F33C1A"/>
    <w:rsid w:val="00F35B1D"/>
    <w:rsid w:val="00F408E1"/>
    <w:rsid w:val="00F4246D"/>
    <w:rsid w:val="00F44924"/>
    <w:rsid w:val="00F44B3C"/>
    <w:rsid w:val="00F459EE"/>
    <w:rsid w:val="00F45A22"/>
    <w:rsid w:val="00F4632B"/>
    <w:rsid w:val="00F52331"/>
    <w:rsid w:val="00F527EE"/>
    <w:rsid w:val="00F52B01"/>
    <w:rsid w:val="00F53A34"/>
    <w:rsid w:val="00F53C13"/>
    <w:rsid w:val="00F53EEC"/>
    <w:rsid w:val="00F543C4"/>
    <w:rsid w:val="00F547DD"/>
    <w:rsid w:val="00F57DFB"/>
    <w:rsid w:val="00F57FB6"/>
    <w:rsid w:val="00F57FC0"/>
    <w:rsid w:val="00F613C6"/>
    <w:rsid w:val="00F64B4D"/>
    <w:rsid w:val="00F659F8"/>
    <w:rsid w:val="00F66082"/>
    <w:rsid w:val="00F6645F"/>
    <w:rsid w:val="00F67992"/>
    <w:rsid w:val="00F70294"/>
    <w:rsid w:val="00F70310"/>
    <w:rsid w:val="00F712AF"/>
    <w:rsid w:val="00F712B1"/>
    <w:rsid w:val="00F7184C"/>
    <w:rsid w:val="00F7214B"/>
    <w:rsid w:val="00F72209"/>
    <w:rsid w:val="00F7369B"/>
    <w:rsid w:val="00F74A35"/>
    <w:rsid w:val="00F74B7D"/>
    <w:rsid w:val="00F74E6A"/>
    <w:rsid w:val="00F75C62"/>
    <w:rsid w:val="00F75D84"/>
    <w:rsid w:val="00F76AAB"/>
    <w:rsid w:val="00F76FA1"/>
    <w:rsid w:val="00F81B08"/>
    <w:rsid w:val="00F851A9"/>
    <w:rsid w:val="00F861BF"/>
    <w:rsid w:val="00F865A0"/>
    <w:rsid w:val="00F86640"/>
    <w:rsid w:val="00F90F80"/>
    <w:rsid w:val="00F91587"/>
    <w:rsid w:val="00F91A38"/>
    <w:rsid w:val="00F91DCC"/>
    <w:rsid w:val="00F9332E"/>
    <w:rsid w:val="00F94D3F"/>
    <w:rsid w:val="00F955DE"/>
    <w:rsid w:val="00F956F8"/>
    <w:rsid w:val="00F96744"/>
    <w:rsid w:val="00F96A3B"/>
    <w:rsid w:val="00F9706C"/>
    <w:rsid w:val="00F973FB"/>
    <w:rsid w:val="00F97F0A"/>
    <w:rsid w:val="00FA0343"/>
    <w:rsid w:val="00FA0652"/>
    <w:rsid w:val="00FA2213"/>
    <w:rsid w:val="00FA6587"/>
    <w:rsid w:val="00FA6E38"/>
    <w:rsid w:val="00FA7047"/>
    <w:rsid w:val="00FA7256"/>
    <w:rsid w:val="00FA7402"/>
    <w:rsid w:val="00FA797E"/>
    <w:rsid w:val="00FA7CB8"/>
    <w:rsid w:val="00FB1922"/>
    <w:rsid w:val="00FB2B0A"/>
    <w:rsid w:val="00FB49F0"/>
    <w:rsid w:val="00FB562E"/>
    <w:rsid w:val="00FB702B"/>
    <w:rsid w:val="00FB759D"/>
    <w:rsid w:val="00FB78B2"/>
    <w:rsid w:val="00FB7F2E"/>
    <w:rsid w:val="00FC2D91"/>
    <w:rsid w:val="00FC56C7"/>
    <w:rsid w:val="00FC6078"/>
    <w:rsid w:val="00FC743B"/>
    <w:rsid w:val="00FD35E9"/>
    <w:rsid w:val="00FD43DF"/>
    <w:rsid w:val="00FD4CD0"/>
    <w:rsid w:val="00FD4DFC"/>
    <w:rsid w:val="00FD60AF"/>
    <w:rsid w:val="00FD757C"/>
    <w:rsid w:val="00FE02F2"/>
    <w:rsid w:val="00FE0EA4"/>
    <w:rsid w:val="00FE1ABD"/>
    <w:rsid w:val="00FE25EF"/>
    <w:rsid w:val="00FE3334"/>
    <w:rsid w:val="00FE335D"/>
    <w:rsid w:val="00FE4CC1"/>
    <w:rsid w:val="00FE6355"/>
    <w:rsid w:val="00FE6CAB"/>
    <w:rsid w:val="00FE7293"/>
    <w:rsid w:val="00FE7A85"/>
    <w:rsid w:val="00FF0462"/>
    <w:rsid w:val="00FF1643"/>
    <w:rsid w:val="00FF1BE1"/>
    <w:rsid w:val="00FF35C1"/>
    <w:rsid w:val="00FF3695"/>
    <w:rsid w:val="00FF3933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29E55"/>
  <w15:chartTrackingRefBased/>
  <w15:docId w15:val="{BB358F15-5A5D-4FB4-9079-0A30942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3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890"/>
  </w:style>
  <w:style w:type="paragraph" w:styleId="Piedepgina">
    <w:name w:val="footer"/>
    <w:basedOn w:val="Normal"/>
    <w:link w:val="PiedepginaCar"/>
    <w:uiPriority w:val="99"/>
    <w:unhideWhenUsed/>
    <w:rsid w:val="00DA3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890"/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DA389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DA389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DA38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A389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A38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38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389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89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7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7A68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7F7A6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F7A6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F7A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7A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14A9"/>
    <w:rPr>
      <w:color w:val="605E5C"/>
      <w:shd w:val="clear" w:color="auto" w:fill="E1DFDD"/>
    </w:rPr>
  </w:style>
  <w:style w:type="character" w:styleId="Refdenotaalfinal">
    <w:name w:val="endnote reference"/>
    <w:basedOn w:val="Fuentedeprrafopredeter"/>
    <w:uiPriority w:val="99"/>
    <w:semiHidden/>
    <w:unhideWhenUsed/>
    <w:rsid w:val="008922F0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571556"/>
    <w:pPr>
      <w:autoSpaceDE w:val="0"/>
      <w:autoSpaceDN w:val="0"/>
      <w:adjustRightInd w:val="0"/>
      <w:spacing w:after="0" w:line="171" w:lineRule="atLeast"/>
    </w:pPr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C2C77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012C4D"/>
    <w:pPr>
      <w:spacing w:after="0" w:line="240" w:lineRule="auto"/>
      <w:jc w:val="both"/>
    </w:pPr>
    <w:rPr>
      <w:rFonts w:ascii="MS Sans Serif" w:eastAsia="Univers (W1)" w:hAnsi="MS Sans Serif" w:cs="Univers (W1)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012C4D"/>
    <w:rPr>
      <w:rFonts w:ascii="MS Sans Serif" w:eastAsia="Univers (W1)" w:hAnsi="MS Sans Serif" w:cs="Univers (W1)"/>
      <w:sz w:val="24"/>
      <w:szCs w:val="24"/>
      <w:lang w:val="x-none" w:eastAsia="x-none"/>
    </w:rPr>
  </w:style>
  <w:style w:type="paragraph" w:customStyle="1" w:styleId="Default">
    <w:name w:val="Default"/>
    <w:rsid w:val="00797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833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hart" Target="charts/chart2.xml"/><Relationship Id="rId26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INEGIInforma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hyperlink" Target="https://twitter.com/INEGI_INFORMA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hyperlink" Target="mailto:comunicacionsocial@inegi.org.mx" TargetMode="External"/><Relationship Id="rId29" Type="http://schemas.openxmlformats.org/officeDocument/2006/relationships/hyperlink" Target="http://www.inegi.org.mx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hyperlink" Target="https://www.instagram.com/inegi_informa/" TargetMode="External"/><Relationship Id="rId28" Type="http://schemas.openxmlformats.org/officeDocument/2006/relationships/image" Target="media/image13.jpeg"/><Relationship Id="rId10" Type="http://schemas.openxmlformats.org/officeDocument/2006/relationships/endnotes" Target="endnotes.xml"/><Relationship Id="rId19" Type="http://schemas.openxmlformats.org/officeDocument/2006/relationships/chart" Target="charts/chart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image" Target="media/image10.jpeg"/><Relationship Id="rId27" Type="http://schemas.openxmlformats.org/officeDocument/2006/relationships/hyperlink" Target="https://www.youtube.com/user/INEGIInforma" TargetMode="External"/><Relationship Id="rId30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escargas\CSVM_Graficos%202020_Mo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INEGI_MDC\2021\CAB%202013\6.%20An&#225;lisis%20de%20la%20producci&#243;n\6.2\CSVM_Gr&#225;ficos%202020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Descargas\CSVM_Graficos%202020_Mod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852909931113132E-2"/>
          <c:y val="0.24335377343470632"/>
          <c:w val="0.88322253488332092"/>
          <c:h val="0.447089592069724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Part_PIB_serie!$A$7</c:f>
              <c:strCache>
                <c:ptCount val="1"/>
                <c:pt idx="0">
                  <c:v>PIB sector vivienda</c:v>
                </c:pt>
              </c:strCache>
            </c:strRef>
          </c:tx>
          <c:spPr>
            <a:solidFill>
              <a:srgbClr val="FF6600"/>
            </a:solidFill>
            <a:ln>
              <a:solidFill>
                <a:srgbClr val="FF66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Part_PIB_serie!$B$10:$N$10</c:f>
              <c:strCach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2019P</c:v>
                </c:pt>
                <c:pt idx="12">
                  <c:v>2020P</c:v>
                </c:pt>
              </c:strCache>
            </c:strRef>
          </c:cat>
          <c:val>
            <c:numRef>
              <c:f>Part_PIB_serie!$B$16:$N$16</c:f>
              <c:numCache>
                <c:formatCode>_-* #,##0_-;\-* #,##0_-;_-* "-"??_-;_-@_-</c:formatCode>
                <c:ptCount val="13"/>
                <c:pt idx="0">
                  <c:v>788.59342099999992</c:v>
                </c:pt>
                <c:pt idx="1">
                  <c:v>755.57457399999998</c:v>
                </c:pt>
                <c:pt idx="2">
                  <c:v>784.14022499999999</c:v>
                </c:pt>
                <c:pt idx="3">
                  <c:v>861.11271599999998</c:v>
                </c:pt>
                <c:pt idx="4">
                  <c:v>915.13353599999994</c:v>
                </c:pt>
                <c:pt idx="5">
                  <c:v>892.02500899999995</c:v>
                </c:pt>
                <c:pt idx="6">
                  <c:v>962.20483300000012</c:v>
                </c:pt>
                <c:pt idx="7">
                  <c:v>1023.8715569999999</c:v>
                </c:pt>
                <c:pt idx="8">
                  <c:v>1132.5681050000001</c:v>
                </c:pt>
                <c:pt idx="9">
                  <c:v>1235.8782620000002</c:v>
                </c:pt>
                <c:pt idx="10">
                  <c:v>1327.611881</c:v>
                </c:pt>
                <c:pt idx="11">
                  <c:v>1366.9622379999998</c:v>
                </c:pt>
                <c:pt idx="12">
                  <c:v>1273.2676450000001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51-44AF-BDAB-17E928A0E4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axId val="513123071"/>
        <c:axId val="513114335"/>
      </c:barChart>
      <c:lineChart>
        <c:grouping val="standard"/>
        <c:varyColors val="0"/>
        <c:ser>
          <c:idx val="1"/>
          <c:order val="1"/>
          <c:tx>
            <c:strRef>
              <c:f>Part_PIB_serie!$A$12</c:f>
              <c:strCache>
                <c:ptCount val="1"/>
                <c:pt idx="0">
                  <c:v>Participación</c:v>
                </c:pt>
              </c:strCache>
            </c:strRef>
          </c:tx>
          <c:spPr>
            <a:ln w="19050" cap="rnd">
              <a:solidFill>
                <a:srgbClr val="008080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rgbClr val="008080"/>
              </a:solidFill>
              <a:ln w="19050">
                <a:solidFill>
                  <a:schemeClr val="accent5">
                    <a:lumMod val="60000"/>
                    <a:lumOff val="40000"/>
                  </a:schemeClr>
                </a:solidFill>
                <a:prstDash val="solid"/>
              </a:ln>
              <a:effectLst/>
            </c:spPr>
          </c:marker>
          <c:dLbls>
            <c:dLbl>
              <c:idx val="10"/>
              <c:layout>
                <c:manualLayout>
                  <c:x val="-3.7367563162184342E-2"/>
                  <c:y val="-4.70022978901190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51-44AF-BDAB-17E928A0E43B}"/>
                </c:ext>
              </c:extLst>
            </c:dLbl>
            <c:dLbl>
              <c:idx val="11"/>
              <c:layout>
                <c:manualLayout>
                  <c:x val="-3.7367563162184342E-2"/>
                  <c:y val="-4.28243158554418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51-44AF-BDAB-17E928A0E43B}"/>
                </c:ext>
              </c:extLst>
            </c:dLbl>
            <c:dLbl>
              <c:idx val="12"/>
              <c:layout>
                <c:manualLayout>
                  <c:x val="-3.7367563162184189E-2"/>
                  <c:y val="-4.28243158554418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51-44AF-BDAB-17E928A0E4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808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Part_PIB_serie!$B$12:$N$12</c:f>
              <c:numCache>
                <c:formatCode>_-* #,##0.0_-;\-* #,##0.0_-;_-* "-"??_-;_-@_-</c:formatCode>
                <c:ptCount val="13"/>
                <c:pt idx="0">
                  <c:v>6.5511671241765752</c:v>
                </c:pt>
                <c:pt idx="1">
                  <c:v>6.4806618608007946</c:v>
                </c:pt>
                <c:pt idx="2">
                  <c:v>6.114525109461395</c:v>
                </c:pt>
                <c:pt idx="3">
                  <c:v>6.0809833305748695</c:v>
                </c:pt>
                <c:pt idx="4">
                  <c:v>5.9676370038786422</c:v>
                </c:pt>
                <c:pt idx="5">
                  <c:v>5.702529485718637</c:v>
                </c:pt>
                <c:pt idx="6">
                  <c:v>5.803420537158873</c:v>
                </c:pt>
                <c:pt idx="7">
                  <c:v>5.8510241879190277</c:v>
                </c:pt>
                <c:pt idx="8">
                  <c:v>6.00173115839024</c:v>
                </c:pt>
                <c:pt idx="9">
                  <c:v>5.964069409933157</c:v>
                </c:pt>
                <c:pt idx="10">
                  <c:v>5.9748383306396029</c:v>
                </c:pt>
                <c:pt idx="11">
                  <c:v>5.9372235055652007</c:v>
                </c:pt>
                <c:pt idx="12">
                  <c:v>5.8182505779816287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E451-44AF-BDAB-17E928A0E4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6690799"/>
        <c:axId val="1796693295"/>
      </c:lineChart>
      <c:catAx>
        <c:axId val="513123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accent3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13114335"/>
        <c:crosses val="autoZero"/>
        <c:auto val="1"/>
        <c:lblAlgn val="ctr"/>
        <c:lblOffset val="100"/>
        <c:noMultiLvlLbl val="0"/>
      </c:catAx>
      <c:valAx>
        <c:axId val="513114335"/>
        <c:scaling>
          <c:orientation val="minMax"/>
          <c:max val="1300"/>
        </c:scaling>
        <c:delete val="0"/>
        <c:axPos val="l"/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3123071"/>
        <c:crosses val="autoZero"/>
        <c:crossBetween val="between"/>
      </c:valAx>
      <c:valAx>
        <c:axId val="1796693295"/>
        <c:scaling>
          <c:orientation val="minMax"/>
          <c:max val="7"/>
        </c:scaling>
        <c:delete val="0"/>
        <c:axPos val="r"/>
        <c:numFmt formatCode="_-* #,##0.0_-;\-* #,##0.0_-;_-* &quot;-&quot;??_-;_-@_-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96690799"/>
        <c:crosses val="max"/>
        <c:crossBetween val="between"/>
      </c:valAx>
      <c:catAx>
        <c:axId val="1796690799"/>
        <c:scaling>
          <c:orientation val="minMax"/>
        </c:scaling>
        <c:delete val="1"/>
        <c:axPos val="b"/>
        <c:majorTickMark val="out"/>
        <c:minorTickMark val="none"/>
        <c:tickLblPos val="nextTo"/>
        <c:crossAx val="179669329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9051150405337"/>
          <c:y val="0.84056059978148667"/>
          <c:w val="0.52223767719744074"/>
          <c:h val="6.79014193624794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rgbClr val="C55A11"/>
      </a:solidFill>
      <a:round/>
    </a:ln>
    <a:effectLst>
      <a:outerShdw blurRad="50800" dist="38100" dir="8100000" algn="tr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01422402844806E-2"/>
          <c:y val="0.19444165303748168"/>
          <c:w val="0.89750967992544706"/>
          <c:h val="0.52394375221298628"/>
        </c:manualLayout>
      </c:layout>
      <c:lineChart>
        <c:grouping val="standard"/>
        <c:varyColors val="0"/>
        <c:ser>
          <c:idx val="1"/>
          <c:order val="0"/>
          <c:tx>
            <c:strRef>
              <c:f>Var_nacional!$B$10</c:f>
              <c:strCache>
                <c:ptCount val="1"/>
                <c:pt idx="0">
                  <c:v>Nacional</c:v>
                </c:pt>
              </c:strCache>
            </c:strRef>
          </c:tx>
          <c:spPr>
            <a:ln w="15875">
              <a:solidFill>
                <a:srgbClr val="002060"/>
              </a:solidFill>
              <a:prstDash val="solid"/>
            </a:ln>
          </c:spPr>
          <c:marker>
            <c:symbol val="circle"/>
            <c:size val="6"/>
            <c:spPr>
              <a:solidFill>
                <a:srgbClr val="002060"/>
              </a:solidFill>
              <a:ln w="15875">
                <a:solidFill>
                  <a:srgbClr val="00B0F0"/>
                </a:solidFill>
              </a:ln>
            </c:spPr>
          </c:marker>
          <c:dLbls>
            <c:dLbl>
              <c:idx val="0"/>
              <c:layout>
                <c:manualLayout>
                  <c:x val="-3.1850001567421411E-2"/>
                  <c:y val="-8.06081681790954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07-4628-AA27-CC968EB933E0}"/>
                </c:ext>
              </c:extLst>
            </c:dLbl>
            <c:dLbl>
              <c:idx val="1"/>
              <c:layout>
                <c:manualLayout>
                  <c:x val="-4.0699009915537931E-2"/>
                  <c:y val="-5.21046093042343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07-4628-AA27-CC968EB933E0}"/>
                </c:ext>
              </c:extLst>
            </c:dLbl>
            <c:dLbl>
              <c:idx val="2"/>
              <c:layout>
                <c:manualLayout>
                  <c:x val="-5.8100852790938573E-2"/>
                  <c:y val="4.77044728095858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07-4628-AA27-CC968EB933E0}"/>
                </c:ext>
              </c:extLst>
            </c:dLbl>
            <c:dLbl>
              <c:idx val="3"/>
              <c:layout>
                <c:manualLayout>
                  <c:x val="-7.141286214508516E-2"/>
                  <c:y val="5.0798607946919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07-4628-AA27-CC968EB933E0}"/>
                </c:ext>
              </c:extLst>
            </c:dLbl>
            <c:dLbl>
              <c:idx val="4"/>
              <c:layout>
                <c:manualLayout>
                  <c:x val="-5.9749758238667336E-2"/>
                  <c:y val="-5.17318622613022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07-4628-AA27-CC968EB933E0}"/>
                </c:ext>
              </c:extLst>
            </c:dLbl>
            <c:dLbl>
              <c:idx val="5"/>
              <c:layout>
                <c:manualLayout>
                  <c:x val="-4.1502386387217274E-2"/>
                  <c:y val="6.288720478598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07-4628-AA27-CC968EB933E0}"/>
                </c:ext>
              </c:extLst>
            </c:dLbl>
            <c:dLbl>
              <c:idx val="6"/>
              <c:layout>
                <c:manualLayout>
                  <c:x val="-4.2952719365052905E-2"/>
                  <c:y val="4.4119722819182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107-4628-AA27-CC968EB933E0}"/>
                </c:ext>
              </c:extLst>
            </c:dLbl>
            <c:dLbl>
              <c:idx val="7"/>
              <c:layout>
                <c:manualLayout>
                  <c:x val="-1.8050811650943053E-2"/>
                  <c:y val="4.2945002037484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107-4628-AA27-CC968EB933E0}"/>
                </c:ext>
              </c:extLst>
            </c:dLbl>
            <c:dLbl>
              <c:idx val="11"/>
              <c:layout>
                <c:manualLayout>
                  <c:x val="-3.0182836106790113E-3"/>
                  <c:y val="-2.550479457394558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107-4628-AA27-CC968EB933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solidFill>
                      <a:schemeClr val="accent1"/>
                    </a:solidFill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Var_nacional!$D$8:$O$8</c:f>
              <c:numCache>
                <c:formatCode>General</c:formatCod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numCache>
            </c:numRef>
          </c:cat>
          <c:val>
            <c:numRef>
              <c:f>Var_nacional!$D$10:$O$10</c:f>
              <c:numCache>
                <c:formatCode>_-* #,##0.0_-;\-* #,##0.0_-;_-* "-"??_-;_-@_-</c:formatCode>
                <c:ptCount val="12"/>
                <c:pt idx="0">
                  <c:v>-5.2365645520836699</c:v>
                </c:pt>
                <c:pt idx="1">
                  <c:v>5.1569862208375286</c:v>
                </c:pt>
                <c:pt idx="2">
                  <c:v>3.6467482981879198</c:v>
                </c:pt>
                <c:pt idx="3">
                  <c:v>3.7322096169194907</c:v>
                </c:pt>
                <c:pt idx="4">
                  <c:v>1.3714434891913219</c:v>
                </c:pt>
                <c:pt idx="5">
                  <c:v>2.7139823393182989</c:v>
                </c:pt>
                <c:pt idx="6">
                  <c:v>3.1882162411962947</c:v>
                </c:pt>
                <c:pt idx="7">
                  <c:v>2.4315502206275301</c:v>
                </c:pt>
                <c:pt idx="8">
                  <c:v>2.0447993038284946</c:v>
                </c:pt>
                <c:pt idx="9">
                  <c:v>2.1434467823088199</c:v>
                </c:pt>
                <c:pt idx="10">
                  <c:v>-0.18542401771348477</c:v>
                </c:pt>
                <c:pt idx="11">
                  <c:v>-7.934659785682781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9-4107-4628-AA27-CC968EB933E0}"/>
            </c:ext>
          </c:extLst>
        </c:ser>
        <c:ser>
          <c:idx val="0"/>
          <c:order val="1"/>
          <c:tx>
            <c:strRef>
              <c:f>Var_nacional!$B$11</c:f>
              <c:strCache>
                <c:ptCount val="1"/>
                <c:pt idx="0">
                  <c:v>Vivienda</c:v>
                </c:pt>
              </c:strCache>
            </c:strRef>
          </c:tx>
          <c:spPr>
            <a:ln w="15875">
              <a:solidFill>
                <a:srgbClr val="E46C0A"/>
              </a:solidFill>
              <a:prstDash val="solid"/>
            </a:ln>
          </c:spPr>
          <c:marker>
            <c:symbol val="circle"/>
            <c:size val="6"/>
            <c:spPr>
              <a:solidFill>
                <a:srgbClr val="E46C0A"/>
              </a:solidFill>
              <a:ln w="15875">
                <a:solidFill>
                  <a:srgbClr val="FFC000"/>
                </a:solidFill>
                <a:prstDash val="sysDash"/>
              </a:ln>
            </c:spPr>
          </c:marker>
          <c:dLbls>
            <c:dLbl>
              <c:idx val="0"/>
              <c:layout>
                <c:manualLayout>
                  <c:x val="-2.8592146678358559E-2"/>
                  <c:y val="3.16693479812410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107-4628-AA27-CC968EB933E0}"/>
                </c:ext>
              </c:extLst>
            </c:dLbl>
            <c:dLbl>
              <c:idx val="1"/>
              <c:layout>
                <c:manualLayout>
                  <c:x val="-2.8110727591924935E-2"/>
                  <c:y val="2.5686444011560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107-4628-AA27-CC968EB933E0}"/>
                </c:ext>
              </c:extLst>
            </c:dLbl>
            <c:dLbl>
              <c:idx val="2"/>
              <c:layout>
                <c:manualLayout>
                  <c:x val="-4.3541186583045365E-2"/>
                  <c:y val="-4.186223032779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107-4628-AA27-CC968EB933E0}"/>
                </c:ext>
              </c:extLst>
            </c:dLbl>
            <c:dLbl>
              <c:idx val="3"/>
              <c:layout>
                <c:manualLayout>
                  <c:x val="-3.3168332601087487E-2"/>
                  <c:y val="-4.5747545007219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107-4628-AA27-CC968EB933E0}"/>
                </c:ext>
              </c:extLst>
            </c:dLbl>
            <c:dLbl>
              <c:idx val="4"/>
              <c:layout>
                <c:manualLayout>
                  <c:x val="-5.0253601477553908E-2"/>
                  <c:y val="4.7549482620135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107-4628-AA27-CC968EB933E0}"/>
                </c:ext>
              </c:extLst>
            </c:dLbl>
            <c:dLbl>
              <c:idx val="5"/>
              <c:layout>
                <c:manualLayout>
                  <c:x val="-8.4801881921902064E-2"/>
                  <c:y val="-3.1790419345036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107-4628-AA27-CC968EB933E0}"/>
                </c:ext>
              </c:extLst>
            </c:dLbl>
            <c:dLbl>
              <c:idx val="6"/>
              <c:layout>
                <c:manualLayout>
                  <c:x val="-2.981642967344654E-2"/>
                  <c:y val="-3.37911589638740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107-4628-AA27-CC968EB933E0}"/>
                </c:ext>
              </c:extLst>
            </c:dLbl>
            <c:dLbl>
              <c:idx val="7"/>
              <c:layout>
                <c:manualLayout>
                  <c:x val="-1.4710027641028445E-3"/>
                  <c:y val="-1.8262461046348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107-4628-AA27-CC968EB933E0}"/>
                </c:ext>
              </c:extLst>
            </c:dLbl>
            <c:dLbl>
              <c:idx val="11"/>
              <c:layout>
                <c:manualLayout>
                  <c:x val="-1.6248732655872191E-3"/>
                  <c:y val="1.83749122943789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107-4628-AA27-CC968EB933E0}"/>
                </c:ext>
              </c:extLst>
            </c:dLbl>
            <c:numFmt formatCode="_-* #,##0.0_-;\-* #,##0.0_-;_-* &quot;-&quot;??_-;_-@_-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solidFill>
                      <a:srgbClr val="E46C0A"/>
                    </a:solidFill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Var_nacional!$D$8:$O$8</c:f>
              <c:numCache>
                <c:formatCode>General</c:formatCod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numCache>
            </c:numRef>
          </c:cat>
          <c:val>
            <c:numRef>
              <c:f>Var_nacional!$D$11:$O$11</c:f>
              <c:numCache>
                <c:formatCode>_-* #,##0.0_-;\-* #,##0.0_-;_-* "-"??_-;_-@_-</c:formatCode>
                <c:ptCount val="12"/>
                <c:pt idx="0">
                  <c:v>-6.3849470879800752</c:v>
                </c:pt>
                <c:pt idx="1">
                  <c:v>1.1562716917113196</c:v>
                </c:pt>
                <c:pt idx="2">
                  <c:v>3.9956658771500475</c:v>
                </c:pt>
                <c:pt idx="3">
                  <c:v>2.9850784081079569</c:v>
                </c:pt>
                <c:pt idx="4">
                  <c:v>-2.7313386643941513</c:v>
                </c:pt>
                <c:pt idx="5">
                  <c:v>5.1246470268517834</c:v>
                </c:pt>
                <c:pt idx="6">
                  <c:v>4.1173307721066132</c:v>
                </c:pt>
                <c:pt idx="7">
                  <c:v>4.2612969316703149</c:v>
                </c:pt>
                <c:pt idx="8">
                  <c:v>1.5690381502434874</c:v>
                </c:pt>
                <c:pt idx="9">
                  <c:v>1.1821781175176882</c:v>
                </c:pt>
                <c:pt idx="10">
                  <c:v>6.3884847671506095E-2</c:v>
                </c:pt>
                <c:pt idx="11">
                  <c:v>-9.10318002115981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3-4107-4628-AA27-CC968EB933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8287872"/>
        <c:axId val="258278912"/>
      </c:lineChart>
      <c:valAx>
        <c:axId val="258278912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 sz="800" b="0"/>
            </a:pPr>
            <a:endParaRPr lang="es-MX"/>
          </a:p>
        </c:txPr>
        <c:crossAx val="258287872"/>
        <c:crosses val="autoZero"/>
        <c:crossBetween val="between"/>
        <c:majorUnit val="5"/>
      </c:valAx>
      <c:catAx>
        <c:axId val="258287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 sz="800" b="0">
                <a:solidFill>
                  <a:sysClr val="windowText" lastClr="000000"/>
                </a:solidFill>
              </a:defRPr>
            </a:pPr>
            <a:endParaRPr lang="es-MX"/>
          </a:p>
        </c:txPr>
        <c:crossAx val="258278912"/>
        <c:crosses val="autoZero"/>
        <c:auto val="1"/>
        <c:lblAlgn val="ctr"/>
        <c:lblOffset val="100"/>
        <c:noMultiLvlLbl val="0"/>
      </c:catAx>
      <c:spPr>
        <a:noFill/>
        <a:ln w="9525" cmpd="sng">
          <a:noFill/>
        </a:ln>
        <a:effectLst/>
      </c:spPr>
    </c:plotArea>
    <c:legend>
      <c:legendPos val="b"/>
      <c:layout>
        <c:manualLayout>
          <c:xMode val="edge"/>
          <c:yMode val="edge"/>
          <c:x val="0.13504574415280418"/>
          <c:y val="0.84499200390648854"/>
          <c:w val="0.76078927634046012"/>
          <c:h val="5.7460196330084333E-2"/>
        </c:manualLayout>
      </c:layout>
      <c:overlay val="0"/>
      <c:txPr>
        <a:bodyPr/>
        <a:lstStyle/>
        <a:p>
          <a:pPr>
            <a:defRPr sz="1200" b="0"/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rnd" cmpd="sng" algn="ctr">
      <a:solidFill>
        <a:schemeClr val="accent2"/>
      </a:solidFill>
      <a:round/>
    </a:ln>
    <a:effectLst/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1995131796624496"/>
          <c:y val="0.21615434210417556"/>
          <c:w val="0.5707690787350872"/>
          <c:h val="0.6376436337099800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FF9966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B36-4ECF-91F3-DB75DC5502FC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B36-4ECF-91F3-DB75DC5502FC}"/>
              </c:ext>
            </c:extLst>
          </c:dPt>
          <c:dPt>
            <c:idx val="2"/>
            <c:invertIfNegative val="0"/>
            <c:bubble3D val="0"/>
            <c:spPr>
              <a:solidFill>
                <a:srgbClr val="CC33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B36-4ECF-91F3-DB75DC5502FC}"/>
              </c:ext>
            </c:extLst>
          </c:dPt>
          <c:dPt>
            <c:idx val="3"/>
            <c:invertIfNegative val="0"/>
            <c:bubble3D val="0"/>
            <c:spPr>
              <a:solidFill>
                <a:srgbClr val="9966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B36-4ECF-91F3-DB75DC5502FC}"/>
              </c:ext>
            </c:extLst>
          </c:dPt>
          <c:dPt>
            <c:idx val="4"/>
            <c:invertIfNegative val="0"/>
            <c:bubble3D val="0"/>
            <c:spPr>
              <a:solidFill>
                <a:srgbClr val="FF66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B36-4ECF-91F3-DB75DC5502FC}"/>
              </c:ext>
            </c:extLst>
          </c:dPt>
          <c:dPt>
            <c:idx val="5"/>
            <c:invertIfNegative val="0"/>
            <c:bubble3D val="0"/>
            <c:spPr>
              <a:solidFill>
                <a:srgbClr val="6666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B36-4ECF-91F3-DB75DC5502FC}"/>
              </c:ext>
            </c:extLst>
          </c:dPt>
          <c:dPt>
            <c:idx val="6"/>
            <c:invertIfNegative val="0"/>
            <c:bubble3D val="0"/>
            <c:spPr>
              <a:solidFill>
                <a:srgbClr val="CC99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B36-4ECF-91F3-DB75DC5502FC}"/>
              </c:ext>
            </c:extLst>
          </c:dPt>
          <c:dPt>
            <c:idx val="7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1B36-4ECF-91F3-DB75DC5502F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="1">
                      <a:solidFill>
                        <a:schemeClr val="accent5">
                          <a:lumMod val="50000"/>
                        </a:schemeClr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1B36-4ECF-91F3-DB75DC5502F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="1">
                      <a:solidFill>
                        <a:srgbClr val="92D050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1B36-4ECF-91F3-DB75DC5502F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200" b="1">
                      <a:solidFill>
                        <a:srgbClr val="CC0000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1B36-4ECF-91F3-DB75DC5502FC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="1">
                      <a:solidFill>
                        <a:srgbClr val="9966FF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1B36-4ECF-91F3-DB75DC5502FC}"/>
                </c:ext>
              </c:extLst>
            </c:dLbl>
            <c:dLbl>
              <c:idx val="4"/>
              <c:layout>
                <c:manualLayout>
                  <c:x val="1.8084176573330481E-2"/>
                  <c:y val="-3.7491483233926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="1">
                      <a:solidFill>
                        <a:srgbClr val="FF6600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B36-4ECF-91F3-DB75DC5502FC}"/>
                </c:ext>
              </c:extLst>
            </c:dLbl>
            <c:dLbl>
              <c:idx val="5"/>
              <c:layout>
                <c:manualLayout>
                  <c:x val="1.4467341258664451E-2"/>
                  <c:y val="6.8733591912546726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="1">
                      <a:solidFill>
                        <a:srgbClr val="6666FF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B36-4ECF-91F3-DB75DC5502FC}"/>
                </c:ext>
              </c:extLst>
            </c:dLbl>
            <c:dLbl>
              <c:idx val="6"/>
              <c:layout>
                <c:manualLayout>
                  <c:x val="1.4467341258664319E-2"/>
                  <c:y val="-3.7491483233926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="1">
                      <a:solidFill>
                        <a:srgbClr val="CC9900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B36-4ECF-91F3-DB75DC5502FC}"/>
                </c:ext>
              </c:extLst>
            </c:dLbl>
            <c:dLbl>
              <c:idx val="7"/>
              <c:layout>
                <c:manualLayout>
                  <c:x val="1.0850505943998289E-2"/>
                  <c:y val="1.3746718382509345E-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="1">
                      <a:solidFill>
                        <a:srgbClr val="7030A0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B36-4ECF-91F3-DB75DC5502FC}"/>
                </c:ext>
              </c:extLst>
            </c:dLbl>
            <c:dLbl>
              <c:idx val="8"/>
              <c:layout>
                <c:manualLayout>
                  <c:x val="1.0850505943998289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="1">
                      <a:solidFill>
                        <a:srgbClr val="F4B183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B36-4ECF-91F3-DB75DC5502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Part_sectores_PIBn!$F$4:$F$12</c:f>
              <c:strCache>
                <c:ptCount val="9"/>
                <c:pt idx="0">
                  <c:v>Comercio</c:v>
                </c:pt>
                <c:pt idx="1">
                  <c:v>Manufactura</c:v>
                </c:pt>
                <c:pt idx="2">
                  <c:v>Viv. CAI</c:v>
                </c:pt>
                <c:pt idx="3">
                  <c:v>Serv. Inmobiliarios</c:v>
                </c:pt>
                <c:pt idx="4">
                  <c:v>Transporte</c:v>
                </c:pt>
                <c:pt idx="5">
                  <c:v>Viv. SAI</c:v>
                </c:pt>
                <c:pt idx="6">
                  <c:v>Minería</c:v>
                </c:pt>
                <c:pt idx="7">
                  <c:v>Serv. Educativos</c:v>
                </c:pt>
                <c:pt idx="8">
                  <c:v>Agricultura</c:v>
                </c:pt>
              </c:strCache>
            </c:strRef>
          </c:cat>
          <c:val>
            <c:numRef>
              <c:f>Part_sectores_PIBn!$G$4:$G$12</c:f>
              <c:numCache>
                <c:formatCode>#,##0.0</c:formatCode>
                <c:ptCount val="9"/>
                <c:pt idx="0">
                  <c:v>19.902232545115577</c:v>
                </c:pt>
                <c:pt idx="1">
                  <c:v>18.403083157746469</c:v>
                </c:pt>
                <c:pt idx="2">
                  <c:v>13.553131533292351</c:v>
                </c:pt>
                <c:pt idx="3">
                  <c:v>11.069429023674846</c:v>
                </c:pt>
                <c:pt idx="4">
                  <c:v>5.8449417187875339</c:v>
                </c:pt>
                <c:pt idx="5">
                  <c:v>5.8182505779816296</c:v>
                </c:pt>
                <c:pt idx="6">
                  <c:v>4.1933079375804398</c:v>
                </c:pt>
                <c:pt idx="7">
                  <c:v>4.1548512347862507</c:v>
                </c:pt>
                <c:pt idx="8">
                  <c:v>4.0542313307508939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1B36-4ECF-91F3-DB75DC5502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"/>
        <c:axId val="257593728"/>
        <c:axId val="257595264"/>
      </c:barChart>
      <c:catAx>
        <c:axId val="257593728"/>
        <c:scaling>
          <c:orientation val="maxMin"/>
        </c:scaling>
        <c:delete val="1"/>
        <c:axPos val="l"/>
        <c:numFmt formatCode="General" sourceLinked="0"/>
        <c:majorTickMark val="none"/>
        <c:minorTickMark val="none"/>
        <c:tickLblPos val="none"/>
        <c:crossAx val="257595264"/>
        <c:crosses val="autoZero"/>
        <c:auto val="1"/>
        <c:lblAlgn val="ctr"/>
        <c:lblOffset val="100"/>
        <c:noMultiLvlLbl val="0"/>
      </c:catAx>
      <c:valAx>
        <c:axId val="257595264"/>
        <c:scaling>
          <c:orientation val="minMax"/>
        </c:scaling>
        <c:delete val="1"/>
        <c:axPos val="t"/>
        <c:numFmt formatCode="#,##0.0" sourceLinked="1"/>
        <c:majorTickMark val="none"/>
        <c:minorTickMark val="none"/>
        <c:tickLblPos val="none"/>
        <c:crossAx val="257593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19050" cap="flat" cmpd="sng" algn="ctr">
      <a:solidFill>
        <a:srgbClr val="C55A11"/>
      </a:solidFill>
      <a:prstDash val="solid"/>
    </a:ln>
    <a:effectLst>
      <a:outerShdw blurRad="50800" dist="38100" dir="8100000" algn="tr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s-MX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8.png"/><Relationship Id="rId2" Type="http://schemas.openxmlformats.org/officeDocument/2006/relationships/image" Target="../media/image7.svg"/><Relationship Id="rId1" Type="http://schemas.openxmlformats.org/officeDocument/2006/relationships/image" Target="../media/image6.png"/><Relationship Id="rId4" Type="http://schemas.openxmlformats.org/officeDocument/2006/relationships/image" Target="../media/image9.sv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0.88413</cdr:x>
      <cdr:y>0.725</cdr:y>
    </cdr:from>
    <cdr:to>
      <cdr:x>0.94246</cdr:x>
      <cdr:y>0.8178</cdr:y>
    </cdr:to>
    <cdr:sp macro="" textlink="">
      <cdr:nvSpPr>
        <cdr:cNvPr id="5" name="Cuadro de texto 1"/>
        <cdr:cNvSpPr txBox="1"/>
      </cdr:nvSpPr>
      <cdr:spPr>
        <a:xfrm xmlns:a="http://schemas.openxmlformats.org/drawingml/2006/main">
          <a:off x="5497444" y="2149944"/>
          <a:ext cx="362668" cy="2752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  P            P</a:t>
          </a:r>
          <a:endParaRPr lang="es-MX" sz="600" b="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0.02297</cdr:x>
      <cdr:y>0.87231</cdr:y>
    </cdr:from>
    <cdr:to>
      <cdr:x>0.99673</cdr:x>
      <cdr:y>1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95582" y="2989489"/>
          <a:ext cx="4051334" cy="4376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0.80154</cdr:x>
      <cdr:y>0.36412</cdr:y>
    </cdr:from>
    <cdr:to>
      <cdr:x>0.85143</cdr:x>
      <cdr:y>0.41588</cdr:y>
    </cdr:to>
    <cdr:pic>
      <cdr:nvPicPr>
        <cdr:cNvPr id="16" name="Gráfico 23" descr="Casa">
          <a:extLst xmlns:a="http://schemas.openxmlformats.org/drawingml/2006/main">
            <a:ext uri="{FF2B5EF4-FFF2-40B4-BE49-F238E27FC236}">
              <a16:creationId xmlns:a16="http://schemas.microsoft.com/office/drawing/2014/main" id="{CEDC20BF-DE76-4842-8E5F-CFB30A7CEC2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  <a:ext uri="{96DAC541-7B7A-43D3-8B79-37D633B846F1}">
              <asvg:svgBlip xmlns:asvg="http://schemas.microsoft.com/office/drawing/2016/SVG/main" r:embed="rId2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2550479" y="974814"/>
          <a:ext cx="158750" cy="13857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0.06013</cdr:x>
      <cdr:y>0.19255</cdr:y>
    </cdr:from>
    <cdr:to>
      <cdr:x>0.3677</cdr:x>
      <cdr:y>0.25206</cdr:y>
    </cdr:to>
    <cdr:sp macro="" textlink="">
      <cdr:nvSpPr>
        <cdr:cNvPr id="19" name="Redondear rectángulo de esquina diagonal 25">
          <a:extLst xmlns:a="http://schemas.openxmlformats.org/drawingml/2006/main">
            <a:ext uri="{FF2B5EF4-FFF2-40B4-BE49-F238E27FC236}">
              <a16:creationId xmlns:a16="http://schemas.microsoft.com/office/drawing/2014/main" id="{DABECCA2-55DA-44CA-91DE-C98586836071}"/>
            </a:ext>
          </a:extLst>
        </cdr:cNvPr>
        <cdr:cNvSpPr/>
      </cdr:nvSpPr>
      <cdr:spPr>
        <a:xfrm xmlns:a="http://schemas.openxmlformats.org/drawingml/2006/main">
          <a:off x="250160" y="659898"/>
          <a:ext cx="1279651" cy="203946"/>
        </a:xfrm>
        <a:prstGeom xmlns:a="http://schemas.openxmlformats.org/drawingml/2006/main" prst="rect">
          <a:avLst/>
        </a:prstGeom>
        <a:solidFill xmlns:a="http://schemas.openxmlformats.org/drawingml/2006/main">
          <a:srgbClr val="4472C4"/>
        </a:solidFill>
        <a:ln xmlns:a="http://schemas.openxmlformats.org/drawingml/2006/main" w="19050">
          <a:noFill/>
        </a:ln>
        <a:effectLst xmlns:a="http://schemas.openxmlformats.org/drawingml/2006/main">
          <a:outerShdw blurRad="50800" dist="38100" dir="2700000" algn="tl" rotWithShape="0">
            <a:prstClr val="black">
              <a:alpha val="40000"/>
            </a:prstClr>
          </a:outerShdw>
        </a:effectLst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7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Comercio</a:t>
          </a:r>
        </a:p>
      </cdr:txBody>
    </cdr:sp>
  </cdr:relSizeAnchor>
  <cdr:relSizeAnchor xmlns:cdr="http://schemas.openxmlformats.org/drawingml/2006/chartDrawing">
    <cdr:from>
      <cdr:x>0.35577</cdr:x>
      <cdr:y>0.20927</cdr:y>
    </cdr:from>
    <cdr:to>
      <cdr:x>0.43778</cdr:x>
      <cdr:y>0.267</cdr:y>
    </cdr:to>
    <cdr:sp macro="" textlink="">
      <cdr:nvSpPr>
        <cdr:cNvPr id="20" name="Diagrama de flujo: datos 19">
          <a:extLst xmlns:a="http://schemas.openxmlformats.org/drawingml/2006/main">
            <a:ext uri="{FF2B5EF4-FFF2-40B4-BE49-F238E27FC236}">
              <a16:creationId xmlns:a16="http://schemas.microsoft.com/office/drawing/2014/main" id="{976728CB-631C-40F6-A7B7-678D70828C81}"/>
            </a:ext>
          </a:extLst>
        </cdr:cNvPr>
        <cdr:cNvSpPr/>
      </cdr:nvSpPr>
      <cdr:spPr>
        <a:xfrm xmlns:a="http://schemas.openxmlformats.org/drawingml/2006/main" rot="12129257" flipV="1">
          <a:off x="1480188" y="717188"/>
          <a:ext cx="341204" cy="197846"/>
        </a:xfrm>
        <a:prstGeom xmlns:a="http://schemas.openxmlformats.org/drawingml/2006/main" prst="flowChartInputOutput">
          <a:avLst/>
        </a:prstGeom>
        <a:solidFill xmlns:a="http://schemas.openxmlformats.org/drawingml/2006/main">
          <a:srgbClr val="4472C4">
            <a:alpha val="60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s-MX" sz="1100"/>
        </a:p>
      </cdr:txBody>
    </cdr:sp>
  </cdr:relSizeAnchor>
  <cdr:relSizeAnchor xmlns:cdr="http://schemas.openxmlformats.org/drawingml/2006/chartDrawing">
    <cdr:from>
      <cdr:x>0.35182</cdr:x>
      <cdr:y>0.28289</cdr:y>
    </cdr:from>
    <cdr:to>
      <cdr:x>0.43383</cdr:x>
      <cdr:y>0.34062</cdr:y>
    </cdr:to>
    <cdr:sp macro="" textlink="">
      <cdr:nvSpPr>
        <cdr:cNvPr id="22" name="Diagrama de flujo: datos 21">
          <a:extLst xmlns:a="http://schemas.openxmlformats.org/drawingml/2006/main">
            <a:ext uri="{FF2B5EF4-FFF2-40B4-BE49-F238E27FC236}">
              <a16:creationId xmlns:a16="http://schemas.microsoft.com/office/drawing/2014/main" id="{8FE1A2D6-5E2B-420F-ABF6-569ED07B138A}"/>
            </a:ext>
          </a:extLst>
        </cdr:cNvPr>
        <cdr:cNvSpPr/>
      </cdr:nvSpPr>
      <cdr:spPr>
        <a:xfrm xmlns:a="http://schemas.openxmlformats.org/drawingml/2006/main" rot="12082990" flipV="1">
          <a:off x="1235380" y="958272"/>
          <a:ext cx="287967" cy="195557"/>
        </a:xfrm>
        <a:prstGeom xmlns:a="http://schemas.openxmlformats.org/drawingml/2006/main" prst="flowChartInputOutput">
          <a:avLst/>
        </a:prstGeom>
        <a:solidFill xmlns:a="http://schemas.openxmlformats.org/drawingml/2006/main">
          <a:srgbClr val="92D050">
            <a:alpha val="60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s-MX" sz="1100"/>
        </a:p>
      </cdr:txBody>
    </cdr:sp>
  </cdr:relSizeAnchor>
  <cdr:relSizeAnchor xmlns:cdr="http://schemas.openxmlformats.org/drawingml/2006/chartDrawing">
    <cdr:from>
      <cdr:x>0.35182</cdr:x>
      <cdr:y>0.35241</cdr:y>
    </cdr:from>
    <cdr:to>
      <cdr:x>0.43384</cdr:x>
      <cdr:y>0.41015</cdr:y>
    </cdr:to>
    <cdr:sp macro="" textlink="">
      <cdr:nvSpPr>
        <cdr:cNvPr id="23" name="Diagrama de flujo: datos 22">
          <a:extLst xmlns:a="http://schemas.openxmlformats.org/drawingml/2006/main">
            <a:ext uri="{FF2B5EF4-FFF2-40B4-BE49-F238E27FC236}">
              <a16:creationId xmlns:a16="http://schemas.microsoft.com/office/drawing/2014/main" id="{D5843514-2DB3-4853-837D-4F2025E9972C}"/>
            </a:ext>
          </a:extLst>
        </cdr:cNvPr>
        <cdr:cNvSpPr/>
      </cdr:nvSpPr>
      <cdr:spPr>
        <a:xfrm xmlns:a="http://schemas.openxmlformats.org/drawingml/2006/main" rot="12082990" flipV="1">
          <a:off x="1235371" y="1193783"/>
          <a:ext cx="288001" cy="195557"/>
        </a:xfrm>
        <a:prstGeom xmlns:a="http://schemas.openxmlformats.org/drawingml/2006/main" prst="flowChartInputOutput">
          <a:avLst/>
        </a:prstGeom>
        <a:solidFill xmlns:a="http://schemas.openxmlformats.org/drawingml/2006/main">
          <a:srgbClr val="C00000">
            <a:alpha val="60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s-MX" sz="1100"/>
        </a:p>
      </cdr:txBody>
    </cdr:sp>
  </cdr:relSizeAnchor>
  <cdr:relSizeAnchor xmlns:cdr="http://schemas.openxmlformats.org/drawingml/2006/chartDrawing">
    <cdr:from>
      <cdr:x>0.35182</cdr:x>
      <cdr:y>0.42399</cdr:y>
    </cdr:from>
    <cdr:to>
      <cdr:x>0.43384</cdr:x>
      <cdr:y>0.48172</cdr:y>
    </cdr:to>
    <cdr:sp macro="" textlink="">
      <cdr:nvSpPr>
        <cdr:cNvPr id="24" name="Diagrama de flujo: datos 23">
          <a:extLst xmlns:a="http://schemas.openxmlformats.org/drawingml/2006/main">
            <a:ext uri="{FF2B5EF4-FFF2-40B4-BE49-F238E27FC236}">
              <a16:creationId xmlns:a16="http://schemas.microsoft.com/office/drawing/2014/main" id="{2AE78060-12B9-4548-9524-D8155B35A40C}"/>
            </a:ext>
          </a:extLst>
        </cdr:cNvPr>
        <cdr:cNvSpPr/>
      </cdr:nvSpPr>
      <cdr:spPr>
        <a:xfrm xmlns:a="http://schemas.openxmlformats.org/drawingml/2006/main" rot="12082990" flipV="1">
          <a:off x="1235371" y="1436239"/>
          <a:ext cx="288001" cy="195557"/>
        </a:xfrm>
        <a:prstGeom xmlns:a="http://schemas.openxmlformats.org/drawingml/2006/main" prst="flowChartInputOutput">
          <a:avLst/>
        </a:prstGeom>
        <a:solidFill xmlns:a="http://schemas.openxmlformats.org/drawingml/2006/main">
          <a:srgbClr val="9966FF">
            <a:alpha val="60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s-MX" sz="1100"/>
        </a:p>
      </cdr:txBody>
    </cdr:sp>
  </cdr:relSizeAnchor>
  <cdr:relSizeAnchor xmlns:cdr="http://schemas.openxmlformats.org/drawingml/2006/chartDrawing">
    <cdr:from>
      <cdr:x>0.35182</cdr:x>
      <cdr:y>0.49352</cdr:y>
    </cdr:from>
    <cdr:to>
      <cdr:x>0.43384</cdr:x>
      <cdr:y>0.55125</cdr:y>
    </cdr:to>
    <cdr:sp macro="" textlink="">
      <cdr:nvSpPr>
        <cdr:cNvPr id="25" name="Diagrama de flujo: datos 24">
          <a:extLst xmlns:a="http://schemas.openxmlformats.org/drawingml/2006/main">
            <a:ext uri="{FF2B5EF4-FFF2-40B4-BE49-F238E27FC236}">
              <a16:creationId xmlns:a16="http://schemas.microsoft.com/office/drawing/2014/main" id="{1239B49B-5A55-4448-B702-90645F85DEE1}"/>
            </a:ext>
          </a:extLst>
        </cdr:cNvPr>
        <cdr:cNvSpPr/>
      </cdr:nvSpPr>
      <cdr:spPr>
        <a:xfrm xmlns:a="http://schemas.openxmlformats.org/drawingml/2006/main" rot="12082990" flipV="1">
          <a:off x="1235361" y="1671784"/>
          <a:ext cx="288002" cy="195557"/>
        </a:xfrm>
        <a:prstGeom xmlns:a="http://schemas.openxmlformats.org/drawingml/2006/main" prst="flowChartInputOutput">
          <a:avLst/>
        </a:prstGeom>
        <a:solidFill xmlns:a="http://schemas.openxmlformats.org/drawingml/2006/main">
          <a:srgbClr val="FF9933">
            <a:alpha val="60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s-MX" sz="1100"/>
        </a:p>
      </cdr:txBody>
    </cdr:sp>
  </cdr:relSizeAnchor>
  <cdr:relSizeAnchor xmlns:cdr="http://schemas.openxmlformats.org/drawingml/2006/chartDrawing">
    <cdr:from>
      <cdr:x>0.35182</cdr:x>
      <cdr:y>0.5651</cdr:y>
    </cdr:from>
    <cdr:to>
      <cdr:x>0.43384</cdr:x>
      <cdr:y>0.62283</cdr:y>
    </cdr:to>
    <cdr:sp macro="" textlink="">
      <cdr:nvSpPr>
        <cdr:cNvPr id="35" name="Diagrama de flujo: datos 34">
          <a:extLst xmlns:a="http://schemas.openxmlformats.org/drawingml/2006/main">
            <a:ext uri="{FF2B5EF4-FFF2-40B4-BE49-F238E27FC236}">
              <a16:creationId xmlns:a16="http://schemas.microsoft.com/office/drawing/2014/main" id="{215B21BD-D6EF-4076-BECD-CC402AE2ED45}"/>
            </a:ext>
          </a:extLst>
        </cdr:cNvPr>
        <cdr:cNvSpPr/>
      </cdr:nvSpPr>
      <cdr:spPr>
        <a:xfrm xmlns:a="http://schemas.openxmlformats.org/drawingml/2006/main" rot="12082990" flipV="1">
          <a:off x="1235350" y="1914239"/>
          <a:ext cx="288001" cy="195557"/>
        </a:xfrm>
        <a:prstGeom xmlns:a="http://schemas.openxmlformats.org/drawingml/2006/main" prst="flowChartInputOutput">
          <a:avLst/>
        </a:prstGeom>
        <a:solidFill xmlns:a="http://schemas.openxmlformats.org/drawingml/2006/main">
          <a:schemeClr val="accent5">
            <a:lumMod val="60000"/>
            <a:lumOff val="40000"/>
            <a:alpha val="6000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s-MX" sz="1100"/>
        </a:p>
      </cdr:txBody>
    </cdr:sp>
  </cdr:relSizeAnchor>
  <cdr:relSizeAnchor xmlns:cdr="http://schemas.openxmlformats.org/drawingml/2006/chartDrawing">
    <cdr:from>
      <cdr:x>0.34971</cdr:x>
      <cdr:y>0.63742</cdr:y>
    </cdr:from>
    <cdr:to>
      <cdr:x>0.43173</cdr:x>
      <cdr:y>0.69438</cdr:y>
    </cdr:to>
    <cdr:sp macro="" textlink="">
      <cdr:nvSpPr>
        <cdr:cNvPr id="36" name="Diagrama de flujo: datos 35">
          <a:extLst xmlns:a="http://schemas.openxmlformats.org/drawingml/2006/main">
            <a:ext uri="{FF2B5EF4-FFF2-40B4-BE49-F238E27FC236}">
              <a16:creationId xmlns:a16="http://schemas.microsoft.com/office/drawing/2014/main" id="{3C2F9709-6889-47CB-980A-E1F07B1A831C}"/>
            </a:ext>
          </a:extLst>
        </cdr:cNvPr>
        <cdr:cNvSpPr/>
      </cdr:nvSpPr>
      <cdr:spPr>
        <a:xfrm xmlns:a="http://schemas.openxmlformats.org/drawingml/2006/main" rot="11961623" flipV="1">
          <a:off x="1227957" y="2159236"/>
          <a:ext cx="288002" cy="192915"/>
        </a:xfrm>
        <a:prstGeom xmlns:a="http://schemas.openxmlformats.org/drawingml/2006/main" prst="flowChartInputOutput">
          <a:avLst/>
        </a:prstGeom>
        <a:solidFill xmlns:a="http://schemas.openxmlformats.org/drawingml/2006/main">
          <a:srgbClr val="CC9900">
            <a:alpha val="60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s-MX" sz="1100"/>
        </a:p>
      </cdr:txBody>
    </cdr:sp>
  </cdr:relSizeAnchor>
  <cdr:relSizeAnchor xmlns:cdr="http://schemas.openxmlformats.org/drawingml/2006/chartDrawing">
    <cdr:from>
      <cdr:x>0.3538</cdr:x>
      <cdr:y>0.70825</cdr:y>
    </cdr:from>
    <cdr:to>
      <cdr:x>0.43582</cdr:x>
      <cdr:y>0.7652</cdr:y>
    </cdr:to>
    <cdr:sp macro="" textlink="">
      <cdr:nvSpPr>
        <cdr:cNvPr id="37" name="Diagrama de flujo: datos 36">
          <a:extLst xmlns:a="http://schemas.openxmlformats.org/drawingml/2006/main">
            <a:ext uri="{FF2B5EF4-FFF2-40B4-BE49-F238E27FC236}">
              <a16:creationId xmlns:a16="http://schemas.microsoft.com/office/drawing/2014/main" id="{1B30D892-3601-40BA-8BBC-ACA9C2EA929D}"/>
            </a:ext>
          </a:extLst>
        </cdr:cNvPr>
        <cdr:cNvSpPr/>
      </cdr:nvSpPr>
      <cdr:spPr>
        <a:xfrm xmlns:a="http://schemas.openxmlformats.org/drawingml/2006/main" rot="11961623" flipV="1">
          <a:off x="1242305" y="2399152"/>
          <a:ext cx="288002" cy="192914"/>
        </a:xfrm>
        <a:prstGeom xmlns:a="http://schemas.openxmlformats.org/drawingml/2006/main" prst="flowChartInputOutput">
          <a:avLst/>
        </a:prstGeom>
        <a:solidFill xmlns:a="http://schemas.openxmlformats.org/drawingml/2006/main">
          <a:schemeClr val="accent4">
            <a:lumMod val="60000"/>
            <a:lumOff val="40000"/>
            <a:alpha val="6000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s-MX" sz="1100"/>
        </a:p>
      </cdr:txBody>
    </cdr:sp>
  </cdr:relSizeAnchor>
  <cdr:relSizeAnchor xmlns:cdr="http://schemas.openxmlformats.org/drawingml/2006/chartDrawing">
    <cdr:from>
      <cdr:x>0.35182</cdr:x>
      <cdr:y>0.77982</cdr:y>
    </cdr:from>
    <cdr:to>
      <cdr:x>0.43384</cdr:x>
      <cdr:y>0.83677</cdr:y>
    </cdr:to>
    <cdr:sp macro="" textlink="">
      <cdr:nvSpPr>
        <cdr:cNvPr id="38" name="Diagrama de flujo: datos 37">
          <a:extLst xmlns:a="http://schemas.openxmlformats.org/drawingml/2006/main">
            <a:ext uri="{FF2B5EF4-FFF2-40B4-BE49-F238E27FC236}">
              <a16:creationId xmlns:a16="http://schemas.microsoft.com/office/drawing/2014/main" id="{9744CB5F-DD69-4F4A-AB63-9C262820A277}"/>
            </a:ext>
          </a:extLst>
        </cdr:cNvPr>
        <cdr:cNvSpPr/>
      </cdr:nvSpPr>
      <cdr:spPr>
        <a:xfrm xmlns:a="http://schemas.openxmlformats.org/drawingml/2006/main" rot="11961623" flipV="1">
          <a:off x="1235376" y="2641605"/>
          <a:ext cx="288002" cy="192915"/>
        </a:xfrm>
        <a:prstGeom xmlns:a="http://schemas.openxmlformats.org/drawingml/2006/main" prst="flowChartInputOutput">
          <a:avLst/>
        </a:prstGeom>
        <a:solidFill xmlns:a="http://schemas.openxmlformats.org/drawingml/2006/main">
          <a:srgbClr val="FF9966">
            <a:alpha val="60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s-MX" sz="1100"/>
        </a:p>
      </cdr:txBody>
    </cdr:sp>
  </cdr:relSizeAnchor>
  <cdr:relSizeAnchor xmlns:cdr="http://schemas.openxmlformats.org/drawingml/2006/chartDrawing">
    <cdr:from>
      <cdr:x>0.05985</cdr:x>
      <cdr:y>0.26858</cdr:y>
    </cdr:from>
    <cdr:to>
      <cdr:x>0.36742</cdr:x>
      <cdr:y>0.32809</cdr:y>
    </cdr:to>
    <cdr:sp macro="" textlink="">
      <cdr:nvSpPr>
        <cdr:cNvPr id="39" name="Redondear rectángulo de esquina diagonal 26">
          <a:extLst xmlns:a="http://schemas.openxmlformats.org/drawingml/2006/main">
            <a:ext uri="{FF2B5EF4-FFF2-40B4-BE49-F238E27FC236}">
              <a16:creationId xmlns:a16="http://schemas.microsoft.com/office/drawing/2014/main" id="{1E5ED18D-32EE-4CA3-9119-46996A8F65A6}"/>
            </a:ext>
          </a:extLst>
        </cdr:cNvPr>
        <cdr:cNvSpPr/>
      </cdr:nvSpPr>
      <cdr:spPr>
        <a:xfrm xmlns:a="http://schemas.openxmlformats.org/drawingml/2006/main">
          <a:off x="210145" y="909797"/>
          <a:ext cx="1079988" cy="201586"/>
        </a:xfrm>
        <a:prstGeom xmlns:a="http://schemas.openxmlformats.org/drawingml/2006/main" prst="rect">
          <a:avLst/>
        </a:prstGeom>
        <a:solidFill xmlns:a="http://schemas.openxmlformats.org/drawingml/2006/main">
          <a:srgbClr val="92D050"/>
        </a:solidFill>
        <a:ln xmlns:a="http://schemas.openxmlformats.org/drawingml/2006/main" w="19050">
          <a:noFill/>
        </a:ln>
        <a:effectLst xmlns:a="http://schemas.openxmlformats.org/drawingml/2006/main">
          <a:outerShdw blurRad="50800" dist="38100" dir="2700000" algn="tl" rotWithShape="0">
            <a:prstClr val="black">
              <a:alpha val="40000"/>
            </a:prstClr>
          </a:outerShdw>
        </a:effectLst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7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Manufactura</a:t>
          </a:r>
        </a:p>
      </cdr:txBody>
    </cdr:sp>
  </cdr:relSizeAnchor>
  <cdr:relSizeAnchor xmlns:cdr="http://schemas.openxmlformats.org/drawingml/2006/chartDrawing">
    <cdr:from>
      <cdr:x>0.05787</cdr:x>
      <cdr:y>0.34015</cdr:y>
    </cdr:from>
    <cdr:to>
      <cdr:x>0.36544</cdr:x>
      <cdr:y>0.39596</cdr:y>
    </cdr:to>
    <cdr:sp macro="" textlink="">
      <cdr:nvSpPr>
        <cdr:cNvPr id="40" name="Redondear rectángulo de esquina diagonal 27">
          <a:extLst xmlns:a="http://schemas.openxmlformats.org/drawingml/2006/main">
            <a:ext uri="{FF2B5EF4-FFF2-40B4-BE49-F238E27FC236}">
              <a16:creationId xmlns:a16="http://schemas.microsoft.com/office/drawing/2014/main" id="{D8398EA4-024F-4526-B923-A0673FE0F35D}"/>
            </a:ext>
          </a:extLst>
        </cdr:cNvPr>
        <cdr:cNvSpPr/>
      </cdr:nvSpPr>
      <cdr:spPr>
        <a:xfrm xmlns:a="http://schemas.openxmlformats.org/drawingml/2006/main">
          <a:off x="203207" y="1152253"/>
          <a:ext cx="1079989" cy="189053"/>
        </a:xfrm>
        <a:prstGeom xmlns:a="http://schemas.openxmlformats.org/drawingml/2006/main" prst="rect">
          <a:avLst/>
        </a:prstGeom>
        <a:solidFill xmlns:a="http://schemas.openxmlformats.org/drawingml/2006/main">
          <a:srgbClr val="C00000"/>
        </a:solidFill>
        <a:ln xmlns:a="http://schemas.openxmlformats.org/drawingml/2006/main" w="19050">
          <a:noFill/>
        </a:ln>
        <a:effectLst xmlns:a="http://schemas.openxmlformats.org/drawingml/2006/main">
          <a:outerShdw blurRad="50800" dist="38100" dir="2700000" algn="tl" rotWithShape="0">
            <a:prstClr val="black">
              <a:alpha val="40000"/>
            </a:prstClr>
          </a:outerShdw>
        </a:effectLst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7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Sector</a:t>
          </a:r>
          <a:r>
            <a:rPr lang="es-MX" sz="700" baseline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v</a:t>
          </a:r>
          <a:r>
            <a:rPr lang="es-MX" sz="7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ivienda</a:t>
          </a:r>
          <a:r>
            <a:rPr lang="es-MX" sz="700" baseline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+ alquiler imputado</a:t>
          </a:r>
          <a:endParaRPr lang="es-MX" sz="700" dirty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0.05787</cdr:x>
      <cdr:y>0.41172</cdr:y>
    </cdr:from>
    <cdr:to>
      <cdr:x>0.36544</cdr:x>
      <cdr:y>0.47124</cdr:y>
    </cdr:to>
    <cdr:sp macro="" textlink="">
      <cdr:nvSpPr>
        <cdr:cNvPr id="41" name="Redondear rectángulo de esquina diagonal 28">
          <a:extLst xmlns:a="http://schemas.openxmlformats.org/drawingml/2006/main">
            <a:ext uri="{FF2B5EF4-FFF2-40B4-BE49-F238E27FC236}">
              <a16:creationId xmlns:a16="http://schemas.microsoft.com/office/drawing/2014/main" id="{53D78AD7-423D-4EF1-8125-C1EB7DCA7C12}"/>
            </a:ext>
          </a:extLst>
        </cdr:cNvPr>
        <cdr:cNvSpPr/>
      </cdr:nvSpPr>
      <cdr:spPr>
        <a:xfrm xmlns:a="http://schemas.openxmlformats.org/drawingml/2006/main">
          <a:off x="203207" y="1394674"/>
          <a:ext cx="1079989" cy="201621"/>
        </a:xfrm>
        <a:prstGeom xmlns:a="http://schemas.openxmlformats.org/drawingml/2006/main" prst="rect">
          <a:avLst/>
        </a:prstGeom>
        <a:solidFill xmlns:a="http://schemas.openxmlformats.org/drawingml/2006/main">
          <a:srgbClr val="9966FF"/>
        </a:solidFill>
        <a:ln xmlns:a="http://schemas.openxmlformats.org/drawingml/2006/main" w="19050">
          <a:noFill/>
        </a:ln>
        <a:effectLst xmlns:a="http://schemas.openxmlformats.org/drawingml/2006/main">
          <a:outerShdw blurRad="50800" dist="38100" dir="2700000" algn="tl" rotWithShape="0">
            <a:prstClr val="black">
              <a:alpha val="40000"/>
            </a:prstClr>
          </a:outerShdw>
        </a:effectLst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700" b="1">
              <a:solidFill>
                <a:schemeClr val="bg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Servicios inmobiliarios</a:t>
          </a:r>
        </a:p>
      </cdr:txBody>
    </cdr:sp>
  </cdr:relSizeAnchor>
  <cdr:relSizeAnchor xmlns:cdr="http://schemas.openxmlformats.org/drawingml/2006/chartDrawing">
    <cdr:from>
      <cdr:x>0.05984</cdr:x>
      <cdr:y>0.48125</cdr:y>
    </cdr:from>
    <cdr:to>
      <cdr:x>0.36741</cdr:x>
      <cdr:y>0.54077</cdr:y>
    </cdr:to>
    <cdr:sp macro="" textlink="">
      <cdr:nvSpPr>
        <cdr:cNvPr id="42" name="Redondear rectángulo de esquina diagonal 29">
          <a:extLst xmlns:a="http://schemas.openxmlformats.org/drawingml/2006/main">
            <a:ext uri="{FF2B5EF4-FFF2-40B4-BE49-F238E27FC236}">
              <a16:creationId xmlns:a16="http://schemas.microsoft.com/office/drawing/2014/main" id="{D752C18B-8C9F-4B6F-8A2C-75B6FAC67A1B}"/>
            </a:ext>
          </a:extLst>
        </cdr:cNvPr>
        <cdr:cNvSpPr/>
      </cdr:nvSpPr>
      <cdr:spPr>
        <a:xfrm xmlns:a="http://schemas.openxmlformats.org/drawingml/2006/main">
          <a:off x="210125" y="1630220"/>
          <a:ext cx="1079988" cy="201587"/>
        </a:xfrm>
        <a:prstGeom xmlns:a="http://schemas.openxmlformats.org/drawingml/2006/main" prst="rect">
          <a:avLst/>
        </a:prstGeom>
        <a:solidFill xmlns:a="http://schemas.openxmlformats.org/drawingml/2006/main">
          <a:srgbClr val="FF6600"/>
        </a:solidFill>
        <a:ln xmlns:a="http://schemas.openxmlformats.org/drawingml/2006/main" w="19050">
          <a:noFill/>
        </a:ln>
        <a:effectLst xmlns:a="http://schemas.openxmlformats.org/drawingml/2006/main">
          <a:outerShdw blurRad="50800" dist="38100" dir="5400000" algn="t" rotWithShape="0">
            <a:prstClr val="black">
              <a:alpha val="40000"/>
            </a:prstClr>
          </a:outerShdw>
        </a:effectLst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7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Sector vivienda </a:t>
          </a:r>
        </a:p>
      </cdr:txBody>
    </cdr:sp>
  </cdr:relSizeAnchor>
  <cdr:relSizeAnchor xmlns:cdr="http://schemas.openxmlformats.org/drawingml/2006/chartDrawing">
    <cdr:from>
      <cdr:x>0.05984</cdr:x>
      <cdr:y>0.55283</cdr:y>
    </cdr:from>
    <cdr:to>
      <cdr:x>0.36742</cdr:x>
      <cdr:y>0.61234</cdr:y>
    </cdr:to>
    <cdr:sp macro="" textlink="">
      <cdr:nvSpPr>
        <cdr:cNvPr id="43" name="Redondear rectángulo de esquina diagonal 30">
          <a:extLst xmlns:a="http://schemas.openxmlformats.org/drawingml/2006/main">
            <a:ext uri="{FF2B5EF4-FFF2-40B4-BE49-F238E27FC236}">
              <a16:creationId xmlns:a16="http://schemas.microsoft.com/office/drawing/2014/main" id="{C868B74A-56D8-4518-B5B0-B9FFBE250563}"/>
            </a:ext>
          </a:extLst>
        </cdr:cNvPr>
        <cdr:cNvSpPr/>
      </cdr:nvSpPr>
      <cdr:spPr>
        <a:xfrm xmlns:a="http://schemas.openxmlformats.org/drawingml/2006/main">
          <a:off x="210115" y="1872676"/>
          <a:ext cx="1080023" cy="201586"/>
        </a:xfrm>
        <a:prstGeom xmlns:a="http://schemas.openxmlformats.org/drawingml/2006/main" prst="rect">
          <a:avLst/>
        </a:prstGeom>
        <a:solidFill xmlns:a="http://schemas.openxmlformats.org/drawingml/2006/main">
          <a:srgbClr val="6666FF"/>
        </a:solidFill>
        <a:ln xmlns:a="http://schemas.openxmlformats.org/drawingml/2006/main" w="19050">
          <a:noFill/>
        </a:ln>
        <a:effectLst xmlns:a="http://schemas.openxmlformats.org/drawingml/2006/main">
          <a:outerShdw blurRad="50800" dist="38100" dir="2700000" algn="tl" rotWithShape="0">
            <a:prstClr val="black">
              <a:alpha val="40000"/>
            </a:prstClr>
          </a:outerShdw>
        </a:effectLst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7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Transporte</a:t>
          </a:r>
        </a:p>
      </cdr:txBody>
    </cdr:sp>
  </cdr:relSizeAnchor>
  <cdr:relSizeAnchor xmlns:cdr="http://schemas.openxmlformats.org/drawingml/2006/chartDrawing">
    <cdr:from>
      <cdr:x>0.05985</cdr:x>
      <cdr:y>0.62644</cdr:y>
    </cdr:from>
    <cdr:to>
      <cdr:x>0.36742</cdr:x>
      <cdr:y>0.68596</cdr:y>
    </cdr:to>
    <cdr:sp macro="" textlink="">
      <cdr:nvSpPr>
        <cdr:cNvPr id="44" name="Redondear rectángulo de esquina diagonal 32">
          <a:extLst xmlns:a="http://schemas.openxmlformats.org/drawingml/2006/main">
            <a:ext uri="{FF2B5EF4-FFF2-40B4-BE49-F238E27FC236}">
              <a16:creationId xmlns:a16="http://schemas.microsoft.com/office/drawing/2014/main" id="{3A628292-6B06-4C8E-AC5C-4959F118BCD4}"/>
            </a:ext>
          </a:extLst>
        </cdr:cNvPr>
        <cdr:cNvSpPr/>
      </cdr:nvSpPr>
      <cdr:spPr>
        <a:xfrm xmlns:a="http://schemas.openxmlformats.org/drawingml/2006/main">
          <a:off x="210141" y="2122041"/>
          <a:ext cx="1079988" cy="201621"/>
        </a:xfrm>
        <a:prstGeom xmlns:a="http://schemas.openxmlformats.org/drawingml/2006/main" prst="rect">
          <a:avLst/>
        </a:prstGeom>
        <a:solidFill xmlns:a="http://schemas.openxmlformats.org/drawingml/2006/main">
          <a:srgbClr val="CC9900"/>
        </a:solidFill>
        <a:ln xmlns:a="http://schemas.openxmlformats.org/drawingml/2006/main" w="19050">
          <a:noFill/>
        </a:ln>
        <a:effectLst xmlns:a="http://schemas.openxmlformats.org/drawingml/2006/main">
          <a:outerShdw blurRad="50800" dist="38100" dir="2700000" algn="tl" rotWithShape="0">
            <a:prstClr val="black">
              <a:alpha val="40000"/>
            </a:prstClr>
          </a:outerShdw>
        </a:effectLst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7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Minería</a:t>
          </a:r>
        </a:p>
      </cdr:txBody>
    </cdr:sp>
  </cdr:relSizeAnchor>
  <cdr:relSizeAnchor xmlns:cdr="http://schemas.openxmlformats.org/drawingml/2006/chartDrawing">
    <cdr:from>
      <cdr:x>0.06182</cdr:x>
      <cdr:y>0.69597</cdr:y>
    </cdr:from>
    <cdr:to>
      <cdr:x>0.36939</cdr:x>
      <cdr:y>0.75549</cdr:y>
    </cdr:to>
    <cdr:sp macro="" textlink="">
      <cdr:nvSpPr>
        <cdr:cNvPr id="45" name="Redondear rectángulo de esquina diagonal 31">
          <a:extLst xmlns:a="http://schemas.openxmlformats.org/drawingml/2006/main">
            <a:ext uri="{FF2B5EF4-FFF2-40B4-BE49-F238E27FC236}">
              <a16:creationId xmlns:a16="http://schemas.microsoft.com/office/drawing/2014/main" id="{25231206-CBB9-4780-8227-659104F5D2FE}"/>
            </a:ext>
          </a:extLst>
        </cdr:cNvPr>
        <cdr:cNvSpPr/>
      </cdr:nvSpPr>
      <cdr:spPr>
        <a:xfrm xmlns:a="http://schemas.openxmlformats.org/drawingml/2006/main">
          <a:off x="217068" y="2357570"/>
          <a:ext cx="1079988" cy="201620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4">
            <a:lumMod val="75000"/>
          </a:schemeClr>
        </a:solidFill>
        <a:ln xmlns:a="http://schemas.openxmlformats.org/drawingml/2006/main" w="19050">
          <a:noFill/>
        </a:ln>
        <a:effectLst xmlns:a="http://schemas.openxmlformats.org/drawingml/2006/main">
          <a:outerShdw blurRad="50800" dist="38100" dir="2700000" algn="tl" rotWithShape="0">
            <a:prstClr val="black">
              <a:alpha val="40000"/>
            </a:prstClr>
          </a:outerShdw>
        </a:effectLst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7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Servicios</a:t>
          </a:r>
          <a:r>
            <a:rPr lang="es-MX" sz="700" b="1" baseline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educativos</a:t>
          </a:r>
          <a:endParaRPr lang="es-MX" sz="700" b="1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0.06181</cdr:x>
      <cdr:y>0.76755</cdr:y>
    </cdr:from>
    <cdr:to>
      <cdr:x>0.36939</cdr:x>
      <cdr:y>0.82707</cdr:y>
    </cdr:to>
    <cdr:sp macro="" textlink="">
      <cdr:nvSpPr>
        <cdr:cNvPr id="46" name="Redondear rectángulo de esquina diagonal 33">
          <a:extLst xmlns:a="http://schemas.openxmlformats.org/drawingml/2006/main">
            <a:ext uri="{FF2B5EF4-FFF2-40B4-BE49-F238E27FC236}">
              <a16:creationId xmlns:a16="http://schemas.microsoft.com/office/drawing/2014/main" id="{F099CF76-8C2A-4D57-9989-48E16DEE171A}"/>
            </a:ext>
          </a:extLst>
        </cdr:cNvPr>
        <cdr:cNvSpPr/>
      </cdr:nvSpPr>
      <cdr:spPr>
        <a:xfrm xmlns:a="http://schemas.openxmlformats.org/drawingml/2006/main">
          <a:off x="217043" y="2600025"/>
          <a:ext cx="1080023" cy="201620"/>
        </a:xfrm>
        <a:prstGeom xmlns:a="http://schemas.openxmlformats.org/drawingml/2006/main" prst="rect">
          <a:avLst/>
        </a:prstGeom>
        <a:solidFill xmlns:a="http://schemas.openxmlformats.org/drawingml/2006/main">
          <a:srgbClr val="FF9966"/>
        </a:solidFill>
        <a:ln xmlns:a="http://schemas.openxmlformats.org/drawingml/2006/main" w="19050">
          <a:noFill/>
        </a:ln>
        <a:effectLst xmlns:a="http://schemas.openxmlformats.org/drawingml/2006/main">
          <a:outerShdw blurRad="50800" dist="38100" dir="2700000" algn="tl" rotWithShape="0">
            <a:prstClr val="black">
              <a:alpha val="40000"/>
            </a:prstClr>
          </a:outerShdw>
        </a:effectLst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700" b="1">
              <a:solidFill>
                <a:schemeClr val="bg1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Agricultura</a:t>
          </a:r>
        </a:p>
      </cdr:txBody>
    </cdr:sp>
  </cdr:relSizeAnchor>
  <cdr:relSizeAnchor xmlns:cdr="http://schemas.openxmlformats.org/drawingml/2006/chartDrawing">
    <cdr:from>
      <cdr:x>0.63598</cdr:x>
      <cdr:y>0.5116</cdr:y>
    </cdr:from>
    <cdr:to>
      <cdr:x>0.68587</cdr:x>
      <cdr:y>0.56336</cdr:y>
    </cdr:to>
    <cdr:pic>
      <cdr:nvPicPr>
        <cdr:cNvPr id="26" name="Gráfico 23" descr="Casa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>
          <a:extLst>
            <a:ext uri="{28A0092B-C50C-407E-A947-70E740481C1C}">
              <a14:useLocalDpi xmlns:a14="http://schemas.microsoft.com/office/drawing/2010/main" val="0"/>
            </a:ext>
            <a:ext uri="{96DAC541-7B7A-43D3-8B79-37D633B846F1}">
              <asvg:svgBlip xmlns:asvg="http://schemas.microsoft.com/office/drawing/2016/SVG/main" r:embed="rId4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2023687" y="1369648"/>
          <a:ext cx="158749" cy="13857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BD172C2F6EF439752B9C108D21CA4" ma:contentTypeVersion="5" ma:contentTypeDescription="Create a new document." ma:contentTypeScope="" ma:versionID="a95c74bfdd864132fa345a03348d0a9a">
  <xsd:schema xmlns:xsd="http://www.w3.org/2001/XMLSchema" xmlns:xs="http://www.w3.org/2001/XMLSchema" xmlns:p="http://schemas.microsoft.com/office/2006/metadata/properties" xmlns:ns3="26e215e6-8d71-4bef-bb62-3bf924c29240" targetNamespace="http://schemas.microsoft.com/office/2006/metadata/properties" ma:root="true" ma:fieldsID="7cd184de5787d180188d2277359a8ab5" ns3:_="">
    <xsd:import namespace="26e215e6-8d71-4bef-bb62-3bf924c292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15e6-8d71-4bef-bb62-3bf924c29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077F3-8328-4E1C-8737-EA86E8149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C903F9-431F-4961-B330-E042A2744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BB7A5-9363-48A7-8114-B621B250F3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7B1B6-EA61-44E7-BF47-75F01EAD1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15e6-8d71-4bef-bb62-3bf924c29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THGP</dc:creator>
  <cp:keywords/>
  <dc:description/>
  <cp:lastModifiedBy>MORONES RUIZ FABIOLA CRISTINA</cp:lastModifiedBy>
  <cp:revision>2</cp:revision>
  <cp:lastPrinted>2019-10-10T18:03:00Z</cp:lastPrinted>
  <dcterms:created xsi:type="dcterms:W3CDTF">2022-02-03T16:31:00Z</dcterms:created>
  <dcterms:modified xsi:type="dcterms:W3CDTF">2022-02-03T16:31:00Z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0x01010068ABD172C2F6EF439752B9C108D21CA4</vt:lpwstr>
  </property>
</Properties>
</file>