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DA6E0" w14:textId="77777777" w:rsidR="00074F52" w:rsidRPr="00E349EB" w:rsidRDefault="00074F52" w:rsidP="00074F52">
      <w:pPr>
        <w:jc w:val="center"/>
        <w:rPr>
          <w:rFonts w:cs="Arial"/>
          <w:b/>
          <w:bCs/>
          <w:color w:val="000000" w:themeColor="text1"/>
          <w:sz w:val="24"/>
          <w:lang w:val="es-ES_tradnl"/>
        </w:rPr>
      </w:pPr>
      <w:bookmarkStart w:id="0" w:name="_Hlk100050695"/>
      <w:bookmarkEnd w:id="0"/>
      <w:r w:rsidRPr="00E349EB">
        <w:rPr>
          <w:rFonts w:cs="Arial"/>
          <w:b/>
          <w:bCs/>
          <w:color w:val="000000" w:themeColor="text1"/>
          <w:sz w:val="24"/>
          <w:lang w:val="es-ES_tradnl"/>
        </w:rPr>
        <w:t>ESTADÍSTICAS A PROPÓSITO DEL DÍA INTERNACIONAL</w:t>
      </w:r>
    </w:p>
    <w:p w14:paraId="62379A6B" w14:textId="77777777" w:rsidR="00074F52" w:rsidRPr="00E349EB" w:rsidRDefault="00074F52" w:rsidP="00074F52">
      <w:pPr>
        <w:jc w:val="center"/>
        <w:rPr>
          <w:rFonts w:cs="Arial"/>
          <w:b/>
          <w:bCs/>
          <w:color w:val="000000" w:themeColor="text1"/>
          <w:sz w:val="24"/>
          <w:lang w:val="es-ES_tradnl"/>
        </w:rPr>
      </w:pPr>
      <w:bookmarkStart w:id="1" w:name="_Hlk97192257"/>
      <w:r w:rsidRPr="00E349EB">
        <w:rPr>
          <w:rFonts w:cs="Arial"/>
          <w:b/>
          <w:bCs/>
          <w:color w:val="000000" w:themeColor="text1"/>
          <w:sz w:val="24"/>
          <w:lang w:val="es-ES_tradnl"/>
        </w:rPr>
        <w:t xml:space="preserve">DE </w:t>
      </w:r>
      <w:bookmarkEnd w:id="1"/>
      <w:r w:rsidR="009A567A" w:rsidRPr="00E349EB">
        <w:rPr>
          <w:rFonts w:cs="Arial"/>
          <w:b/>
          <w:bCs/>
          <w:color w:val="000000" w:themeColor="text1"/>
          <w:sz w:val="24"/>
          <w:lang w:val="es-ES_tradnl"/>
        </w:rPr>
        <w:t>LA ENFERMERA</w:t>
      </w:r>
    </w:p>
    <w:p w14:paraId="0A2BD9CF" w14:textId="77777777" w:rsidR="00074F52" w:rsidRPr="00E349EB" w:rsidRDefault="00074F52" w:rsidP="00074F52">
      <w:pPr>
        <w:jc w:val="center"/>
        <w:rPr>
          <w:rFonts w:cs="Arial"/>
          <w:color w:val="000000" w:themeColor="text1"/>
          <w:sz w:val="24"/>
          <w:lang w:val="es-ES_tradnl"/>
        </w:rPr>
      </w:pPr>
    </w:p>
    <w:p w14:paraId="4F4F92FF" w14:textId="62406715" w:rsidR="00074F52" w:rsidRPr="00E349EB" w:rsidRDefault="0021614F" w:rsidP="00074F52">
      <w:pPr>
        <w:pStyle w:val="Prrafodelista"/>
        <w:numPr>
          <w:ilvl w:val="0"/>
          <w:numId w:val="1"/>
        </w:numPr>
        <w:spacing w:line="276" w:lineRule="auto"/>
        <w:ind w:left="1134" w:right="879" w:hanging="349"/>
        <w:jc w:val="both"/>
        <w:rPr>
          <w:rFonts w:ascii="Arial" w:hAnsi="Arial" w:cs="Arial"/>
          <w:bCs/>
          <w:lang w:val="es-ES_tradnl"/>
        </w:rPr>
      </w:pPr>
      <w:r w:rsidRPr="00E349EB">
        <w:rPr>
          <w:rFonts w:ascii="Arial" w:hAnsi="Arial" w:cs="Arial"/>
          <w:bCs/>
          <w:lang w:val="es-ES_tradnl"/>
        </w:rPr>
        <w:t>En</w:t>
      </w:r>
      <w:r w:rsidR="00B233CC" w:rsidRPr="00E349EB">
        <w:rPr>
          <w:rFonts w:ascii="Arial" w:hAnsi="Arial" w:cs="Arial"/>
          <w:bCs/>
          <w:lang w:val="es-ES_tradnl"/>
        </w:rPr>
        <w:t xml:space="preserve"> el cuarto trimestre de 2021</w:t>
      </w:r>
      <w:r w:rsidR="00600F8B" w:rsidRPr="00E349EB">
        <w:rPr>
          <w:rFonts w:ascii="Arial" w:hAnsi="Arial" w:cs="Arial"/>
          <w:bCs/>
          <w:lang w:val="es-ES_tradnl"/>
        </w:rPr>
        <w:t>,</w:t>
      </w:r>
      <w:r w:rsidR="002F0456" w:rsidRPr="00E349EB">
        <w:rPr>
          <w:rFonts w:ascii="Arial" w:hAnsi="Arial" w:cs="Arial"/>
          <w:bCs/>
          <w:lang w:val="es-ES_tradnl"/>
        </w:rPr>
        <w:t xml:space="preserve"> </w:t>
      </w:r>
      <w:r w:rsidR="00DF3B16" w:rsidRPr="00E349EB">
        <w:rPr>
          <w:rFonts w:ascii="Arial" w:hAnsi="Arial" w:cs="Arial"/>
          <w:bCs/>
          <w:lang w:val="es-ES_tradnl"/>
        </w:rPr>
        <w:t>6</w:t>
      </w:r>
      <w:r w:rsidR="008A0CB1" w:rsidRPr="00E349EB">
        <w:rPr>
          <w:rFonts w:ascii="Arial" w:hAnsi="Arial" w:cs="Arial"/>
          <w:bCs/>
          <w:lang w:val="es-ES_tradnl"/>
        </w:rPr>
        <w:t>20</w:t>
      </w:r>
      <w:r w:rsidR="009A567A" w:rsidRPr="00E349EB">
        <w:rPr>
          <w:rFonts w:ascii="Arial" w:hAnsi="Arial" w:cs="Arial"/>
          <w:bCs/>
          <w:lang w:val="es-ES_tradnl"/>
        </w:rPr>
        <w:t xml:space="preserve"> mil </w:t>
      </w:r>
      <w:r w:rsidR="00074F52" w:rsidRPr="00E349EB">
        <w:rPr>
          <w:rFonts w:ascii="Arial" w:hAnsi="Arial" w:cs="Arial"/>
          <w:bCs/>
          <w:lang w:val="es-ES_tradnl"/>
        </w:rPr>
        <w:t xml:space="preserve">personas </w:t>
      </w:r>
      <w:r w:rsidR="00E723C5" w:rsidRPr="00E349EB">
        <w:rPr>
          <w:rFonts w:ascii="Arial" w:hAnsi="Arial" w:cs="Arial"/>
          <w:bCs/>
          <w:lang w:val="es-ES_tradnl"/>
        </w:rPr>
        <w:t>reportaron prestar</w:t>
      </w:r>
      <w:r w:rsidR="006B2837" w:rsidRPr="00E349EB">
        <w:rPr>
          <w:rFonts w:ascii="Arial" w:hAnsi="Arial" w:cs="Arial"/>
          <w:bCs/>
          <w:lang w:val="es-ES_tradnl"/>
        </w:rPr>
        <w:t xml:space="preserve"> servicios de enfermería</w:t>
      </w:r>
      <w:r w:rsidR="00600F8B" w:rsidRPr="00E349EB">
        <w:rPr>
          <w:rFonts w:ascii="Arial" w:hAnsi="Arial" w:cs="Arial"/>
          <w:bCs/>
          <w:lang w:val="es-ES_tradnl"/>
        </w:rPr>
        <w:t xml:space="preserve"> en México</w:t>
      </w:r>
      <w:r w:rsidR="00A170DD" w:rsidRPr="00E349EB">
        <w:rPr>
          <w:rFonts w:ascii="Arial" w:hAnsi="Arial" w:cs="Arial"/>
          <w:bCs/>
          <w:lang w:val="es-ES_tradnl"/>
        </w:rPr>
        <w:t>. La</w:t>
      </w:r>
      <w:r w:rsidR="00B13722">
        <w:rPr>
          <w:rFonts w:ascii="Arial" w:hAnsi="Arial" w:cs="Arial"/>
          <w:bCs/>
          <w:lang w:val="es-ES_tradnl"/>
        </w:rPr>
        <w:t>s</w:t>
      </w:r>
      <w:r w:rsidR="00A170DD" w:rsidRPr="00E349EB">
        <w:rPr>
          <w:rFonts w:ascii="Arial" w:hAnsi="Arial" w:cs="Arial"/>
          <w:bCs/>
          <w:lang w:val="es-ES_tradnl"/>
        </w:rPr>
        <w:t xml:space="preserve"> mujeres representaron</w:t>
      </w:r>
      <w:r w:rsidR="00074F52" w:rsidRPr="00E349EB">
        <w:rPr>
          <w:rFonts w:ascii="Arial" w:hAnsi="Arial" w:cs="Arial"/>
          <w:bCs/>
          <w:lang w:val="es-ES_tradnl"/>
        </w:rPr>
        <w:t xml:space="preserve"> </w:t>
      </w:r>
      <w:r w:rsidR="006B2837" w:rsidRPr="00E349EB">
        <w:rPr>
          <w:rFonts w:ascii="Arial" w:hAnsi="Arial" w:cs="Arial"/>
          <w:bCs/>
          <w:lang w:val="es-ES_tradnl"/>
        </w:rPr>
        <w:t>7</w:t>
      </w:r>
      <w:r w:rsidR="008A0CB1" w:rsidRPr="00E349EB">
        <w:rPr>
          <w:rFonts w:ascii="Arial" w:hAnsi="Arial" w:cs="Arial"/>
          <w:bCs/>
          <w:lang w:val="es-ES_tradnl"/>
        </w:rPr>
        <w:t>9</w:t>
      </w:r>
      <w:r w:rsidR="00074F52" w:rsidRPr="00E349EB">
        <w:rPr>
          <w:rFonts w:ascii="Arial" w:hAnsi="Arial" w:cs="Arial"/>
          <w:bCs/>
          <w:lang w:val="es-ES_tradnl"/>
        </w:rPr>
        <w:t>%</w:t>
      </w:r>
      <w:r w:rsidR="00A170DD" w:rsidRPr="00E349EB">
        <w:rPr>
          <w:rFonts w:ascii="Arial" w:hAnsi="Arial" w:cs="Arial"/>
          <w:bCs/>
          <w:lang w:val="es-ES_tradnl"/>
        </w:rPr>
        <w:t xml:space="preserve"> de esta población</w:t>
      </w:r>
      <w:r w:rsidR="00842775" w:rsidRPr="00E349EB">
        <w:rPr>
          <w:rFonts w:ascii="Arial" w:hAnsi="Arial" w:cs="Arial"/>
          <w:bCs/>
          <w:lang w:val="es-ES_tradnl"/>
        </w:rPr>
        <w:t>.</w:t>
      </w:r>
    </w:p>
    <w:p w14:paraId="3AC70E57" w14:textId="5CDD4532" w:rsidR="00074F52" w:rsidRPr="00E349EB" w:rsidRDefault="008A0CB1" w:rsidP="00074F52">
      <w:pPr>
        <w:pStyle w:val="Prrafodelista"/>
        <w:numPr>
          <w:ilvl w:val="0"/>
          <w:numId w:val="1"/>
        </w:numPr>
        <w:spacing w:line="276" w:lineRule="auto"/>
        <w:ind w:left="1134" w:right="879" w:hanging="349"/>
        <w:jc w:val="both"/>
        <w:rPr>
          <w:rFonts w:ascii="Arial" w:hAnsi="Arial" w:cs="Arial"/>
          <w:bCs/>
          <w:lang w:val="es-ES_tradnl"/>
        </w:rPr>
      </w:pPr>
      <w:r w:rsidRPr="00E349EB">
        <w:rPr>
          <w:rFonts w:ascii="Arial" w:hAnsi="Arial" w:cs="Arial"/>
          <w:bCs/>
          <w:lang w:val="es-ES_tradnl"/>
        </w:rPr>
        <w:t xml:space="preserve">De cada 100 </w:t>
      </w:r>
      <w:r w:rsidR="00FD5CA2" w:rsidRPr="00E349EB">
        <w:rPr>
          <w:rFonts w:ascii="Arial" w:hAnsi="Arial" w:cs="Arial"/>
          <w:bCs/>
          <w:lang w:val="es-ES_tradnl"/>
        </w:rPr>
        <w:t xml:space="preserve">personas </w:t>
      </w:r>
      <w:r w:rsidRPr="00E349EB">
        <w:rPr>
          <w:rFonts w:ascii="Arial" w:hAnsi="Arial" w:cs="Arial"/>
          <w:bCs/>
          <w:lang w:val="es-ES_tradnl"/>
        </w:rPr>
        <w:t xml:space="preserve">que </w:t>
      </w:r>
      <w:r w:rsidR="00385736" w:rsidRPr="00E349EB">
        <w:rPr>
          <w:rFonts w:ascii="Arial" w:hAnsi="Arial" w:cs="Arial"/>
          <w:bCs/>
          <w:lang w:val="es-ES_tradnl"/>
        </w:rPr>
        <w:t>se dedicaron a esta actividad</w:t>
      </w:r>
      <w:r w:rsidRPr="00E349EB">
        <w:rPr>
          <w:rFonts w:ascii="Arial" w:hAnsi="Arial" w:cs="Arial"/>
          <w:bCs/>
          <w:lang w:val="es-ES_tradnl"/>
        </w:rPr>
        <w:t>, 5</w:t>
      </w:r>
      <w:r w:rsidR="00031871" w:rsidRPr="00E349EB">
        <w:rPr>
          <w:rFonts w:ascii="Arial" w:hAnsi="Arial" w:cs="Arial"/>
          <w:bCs/>
          <w:lang w:val="es-ES_tradnl"/>
        </w:rPr>
        <w:t>3</w:t>
      </w:r>
      <w:r w:rsidRPr="00E349EB">
        <w:rPr>
          <w:rFonts w:ascii="Arial" w:hAnsi="Arial" w:cs="Arial"/>
          <w:bCs/>
          <w:lang w:val="es-ES_tradnl"/>
        </w:rPr>
        <w:t xml:space="preserve"> </w:t>
      </w:r>
      <w:r w:rsidR="008626FD">
        <w:rPr>
          <w:rFonts w:ascii="Arial" w:hAnsi="Arial" w:cs="Arial"/>
          <w:bCs/>
          <w:lang w:val="es-ES_tradnl"/>
        </w:rPr>
        <w:t>era</w:t>
      </w:r>
      <w:r w:rsidR="00056962" w:rsidRPr="00E349EB">
        <w:rPr>
          <w:rFonts w:ascii="Arial" w:hAnsi="Arial" w:cs="Arial"/>
          <w:bCs/>
          <w:lang w:val="es-ES_tradnl"/>
        </w:rPr>
        <w:t xml:space="preserve"> </w:t>
      </w:r>
      <w:r w:rsidRPr="00E349EB">
        <w:rPr>
          <w:rFonts w:ascii="Arial" w:hAnsi="Arial" w:cs="Arial"/>
          <w:bCs/>
          <w:lang w:val="es-ES_tradnl"/>
        </w:rPr>
        <w:t>profesionales</w:t>
      </w:r>
      <w:r w:rsidR="0083488A" w:rsidRPr="00E349EB">
        <w:rPr>
          <w:rStyle w:val="Refdenotaalpie"/>
          <w:rFonts w:ascii="Arial" w:hAnsi="Arial" w:cs="Arial"/>
          <w:bCs/>
          <w:lang w:val="es-ES_tradnl"/>
        </w:rPr>
        <w:footnoteReference w:id="2"/>
      </w:r>
      <w:r w:rsidRPr="00E349EB">
        <w:rPr>
          <w:rFonts w:ascii="Arial" w:hAnsi="Arial" w:cs="Arial"/>
          <w:bCs/>
          <w:lang w:val="es-ES_tradnl"/>
        </w:rPr>
        <w:t>, 18 técnic</w:t>
      </w:r>
      <w:r w:rsidR="007C48C6" w:rsidRPr="00E349EB">
        <w:rPr>
          <w:rFonts w:ascii="Arial" w:hAnsi="Arial" w:cs="Arial"/>
          <w:bCs/>
          <w:lang w:val="es-ES_tradnl"/>
        </w:rPr>
        <w:t>o</w:t>
      </w:r>
      <w:r w:rsidR="00AC43D6" w:rsidRPr="00E349EB">
        <w:rPr>
          <w:rFonts w:ascii="Arial" w:hAnsi="Arial" w:cs="Arial"/>
          <w:bCs/>
          <w:lang w:val="es-ES_tradnl"/>
        </w:rPr>
        <w:t>s</w:t>
      </w:r>
      <w:r w:rsidR="00C05067" w:rsidRPr="00E349EB">
        <w:rPr>
          <w:rFonts w:ascii="Arial" w:hAnsi="Arial" w:cs="Arial"/>
          <w:bCs/>
          <w:lang w:val="es-ES_tradnl"/>
        </w:rPr>
        <w:t xml:space="preserve"> en enfermería</w:t>
      </w:r>
      <w:r w:rsidR="007C48C6" w:rsidRPr="00E349EB">
        <w:rPr>
          <w:rFonts w:ascii="Arial" w:hAnsi="Arial" w:cs="Arial"/>
          <w:bCs/>
          <w:lang w:val="es-ES_tradnl"/>
        </w:rPr>
        <w:t xml:space="preserve">, </w:t>
      </w:r>
      <w:r w:rsidRPr="00E349EB">
        <w:rPr>
          <w:rFonts w:ascii="Arial" w:hAnsi="Arial" w:cs="Arial"/>
          <w:bCs/>
          <w:lang w:val="es-ES_tradnl"/>
        </w:rPr>
        <w:t xml:space="preserve">y </w:t>
      </w:r>
      <w:r w:rsidR="00AC3810" w:rsidRPr="00E349EB">
        <w:rPr>
          <w:rFonts w:ascii="Arial" w:hAnsi="Arial" w:cs="Arial"/>
          <w:bCs/>
          <w:lang w:val="es-ES_tradnl"/>
        </w:rPr>
        <w:t>2</w:t>
      </w:r>
      <w:r w:rsidR="00031871" w:rsidRPr="00E349EB">
        <w:rPr>
          <w:rFonts w:ascii="Arial" w:hAnsi="Arial" w:cs="Arial"/>
          <w:bCs/>
          <w:lang w:val="es-ES_tradnl"/>
        </w:rPr>
        <w:t>8</w:t>
      </w:r>
      <w:r w:rsidRPr="00E349EB">
        <w:rPr>
          <w:rFonts w:ascii="Arial" w:hAnsi="Arial" w:cs="Arial"/>
          <w:bCs/>
          <w:lang w:val="es-ES_tradnl"/>
        </w:rPr>
        <w:t xml:space="preserve"> auxiliares </w:t>
      </w:r>
      <w:r w:rsidR="00D35C20" w:rsidRPr="00E349EB">
        <w:rPr>
          <w:rFonts w:ascii="Arial" w:hAnsi="Arial" w:cs="Arial"/>
          <w:bCs/>
          <w:lang w:val="es-ES_tradnl"/>
        </w:rPr>
        <w:t>o</w:t>
      </w:r>
      <w:r w:rsidRPr="00E349EB">
        <w:rPr>
          <w:rFonts w:ascii="Arial" w:hAnsi="Arial" w:cs="Arial"/>
          <w:bCs/>
          <w:lang w:val="es-ES_tradnl"/>
        </w:rPr>
        <w:t xml:space="preserve"> paramédic</w:t>
      </w:r>
      <w:r w:rsidR="00385736" w:rsidRPr="00E349EB">
        <w:rPr>
          <w:rFonts w:ascii="Arial" w:hAnsi="Arial" w:cs="Arial"/>
          <w:bCs/>
          <w:lang w:val="es-ES_tradnl"/>
        </w:rPr>
        <w:t>os</w:t>
      </w:r>
      <w:r w:rsidR="00074F52" w:rsidRPr="00E349EB">
        <w:rPr>
          <w:rFonts w:ascii="Arial" w:hAnsi="Arial" w:cs="Arial"/>
          <w:bCs/>
          <w:lang w:val="es-ES_tradnl"/>
        </w:rPr>
        <w:t>.</w:t>
      </w:r>
    </w:p>
    <w:p w14:paraId="6FA2C42A" w14:textId="0794953C" w:rsidR="00320E08" w:rsidRPr="00E349EB" w:rsidRDefault="00B428A2" w:rsidP="00074F52">
      <w:pPr>
        <w:pStyle w:val="Prrafodelista"/>
        <w:numPr>
          <w:ilvl w:val="0"/>
          <w:numId w:val="1"/>
        </w:numPr>
        <w:spacing w:line="276" w:lineRule="auto"/>
        <w:ind w:left="1134" w:right="879" w:hanging="349"/>
        <w:jc w:val="both"/>
        <w:rPr>
          <w:rFonts w:ascii="Arial" w:hAnsi="Arial" w:cs="Arial"/>
          <w:bCs/>
          <w:lang w:val="es-ES_tradnl"/>
        </w:rPr>
      </w:pPr>
      <w:r w:rsidRPr="00E349EB">
        <w:rPr>
          <w:rFonts w:ascii="Arial" w:hAnsi="Arial" w:cs="Arial"/>
          <w:bCs/>
          <w:lang w:val="es-ES_tradnl"/>
        </w:rPr>
        <w:t xml:space="preserve">Por </w:t>
      </w:r>
      <w:r w:rsidR="0075220D" w:rsidRPr="00E349EB">
        <w:rPr>
          <w:rFonts w:ascii="Arial" w:hAnsi="Arial" w:cs="Arial"/>
          <w:bCs/>
          <w:lang w:val="es-ES_tradnl"/>
        </w:rPr>
        <w:t>cada mil habitantes</w:t>
      </w:r>
      <w:r w:rsidR="00B944F2" w:rsidRPr="00E349EB">
        <w:rPr>
          <w:rFonts w:ascii="Arial" w:hAnsi="Arial" w:cs="Arial"/>
          <w:bCs/>
          <w:lang w:val="es-ES_tradnl"/>
        </w:rPr>
        <w:t xml:space="preserve">, </w:t>
      </w:r>
      <w:r w:rsidR="00676822" w:rsidRPr="00E349EB">
        <w:rPr>
          <w:rFonts w:ascii="Arial" w:hAnsi="Arial" w:cs="Arial"/>
          <w:bCs/>
          <w:lang w:val="es-ES_tradnl"/>
        </w:rPr>
        <w:t>en promedio</w:t>
      </w:r>
      <w:r w:rsidR="00B944F2" w:rsidRPr="00E349EB">
        <w:rPr>
          <w:rFonts w:ascii="Arial" w:hAnsi="Arial" w:cs="Arial"/>
          <w:bCs/>
          <w:lang w:val="es-ES_tradnl"/>
        </w:rPr>
        <w:t xml:space="preserve"> h</w:t>
      </w:r>
      <w:r w:rsidR="008626FD">
        <w:rPr>
          <w:rFonts w:ascii="Arial" w:hAnsi="Arial" w:cs="Arial"/>
          <w:bCs/>
          <w:lang w:val="es-ES_tradnl"/>
        </w:rPr>
        <w:t>abía</w:t>
      </w:r>
      <w:r w:rsidR="00320E08" w:rsidRPr="00E349EB">
        <w:rPr>
          <w:rFonts w:ascii="Arial" w:hAnsi="Arial" w:cs="Arial"/>
          <w:bCs/>
          <w:lang w:val="es-ES_tradnl"/>
        </w:rPr>
        <w:t xml:space="preserve"> 3.5 personas dedicadas a la enfermería. Esta cifra </w:t>
      </w:r>
      <w:r w:rsidR="008626FD">
        <w:rPr>
          <w:rFonts w:ascii="Arial" w:hAnsi="Arial" w:cs="Arial"/>
          <w:bCs/>
          <w:lang w:val="es-ES_tradnl"/>
        </w:rPr>
        <w:t>fue</w:t>
      </w:r>
      <w:r w:rsidR="00320E08" w:rsidRPr="00E349EB">
        <w:rPr>
          <w:rFonts w:ascii="Arial" w:hAnsi="Arial" w:cs="Arial"/>
          <w:bCs/>
          <w:lang w:val="es-ES_tradnl"/>
        </w:rPr>
        <w:t xml:space="preserve"> superior a la registrada en el primer trimestre de 2020 (2.9</w:t>
      </w:r>
      <w:r w:rsidR="00C67C51" w:rsidRPr="00E349EB">
        <w:rPr>
          <w:rFonts w:ascii="Arial" w:hAnsi="Arial" w:cs="Arial"/>
          <w:bCs/>
          <w:lang w:val="es-ES_tradnl"/>
        </w:rPr>
        <w:t xml:space="preserve"> personas</w:t>
      </w:r>
      <w:r w:rsidR="00320E08" w:rsidRPr="00E349EB">
        <w:rPr>
          <w:rFonts w:ascii="Arial" w:hAnsi="Arial" w:cs="Arial"/>
          <w:bCs/>
          <w:lang w:val="es-ES_tradnl"/>
        </w:rPr>
        <w:t>)</w:t>
      </w:r>
      <w:r w:rsidRPr="00E349EB">
        <w:rPr>
          <w:rFonts w:ascii="Arial" w:hAnsi="Arial" w:cs="Arial"/>
          <w:bCs/>
          <w:lang w:val="es-ES_tradnl"/>
        </w:rPr>
        <w:t>.</w:t>
      </w:r>
    </w:p>
    <w:p w14:paraId="5632360D" w14:textId="3E710D11" w:rsidR="003C0FAD" w:rsidRPr="00E349EB" w:rsidRDefault="00B02DE1" w:rsidP="00B02DE1">
      <w:pPr>
        <w:pStyle w:val="Prrafodelista"/>
        <w:numPr>
          <w:ilvl w:val="0"/>
          <w:numId w:val="1"/>
        </w:numPr>
        <w:spacing w:line="276" w:lineRule="auto"/>
        <w:ind w:left="1134" w:right="879" w:hanging="349"/>
        <w:jc w:val="both"/>
        <w:rPr>
          <w:rFonts w:ascii="Arial" w:hAnsi="Arial" w:cs="Arial"/>
          <w:bCs/>
          <w:lang w:val="es-ES_tradnl"/>
        </w:rPr>
      </w:pPr>
      <w:r w:rsidRPr="00E349EB">
        <w:rPr>
          <w:rFonts w:ascii="Arial" w:hAnsi="Arial" w:cs="Arial"/>
          <w:bCs/>
          <w:lang w:val="es-ES_tradnl"/>
        </w:rPr>
        <w:t xml:space="preserve">En promedio, las personas ocupadas en </w:t>
      </w:r>
      <w:r w:rsidR="003C0FAD" w:rsidRPr="00E349EB">
        <w:rPr>
          <w:rFonts w:ascii="Arial" w:hAnsi="Arial" w:cs="Arial"/>
          <w:bCs/>
          <w:lang w:val="es-ES_tradnl"/>
        </w:rPr>
        <w:t>la enfermería trabaj</w:t>
      </w:r>
      <w:r w:rsidR="002D05CF" w:rsidRPr="00E349EB">
        <w:rPr>
          <w:rFonts w:ascii="Arial" w:hAnsi="Arial" w:cs="Arial"/>
          <w:bCs/>
          <w:lang w:val="es-ES_tradnl"/>
        </w:rPr>
        <w:t>aron</w:t>
      </w:r>
      <w:r w:rsidR="003C0FAD" w:rsidRPr="00E349EB">
        <w:rPr>
          <w:rFonts w:ascii="Arial" w:hAnsi="Arial" w:cs="Arial"/>
          <w:bCs/>
          <w:lang w:val="es-ES_tradnl"/>
        </w:rPr>
        <w:t xml:space="preserve"> 41.5 horas </w:t>
      </w:r>
      <w:r w:rsidR="008555EA" w:rsidRPr="00E349EB">
        <w:rPr>
          <w:rFonts w:ascii="Arial" w:hAnsi="Arial" w:cs="Arial"/>
          <w:bCs/>
          <w:lang w:val="es-ES_tradnl"/>
        </w:rPr>
        <w:t>a la semana</w:t>
      </w:r>
      <w:r w:rsidR="003C0FAD" w:rsidRPr="00E349EB">
        <w:rPr>
          <w:rFonts w:ascii="Arial" w:hAnsi="Arial" w:cs="Arial"/>
          <w:bCs/>
          <w:lang w:val="es-ES_tradnl"/>
        </w:rPr>
        <w:t xml:space="preserve">. El 70% </w:t>
      </w:r>
      <w:r w:rsidR="002D05CF" w:rsidRPr="00E349EB">
        <w:rPr>
          <w:rFonts w:ascii="Arial" w:hAnsi="Arial" w:cs="Arial"/>
          <w:bCs/>
          <w:lang w:val="es-ES_tradnl"/>
        </w:rPr>
        <w:t>labor</w:t>
      </w:r>
      <w:r w:rsidR="00FA7E57">
        <w:rPr>
          <w:rFonts w:ascii="Arial" w:hAnsi="Arial" w:cs="Arial"/>
          <w:bCs/>
          <w:lang w:val="es-ES_tradnl"/>
        </w:rPr>
        <w:t>ó</w:t>
      </w:r>
      <w:r w:rsidR="003C0FAD" w:rsidRPr="00E349EB">
        <w:rPr>
          <w:rFonts w:ascii="Arial" w:hAnsi="Arial" w:cs="Arial"/>
          <w:bCs/>
          <w:lang w:val="es-ES_tradnl"/>
        </w:rPr>
        <w:t xml:space="preserve"> de 35 a 48 horas y 14% lo </w:t>
      </w:r>
      <w:r w:rsidR="002D05CF" w:rsidRPr="00E349EB">
        <w:rPr>
          <w:rFonts w:ascii="Arial" w:hAnsi="Arial" w:cs="Arial"/>
          <w:bCs/>
          <w:lang w:val="es-ES_tradnl"/>
        </w:rPr>
        <w:t>hi</w:t>
      </w:r>
      <w:r w:rsidR="00FA7E57">
        <w:rPr>
          <w:rFonts w:ascii="Arial" w:hAnsi="Arial" w:cs="Arial"/>
          <w:bCs/>
          <w:lang w:val="es-ES_tradnl"/>
        </w:rPr>
        <w:t>zo</w:t>
      </w:r>
      <w:r w:rsidR="003C0FAD" w:rsidRPr="00E349EB">
        <w:rPr>
          <w:rFonts w:ascii="Arial" w:hAnsi="Arial" w:cs="Arial"/>
          <w:bCs/>
          <w:lang w:val="es-ES_tradnl"/>
        </w:rPr>
        <w:t xml:space="preserve"> más de 48 horas.</w:t>
      </w:r>
    </w:p>
    <w:p w14:paraId="7D034F22" w14:textId="4F8D11AE" w:rsidR="00074F52" w:rsidRPr="00E97BC2" w:rsidRDefault="00CF34D2" w:rsidP="00995FEE">
      <w:pPr>
        <w:pStyle w:val="Default"/>
        <w:spacing w:after="120"/>
        <w:ind w:left="426" w:right="454"/>
        <w:jc w:val="both"/>
        <w:rPr>
          <w:sz w:val="22"/>
          <w:szCs w:val="22"/>
          <w:lang w:val="es-ES_tradnl"/>
        </w:rPr>
      </w:pPr>
      <w:r w:rsidRPr="00E349EB">
        <w:rPr>
          <w:sz w:val="22"/>
          <w:szCs w:val="22"/>
          <w:lang w:val="es-ES_tradnl"/>
        </w:rPr>
        <w:t>En el marco d</w:t>
      </w:r>
      <w:r w:rsidR="00D40202" w:rsidRPr="00E349EB">
        <w:rPr>
          <w:sz w:val="22"/>
          <w:szCs w:val="22"/>
          <w:lang w:val="es-ES_tradnl"/>
        </w:rPr>
        <w:t xml:space="preserve">el </w:t>
      </w:r>
      <w:r w:rsidR="00B807EC" w:rsidRPr="00E349EB">
        <w:rPr>
          <w:sz w:val="22"/>
          <w:szCs w:val="22"/>
          <w:lang w:val="es-ES_tradnl"/>
        </w:rPr>
        <w:t>D</w:t>
      </w:r>
      <w:r w:rsidR="00D40202" w:rsidRPr="00E349EB">
        <w:rPr>
          <w:sz w:val="22"/>
          <w:szCs w:val="22"/>
          <w:lang w:val="es-ES_tradnl"/>
        </w:rPr>
        <w:t xml:space="preserve">ía </w:t>
      </w:r>
      <w:r w:rsidR="00B233CC" w:rsidRPr="00E349EB">
        <w:rPr>
          <w:sz w:val="22"/>
          <w:szCs w:val="22"/>
          <w:lang w:val="es-ES_tradnl"/>
        </w:rPr>
        <w:t>i</w:t>
      </w:r>
      <w:r w:rsidR="00D40202" w:rsidRPr="00E349EB">
        <w:rPr>
          <w:sz w:val="22"/>
          <w:szCs w:val="22"/>
          <w:lang w:val="es-ES_tradnl"/>
        </w:rPr>
        <w:t xml:space="preserve">nternacional de </w:t>
      </w:r>
      <w:r w:rsidR="00374639" w:rsidRPr="00E349EB">
        <w:rPr>
          <w:sz w:val="22"/>
          <w:szCs w:val="22"/>
          <w:lang w:val="es-ES_tradnl"/>
        </w:rPr>
        <w:t xml:space="preserve">la </w:t>
      </w:r>
      <w:r w:rsidR="00B233CC" w:rsidRPr="00E349EB">
        <w:rPr>
          <w:sz w:val="22"/>
          <w:szCs w:val="22"/>
          <w:lang w:val="es-ES_tradnl"/>
        </w:rPr>
        <w:t>e</w:t>
      </w:r>
      <w:r w:rsidR="006B2837" w:rsidRPr="00E349EB">
        <w:rPr>
          <w:sz w:val="22"/>
          <w:szCs w:val="22"/>
          <w:lang w:val="es-ES_tradnl"/>
        </w:rPr>
        <w:t>nfermera</w:t>
      </w:r>
      <w:r w:rsidRPr="00E349EB">
        <w:rPr>
          <w:sz w:val="22"/>
          <w:szCs w:val="22"/>
          <w:lang w:val="es-ES_tradnl"/>
        </w:rPr>
        <w:t>, que se conmemora el 12 de mayo,</w:t>
      </w:r>
      <w:r w:rsidR="00D40202" w:rsidRPr="00E349EB">
        <w:rPr>
          <w:sz w:val="22"/>
          <w:szCs w:val="22"/>
          <w:lang w:val="es-ES_tradnl"/>
        </w:rPr>
        <w:t xml:space="preserve"> e</w:t>
      </w:r>
      <w:r w:rsidR="00074F52" w:rsidRPr="00E349EB">
        <w:rPr>
          <w:sz w:val="22"/>
          <w:szCs w:val="22"/>
          <w:lang w:val="es-ES_tradnl"/>
        </w:rPr>
        <w:t xml:space="preserve">l Instituto Nacional de Estadística y Geografía (INEGI) ofrece información sobre las </w:t>
      </w:r>
      <w:r w:rsidR="006F6BB4" w:rsidRPr="00E349EB">
        <w:rPr>
          <w:sz w:val="22"/>
          <w:szCs w:val="22"/>
          <w:lang w:val="es-ES_tradnl"/>
        </w:rPr>
        <w:t xml:space="preserve">personas que </w:t>
      </w:r>
      <w:r w:rsidR="00284F81" w:rsidRPr="00E349EB">
        <w:rPr>
          <w:sz w:val="22"/>
          <w:szCs w:val="22"/>
          <w:lang w:val="es-ES_tradnl"/>
        </w:rPr>
        <w:t>prestan servicios remunerados de</w:t>
      </w:r>
      <w:r w:rsidR="006F6BB4" w:rsidRPr="00E349EB">
        <w:rPr>
          <w:sz w:val="22"/>
          <w:szCs w:val="22"/>
          <w:lang w:val="es-ES_tradnl"/>
        </w:rPr>
        <w:t xml:space="preserve"> </w:t>
      </w:r>
      <w:r w:rsidR="00284F81" w:rsidRPr="00E349EB">
        <w:rPr>
          <w:sz w:val="22"/>
          <w:szCs w:val="22"/>
          <w:lang w:val="es-ES_tradnl"/>
        </w:rPr>
        <w:t xml:space="preserve">cuidado y atención a enfermos y heridos, así como </w:t>
      </w:r>
      <w:r w:rsidR="00B807EC" w:rsidRPr="00E349EB">
        <w:rPr>
          <w:sz w:val="22"/>
          <w:szCs w:val="22"/>
          <w:lang w:val="es-ES_tradnl"/>
        </w:rPr>
        <w:t>par</w:t>
      </w:r>
      <w:r w:rsidR="001B6522" w:rsidRPr="00E349EB">
        <w:rPr>
          <w:sz w:val="22"/>
          <w:szCs w:val="22"/>
          <w:lang w:val="es-ES_tradnl"/>
        </w:rPr>
        <w:t xml:space="preserve">a la realización de </w:t>
      </w:r>
      <w:r w:rsidR="00284F81" w:rsidRPr="00E349EB">
        <w:rPr>
          <w:sz w:val="22"/>
          <w:szCs w:val="22"/>
          <w:lang w:val="es-ES_tradnl"/>
        </w:rPr>
        <w:t xml:space="preserve">otras tareas de asistencia </w:t>
      </w:r>
      <w:r w:rsidR="00284F81" w:rsidRPr="00E97BC2">
        <w:rPr>
          <w:sz w:val="22"/>
          <w:szCs w:val="22"/>
          <w:lang w:val="es-ES_tradnl"/>
        </w:rPr>
        <w:t>sanitaria, clínicas</w:t>
      </w:r>
      <w:r w:rsidR="007C61A2" w:rsidRPr="00E97BC2">
        <w:rPr>
          <w:sz w:val="22"/>
          <w:szCs w:val="22"/>
          <w:lang w:val="es-ES_tradnl"/>
        </w:rPr>
        <w:t xml:space="preserve"> </w:t>
      </w:r>
      <w:r w:rsidR="00284F81" w:rsidRPr="00E97BC2">
        <w:rPr>
          <w:sz w:val="22"/>
          <w:szCs w:val="22"/>
          <w:lang w:val="es-ES_tradnl"/>
        </w:rPr>
        <w:t>y prevención de la salud</w:t>
      </w:r>
      <w:r w:rsidR="00074F52" w:rsidRPr="00E97BC2">
        <w:rPr>
          <w:sz w:val="22"/>
          <w:szCs w:val="22"/>
          <w:lang w:val="es-ES_tradnl"/>
        </w:rPr>
        <w:t>.</w:t>
      </w:r>
    </w:p>
    <w:p w14:paraId="02FFC3FD" w14:textId="156FE81E" w:rsidR="00FE1875" w:rsidRPr="00E97BC2" w:rsidRDefault="001771BA" w:rsidP="00995FEE">
      <w:pPr>
        <w:pStyle w:val="Default"/>
        <w:spacing w:after="120"/>
        <w:ind w:left="426" w:right="454"/>
        <w:jc w:val="both"/>
        <w:rPr>
          <w:sz w:val="22"/>
          <w:szCs w:val="22"/>
          <w:lang w:val="es-ES_tradnl"/>
        </w:rPr>
      </w:pPr>
      <w:r w:rsidRPr="00E97BC2">
        <w:rPr>
          <w:sz w:val="22"/>
          <w:szCs w:val="22"/>
          <w:lang w:val="es-ES_tradnl"/>
        </w:rPr>
        <w:t>L</w:t>
      </w:r>
      <w:r w:rsidR="00FE1875" w:rsidRPr="00E97BC2">
        <w:rPr>
          <w:sz w:val="22"/>
          <w:szCs w:val="22"/>
          <w:lang w:val="es-ES_tradnl"/>
        </w:rPr>
        <w:t>os resultados del cuarto trimestre de 2021</w:t>
      </w:r>
      <w:r w:rsidR="007C4D26" w:rsidRPr="00E97BC2">
        <w:rPr>
          <w:sz w:val="22"/>
          <w:szCs w:val="22"/>
          <w:lang w:val="es-ES_tradnl"/>
        </w:rPr>
        <w:t xml:space="preserve"> </w:t>
      </w:r>
      <w:r w:rsidR="00FE1875" w:rsidRPr="00E97BC2">
        <w:rPr>
          <w:sz w:val="22"/>
          <w:szCs w:val="22"/>
          <w:lang w:val="es-ES_tradnl"/>
        </w:rPr>
        <w:t>de la Encuesta Nacional de Ocupación y Empleo (ENOE)</w:t>
      </w:r>
      <w:r w:rsidRPr="00E97BC2">
        <w:rPr>
          <w:sz w:val="22"/>
          <w:szCs w:val="22"/>
          <w:lang w:val="es-ES_tradnl"/>
        </w:rPr>
        <w:t xml:space="preserve"> indican que</w:t>
      </w:r>
      <w:r w:rsidR="000F32D0" w:rsidRPr="00E97BC2">
        <w:rPr>
          <w:sz w:val="22"/>
          <w:szCs w:val="22"/>
          <w:lang w:val="es-ES_tradnl"/>
        </w:rPr>
        <w:t>,</w:t>
      </w:r>
      <w:r w:rsidR="00FE1875" w:rsidRPr="00E97BC2">
        <w:rPr>
          <w:sz w:val="22"/>
          <w:szCs w:val="22"/>
          <w:lang w:val="es-ES_tradnl"/>
        </w:rPr>
        <w:t xml:space="preserve"> </w:t>
      </w:r>
      <w:r w:rsidR="00D87685" w:rsidRPr="00E97BC2">
        <w:rPr>
          <w:sz w:val="22"/>
          <w:szCs w:val="22"/>
          <w:lang w:val="es-ES_tradnl"/>
        </w:rPr>
        <w:t xml:space="preserve">en </w:t>
      </w:r>
      <w:r w:rsidR="00FE1875" w:rsidRPr="00E97BC2">
        <w:rPr>
          <w:sz w:val="22"/>
          <w:szCs w:val="22"/>
          <w:lang w:val="es-ES_tradnl"/>
        </w:rPr>
        <w:t>México</w:t>
      </w:r>
      <w:r w:rsidR="00FD4D87" w:rsidRPr="00E97BC2">
        <w:rPr>
          <w:sz w:val="22"/>
          <w:szCs w:val="22"/>
          <w:lang w:val="es-ES_tradnl"/>
        </w:rPr>
        <w:t>,</w:t>
      </w:r>
      <w:r w:rsidR="00FE1875" w:rsidRPr="00E97BC2">
        <w:rPr>
          <w:sz w:val="22"/>
          <w:szCs w:val="22"/>
          <w:lang w:val="es-ES_tradnl"/>
        </w:rPr>
        <w:t xml:space="preserve"> </w:t>
      </w:r>
      <w:r w:rsidR="00600F8B" w:rsidRPr="00E97BC2">
        <w:rPr>
          <w:sz w:val="22"/>
          <w:szCs w:val="22"/>
          <w:lang w:val="es-ES_tradnl"/>
        </w:rPr>
        <w:t>se registrar</w:t>
      </w:r>
      <w:r w:rsidR="006F10A9" w:rsidRPr="00E97BC2">
        <w:rPr>
          <w:sz w:val="22"/>
          <w:szCs w:val="22"/>
          <w:lang w:val="es-ES_tradnl"/>
        </w:rPr>
        <w:t>o</w:t>
      </w:r>
      <w:r w:rsidR="00600F8B" w:rsidRPr="00E97BC2">
        <w:rPr>
          <w:sz w:val="22"/>
          <w:szCs w:val="22"/>
          <w:lang w:val="es-ES_tradnl"/>
        </w:rPr>
        <w:t xml:space="preserve">n </w:t>
      </w:r>
      <w:r w:rsidR="00F80250" w:rsidRPr="00E97BC2">
        <w:rPr>
          <w:sz w:val="22"/>
          <w:szCs w:val="22"/>
          <w:lang w:val="es-ES_tradnl"/>
        </w:rPr>
        <w:t xml:space="preserve">620 mil personas </w:t>
      </w:r>
      <w:r w:rsidR="00284F81" w:rsidRPr="00E97BC2">
        <w:rPr>
          <w:sz w:val="22"/>
          <w:szCs w:val="22"/>
          <w:lang w:val="es-ES_tradnl"/>
        </w:rPr>
        <w:t xml:space="preserve">dedicadas a la prestación de servicios </w:t>
      </w:r>
      <w:r w:rsidR="003A50E6" w:rsidRPr="00E97BC2">
        <w:rPr>
          <w:sz w:val="22"/>
          <w:szCs w:val="22"/>
          <w:lang w:val="es-ES_tradnl"/>
        </w:rPr>
        <w:t xml:space="preserve">remunerados </w:t>
      </w:r>
      <w:r w:rsidR="00284F81" w:rsidRPr="00E97BC2">
        <w:rPr>
          <w:sz w:val="22"/>
          <w:szCs w:val="22"/>
          <w:lang w:val="es-ES_tradnl"/>
        </w:rPr>
        <w:t>de enfermería</w:t>
      </w:r>
      <w:r w:rsidR="00F80250" w:rsidRPr="00E97BC2">
        <w:rPr>
          <w:sz w:val="22"/>
          <w:szCs w:val="22"/>
          <w:lang w:val="es-ES_tradnl"/>
        </w:rPr>
        <w:t>.</w:t>
      </w:r>
      <w:r w:rsidR="00E64A4E" w:rsidRPr="00E97BC2">
        <w:rPr>
          <w:sz w:val="22"/>
          <w:szCs w:val="22"/>
          <w:lang w:val="es-ES_tradnl"/>
        </w:rPr>
        <w:t xml:space="preserve"> La</w:t>
      </w:r>
      <w:r w:rsidR="00D5795F" w:rsidRPr="00E97BC2">
        <w:rPr>
          <w:sz w:val="22"/>
          <w:szCs w:val="22"/>
          <w:lang w:val="es-ES_tradnl"/>
        </w:rPr>
        <w:t>s</w:t>
      </w:r>
      <w:r w:rsidR="00E64A4E" w:rsidRPr="00E97BC2">
        <w:rPr>
          <w:sz w:val="22"/>
          <w:szCs w:val="22"/>
          <w:lang w:val="es-ES_tradnl"/>
        </w:rPr>
        <w:t xml:space="preserve"> mujeres representaron</w:t>
      </w:r>
      <w:r w:rsidR="008626FD" w:rsidRPr="00E97BC2">
        <w:rPr>
          <w:sz w:val="22"/>
          <w:szCs w:val="22"/>
          <w:lang w:val="es-ES_tradnl"/>
        </w:rPr>
        <w:t xml:space="preserve"> </w:t>
      </w:r>
      <w:r w:rsidR="00E64A4E" w:rsidRPr="00E97BC2">
        <w:rPr>
          <w:sz w:val="22"/>
          <w:szCs w:val="22"/>
          <w:lang w:val="es-ES_tradnl"/>
        </w:rPr>
        <w:t>79% de esta población y los hombres 21%.</w:t>
      </w:r>
    </w:p>
    <w:p w14:paraId="290E8579" w14:textId="71EC2B95" w:rsidR="00F26791" w:rsidRPr="00E349EB" w:rsidRDefault="00C41980" w:rsidP="00600F8B">
      <w:pPr>
        <w:pStyle w:val="Default"/>
        <w:spacing w:after="120"/>
        <w:ind w:left="426" w:right="454"/>
        <w:jc w:val="both"/>
        <w:rPr>
          <w:sz w:val="22"/>
          <w:szCs w:val="22"/>
          <w:lang w:val="es-ES_tradnl"/>
        </w:rPr>
      </w:pPr>
      <w:r w:rsidRPr="00E97BC2">
        <w:rPr>
          <w:sz w:val="22"/>
          <w:szCs w:val="22"/>
          <w:lang w:val="es-ES_tradnl"/>
        </w:rPr>
        <w:t>Durante</w:t>
      </w:r>
      <w:r w:rsidR="007C3891" w:rsidRPr="00E97BC2">
        <w:rPr>
          <w:sz w:val="22"/>
          <w:szCs w:val="22"/>
          <w:lang w:val="es-ES_tradnl"/>
        </w:rPr>
        <w:t xml:space="preserve"> la </w:t>
      </w:r>
      <w:r w:rsidR="00C266B3" w:rsidRPr="00E97BC2">
        <w:rPr>
          <w:sz w:val="22"/>
          <w:szCs w:val="22"/>
          <w:lang w:val="es-ES_tradnl"/>
        </w:rPr>
        <w:t xml:space="preserve">pandemia por </w:t>
      </w:r>
      <w:r w:rsidR="000F32D0" w:rsidRPr="00E97BC2">
        <w:rPr>
          <w:sz w:val="22"/>
          <w:szCs w:val="22"/>
          <w:lang w:val="es-ES_tradnl"/>
        </w:rPr>
        <w:t xml:space="preserve">la </w:t>
      </w:r>
      <w:r w:rsidR="00C266B3" w:rsidRPr="00E97BC2">
        <w:rPr>
          <w:sz w:val="22"/>
          <w:szCs w:val="22"/>
          <w:lang w:val="es-ES_tradnl"/>
        </w:rPr>
        <w:t>COVID</w:t>
      </w:r>
      <w:r w:rsidR="00C266B3" w:rsidRPr="00E349EB">
        <w:rPr>
          <w:sz w:val="22"/>
          <w:szCs w:val="22"/>
          <w:lang w:val="es-ES_tradnl"/>
        </w:rPr>
        <w:t xml:space="preserve">-19 </w:t>
      </w:r>
      <w:r w:rsidR="00600F8B" w:rsidRPr="00E349EB">
        <w:rPr>
          <w:sz w:val="22"/>
          <w:szCs w:val="22"/>
          <w:lang w:val="es-ES_tradnl"/>
        </w:rPr>
        <w:t xml:space="preserve">se registró un incremento de </w:t>
      </w:r>
      <w:r w:rsidR="000A20C0" w:rsidRPr="00E349EB">
        <w:rPr>
          <w:sz w:val="22"/>
          <w:szCs w:val="22"/>
          <w:lang w:val="es-ES_tradnl"/>
        </w:rPr>
        <w:t>alrededor</w:t>
      </w:r>
      <w:r w:rsidR="00600F8B" w:rsidRPr="00E349EB">
        <w:rPr>
          <w:sz w:val="22"/>
          <w:szCs w:val="22"/>
          <w:lang w:val="es-ES_tradnl"/>
        </w:rPr>
        <w:t xml:space="preserve"> de </w:t>
      </w:r>
      <w:r w:rsidR="007C3891" w:rsidRPr="00E349EB">
        <w:rPr>
          <w:sz w:val="22"/>
          <w:szCs w:val="22"/>
          <w:lang w:val="es-ES_tradnl"/>
        </w:rPr>
        <w:t xml:space="preserve">130 mil </w:t>
      </w:r>
      <w:r w:rsidR="00EE35C9" w:rsidRPr="00E349EB">
        <w:rPr>
          <w:sz w:val="22"/>
          <w:szCs w:val="22"/>
          <w:lang w:val="es-ES_tradnl"/>
        </w:rPr>
        <w:t>personas ocupadas en enfermería</w:t>
      </w:r>
      <w:bookmarkStart w:id="2" w:name="_Hlk100067308"/>
      <w:bookmarkStart w:id="3" w:name="_Hlk97281141"/>
      <w:r w:rsidR="006B5844" w:rsidRPr="00E349EB">
        <w:rPr>
          <w:sz w:val="22"/>
          <w:szCs w:val="22"/>
          <w:lang w:val="es-ES_tradnl"/>
        </w:rPr>
        <w:t xml:space="preserve"> (población de 15 años </w:t>
      </w:r>
      <w:r w:rsidR="009C5545" w:rsidRPr="00E349EB">
        <w:rPr>
          <w:sz w:val="22"/>
          <w:szCs w:val="22"/>
          <w:lang w:val="es-ES_tradnl"/>
        </w:rPr>
        <w:t>y más</w:t>
      </w:r>
      <w:r w:rsidR="001E73B1" w:rsidRPr="00E349EB">
        <w:rPr>
          <w:sz w:val="22"/>
          <w:szCs w:val="22"/>
          <w:lang w:val="es-ES_tradnl"/>
        </w:rPr>
        <w:t>).</w:t>
      </w:r>
    </w:p>
    <w:p w14:paraId="2D232E27" w14:textId="77777777" w:rsidR="004B3F78" w:rsidRPr="00E349EB" w:rsidRDefault="004B3F78" w:rsidP="00D37535">
      <w:pPr>
        <w:pStyle w:val="Default"/>
        <w:spacing w:after="120"/>
        <w:ind w:left="426"/>
        <w:jc w:val="center"/>
        <w:rPr>
          <w:sz w:val="22"/>
          <w:szCs w:val="22"/>
          <w:lang w:val="es-ES_tradnl"/>
        </w:rPr>
      </w:pPr>
      <w:r w:rsidRPr="00E349EB">
        <w:rPr>
          <w:noProof/>
          <w:lang w:val="es-ES_tradnl"/>
        </w:rPr>
        <w:drawing>
          <wp:inline distT="0" distB="0" distL="0" distR="0" wp14:anchorId="6070CBCD" wp14:editId="6466ED75">
            <wp:extent cx="6334125" cy="3886200"/>
            <wp:effectExtent l="0" t="0" r="9525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C0898097-43F9-4E13-A067-12E5AAB995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7A080D" w14:textId="124C071E" w:rsidR="00740F2E" w:rsidRPr="00E349EB" w:rsidRDefault="007C3891" w:rsidP="00740F2E">
      <w:pPr>
        <w:pStyle w:val="Default"/>
        <w:spacing w:after="120"/>
        <w:ind w:left="426" w:right="454"/>
        <w:jc w:val="both"/>
        <w:rPr>
          <w:sz w:val="22"/>
          <w:szCs w:val="22"/>
          <w:lang w:val="es-ES_tradnl"/>
        </w:rPr>
      </w:pPr>
      <w:r w:rsidRPr="00E349EB">
        <w:rPr>
          <w:sz w:val="22"/>
          <w:szCs w:val="22"/>
          <w:lang w:val="es-ES_tradnl"/>
        </w:rPr>
        <w:lastRenderedPageBreak/>
        <w:t>Al cuarto trimestre de 2021, p</w:t>
      </w:r>
      <w:r w:rsidR="006A138F" w:rsidRPr="00E349EB">
        <w:rPr>
          <w:sz w:val="22"/>
          <w:szCs w:val="22"/>
          <w:lang w:val="es-ES_tradnl"/>
        </w:rPr>
        <w:t xml:space="preserve">or cada 100 </w:t>
      </w:r>
      <w:r w:rsidR="00913AAC" w:rsidRPr="00E349EB">
        <w:rPr>
          <w:sz w:val="22"/>
          <w:szCs w:val="22"/>
          <w:lang w:val="es-ES_tradnl"/>
        </w:rPr>
        <w:t>trabajadores en enfermería</w:t>
      </w:r>
      <w:r w:rsidR="006A138F" w:rsidRPr="00E349EB">
        <w:rPr>
          <w:sz w:val="22"/>
          <w:szCs w:val="22"/>
          <w:lang w:val="es-ES_tradnl"/>
        </w:rPr>
        <w:t xml:space="preserve">, </w:t>
      </w:r>
      <w:r w:rsidR="00860013" w:rsidRPr="00E349EB">
        <w:rPr>
          <w:sz w:val="22"/>
          <w:szCs w:val="22"/>
          <w:lang w:val="es-ES_tradnl"/>
        </w:rPr>
        <w:t>5</w:t>
      </w:r>
      <w:r w:rsidR="006A138F" w:rsidRPr="00E349EB">
        <w:rPr>
          <w:sz w:val="22"/>
          <w:szCs w:val="22"/>
          <w:lang w:val="es-ES_tradnl"/>
        </w:rPr>
        <w:t xml:space="preserve">3 </w:t>
      </w:r>
      <w:r w:rsidR="00D87685" w:rsidRPr="00E349EB">
        <w:rPr>
          <w:sz w:val="22"/>
          <w:szCs w:val="22"/>
          <w:lang w:val="es-ES_tradnl"/>
        </w:rPr>
        <w:t>eran</w:t>
      </w:r>
      <w:r w:rsidR="006A138F" w:rsidRPr="00E349EB">
        <w:rPr>
          <w:sz w:val="22"/>
          <w:szCs w:val="22"/>
          <w:lang w:val="es-ES_tradnl"/>
        </w:rPr>
        <w:t xml:space="preserve"> profesionistas, </w:t>
      </w:r>
      <w:r w:rsidR="00860013" w:rsidRPr="00E349EB">
        <w:rPr>
          <w:sz w:val="22"/>
          <w:szCs w:val="22"/>
          <w:lang w:val="es-ES_tradnl"/>
        </w:rPr>
        <w:t>18</w:t>
      </w:r>
      <w:r w:rsidR="006A138F" w:rsidRPr="00E349EB">
        <w:rPr>
          <w:sz w:val="22"/>
          <w:szCs w:val="22"/>
          <w:lang w:val="es-ES_tradnl"/>
        </w:rPr>
        <w:t xml:space="preserve"> técnic</w:t>
      </w:r>
      <w:r w:rsidR="00865A9C" w:rsidRPr="00E349EB">
        <w:rPr>
          <w:sz w:val="22"/>
          <w:szCs w:val="22"/>
          <w:lang w:val="es-ES_tradnl"/>
        </w:rPr>
        <w:t>o</w:t>
      </w:r>
      <w:r w:rsidR="006A138F" w:rsidRPr="00E349EB">
        <w:rPr>
          <w:sz w:val="22"/>
          <w:szCs w:val="22"/>
          <w:lang w:val="es-ES_tradnl"/>
        </w:rPr>
        <w:t>s</w:t>
      </w:r>
      <w:r w:rsidR="005C5622" w:rsidRPr="00E349EB">
        <w:rPr>
          <w:sz w:val="22"/>
          <w:szCs w:val="22"/>
          <w:lang w:val="es-ES_tradnl"/>
        </w:rPr>
        <w:t xml:space="preserve">, </w:t>
      </w:r>
      <w:r w:rsidR="006A138F" w:rsidRPr="00E349EB">
        <w:rPr>
          <w:sz w:val="22"/>
          <w:szCs w:val="22"/>
          <w:lang w:val="es-ES_tradnl"/>
        </w:rPr>
        <w:t xml:space="preserve">y </w:t>
      </w:r>
      <w:r w:rsidR="00372208" w:rsidRPr="00E349EB">
        <w:rPr>
          <w:sz w:val="22"/>
          <w:szCs w:val="22"/>
          <w:lang w:val="es-ES_tradnl"/>
        </w:rPr>
        <w:t xml:space="preserve">28 </w:t>
      </w:r>
      <w:r w:rsidR="006A138F" w:rsidRPr="00E349EB">
        <w:rPr>
          <w:sz w:val="22"/>
          <w:szCs w:val="22"/>
          <w:lang w:val="es-ES_tradnl"/>
        </w:rPr>
        <w:t xml:space="preserve">auxiliares en enfermería o </w:t>
      </w:r>
      <w:proofErr w:type="spellStart"/>
      <w:r w:rsidR="006A138F" w:rsidRPr="00E349EB">
        <w:rPr>
          <w:sz w:val="22"/>
          <w:szCs w:val="22"/>
          <w:lang w:val="es-ES_tradnl"/>
        </w:rPr>
        <w:t>param</w:t>
      </w:r>
      <w:r w:rsidR="00DF6333" w:rsidRPr="00E349EB">
        <w:rPr>
          <w:sz w:val="22"/>
          <w:szCs w:val="22"/>
          <w:lang w:val="es-ES_tradnl"/>
        </w:rPr>
        <w:t>edicina</w:t>
      </w:r>
      <w:proofErr w:type="spellEnd"/>
      <w:r w:rsidR="00031871" w:rsidRPr="00E349EB">
        <w:rPr>
          <w:rStyle w:val="Refdenotaalpie"/>
          <w:sz w:val="22"/>
          <w:szCs w:val="22"/>
          <w:lang w:val="es-ES_tradnl"/>
        </w:rPr>
        <w:footnoteReference w:id="3"/>
      </w:r>
      <w:r w:rsidR="00974B4C" w:rsidRPr="00E349EB">
        <w:rPr>
          <w:sz w:val="22"/>
          <w:szCs w:val="22"/>
          <w:lang w:val="es-ES_tradnl"/>
        </w:rPr>
        <w:t>.</w:t>
      </w:r>
      <w:r w:rsidR="00317CF8" w:rsidRPr="00E349EB">
        <w:rPr>
          <w:sz w:val="22"/>
          <w:szCs w:val="22"/>
          <w:lang w:val="es-ES_tradnl"/>
        </w:rPr>
        <w:t xml:space="preserve"> </w:t>
      </w:r>
      <w:r w:rsidR="00913AAC" w:rsidRPr="00E349EB">
        <w:rPr>
          <w:sz w:val="22"/>
          <w:szCs w:val="22"/>
          <w:lang w:val="es-ES_tradnl"/>
        </w:rPr>
        <w:t>En el caso de las mujeres, 56% cont</w:t>
      </w:r>
      <w:r w:rsidR="00FA7E57">
        <w:rPr>
          <w:sz w:val="22"/>
          <w:szCs w:val="22"/>
          <w:lang w:val="es-ES_tradnl"/>
        </w:rPr>
        <w:t>ó</w:t>
      </w:r>
      <w:r w:rsidR="00913AAC" w:rsidRPr="00E349EB">
        <w:rPr>
          <w:sz w:val="22"/>
          <w:szCs w:val="22"/>
          <w:lang w:val="es-ES_tradnl"/>
        </w:rPr>
        <w:t xml:space="preserve"> con una formación profesional y 25% con estudios auxiliares o paramédicos. </w:t>
      </w:r>
      <w:r w:rsidR="00425A9E" w:rsidRPr="00E349EB">
        <w:rPr>
          <w:sz w:val="22"/>
          <w:szCs w:val="22"/>
          <w:lang w:val="es-ES_tradnl"/>
        </w:rPr>
        <w:t>El</w:t>
      </w:r>
      <w:r w:rsidR="00740F2E" w:rsidRPr="00E349EB">
        <w:rPr>
          <w:sz w:val="22"/>
          <w:szCs w:val="22"/>
          <w:lang w:val="es-ES_tradnl"/>
        </w:rPr>
        <w:t xml:space="preserve"> porcentaje de hombres para dichas categorías fue 44% y 41%, respectivamente.</w:t>
      </w:r>
    </w:p>
    <w:bookmarkEnd w:id="2"/>
    <w:p w14:paraId="7CD6355D" w14:textId="3E102DBB" w:rsidR="000F76B1" w:rsidRPr="00E349EB" w:rsidRDefault="00BA4423" w:rsidP="008626FD">
      <w:pPr>
        <w:pStyle w:val="Default"/>
        <w:spacing w:after="120"/>
        <w:ind w:firstLine="851"/>
        <w:jc w:val="both"/>
        <w:rPr>
          <w:lang w:val="es-ES_tradnl"/>
        </w:rPr>
      </w:pPr>
      <w:r w:rsidRPr="00E349EB">
        <w:rPr>
          <w:noProof/>
          <w:lang w:val="es-ES_tradnl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A3068" wp14:editId="2C699868">
                <wp:simplePos x="0" y="0"/>
                <wp:positionH relativeFrom="margin">
                  <wp:posOffset>328474</wp:posOffset>
                </wp:positionH>
                <wp:positionV relativeFrom="paragraph">
                  <wp:posOffset>13</wp:posOffset>
                </wp:positionV>
                <wp:extent cx="6353092" cy="542925"/>
                <wp:effectExtent l="0" t="0" r="0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092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C671F" w14:textId="4D17E58D" w:rsidR="00D87685" w:rsidRPr="009715F0" w:rsidRDefault="00D87685" w:rsidP="00D41A2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715F0">
                              <w:rPr>
                                <w:sz w:val="20"/>
                                <w:szCs w:val="20"/>
                                <w:lang w:val="es-MX"/>
                              </w:rPr>
                              <w:t>Gráfica 2</w:t>
                            </w:r>
                            <w:r w:rsidR="009715F0">
                              <w:rPr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14:paraId="5126BACD" w14:textId="00E0ECEC" w:rsidR="00BA4423" w:rsidRDefault="008626FD" w:rsidP="0068442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mallCaps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mallCaps/>
                                <w:szCs w:val="22"/>
                                <w:lang w:val="es-MX"/>
                              </w:rPr>
                              <w:t>E</w:t>
                            </w:r>
                            <w:r w:rsidR="00E349EB">
                              <w:rPr>
                                <w:rFonts w:cs="Arial"/>
                                <w:b/>
                                <w:bCs/>
                                <w:smallCaps/>
                                <w:szCs w:val="22"/>
                                <w:lang w:val="es-MX"/>
                              </w:rPr>
                              <w:t>nfermeros</w:t>
                            </w:r>
                            <w:r w:rsidR="00BA3302" w:rsidRPr="00BA3302">
                              <w:rPr>
                                <w:rFonts w:cs="Arial"/>
                                <w:b/>
                                <w:bCs/>
                                <w:smallCaps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BA3302">
                              <w:rPr>
                                <w:rFonts w:cs="Arial"/>
                                <w:b/>
                                <w:bCs/>
                                <w:smallCaps/>
                                <w:szCs w:val="22"/>
                                <w:lang w:val="es-MX"/>
                              </w:rPr>
                              <w:t>p</w:t>
                            </w:r>
                            <w:r w:rsidR="00495D21" w:rsidRPr="00BF66F9">
                              <w:rPr>
                                <w:rFonts w:cs="Arial"/>
                                <w:b/>
                                <w:bCs/>
                                <w:smallCaps/>
                                <w:szCs w:val="22"/>
                                <w:lang w:val="es-MX"/>
                              </w:rPr>
                              <w:t xml:space="preserve">or </w:t>
                            </w:r>
                            <w:r w:rsidR="00BA3302">
                              <w:rPr>
                                <w:rFonts w:cs="Arial"/>
                                <w:b/>
                                <w:bCs/>
                                <w:smallCaps/>
                                <w:szCs w:val="22"/>
                                <w:lang w:val="es-MX"/>
                              </w:rPr>
                              <w:t>t</w:t>
                            </w:r>
                            <w:r w:rsidR="00495D21" w:rsidRPr="00BF66F9">
                              <w:rPr>
                                <w:rFonts w:cs="Arial"/>
                                <w:b/>
                                <w:bCs/>
                                <w:smallCaps/>
                                <w:szCs w:val="22"/>
                                <w:lang w:val="es-MX"/>
                              </w:rPr>
                              <w:t xml:space="preserve">ipo </w:t>
                            </w:r>
                            <w:r w:rsidR="00BA3302">
                              <w:rPr>
                                <w:rFonts w:cs="Arial"/>
                                <w:b/>
                                <w:bCs/>
                                <w:smallCaps/>
                                <w:szCs w:val="22"/>
                                <w:lang w:val="es-MX"/>
                              </w:rPr>
                              <w:t>d</w:t>
                            </w:r>
                            <w:r w:rsidR="00BF66F9">
                              <w:rPr>
                                <w:rFonts w:cs="Arial"/>
                                <w:b/>
                                <w:bCs/>
                                <w:smallCaps/>
                                <w:szCs w:val="22"/>
                                <w:lang w:val="es-MX"/>
                              </w:rPr>
                              <w:t xml:space="preserve">e </w:t>
                            </w:r>
                            <w:r w:rsidR="00BA3302">
                              <w:rPr>
                                <w:rFonts w:cs="Arial"/>
                                <w:b/>
                                <w:bCs/>
                                <w:smallCaps/>
                                <w:szCs w:val="22"/>
                                <w:lang w:val="es-MX"/>
                              </w:rPr>
                              <w:t>a</w:t>
                            </w:r>
                            <w:r w:rsidR="00103C31">
                              <w:rPr>
                                <w:rFonts w:cs="Arial"/>
                                <w:b/>
                                <w:bCs/>
                                <w:smallCaps/>
                                <w:szCs w:val="22"/>
                                <w:lang w:val="es-MX"/>
                              </w:rPr>
                              <w:t>ctividad</w:t>
                            </w:r>
                          </w:p>
                          <w:p w14:paraId="2AD1C407" w14:textId="29478A61" w:rsidR="008626FD" w:rsidRPr="008626FD" w:rsidRDefault="008626FD" w:rsidP="008626F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626FD">
                              <w:rPr>
                                <w:sz w:val="18"/>
                                <w:szCs w:val="18"/>
                                <w:lang w:val="es-MX"/>
                              </w:rPr>
                              <w:t>(Distribución porcentual)</w:t>
                            </w:r>
                          </w:p>
                          <w:p w14:paraId="598A5452" w14:textId="77777777" w:rsidR="008626FD" w:rsidRPr="0068442B" w:rsidRDefault="008626FD" w:rsidP="0068442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mallCaps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A306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25.85pt;margin-top:0;width:500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" fillcolor="white [3201]" stroked="f" strokeweight=".5pt">
                <v:textbox>
                  <w:txbxContent>
                    <w:p w14:paraId="40DC671F" w14:textId="4D17E58D" w:rsidR="00D87685" w:rsidRPr="009715F0" w:rsidRDefault="00D87685" w:rsidP="00D41A2F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715F0">
                        <w:rPr>
                          <w:sz w:val="20"/>
                          <w:szCs w:val="20"/>
                          <w:lang w:val="es-MX"/>
                        </w:rPr>
                        <w:t>Gráfica 2</w:t>
                      </w:r>
                      <w:r w:rsidR="009715F0">
                        <w:rPr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14:paraId="5126BACD" w14:textId="00E0ECEC" w:rsidR="00BA4423" w:rsidRDefault="008626FD" w:rsidP="0068442B">
                      <w:pPr>
                        <w:jc w:val="center"/>
                        <w:rPr>
                          <w:rFonts w:cs="Arial"/>
                          <w:b/>
                          <w:bCs/>
                          <w:smallCaps/>
                          <w:szCs w:val="22"/>
                          <w:lang w:val="es-MX"/>
                        </w:rPr>
                      </w:pPr>
                      <w:r>
                        <w:rPr>
                          <w:rFonts w:cs="Arial"/>
                          <w:b/>
                          <w:bCs/>
                          <w:smallCaps/>
                          <w:szCs w:val="22"/>
                          <w:lang w:val="es-MX"/>
                        </w:rPr>
                        <w:t>E</w:t>
                      </w:r>
                      <w:r w:rsidR="00E349EB">
                        <w:rPr>
                          <w:rFonts w:cs="Arial"/>
                          <w:b/>
                          <w:bCs/>
                          <w:smallCaps/>
                          <w:szCs w:val="22"/>
                          <w:lang w:val="es-MX"/>
                        </w:rPr>
                        <w:t>nfermeros</w:t>
                      </w:r>
                      <w:r w:rsidR="00BA3302" w:rsidRPr="00BA3302">
                        <w:rPr>
                          <w:rFonts w:cs="Arial"/>
                          <w:b/>
                          <w:bCs/>
                          <w:smallCaps/>
                          <w:szCs w:val="22"/>
                          <w:lang w:val="es-MX"/>
                        </w:rPr>
                        <w:t xml:space="preserve"> </w:t>
                      </w:r>
                      <w:r w:rsidR="00BA3302">
                        <w:rPr>
                          <w:rFonts w:cs="Arial"/>
                          <w:b/>
                          <w:bCs/>
                          <w:smallCaps/>
                          <w:szCs w:val="22"/>
                          <w:lang w:val="es-MX"/>
                        </w:rPr>
                        <w:t>p</w:t>
                      </w:r>
                      <w:r w:rsidR="00495D21" w:rsidRPr="00BF66F9">
                        <w:rPr>
                          <w:rFonts w:cs="Arial"/>
                          <w:b/>
                          <w:bCs/>
                          <w:smallCaps/>
                          <w:szCs w:val="22"/>
                          <w:lang w:val="es-MX"/>
                        </w:rPr>
                        <w:t xml:space="preserve">or </w:t>
                      </w:r>
                      <w:r w:rsidR="00BA3302">
                        <w:rPr>
                          <w:rFonts w:cs="Arial"/>
                          <w:b/>
                          <w:bCs/>
                          <w:smallCaps/>
                          <w:szCs w:val="22"/>
                          <w:lang w:val="es-MX"/>
                        </w:rPr>
                        <w:t>t</w:t>
                      </w:r>
                      <w:r w:rsidR="00495D21" w:rsidRPr="00BF66F9">
                        <w:rPr>
                          <w:rFonts w:cs="Arial"/>
                          <w:b/>
                          <w:bCs/>
                          <w:smallCaps/>
                          <w:szCs w:val="22"/>
                          <w:lang w:val="es-MX"/>
                        </w:rPr>
                        <w:t xml:space="preserve">ipo </w:t>
                      </w:r>
                      <w:r w:rsidR="00BA3302">
                        <w:rPr>
                          <w:rFonts w:cs="Arial"/>
                          <w:b/>
                          <w:bCs/>
                          <w:smallCaps/>
                          <w:szCs w:val="22"/>
                          <w:lang w:val="es-MX"/>
                        </w:rPr>
                        <w:t>d</w:t>
                      </w:r>
                      <w:r w:rsidR="00BF66F9">
                        <w:rPr>
                          <w:rFonts w:cs="Arial"/>
                          <w:b/>
                          <w:bCs/>
                          <w:smallCaps/>
                          <w:szCs w:val="22"/>
                          <w:lang w:val="es-MX"/>
                        </w:rPr>
                        <w:t xml:space="preserve">e </w:t>
                      </w:r>
                      <w:r w:rsidR="00BA3302">
                        <w:rPr>
                          <w:rFonts w:cs="Arial"/>
                          <w:b/>
                          <w:bCs/>
                          <w:smallCaps/>
                          <w:szCs w:val="22"/>
                          <w:lang w:val="es-MX"/>
                        </w:rPr>
                        <w:t>a</w:t>
                      </w:r>
                      <w:r w:rsidR="00103C31">
                        <w:rPr>
                          <w:rFonts w:cs="Arial"/>
                          <w:b/>
                          <w:bCs/>
                          <w:smallCaps/>
                          <w:szCs w:val="22"/>
                          <w:lang w:val="es-MX"/>
                        </w:rPr>
                        <w:t>ctividad</w:t>
                      </w:r>
                    </w:p>
                    <w:p w14:paraId="2AD1C407" w14:textId="29478A61" w:rsidR="008626FD" w:rsidRPr="008626FD" w:rsidRDefault="008626FD" w:rsidP="008626FD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8626FD">
                        <w:rPr>
                          <w:sz w:val="18"/>
                          <w:szCs w:val="18"/>
                          <w:lang w:val="es-MX"/>
                        </w:rPr>
                        <w:t>(Distribución porcentual)</w:t>
                      </w:r>
                    </w:p>
                    <w:p w14:paraId="598A5452" w14:textId="77777777" w:rsidR="008626FD" w:rsidRPr="0068442B" w:rsidRDefault="008626FD" w:rsidP="0068442B">
                      <w:pPr>
                        <w:jc w:val="center"/>
                        <w:rPr>
                          <w:rFonts w:cs="Arial"/>
                          <w:b/>
                          <w:bCs/>
                          <w:smallCaps/>
                          <w:szCs w:val="22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49EB">
        <w:rPr>
          <w:noProof/>
          <w:lang w:val="es-ES_tradnl" w:eastAsia="es-MX"/>
        </w:rPr>
        <w:drawing>
          <wp:inline distT="0" distB="0" distL="0" distR="0" wp14:anchorId="0EE54618" wp14:editId="1B1B0333">
            <wp:extent cx="5876925" cy="2876550"/>
            <wp:effectExtent l="0" t="0" r="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3603F5A1-FEA9-4510-BD22-3869B543B5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3"/>
    </w:p>
    <w:p w14:paraId="3A18617D" w14:textId="0950BB25" w:rsidR="00D80800" w:rsidRPr="00E349EB" w:rsidRDefault="00F55597" w:rsidP="00B74CA2">
      <w:pPr>
        <w:autoSpaceDE w:val="0"/>
        <w:autoSpaceDN w:val="0"/>
        <w:adjustRightInd w:val="0"/>
        <w:spacing w:after="120"/>
        <w:ind w:left="426" w:right="454"/>
        <w:rPr>
          <w:rFonts w:eastAsiaTheme="minorHAnsi" w:cs="Arial"/>
          <w:color w:val="000000"/>
          <w:szCs w:val="22"/>
          <w:lang w:val="es-ES_tradnl" w:eastAsia="en-US"/>
        </w:rPr>
      </w:pPr>
      <w:r w:rsidRPr="00E349EB">
        <w:rPr>
          <w:rFonts w:eastAsiaTheme="minorHAnsi" w:cs="Arial"/>
          <w:color w:val="000000"/>
          <w:szCs w:val="22"/>
          <w:lang w:val="es-ES_tradnl" w:eastAsia="en-US"/>
        </w:rPr>
        <w:t xml:space="preserve">La edad promedio de las personas con esta ocupación </w:t>
      </w:r>
      <w:r w:rsidR="00B80411" w:rsidRPr="00E349EB">
        <w:rPr>
          <w:rFonts w:eastAsiaTheme="minorHAnsi" w:cs="Arial"/>
          <w:color w:val="000000"/>
          <w:szCs w:val="22"/>
          <w:lang w:val="es-ES_tradnl" w:eastAsia="en-US"/>
        </w:rPr>
        <w:t>fue</w:t>
      </w:r>
      <w:r w:rsidRPr="00E349EB">
        <w:rPr>
          <w:rFonts w:eastAsiaTheme="minorHAnsi" w:cs="Arial"/>
          <w:color w:val="000000"/>
          <w:szCs w:val="22"/>
          <w:lang w:val="es-ES_tradnl" w:eastAsia="en-US"/>
        </w:rPr>
        <w:t xml:space="preserve"> de 37 años. </w:t>
      </w:r>
      <w:r w:rsidR="00D929C8" w:rsidRPr="00E349EB">
        <w:rPr>
          <w:rFonts w:eastAsiaTheme="minorHAnsi" w:cs="Arial"/>
          <w:color w:val="000000"/>
          <w:szCs w:val="22"/>
          <w:lang w:val="es-ES_tradnl" w:eastAsia="en-US"/>
        </w:rPr>
        <w:t xml:space="preserve">Del total de la población de 15 años y más ocupada en el trabajo de enfermería, 33% </w:t>
      </w:r>
      <w:r w:rsidR="00B80411" w:rsidRPr="00E349EB">
        <w:rPr>
          <w:rFonts w:eastAsiaTheme="minorHAnsi" w:cs="Arial"/>
          <w:color w:val="000000"/>
          <w:szCs w:val="22"/>
          <w:lang w:val="es-ES_tradnl" w:eastAsia="en-US"/>
        </w:rPr>
        <w:t>tenía</w:t>
      </w:r>
      <w:r w:rsidR="00D929C8" w:rsidRPr="00E349EB">
        <w:rPr>
          <w:rFonts w:eastAsiaTheme="minorHAnsi" w:cs="Arial"/>
          <w:color w:val="000000"/>
          <w:szCs w:val="22"/>
          <w:lang w:val="es-ES_tradnl" w:eastAsia="en-US"/>
        </w:rPr>
        <w:t xml:space="preserve"> entre 15 y 29 años</w:t>
      </w:r>
      <w:r w:rsidR="00B80411" w:rsidRPr="00E349EB">
        <w:rPr>
          <w:rFonts w:eastAsiaTheme="minorHAnsi" w:cs="Arial"/>
          <w:color w:val="000000"/>
          <w:szCs w:val="22"/>
          <w:lang w:val="es-ES_tradnl" w:eastAsia="en-US"/>
        </w:rPr>
        <w:t xml:space="preserve"> de edad</w:t>
      </w:r>
      <w:r w:rsidR="00E349EB" w:rsidRPr="00E349EB">
        <w:rPr>
          <w:rFonts w:eastAsiaTheme="minorHAnsi" w:cs="Arial"/>
          <w:color w:val="000000"/>
          <w:szCs w:val="22"/>
          <w:lang w:val="es-ES_tradnl" w:eastAsia="en-US"/>
        </w:rPr>
        <w:t>, mientras que</w:t>
      </w:r>
      <w:r w:rsidR="00D929C8" w:rsidRPr="00E349EB">
        <w:rPr>
          <w:rFonts w:eastAsiaTheme="minorHAnsi" w:cs="Arial"/>
          <w:color w:val="000000"/>
          <w:szCs w:val="22"/>
          <w:lang w:val="es-ES_tradnl" w:eastAsia="en-US"/>
        </w:rPr>
        <w:t xml:space="preserve"> </w:t>
      </w:r>
      <w:r w:rsidRPr="00E349EB">
        <w:rPr>
          <w:rFonts w:eastAsiaTheme="minorHAnsi" w:cs="Arial"/>
          <w:color w:val="000000"/>
          <w:szCs w:val="22"/>
          <w:lang w:val="es-ES_tradnl" w:eastAsia="en-US"/>
        </w:rPr>
        <w:t>52</w:t>
      </w:r>
      <w:r w:rsidR="00D929C8" w:rsidRPr="00E349EB">
        <w:rPr>
          <w:rFonts w:eastAsiaTheme="minorHAnsi" w:cs="Arial"/>
          <w:color w:val="000000"/>
          <w:szCs w:val="22"/>
          <w:lang w:val="es-ES_tradnl" w:eastAsia="en-US"/>
        </w:rPr>
        <w:t xml:space="preserve">% </w:t>
      </w:r>
      <w:r w:rsidR="00B80411" w:rsidRPr="00E349EB">
        <w:rPr>
          <w:rFonts w:eastAsiaTheme="minorHAnsi" w:cs="Arial"/>
          <w:color w:val="000000"/>
          <w:szCs w:val="22"/>
          <w:lang w:val="es-ES_tradnl" w:eastAsia="en-US"/>
        </w:rPr>
        <w:t>reportó tener</w:t>
      </w:r>
      <w:r w:rsidR="00D929C8" w:rsidRPr="00E349EB">
        <w:rPr>
          <w:rFonts w:eastAsiaTheme="minorHAnsi" w:cs="Arial"/>
          <w:color w:val="000000"/>
          <w:szCs w:val="22"/>
          <w:lang w:val="es-ES_tradnl" w:eastAsia="en-US"/>
        </w:rPr>
        <w:t xml:space="preserve"> entre 3</w:t>
      </w:r>
      <w:r w:rsidR="00C94F3A" w:rsidRPr="00E349EB">
        <w:rPr>
          <w:rFonts w:eastAsiaTheme="minorHAnsi" w:cs="Arial"/>
          <w:color w:val="000000"/>
          <w:szCs w:val="22"/>
          <w:lang w:val="es-ES_tradnl" w:eastAsia="en-US"/>
        </w:rPr>
        <w:t>0</w:t>
      </w:r>
      <w:r w:rsidR="00D929C8" w:rsidRPr="00E349EB">
        <w:rPr>
          <w:rFonts w:eastAsiaTheme="minorHAnsi" w:cs="Arial"/>
          <w:color w:val="000000"/>
          <w:szCs w:val="22"/>
          <w:lang w:val="es-ES_tradnl" w:eastAsia="en-US"/>
        </w:rPr>
        <w:t xml:space="preserve"> y </w:t>
      </w:r>
      <w:r w:rsidRPr="00E349EB">
        <w:rPr>
          <w:rFonts w:eastAsiaTheme="minorHAnsi" w:cs="Arial"/>
          <w:color w:val="000000"/>
          <w:szCs w:val="22"/>
          <w:lang w:val="es-ES_tradnl" w:eastAsia="en-US"/>
        </w:rPr>
        <w:t>49 años.</w:t>
      </w:r>
    </w:p>
    <w:p w14:paraId="43AF590E" w14:textId="647350BA" w:rsidR="009725A7" w:rsidRPr="00E349EB" w:rsidRDefault="009725A7" w:rsidP="008626FD">
      <w:pPr>
        <w:autoSpaceDE w:val="0"/>
        <w:autoSpaceDN w:val="0"/>
        <w:adjustRightInd w:val="0"/>
        <w:ind w:left="426" w:firstLine="425"/>
        <w:rPr>
          <w:sz w:val="23"/>
          <w:szCs w:val="23"/>
          <w:lang w:val="es-ES_tradnl"/>
        </w:rPr>
      </w:pPr>
      <w:r w:rsidRPr="00E349EB">
        <w:rPr>
          <w:noProof/>
          <w:lang w:val="es-ES_tradnl" w:eastAsia="es-MX"/>
        </w:rPr>
        <w:drawing>
          <wp:inline distT="0" distB="0" distL="0" distR="0" wp14:anchorId="57C10020" wp14:editId="3604A19C">
            <wp:extent cx="5857875" cy="3752850"/>
            <wp:effectExtent l="0" t="0" r="9525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3768108F-45F0-4C7F-B2A8-4D29CAF186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71BB06F" w14:textId="77777777" w:rsidR="00822B50" w:rsidRPr="00E349EB" w:rsidRDefault="00822B50" w:rsidP="00CF5141">
      <w:pPr>
        <w:autoSpaceDE w:val="0"/>
        <w:autoSpaceDN w:val="0"/>
        <w:adjustRightInd w:val="0"/>
        <w:ind w:left="426"/>
        <w:rPr>
          <w:sz w:val="23"/>
          <w:szCs w:val="23"/>
          <w:lang w:val="es-ES_tradnl"/>
        </w:rPr>
      </w:pPr>
    </w:p>
    <w:p w14:paraId="7DC25F96" w14:textId="765675F8" w:rsidR="00395CF1" w:rsidRPr="00E349EB" w:rsidRDefault="002A675F" w:rsidP="007379C3">
      <w:pPr>
        <w:pStyle w:val="Default"/>
        <w:ind w:left="426" w:right="454"/>
        <w:jc w:val="both"/>
        <w:rPr>
          <w:sz w:val="22"/>
          <w:szCs w:val="22"/>
          <w:lang w:val="es-ES_tradnl"/>
        </w:rPr>
      </w:pPr>
      <w:r w:rsidRPr="00E349EB">
        <w:rPr>
          <w:sz w:val="22"/>
          <w:szCs w:val="22"/>
          <w:lang w:val="es-ES_tradnl"/>
        </w:rPr>
        <w:t xml:space="preserve">En el </w:t>
      </w:r>
      <w:r w:rsidR="005C22E2" w:rsidRPr="00E349EB">
        <w:rPr>
          <w:sz w:val="22"/>
          <w:szCs w:val="22"/>
          <w:lang w:val="es-ES_tradnl"/>
        </w:rPr>
        <w:t>cuarto trimestre de 2021</w:t>
      </w:r>
      <w:r w:rsidRPr="00E349EB">
        <w:rPr>
          <w:sz w:val="22"/>
          <w:szCs w:val="22"/>
          <w:lang w:val="es-ES_tradnl"/>
        </w:rPr>
        <w:t xml:space="preserve"> </w:t>
      </w:r>
      <w:r w:rsidR="00B966C5" w:rsidRPr="00E349EB">
        <w:rPr>
          <w:sz w:val="22"/>
          <w:szCs w:val="22"/>
          <w:lang w:val="es-ES_tradnl"/>
        </w:rPr>
        <w:t>se registraron</w:t>
      </w:r>
      <w:r w:rsidR="001A4064" w:rsidRPr="00E349EB">
        <w:rPr>
          <w:sz w:val="22"/>
          <w:szCs w:val="22"/>
          <w:lang w:val="es-ES_tradnl"/>
        </w:rPr>
        <w:t xml:space="preserve"> en promedio</w:t>
      </w:r>
      <w:r w:rsidR="00DC32F0" w:rsidRPr="00E349EB">
        <w:rPr>
          <w:sz w:val="22"/>
          <w:szCs w:val="22"/>
          <w:lang w:val="es-ES_tradnl"/>
        </w:rPr>
        <w:t xml:space="preserve"> 3.5 </w:t>
      </w:r>
      <w:r w:rsidR="00663C39" w:rsidRPr="00E349EB">
        <w:rPr>
          <w:sz w:val="22"/>
          <w:szCs w:val="22"/>
          <w:lang w:val="es-ES_tradnl"/>
        </w:rPr>
        <w:t>trabajadores de enfermería por cada mil habitantes</w:t>
      </w:r>
      <w:r w:rsidR="00B966C5" w:rsidRPr="00E349EB">
        <w:rPr>
          <w:sz w:val="22"/>
          <w:szCs w:val="22"/>
          <w:lang w:val="es-ES_tradnl"/>
        </w:rPr>
        <w:t xml:space="preserve"> en México</w:t>
      </w:r>
      <w:r w:rsidR="005C22E2" w:rsidRPr="00E349EB">
        <w:rPr>
          <w:rStyle w:val="Refdenotaalpie"/>
          <w:sz w:val="22"/>
          <w:szCs w:val="22"/>
          <w:lang w:val="es-ES_tradnl"/>
        </w:rPr>
        <w:footnoteReference w:id="4"/>
      </w:r>
      <w:r w:rsidR="00663C39" w:rsidRPr="00E349EB">
        <w:rPr>
          <w:sz w:val="22"/>
          <w:szCs w:val="22"/>
          <w:lang w:val="es-ES_tradnl"/>
        </w:rPr>
        <w:t xml:space="preserve">. </w:t>
      </w:r>
      <w:r w:rsidR="002966EB" w:rsidRPr="00E349EB">
        <w:rPr>
          <w:sz w:val="22"/>
          <w:szCs w:val="22"/>
          <w:lang w:val="es-ES_tradnl"/>
        </w:rPr>
        <w:t>Al</w:t>
      </w:r>
      <w:r w:rsidR="00D71F2E" w:rsidRPr="00E349EB">
        <w:rPr>
          <w:sz w:val="22"/>
          <w:szCs w:val="22"/>
          <w:lang w:val="es-ES_tradnl"/>
        </w:rPr>
        <w:t xml:space="preserve"> </w:t>
      </w:r>
      <w:r w:rsidR="001663AD" w:rsidRPr="00E349EB">
        <w:rPr>
          <w:sz w:val="22"/>
          <w:szCs w:val="22"/>
          <w:lang w:val="es-ES_tradnl"/>
        </w:rPr>
        <w:t>considera</w:t>
      </w:r>
      <w:r w:rsidR="002966EB" w:rsidRPr="00E349EB">
        <w:rPr>
          <w:sz w:val="22"/>
          <w:szCs w:val="22"/>
          <w:lang w:val="es-ES_tradnl"/>
        </w:rPr>
        <w:t>r</w:t>
      </w:r>
      <w:r w:rsidR="001663AD" w:rsidRPr="00E349EB">
        <w:rPr>
          <w:sz w:val="22"/>
          <w:szCs w:val="22"/>
          <w:lang w:val="es-ES_tradnl"/>
        </w:rPr>
        <w:t xml:space="preserve"> a las y los auxiliares de enfermería y </w:t>
      </w:r>
      <w:proofErr w:type="spellStart"/>
      <w:r w:rsidR="001663AD" w:rsidRPr="00E349EB">
        <w:rPr>
          <w:sz w:val="22"/>
          <w:szCs w:val="22"/>
          <w:lang w:val="es-ES_tradnl"/>
        </w:rPr>
        <w:t>paramedicina</w:t>
      </w:r>
      <w:proofErr w:type="spellEnd"/>
      <w:r w:rsidR="001663AD" w:rsidRPr="00E349EB">
        <w:rPr>
          <w:rStyle w:val="Refdenotaalpie"/>
          <w:sz w:val="22"/>
          <w:szCs w:val="22"/>
          <w:lang w:val="es-ES_tradnl"/>
        </w:rPr>
        <w:footnoteReference w:id="5"/>
      </w:r>
      <w:r w:rsidR="001663AD" w:rsidRPr="00E349EB">
        <w:rPr>
          <w:sz w:val="22"/>
          <w:szCs w:val="22"/>
          <w:lang w:val="es-ES_tradnl"/>
        </w:rPr>
        <w:t>, e</w:t>
      </w:r>
      <w:r w:rsidR="00A313A4" w:rsidRPr="00E349EB">
        <w:rPr>
          <w:sz w:val="22"/>
          <w:szCs w:val="22"/>
          <w:lang w:val="es-ES_tradnl"/>
        </w:rPr>
        <w:t xml:space="preserve">l promedio de </w:t>
      </w:r>
      <w:r w:rsidR="002F5AFE" w:rsidRPr="00E349EB">
        <w:rPr>
          <w:sz w:val="22"/>
          <w:szCs w:val="22"/>
          <w:lang w:val="es-ES_tradnl"/>
        </w:rPr>
        <w:t>personal de enfermería</w:t>
      </w:r>
      <w:r w:rsidR="00A313A4" w:rsidRPr="00E349EB">
        <w:rPr>
          <w:sz w:val="22"/>
          <w:szCs w:val="22"/>
          <w:lang w:val="es-ES_tradnl"/>
        </w:rPr>
        <w:t xml:space="preserve"> </w:t>
      </w:r>
      <w:r w:rsidR="00E349EB">
        <w:rPr>
          <w:sz w:val="22"/>
          <w:szCs w:val="22"/>
          <w:lang w:val="es-ES_tradnl"/>
        </w:rPr>
        <w:t>asciende</w:t>
      </w:r>
      <w:r w:rsidR="00A313A4" w:rsidRPr="00E349EB">
        <w:rPr>
          <w:sz w:val="22"/>
          <w:szCs w:val="22"/>
          <w:lang w:val="es-ES_tradnl"/>
        </w:rPr>
        <w:t xml:space="preserve"> a 4.8</w:t>
      </w:r>
      <w:r w:rsidR="00121504" w:rsidRPr="00E349EB">
        <w:rPr>
          <w:sz w:val="22"/>
          <w:szCs w:val="22"/>
          <w:lang w:val="es-ES_tradnl"/>
        </w:rPr>
        <w:t xml:space="preserve"> por cada mil habitantes</w:t>
      </w:r>
      <w:r w:rsidR="00167643" w:rsidRPr="00E349EB">
        <w:rPr>
          <w:sz w:val="22"/>
          <w:szCs w:val="22"/>
          <w:lang w:val="es-ES_tradnl"/>
        </w:rPr>
        <w:t>.</w:t>
      </w:r>
      <w:r w:rsidR="00090569" w:rsidRPr="00E349EB">
        <w:rPr>
          <w:sz w:val="22"/>
          <w:szCs w:val="22"/>
          <w:lang w:val="es-ES_tradnl"/>
        </w:rPr>
        <w:t xml:space="preserve"> </w:t>
      </w:r>
    </w:p>
    <w:p w14:paraId="24D9F142" w14:textId="77777777" w:rsidR="000E6CA4" w:rsidRPr="00E349EB" w:rsidRDefault="000E6CA4" w:rsidP="00D41A2F">
      <w:pPr>
        <w:pStyle w:val="Default"/>
        <w:ind w:left="426" w:right="454"/>
        <w:jc w:val="both"/>
        <w:rPr>
          <w:sz w:val="22"/>
          <w:szCs w:val="22"/>
          <w:lang w:val="es-ES_tradnl"/>
        </w:rPr>
      </w:pPr>
    </w:p>
    <w:p w14:paraId="58093CE1" w14:textId="0C7E4934" w:rsidR="000D284C" w:rsidRPr="00E349EB" w:rsidRDefault="00CF5141" w:rsidP="00D41A2F">
      <w:pPr>
        <w:pStyle w:val="Default"/>
        <w:ind w:left="426" w:right="454"/>
        <w:jc w:val="both"/>
        <w:rPr>
          <w:sz w:val="22"/>
          <w:szCs w:val="22"/>
          <w:lang w:val="es-ES_tradnl"/>
        </w:rPr>
      </w:pPr>
      <w:r w:rsidRPr="00E349EB">
        <w:rPr>
          <w:sz w:val="22"/>
          <w:szCs w:val="22"/>
          <w:lang w:val="es-ES_tradnl"/>
        </w:rPr>
        <w:t>El</w:t>
      </w:r>
      <w:r w:rsidR="00EA544A" w:rsidRPr="00E349EB">
        <w:rPr>
          <w:sz w:val="22"/>
          <w:szCs w:val="22"/>
          <w:lang w:val="es-ES_tradnl"/>
        </w:rPr>
        <w:t xml:space="preserve"> </w:t>
      </w:r>
      <w:r w:rsidR="000D284C" w:rsidRPr="00E349EB">
        <w:rPr>
          <w:sz w:val="22"/>
          <w:szCs w:val="22"/>
          <w:lang w:val="es-ES_tradnl"/>
        </w:rPr>
        <w:t xml:space="preserve">98% de las </w:t>
      </w:r>
      <w:r w:rsidR="0002758C" w:rsidRPr="00E349EB">
        <w:rPr>
          <w:sz w:val="22"/>
          <w:szCs w:val="22"/>
          <w:lang w:val="es-ES_tradnl"/>
        </w:rPr>
        <w:t>personas que reportaron ofrecer servicios de enfermería lo hi</w:t>
      </w:r>
      <w:r w:rsidR="00FA7E57">
        <w:rPr>
          <w:sz w:val="22"/>
          <w:szCs w:val="22"/>
          <w:lang w:val="es-ES_tradnl"/>
        </w:rPr>
        <w:t>zo</w:t>
      </w:r>
      <w:r w:rsidR="0002758C" w:rsidRPr="00E349EB">
        <w:rPr>
          <w:sz w:val="22"/>
          <w:szCs w:val="22"/>
          <w:lang w:val="es-ES_tradnl"/>
        </w:rPr>
        <w:t xml:space="preserve"> </w:t>
      </w:r>
      <w:r w:rsidR="009477F4" w:rsidRPr="00E349EB">
        <w:rPr>
          <w:sz w:val="22"/>
          <w:szCs w:val="22"/>
          <w:lang w:val="es-ES_tradnl"/>
        </w:rPr>
        <w:t xml:space="preserve">en </w:t>
      </w:r>
      <w:r w:rsidR="000D284C" w:rsidRPr="00E349EB">
        <w:rPr>
          <w:sz w:val="22"/>
          <w:szCs w:val="22"/>
          <w:lang w:val="es-ES_tradnl"/>
        </w:rPr>
        <w:t>el sector terciario o de servicios</w:t>
      </w:r>
      <w:r w:rsidR="00A313A4" w:rsidRPr="00E349EB">
        <w:rPr>
          <w:sz w:val="22"/>
          <w:szCs w:val="22"/>
          <w:lang w:val="es-ES_tradnl"/>
        </w:rPr>
        <w:t xml:space="preserve">. </w:t>
      </w:r>
      <w:r w:rsidR="00A313A4" w:rsidRPr="00283B09">
        <w:rPr>
          <w:sz w:val="22"/>
          <w:szCs w:val="22"/>
          <w:lang w:val="es-ES_tradnl"/>
        </w:rPr>
        <w:t xml:space="preserve">En </w:t>
      </w:r>
      <w:r w:rsidR="00FA660E" w:rsidRPr="00283B09">
        <w:rPr>
          <w:sz w:val="22"/>
          <w:szCs w:val="22"/>
          <w:lang w:val="es-ES_tradnl"/>
        </w:rPr>
        <w:t>este</w:t>
      </w:r>
      <w:r w:rsidR="00A313A4" w:rsidRPr="00283B09">
        <w:rPr>
          <w:sz w:val="22"/>
          <w:szCs w:val="22"/>
          <w:lang w:val="es-ES_tradnl"/>
        </w:rPr>
        <w:t xml:space="preserve"> segmento, </w:t>
      </w:r>
      <w:r w:rsidR="0072348F" w:rsidRPr="00283B09">
        <w:rPr>
          <w:sz w:val="22"/>
          <w:szCs w:val="22"/>
          <w:lang w:val="es-ES_tradnl"/>
        </w:rPr>
        <w:t>91%</w:t>
      </w:r>
      <w:r w:rsidR="000D284C" w:rsidRPr="00283B09">
        <w:rPr>
          <w:sz w:val="22"/>
          <w:szCs w:val="22"/>
          <w:lang w:val="es-ES_tradnl"/>
        </w:rPr>
        <w:t xml:space="preserve"> </w:t>
      </w:r>
      <w:r w:rsidR="00F20DC8" w:rsidRPr="00283B09">
        <w:rPr>
          <w:sz w:val="22"/>
          <w:szCs w:val="22"/>
          <w:lang w:val="es-ES_tradnl"/>
        </w:rPr>
        <w:t>t</w:t>
      </w:r>
      <w:r w:rsidR="003E39EE" w:rsidRPr="00283B09">
        <w:rPr>
          <w:sz w:val="22"/>
          <w:szCs w:val="22"/>
          <w:lang w:val="es-ES_tradnl"/>
        </w:rPr>
        <w:t>rabajó</w:t>
      </w:r>
      <w:r w:rsidR="00A313A4" w:rsidRPr="00283B09">
        <w:rPr>
          <w:sz w:val="22"/>
          <w:szCs w:val="22"/>
          <w:lang w:val="es-ES_tradnl"/>
        </w:rPr>
        <w:t xml:space="preserve"> en </w:t>
      </w:r>
      <w:r w:rsidR="00395CF1" w:rsidRPr="00283B09">
        <w:rPr>
          <w:sz w:val="22"/>
          <w:szCs w:val="22"/>
          <w:lang w:val="es-ES_tradnl"/>
        </w:rPr>
        <w:t>hospitales, clínicas, consultorios</w:t>
      </w:r>
      <w:r w:rsidR="00260AC8" w:rsidRPr="00283B09">
        <w:rPr>
          <w:sz w:val="22"/>
          <w:szCs w:val="22"/>
          <w:lang w:val="es-ES_tradnl"/>
        </w:rPr>
        <w:t xml:space="preserve">; </w:t>
      </w:r>
      <w:r w:rsidR="0072348F" w:rsidRPr="00283B09">
        <w:rPr>
          <w:sz w:val="22"/>
          <w:szCs w:val="22"/>
          <w:lang w:val="es-ES_tradnl"/>
        </w:rPr>
        <w:t xml:space="preserve">5% en </w:t>
      </w:r>
      <w:r w:rsidR="00842983" w:rsidRPr="00283B09">
        <w:rPr>
          <w:sz w:val="22"/>
          <w:szCs w:val="22"/>
          <w:lang w:val="es-ES_tradnl"/>
        </w:rPr>
        <w:t>g</w:t>
      </w:r>
      <w:r w:rsidR="0072348F" w:rsidRPr="00283B09">
        <w:rPr>
          <w:sz w:val="22"/>
          <w:szCs w:val="22"/>
          <w:lang w:val="es-ES_tradnl"/>
        </w:rPr>
        <w:t>obierno y organismos internacionales</w:t>
      </w:r>
      <w:r w:rsidR="00A313A4" w:rsidRPr="00283B09">
        <w:rPr>
          <w:sz w:val="22"/>
          <w:szCs w:val="22"/>
          <w:lang w:val="es-ES_tradnl"/>
        </w:rPr>
        <w:t>,</w:t>
      </w:r>
      <w:r w:rsidR="00FA660E" w:rsidRPr="00283B09">
        <w:rPr>
          <w:sz w:val="22"/>
          <w:szCs w:val="22"/>
          <w:lang w:val="es-ES_tradnl"/>
        </w:rPr>
        <w:t xml:space="preserve"> y</w:t>
      </w:r>
      <w:r w:rsidR="007E2F2E" w:rsidRPr="00283B09">
        <w:rPr>
          <w:sz w:val="22"/>
          <w:szCs w:val="22"/>
          <w:lang w:val="es-ES_tradnl"/>
        </w:rPr>
        <w:t xml:space="preserve"> </w:t>
      </w:r>
      <w:r w:rsidR="00233D4F" w:rsidRPr="00283B09">
        <w:rPr>
          <w:sz w:val="22"/>
          <w:szCs w:val="22"/>
          <w:lang w:val="es-ES_tradnl"/>
        </w:rPr>
        <w:t>5</w:t>
      </w:r>
      <w:r w:rsidR="007E2F2E" w:rsidRPr="00283B09">
        <w:rPr>
          <w:sz w:val="22"/>
          <w:szCs w:val="22"/>
          <w:lang w:val="es-ES_tradnl"/>
        </w:rPr>
        <w:t>% en otros subsect</w:t>
      </w:r>
      <w:r w:rsidR="00F96A2F" w:rsidRPr="00283B09">
        <w:rPr>
          <w:sz w:val="22"/>
          <w:szCs w:val="22"/>
          <w:lang w:val="es-ES_tradnl"/>
        </w:rPr>
        <w:t>ores</w:t>
      </w:r>
      <w:r w:rsidR="00283B09" w:rsidRPr="00283B09">
        <w:rPr>
          <w:rStyle w:val="Refdenotaalpie"/>
          <w:sz w:val="22"/>
          <w:szCs w:val="22"/>
          <w:lang w:val="es-ES_tradnl"/>
        </w:rPr>
        <w:footnoteReference w:id="6"/>
      </w:r>
      <w:r w:rsidR="00F96A2F" w:rsidRPr="00283B09">
        <w:rPr>
          <w:sz w:val="22"/>
          <w:szCs w:val="22"/>
          <w:lang w:val="es-ES_tradnl"/>
        </w:rPr>
        <w:t>.</w:t>
      </w:r>
    </w:p>
    <w:p w14:paraId="75715DA6" w14:textId="310C6BB1" w:rsidR="000D284C" w:rsidRPr="00E349EB" w:rsidRDefault="0002758C" w:rsidP="00D41A2F">
      <w:pPr>
        <w:autoSpaceDE w:val="0"/>
        <w:autoSpaceDN w:val="0"/>
        <w:adjustRightInd w:val="0"/>
        <w:spacing w:before="120" w:after="120" w:line="280" w:lineRule="exact"/>
        <w:ind w:left="426" w:right="454"/>
        <w:rPr>
          <w:rFonts w:cs="Arial"/>
          <w:lang w:val="es-ES_tradnl"/>
        </w:rPr>
      </w:pPr>
      <w:r w:rsidRPr="00E349EB">
        <w:rPr>
          <w:rFonts w:cs="Arial"/>
          <w:lang w:val="es-ES_tradnl"/>
        </w:rPr>
        <w:t xml:space="preserve">Por tamaño </w:t>
      </w:r>
      <w:r w:rsidR="00084C14" w:rsidRPr="00E349EB">
        <w:rPr>
          <w:rFonts w:cs="Arial"/>
          <w:lang w:val="es-ES_tradnl"/>
        </w:rPr>
        <w:t xml:space="preserve">y tipo </w:t>
      </w:r>
      <w:r w:rsidRPr="00E349EB">
        <w:rPr>
          <w:rFonts w:cs="Arial"/>
          <w:lang w:val="es-ES_tradnl"/>
        </w:rPr>
        <w:t>de establecimiento</w:t>
      </w:r>
      <w:r w:rsidR="000D284C" w:rsidRPr="00E349EB">
        <w:rPr>
          <w:rFonts w:cs="Arial"/>
          <w:lang w:val="es-ES_tradnl"/>
        </w:rPr>
        <w:t>,</w:t>
      </w:r>
      <w:r w:rsidR="00076F58" w:rsidRPr="00E349EB">
        <w:rPr>
          <w:rFonts w:cs="Arial"/>
          <w:lang w:val="es-ES_tradnl"/>
        </w:rPr>
        <w:t xml:space="preserve"> </w:t>
      </w:r>
      <w:r w:rsidR="000D284C" w:rsidRPr="00E349EB">
        <w:rPr>
          <w:rFonts w:cs="Arial"/>
          <w:lang w:val="es-ES_tradnl"/>
        </w:rPr>
        <w:t>3</w:t>
      </w:r>
      <w:r w:rsidR="00D71B87" w:rsidRPr="00E349EB">
        <w:rPr>
          <w:rFonts w:cs="Arial"/>
          <w:lang w:val="es-ES_tradnl"/>
        </w:rPr>
        <w:t>2</w:t>
      </w:r>
      <w:r w:rsidR="000D284C" w:rsidRPr="00E349EB">
        <w:rPr>
          <w:rFonts w:cs="Arial"/>
          <w:lang w:val="es-ES_tradnl"/>
        </w:rPr>
        <w:t xml:space="preserve">% </w:t>
      </w:r>
      <w:r w:rsidR="0001565D" w:rsidRPr="00E349EB">
        <w:rPr>
          <w:rFonts w:cs="Arial"/>
          <w:lang w:val="es-ES_tradnl"/>
        </w:rPr>
        <w:t>trabaj</w:t>
      </w:r>
      <w:r w:rsidR="008626FD">
        <w:rPr>
          <w:rFonts w:cs="Arial"/>
          <w:lang w:val="es-ES_tradnl"/>
        </w:rPr>
        <w:t>ó</w:t>
      </w:r>
      <w:r w:rsidR="000D284C" w:rsidRPr="00E349EB">
        <w:rPr>
          <w:rFonts w:cs="Arial"/>
          <w:lang w:val="es-ES_tradnl"/>
        </w:rPr>
        <w:t xml:space="preserve"> en grandes establecimientos, </w:t>
      </w:r>
      <w:r w:rsidR="00D71B87" w:rsidRPr="00E349EB">
        <w:rPr>
          <w:rFonts w:cs="Arial"/>
          <w:lang w:val="es-ES_tradnl"/>
        </w:rPr>
        <w:t>30</w:t>
      </w:r>
      <w:r w:rsidR="000D284C" w:rsidRPr="00E349EB">
        <w:rPr>
          <w:rFonts w:cs="Arial"/>
          <w:lang w:val="es-ES_tradnl"/>
        </w:rPr>
        <w:t xml:space="preserve">% </w:t>
      </w:r>
      <w:r w:rsidR="00076F58" w:rsidRPr="00E349EB">
        <w:rPr>
          <w:rFonts w:cs="Arial"/>
          <w:lang w:val="es-ES_tradnl"/>
        </w:rPr>
        <w:t>en establecimientos medianos, 23% en pequeñas unidades económicas</w:t>
      </w:r>
      <w:r w:rsidR="00FA660E" w:rsidRPr="00E349EB">
        <w:rPr>
          <w:rFonts w:cs="Arial"/>
          <w:lang w:val="es-ES_tradnl"/>
        </w:rPr>
        <w:t xml:space="preserve"> </w:t>
      </w:r>
      <w:r w:rsidR="00B017BD" w:rsidRPr="00E349EB">
        <w:rPr>
          <w:rFonts w:cs="Arial"/>
          <w:lang w:val="es-ES_tradnl"/>
        </w:rPr>
        <w:t xml:space="preserve">y 15% </w:t>
      </w:r>
      <w:r w:rsidR="000D284C" w:rsidRPr="00E349EB">
        <w:rPr>
          <w:rFonts w:cs="Arial"/>
          <w:lang w:val="es-ES_tradnl"/>
        </w:rPr>
        <w:t>en micronegocios</w:t>
      </w:r>
      <w:r w:rsidR="00B017BD" w:rsidRPr="00E349EB">
        <w:rPr>
          <w:rFonts w:cs="Arial"/>
          <w:lang w:val="es-ES_tradnl"/>
        </w:rPr>
        <w:t xml:space="preserve">, </w:t>
      </w:r>
      <w:r w:rsidR="009B3D25" w:rsidRPr="00E349EB">
        <w:rPr>
          <w:rFonts w:cs="Arial"/>
          <w:lang w:val="es-ES_tradnl"/>
        </w:rPr>
        <w:t xml:space="preserve">gobierno </w:t>
      </w:r>
      <w:r w:rsidR="005C1520" w:rsidRPr="00E349EB">
        <w:rPr>
          <w:rFonts w:cs="Arial"/>
          <w:lang w:val="es-ES_tradnl"/>
        </w:rPr>
        <w:t>u</w:t>
      </w:r>
      <w:r w:rsidR="009B3D25" w:rsidRPr="00E349EB">
        <w:rPr>
          <w:rFonts w:cs="Arial"/>
          <w:lang w:val="es-ES_tradnl"/>
        </w:rPr>
        <w:t xml:space="preserve"> </w:t>
      </w:r>
      <w:r w:rsidR="000D284C" w:rsidRPr="00E349EB">
        <w:rPr>
          <w:rFonts w:cs="Arial"/>
          <w:lang w:val="es-ES_tradnl"/>
        </w:rPr>
        <w:t xml:space="preserve">otro tipo </w:t>
      </w:r>
      <w:r w:rsidR="000D284C" w:rsidRPr="00283B09">
        <w:rPr>
          <w:rFonts w:cs="Arial"/>
          <w:lang w:val="es-ES_tradnl"/>
        </w:rPr>
        <w:t>de empresas</w:t>
      </w:r>
      <w:r w:rsidR="008F2837" w:rsidRPr="00283B09">
        <w:rPr>
          <w:rFonts w:cs="Arial"/>
          <w:lang w:val="es-ES_tradnl"/>
        </w:rPr>
        <w:t>. Considerando el</w:t>
      </w:r>
      <w:r w:rsidR="000D284C" w:rsidRPr="00283B09">
        <w:rPr>
          <w:rFonts w:cs="Arial"/>
          <w:lang w:val="es-ES_tradnl"/>
        </w:rPr>
        <w:t xml:space="preserve"> tipo de unidad económica, </w:t>
      </w:r>
      <w:bookmarkStart w:id="5" w:name="_Hlk82519840"/>
      <w:r w:rsidR="000D284C" w:rsidRPr="00283B09">
        <w:rPr>
          <w:rFonts w:cs="Arial"/>
          <w:lang w:val="es-ES_tradnl"/>
        </w:rPr>
        <w:t xml:space="preserve">de cada </w:t>
      </w:r>
      <w:r w:rsidR="00B17F8E" w:rsidRPr="00283B09">
        <w:rPr>
          <w:rFonts w:cs="Arial"/>
          <w:lang w:val="es-ES_tradnl"/>
        </w:rPr>
        <w:t xml:space="preserve">100 </w:t>
      </w:r>
      <w:r w:rsidR="00625CCB" w:rsidRPr="00283B09">
        <w:rPr>
          <w:rFonts w:cs="Arial"/>
          <w:lang w:val="es-ES_tradnl"/>
        </w:rPr>
        <w:t>personas ocupada</w:t>
      </w:r>
      <w:r w:rsidR="008626FD" w:rsidRPr="00283B09">
        <w:rPr>
          <w:rFonts w:cs="Arial"/>
          <w:lang w:val="es-ES_tradnl"/>
        </w:rPr>
        <w:t>s</w:t>
      </w:r>
      <w:r w:rsidR="00625CCB" w:rsidRPr="00283B09">
        <w:rPr>
          <w:rFonts w:cs="Arial"/>
          <w:lang w:val="es-ES_tradnl"/>
        </w:rPr>
        <w:t xml:space="preserve"> en enfermería</w:t>
      </w:r>
      <w:r w:rsidR="00400214" w:rsidRPr="00283B09">
        <w:rPr>
          <w:rFonts w:cs="Arial"/>
          <w:lang w:val="es-ES_tradnl"/>
        </w:rPr>
        <w:t>,</w:t>
      </w:r>
      <w:r w:rsidR="000D284C" w:rsidRPr="00283B09">
        <w:rPr>
          <w:rFonts w:cs="Arial"/>
          <w:lang w:val="es-ES_tradnl"/>
        </w:rPr>
        <w:t xml:space="preserve"> </w:t>
      </w:r>
      <w:r w:rsidR="009B3D25" w:rsidRPr="00283B09">
        <w:rPr>
          <w:rFonts w:cs="Arial"/>
          <w:lang w:val="es-ES_tradnl"/>
        </w:rPr>
        <w:t>85</w:t>
      </w:r>
      <w:r w:rsidR="000D284C" w:rsidRPr="00283B09">
        <w:rPr>
          <w:rFonts w:cs="Arial"/>
          <w:lang w:val="es-ES_tradnl"/>
        </w:rPr>
        <w:t xml:space="preserve"> </w:t>
      </w:r>
      <w:r w:rsidR="00FA660E" w:rsidRPr="00283B09">
        <w:rPr>
          <w:rFonts w:cs="Arial"/>
          <w:lang w:val="es-ES_tradnl"/>
        </w:rPr>
        <w:t>trabaja</w:t>
      </w:r>
      <w:r w:rsidR="00625CCB" w:rsidRPr="00283B09">
        <w:rPr>
          <w:rFonts w:cs="Arial"/>
          <w:lang w:val="es-ES_tradnl"/>
        </w:rPr>
        <w:t>ron</w:t>
      </w:r>
      <w:r w:rsidR="00FA660E" w:rsidRPr="00283B09">
        <w:rPr>
          <w:rFonts w:cs="Arial"/>
          <w:lang w:val="es-ES_tradnl"/>
        </w:rPr>
        <w:t xml:space="preserve"> </w:t>
      </w:r>
      <w:r w:rsidR="000D284C" w:rsidRPr="00283B09">
        <w:rPr>
          <w:rFonts w:cs="Arial"/>
          <w:lang w:val="es-ES_tradnl"/>
        </w:rPr>
        <w:t>en instituciones públicas</w:t>
      </w:r>
      <w:r w:rsidR="00E97BC2" w:rsidRPr="00283B09">
        <w:rPr>
          <w:rFonts w:cs="Arial"/>
          <w:lang w:val="es-ES_tradnl"/>
        </w:rPr>
        <w:t xml:space="preserve"> y privadas</w:t>
      </w:r>
      <w:r w:rsidR="0077429B" w:rsidRPr="00283B09">
        <w:rPr>
          <w:rFonts w:cs="Arial"/>
          <w:lang w:val="es-ES_tradnl"/>
        </w:rPr>
        <w:t>, 11</w:t>
      </w:r>
      <w:r w:rsidR="000D284C" w:rsidRPr="00283B09">
        <w:rPr>
          <w:rFonts w:cs="Arial"/>
          <w:lang w:val="es-ES_tradnl"/>
        </w:rPr>
        <w:t xml:space="preserve"> </w:t>
      </w:r>
      <w:r w:rsidR="00625CCB" w:rsidRPr="00283B09">
        <w:rPr>
          <w:rFonts w:cs="Arial"/>
          <w:lang w:val="es-ES_tradnl"/>
        </w:rPr>
        <w:t>en</w:t>
      </w:r>
      <w:r w:rsidR="000D284C" w:rsidRPr="00283B09">
        <w:rPr>
          <w:rFonts w:cs="Arial"/>
          <w:lang w:val="es-ES_tradnl"/>
        </w:rPr>
        <w:t xml:space="preserve"> empresas y </w:t>
      </w:r>
      <w:r w:rsidR="00F9076F" w:rsidRPr="00283B09">
        <w:rPr>
          <w:rFonts w:cs="Arial"/>
          <w:lang w:val="es-ES_tradnl"/>
        </w:rPr>
        <w:t xml:space="preserve">5 </w:t>
      </w:r>
      <w:r w:rsidR="000D284C" w:rsidRPr="00283B09">
        <w:rPr>
          <w:rFonts w:cs="Arial"/>
          <w:lang w:val="es-ES_tradnl"/>
        </w:rPr>
        <w:t>en el sector informal</w:t>
      </w:r>
      <w:r w:rsidR="00E97BC2" w:rsidRPr="00283B09">
        <w:rPr>
          <w:rStyle w:val="Refdenotaalpie"/>
          <w:rFonts w:cs="Arial"/>
          <w:lang w:val="es-ES_tradnl"/>
        </w:rPr>
        <w:footnoteReference w:id="7"/>
      </w:r>
      <w:r w:rsidR="000D284C" w:rsidRPr="00283B09">
        <w:rPr>
          <w:rFonts w:cs="Arial"/>
          <w:lang w:val="es-ES_tradnl"/>
        </w:rPr>
        <w:t>.</w:t>
      </w:r>
    </w:p>
    <w:p w14:paraId="047E8193" w14:textId="521BDE46" w:rsidR="00A313A4" w:rsidRPr="00E349EB" w:rsidRDefault="00283B09" w:rsidP="00425AFC">
      <w:pPr>
        <w:autoSpaceDE w:val="0"/>
        <w:autoSpaceDN w:val="0"/>
        <w:adjustRightInd w:val="0"/>
        <w:spacing w:before="120" w:after="120" w:line="280" w:lineRule="exact"/>
        <w:ind w:left="426" w:right="454"/>
        <w:rPr>
          <w:rFonts w:cs="Arial"/>
          <w:lang w:val="es-ES_tradnl"/>
        </w:rPr>
      </w:pPr>
      <w:r>
        <w:rPr>
          <w:rFonts w:cs="Arial"/>
          <w:lang w:val="es-ES_tradnl"/>
        </w:rPr>
        <w:t>Al considerar</w:t>
      </w:r>
      <w:r w:rsidR="00E14E61" w:rsidRPr="00E349EB">
        <w:rPr>
          <w:rFonts w:cs="Arial"/>
          <w:lang w:val="es-ES_tradnl"/>
        </w:rPr>
        <w:t xml:space="preserve"> el estado de ocupación</w:t>
      </w:r>
      <w:r w:rsidR="00A41ED0" w:rsidRPr="00E349EB">
        <w:rPr>
          <w:rFonts w:cs="Arial"/>
          <w:lang w:val="es-ES_tradnl"/>
        </w:rPr>
        <w:t>, 97% realiz</w:t>
      </w:r>
      <w:r w:rsidR="008626FD">
        <w:rPr>
          <w:rFonts w:cs="Arial"/>
          <w:lang w:val="es-ES_tradnl"/>
        </w:rPr>
        <w:t>ó</w:t>
      </w:r>
      <w:r w:rsidR="00A41ED0" w:rsidRPr="00E349EB">
        <w:rPr>
          <w:rFonts w:cs="Arial"/>
          <w:lang w:val="es-ES_tradnl"/>
        </w:rPr>
        <w:t xml:space="preserve"> su trabajo</w:t>
      </w:r>
      <w:r w:rsidR="00D42AC8" w:rsidRPr="00E349EB">
        <w:rPr>
          <w:rFonts w:cs="Arial"/>
          <w:lang w:val="es-ES_tradnl"/>
        </w:rPr>
        <w:t xml:space="preserve"> de forma remunerada </w:t>
      </w:r>
      <w:r w:rsidR="004955EB" w:rsidRPr="00E349EB">
        <w:rPr>
          <w:rFonts w:cs="Arial"/>
          <w:lang w:val="es-ES_tradnl"/>
        </w:rPr>
        <w:t xml:space="preserve">adscrita a algún </w:t>
      </w:r>
      <w:r w:rsidR="004955EB" w:rsidRPr="00E97BC2">
        <w:rPr>
          <w:rFonts w:cs="Arial"/>
          <w:lang w:val="es-ES_tradnl"/>
        </w:rPr>
        <w:t>empleador</w:t>
      </w:r>
      <w:r w:rsidR="000F32D0" w:rsidRPr="00E97BC2">
        <w:rPr>
          <w:rFonts w:cs="Arial"/>
          <w:lang w:val="es-ES_tradnl"/>
        </w:rPr>
        <w:t>,</w:t>
      </w:r>
      <w:r w:rsidR="008626FD" w:rsidRPr="00E97BC2">
        <w:rPr>
          <w:rFonts w:cs="Arial"/>
          <w:lang w:val="es-ES_tradnl"/>
        </w:rPr>
        <w:t xml:space="preserve"> mientras</w:t>
      </w:r>
      <w:r w:rsidR="008626FD">
        <w:rPr>
          <w:rFonts w:cs="Arial"/>
          <w:lang w:val="es-ES_tradnl"/>
        </w:rPr>
        <w:t xml:space="preserve"> que</w:t>
      </w:r>
      <w:r w:rsidR="00A313A4" w:rsidRPr="00E349EB">
        <w:rPr>
          <w:rFonts w:cs="Arial"/>
          <w:lang w:val="es-ES_tradnl"/>
        </w:rPr>
        <w:t xml:space="preserve"> 3%</w:t>
      </w:r>
      <w:r w:rsidR="00D257C5" w:rsidRPr="00E349EB">
        <w:rPr>
          <w:rFonts w:cs="Arial"/>
          <w:lang w:val="es-ES_tradnl"/>
        </w:rPr>
        <w:t xml:space="preserve"> </w:t>
      </w:r>
      <w:r w:rsidR="006F04DB" w:rsidRPr="00E349EB">
        <w:rPr>
          <w:rFonts w:cs="Arial"/>
          <w:lang w:val="es-ES_tradnl"/>
        </w:rPr>
        <w:t xml:space="preserve">lo </w:t>
      </w:r>
      <w:r w:rsidR="00E14E61" w:rsidRPr="00E349EB">
        <w:rPr>
          <w:rFonts w:cs="Arial"/>
          <w:lang w:val="es-ES_tradnl"/>
        </w:rPr>
        <w:t>hizo</w:t>
      </w:r>
      <w:r w:rsidR="00A313A4" w:rsidRPr="00E349EB">
        <w:rPr>
          <w:rFonts w:cs="Arial"/>
          <w:lang w:val="es-ES_tradnl"/>
        </w:rPr>
        <w:t xml:space="preserve"> como profesionista independiente. </w:t>
      </w:r>
    </w:p>
    <w:bookmarkEnd w:id="5"/>
    <w:p w14:paraId="38189E78" w14:textId="3BDE0234" w:rsidR="00CE4998" w:rsidRPr="00E349EB" w:rsidRDefault="00F87C11" w:rsidP="00F87C11">
      <w:pPr>
        <w:autoSpaceDE w:val="0"/>
        <w:autoSpaceDN w:val="0"/>
        <w:adjustRightInd w:val="0"/>
        <w:spacing w:before="120" w:after="120" w:line="280" w:lineRule="exact"/>
        <w:ind w:left="426" w:right="454"/>
        <w:rPr>
          <w:rFonts w:cs="Arial"/>
          <w:lang w:val="es-ES_tradnl"/>
        </w:rPr>
      </w:pPr>
      <w:r w:rsidRPr="00E349EB">
        <w:rPr>
          <w:noProof/>
          <w:lang w:val="es-ES_tradnl" w:eastAsia="es-MX"/>
        </w:rPr>
        <w:drawing>
          <wp:anchor distT="0" distB="0" distL="114300" distR="114300" simplePos="0" relativeHeight="251671552" behindDoc="1" locked="0" layoutInCell="1" allowOverlap="1" wp14:anchorId="1D64D236" wp14:editId="2DC12BDA">
            <wp:simplePos x="0" y="0"/>
            <wp:positionH relativeFrom="margin">
              <wp:posOffset>276225</wp:posOffset>
            </wp:positionH>
            <wp:positionV relativeFrom="paragraph">
              <wp:posOffset>705421</wp:posOffset>
            </wp:positionV>
            <wp:extent cx="6315075" cy="3552825"/>
            <wp:effectExtent l="0" t="0" r="0" b="0"/>
            <wp:wrapTight wrapText="bothSides">
              <wp:wrapPolygon edited="0">
                <wp:start x="0" y="0"/>
                <wp:lineTo x="0" y="21426"/>
                <wp:lineTo x="21502" y="21426"/>
                <wp:lineTo x="21502" y="0"/>
                <wp:lineTo x="0" y="0"/>
              </wp:wrapPolygon>
            </wp:wrapTight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8C9F839C-8D47-4EF5-B455-44B6FE51DF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371" w:rsidRPr="00E349EB">
        <w:rPr>
          <w:rFonts w:cs="Arial"/>
          <w:lang w:val="es-ES_tradnl"/>
        </w:rPr>
        <w:t>En promedio,</w:t>
      </w:r>
      <w:r w:rsidR="0052791B" w:rsidRPr="00E349EB">
        <w:rPr>
          <w:rFonts w:cs="Arial"/>
          <w:lang w:val="es-ES_tradnl"/>
        </w:rPr>
        <w:t xml:space="preserve"> </w:t>
      </w:r>
      <w:r w:rsidR="00B72371" w:rsidRPr="00E349EB">
        <w:rPr>
          <w:rFonts w:cs="Arial"/>
          <w:lang w:val="es-ES_tradnl"/>
        </w:rPr>
        <w:t xml:space="preserve">las y los trabajadores </w:t>
      </w:r>
      <w:r w:rsidR="006C0DFF" w:rsidRPr="00E349EB">
        <w:rPr>
          <w:rFonts w:cs="Arial"/>
          <w:lang w:val="es-ES_tradnl"/>
        </w:rPr>
        <w:t>de</w:t>
      </w:r>
      <w:r w:rsidR="00B72371" w:rsidRPr="00E349EB">
        <w:rPr>
          <w:rFonts w:cs="Arial"/>
          <w:lang w:val="es-ES_tradnl"/>
        </w:rPr>
        <w:t xml:space="preserve"> enfermería</w:t>
      </w:r>
      <w:r w:rsidR="006C0DFF" w:rsidRPr="00E349EB">
        <w:rPr>
          <w:rFonts w:cs="Arial"/>
          <w:lang w:val="es-ES_tradnl"/>
        </w:rPr>
        <w:t xml:space="preserve"> </w:t>
      </w:r>
      <w:r w:rsidRPr="00E349EB">
        <w:rPr>
          <w:rFonts w:cs="Arial"/>
          <w:lang w:val="es-ES_tradnl"/>
        </w:rPr>
        <w:t>trabajaron</w:t>
      </w:r>
      <w:r w:rsidR="006C0DFF" w:rsidRPr="00E349EB">
        <w:rPr>
          <w:rFonts w:cs="Arial"/>
          <w:lang w:val="es-ES_tradnl"/>
        </w:rPr>
        <w:t xml:space="preserve"> </w:t>
      </w:r>
      <w:r w:rsidR="000D284C" w:rsidRPr="00E349EB">
        <w:rPr>
          <w:rFonts w:cs="Arial"/>
          <w:lang w:val="es-ES_tradnl"/>
        </w:rPr>
        <w:t>41.</w:t>
      </w:r>
      <w:r w:rsidR="003E52FD" w:rsidRPr="00E349EB">
        <w:rPr>
          <w:rFonts w:cs="Arial"/>
          <w:lang w:val="es-ES_tradnl"/>
        </w:rPr>
        <w:t>5</w:t>
      </w:r>
      <w:r w:rsidR="000D284C" w:rsidRPr="00E349EB">
        <w:rPr>
          <w:rFonts w:cs="Arial"/>
          <w:lang w:val="es-ES_tradnl"/>
        </w:rPr>
        <w:t xml:space="preserve"> horas</w:t>
      </w:r>
      <w:r w:rsidR="00A313A4" w:rsidRPr="00E349EB">
        <w:rPr>
          <w:rFonts w:cs="Arial"/>
          <w:lang w:val="es-ES_tradnl"/>
        </w:rPr>
        <w:t xml:space="preserve"> </w:t>
      </w:r>
      <w:r w:rsidR="006C0DFF" w:rsidRPr="00E349EB">
        <w:rPr>
          <w:rFonts w:cs="Arial"/>
          <w:lang w:val="es-ES_tradnl"/>
        </w:rPr>
        <w:t>a la semana</w:t>
      </w:r>
      <w:r w:rsidR="00B100E7" w:rsidRPr="00E349EB">
        <w:rPr>
          <w:rFonts w:cs="Arial"/>
          <w:lang w:val="es-ES_tradnl"/>
        </w:rPr>
        <w:t>:</w:t>
      </w:r>
      <w:r w:rsidR="000D284C" w:rsidRPr="00E349EB">
        <w:rPr>
          <w:rFonts w:cs="Arial"/>
          <w:lang w:val="es-ES_tradnl"/>
        </w:rPr>
        <w:t xml:space="preserve"> </w:t>
      </w:r>
      <w:r w:rsidR="00425AFC" w:rsidRPr="00E349EB">
        <w:rPr>
          <w:rFonts w:cs="Arial"/>
          <w:lang w:val="es-ES_tradnl"/>
        </w:rPr>
        <w:t xml:space="preserve">70% </w:t>
      </w:r>
      <w:r w:rsidRPr="00E349EB">
        <w:rPr>
          <w:rFonts w:cs="Arial"/>
          <w:lang w:val="es-ES_tradnl"/>
        </w:rPr>
        <w:t>labor</w:t>
      </w:r>
      <w:r w:rsidR="00FA7E57">
        <w:rPr>
          <w:rFonts w:cs="Arial"/>
          <w:lang w:val="es-ES_tradnl"/>
        </w:rPr>
        <w:t>ó</w:t>
      </w:r>
      <w:r w:rsidR="000D284C" w:rsidRPr="00E349EB">
        <w:rPr>
          <w:rFonts w:cs="Arial"/>
          <w:lang w:val="es-ES_tradnl"/>
        </w:rPr>
        <w:t xml:space="preserve"> de 35 a 48 horas</w:t>
      </w:r>
      <w:r w:rsidR="00DE7DA9" w:rsidRPr="00E349EB">
        <w:rPr>
          <w:rFonts w:cs="Arial"/>
          <w:lang w:val="es-ES_tradnl"/>
        </w:rPr>
        <w:t xml:space="preserve"> y </w:t>
      </w:r>
      <w:r w:rsidR="00CE4998" w:rsidRPr="00E349EB">
        <w:rPr>
          <w:rFonts w:cs="Arial"/>
          <w:lang w:val="es-ES_tradnl"/>
        </w:rPr>
        <w:t xml:space="preserve">14% </w:t>
      </w:r>
      <w:r w:rsidRPr="00E349EB">
        <w:rPr>
          <w:rFonts w:cs="Arial"/>
          <w:lang w:val="es-ES_tradnl"/>
        </w:rPr>
        <w:t>dedic</w:t>
      </w:r>
      <w:r w:rsidR="00FA7E57">
        <w:rPr>
          <w:rFonts w:cs="Arial"/>
          <w:lang w:val="es-ES_tradnl"/>
        </w:rPr>
        <w:t>ó</w:t>
      </w:r>
      <w:r w:rsidR="00CE4998" w:rsidRPr="00E349EB">
        <w:rPr>
          <w:rFonts w:cs="Arial"/>
          <w:lang w:val="es-ES_tradnl"/>
        </w:rPr>
        <w:t xml:space="preserve"> más de 48 horas</w:t>
      </w:r>
      <w:r w:rsidR="00DE7DA9" w:rsidRPr="00E349EB">
        <w:rPr>
          <w:rFonts w:cs="Arial"/>
          <w:lang w:val="es-ES_tradnl"/>
        </w:rPr>
        <w:t xml:space="preserve">. Aquellas personas que </w:t>
      </w:r>
      <w:r w:rsidRPr="00E349EB">
        <w:rPr>
          <w:rFonts w:cs="Arial"/>
          <w:lang w:val="es-ES_tradnl"/>
        </w:rPr>
        <w:t>destinaron</w:t>
      </w:r>
      <w:r w:rsidR="00DE7DA9" w:rsidRPr="00E349EB">
        <w:rPr>
          <w:rFonts w:cs="Arial"/>
          <w:lang w:val="es-ES_tradnl"/>
        </w:rPr>
        <w:t xml:space="preserve"> menos de 15 horas a la semana representan solo 2%.</w:t>
      </w:r>
    </w:p>
    <w:p w14:paraId="53C2C604" w14:textId="19ABB3E9" w:rsidR="00082E9C" w:rsidRDefault="00160050" w:rsidP="00082E9C">
      <w:pPr>
        <w:autoSpaceDE w:val="0"/>
        <w:autoSpaceDN w:val="0"/>
        <w:adjustRightInd w:val="0"/>
        <w:spacing w:before="240" w:after="240" w:line="280" w:lineRule="exact"/>
        <w:ind w:left="426" w:right="454"/>
        <w:rPr>
          <w:rFonts w:cs="Arial"/>
          <w:color w:val="000000" w:themeColor="text1"/>
          <w:lang w:val="es-ES_tradnl"/>
        </w:rPr>
      </w:pPr>
      <w:bookmarkStart w:id="6" w:name="_Hlk99370204"/>
      <w:r w:rsidRPr="00E349EB">
        <w:rPr>
          <w:rFonts w:cs="Arial"/>
          <w:noProof/>
          <w:color w:val="000000" w:themeColor="text1"/>
          <w:lang w:val="es-ES_tradnl" w:eastAsia="es-MX"/>
        </w:rPr>
        <w:lastRenderedPageBreak/>
        <w:t>L</w:t>
      </w:r>
      <w:r w:rsidR="006336ED" w:rsidRPr="00E349EB">
        <w:rPr>
          <w:rFonts w:cs="Arial"/>
          <w:noProof/>
          <w:color w:val="000000" w:themeColor="text1"/>
          <w:lang w:val="es-ES_tradnl" w:eastAsia="es-MX"/>
        </w:rPr>
        <w:t xml:space="preserve">a remuneración </w:t>
      </w:r>
      <w:r w:rsidRPr="00E349EB">
        <w:rPr>
          <w:rFonts w:cs="Arial"/>
          <w:noProof/>
          <w:color w:val="000000" w:themeColor="text1"/>
          <w:lang w:val="es-ES_tradnl" w:eastAsia="es-MX"/>
        </w:rPr>
        <w:t xml:space="preserve">promedio de este grupo de población es de </w:t>
      </w:r>
      <w:r w:rsidR="006336ED" w:rsidRPr="00E349EB">
        <w:rPr>
          <w:rFonts w:cs="Arial"/>
          <w:noProof/>
          <w:color w:val="000000" w:themeColor="text1"/>
          <w:lang w:val="es-ES_tradnl" w:eastAsia="es-MX"/>
        </w:rPr>
        <w:t>64 pes</w:t>
      </w:r>
      <w:r w:rsidR="00C90AFC" w:rsidRPr="00E349EB">
        <w:rPr>
          <w:rFonts w:cs="Arial"/>
          <w:noProof/>
          <w:color w:val="000000" w:themeColor="text1"/>
          <w:lang w:val="es-ES_tradnl" w:eastAsia="es-MX"/>
        </w:rPr>
        <w:t>o</w:t>
      </w:r>
      <w:r w:rsidR="006336ED" w:rsidRPr="00E349EB">
        <w:rPr>
          <w:rFonts w:cs="Arial"/>
          <w:noProof/>
          <w:color w:val="000000" w:themeColor="text1"/>
          <w:lang w:val="es-ES_tradnl" w:eastAsia="es-MX"/>
        </w:rPr>
        <w:t>s por hora</w:t>
      </w:r>
      <w:r w:rsidRPr="00E349EB">
        <w:rPr>
          <w:rFonts w:cs="Arial"/>
          <w:noProof/>
          <w:color w:val="000000" w:themeColor="text1"/>
          <w:lang w:val="es-ES_tradnl" w:eastAsia="es-MX"/>
        </w:rPr>
        <w:t>.</w:t>
      </w:r>
      <w:r w:rsidR="006336ED" w:rsidRPr="00E349EB">
        <w:rPr>
          <w:rFonts w:cs="Arial"/>
          <w:noProof/>
          <w:color w:val="000000" w:themeColor="text1"/>
          <w:lang w:val="es-ES_tradnl" w:eastAsia="es-MX"/>
        </w:rPr>
        <w:t xml:space="preserve"> </w:t>
      </w:r>
      <w:r w:rsidRPr="00E349EB">
        <w:rPr>
          <w:rFonts w:cs="Arial"/>
          <w:noProof/>
          <w:color w:val="000000" w:themeColor="text1"/>
          <w:lang w:val="es-ES_tradnl" w:eastAsia="es-MX"/>
        </w:rPr>
        <w:t>No obstante</w:t>
      </w:r>
      <w:r w:rsidR="0046618E" w:rsidRPr="00E349EB">
        <w:rPr>
          <w:rFonts w:cs="Arial"/>
          <w:noProof/>
          <w:color w:val="000000" w:themeColor="text1"/>
          <w:lang w:val="es-ES_tradnl" w:eastAsia="es-MX"/>
        </w:rPr>
        <w:t>, se observan</w:t>
      </w:r>
      <w:r w:rsidR="006336ED" w:rsidRPr="00E349EB">
        <w:rPr>
          <w:rFonts w:cs="Arial"/>
          <w:noProof/>
          <w:color w:val="000000" w:themeColor="text1"/>
          <w:lang w:val="es-ES_tradnl" w:eastAsia="es-MX"/>
        </w:rPr>
        <w:t xml:space="preserve"> </w:t>
      </w:r>
      <w:r w:rsidR="0046618E" w:rsidRPr="00E349EB">
        <w:rPr>
          <w:rFonts w:cs="Arial"/>
          <w:noProof/>
          <w:color w:val="000000" w:themeColor="text1"/>
          <w:lang w:val="es-ES_tradnl" w:eastAsia="es-MX"/>
        </w:rPr>
        <w:t>variaciones en el</w:t>
      </w:r>
      <w:r w:rsidR="006336ED" w:rsidRPr="00E349EB">
        <w:rPr>
          <w:rFonts w:cs="Arial"/>
          <w:noProof/>
          <w:color w:val="000000" w:themeColor="text1"/>
          <w:lang w:val="es-ES_tradnl" w:eastAsia="es-MX"/>
        </w:rPr>
        <w:t xml:space="preserve"> ingreso según </w:t>
      </w:r>
      <w:r w:rsidRPr="00E349EB">
        <w:rPr>
          <w:rFonts w:cs="Arial"/>
          <w:noProof/>
          <w:color w:val="000000" w:themeColor="text1"/>
          <w:lang w:val="es-ES_tradnl" w:eastAsia="es-MX"/>
        </w:rPr>
        <w:t>las</w:t>
      </w:r>
      <w:r w:rsidR="0046618E" w:rsidRPr="00E349EB">
        <w:rPr>
          <w:rFonts w:cs="Arial"/>
          <w:noProof/>
          <w:color w:val="000000" w:themeColor="text1"/>
          <w:lang w:val="es-ES_tradnl" w:eastAsia="es-MX"/>
        </w:rPr>
        <w:t xml:space="preserve"> </w:t>
      </w:r>
      <w:r w:rsidR="006336ED" w:rsidRPr="00E349EB">
        <w:rPr>
          <w:rFonts w:cs="Arial"/>
          <w:noProof/>
          <w:color w:val="000000" w:themeColor="text1"/>
          <w:lang w:val="es-ES_tradnl" w:eastAsia="es-MX"/>
        </w:rPr>
        <w:t>competencias laborales. En este sentido,</w:t>
      </w:r>
      <w:r w:rsidR="00604B61" w:rsidRPr="00E349EB">
        <w:rPr>
          <w:rFonts w:cs="Arial"/>
          <w:noProof/>
          <w:color w:val="000000" w:themeColor="text1"/>
          <w:lang w:val="es-ES_tradnl" w:eastAsia="es-MX"/>
        </w:rPr>
        <w:t xml:space="preserve"> </w:t>
      </w:r>
      <w:r w:rsidR="009F0569" w:rsidRPr="00E349EB">
        <w:rPr>
          <w:rFonts w:cs="Arial"/>
          <w:noProof/>
          <w:color w:val="000000" w:themeColor="text1"/>
          <w:lang w:val="es-ES_tradnl" w:eastAsia="es-MX"/>
        </w:rPr>
        <w:t>aquellos que cuenta con una preparación</w:t>
      </w:r>
      <w:r w:rsidR="00604B61" w:rsidRPr="00E349EB">
        <w:rPr>
          <w:rFonts w:cs="Arial"/>
          <w:noProof/>
          <w:color w:val="000000" w:themeColor="text1"/>
          <w:lang w:val="es-ES_tradnl" w:eastAsia="es-MX"/>
        </w:rPr>
        <w:t xml:space="preserve"> profesional </w:t>
      </w:r>
      <w:r w:rsidR="009F0569" w:rsidRPr="00E349EB">
        <w:rPr>
          <w:rFonts w:cs="Arial"/>
          <w:color w:val="000000" w:themeColor="text1"/>
          <w:lang w:val="es-ES_tradnl"/>
        </w:rPr>
        <w:t>percibieron</w:t>
      </w:r>
      <w:r w:rsidR="00604B61" w:rsidRPr="00E349EB">
        <w:rPr>
          <w:rFonts w:cs="Arial"/>
          <w:color w:val="000000" w:themeColor="text1"/>
          <w:lang w:val="es-ES_tradnl"/>
        </w:rPr>
        <w:t>, en promedio,</w:t>
      </w:r>
      <w:r w:rsidR="00FA7E57">
        <w:rPr>
          <w:rFonts w:cs="Arial"/>
          <w:color w:val="000000" w:themeColor="text1"/>
          <w:lang w:val="es-ES_tradnl"/>
        </w:rPr>
        <w:t xml:space="preserve"> </w:t>
      </w:r>
      <w:r w:rsidR="00604B61" w:rsidRPr="00E349EB">
        <w:rPr>
          <w:rFonts w:cs="Arial"/>
          <w:color w:val="000000" w:themeColor="text1"/>
          <w:lang w:val="es-ES_tradnl"/>
        </w:rPr>
        <w:t>11,743 pesos</w:t>
      </w:r>
      <w:r w:rsidR="000D284C" w:rsidRPr="00E349EB">
        <w:rPr>
          <w:rFonts w:cs="Arial"/>
          <w:color w:val="000000" w:themeColor="text1"/>
          <w:lang w:val="es-ES_tradnl"/>
        </w:rPr>
        <w:t xml:space="preserve"> mensualmente</w:t>
      </w:r>
      <w:r w:rsidR="00687CBA" w:rsidRPr="00E349EB">
        <w:rPr>
          <w:rFonts w:cs="Arial"/>
          <w:color w:val="000000" w:themeColor="text1"/>
          <w:lang w:val="es-ES_tradnl"/>
        </w:rPr>
        <w:t>;</w:t>
      </w:r>
      <w:r w:rsidR="00604B61" w:rsidRPr="00E349EB">
        <w:rPr>
          <w:rFonts w:cs="Arial"/>
          <w:color w:val="000000" w:themeColor="text1"/>
          <w:lang w:val="es-ES_tradnl"/>
        </w:rPr>
        <w:t xml:space="preserve"> los técnicos </w:t>
      </w:r>
      <w:r w:rsidR="004147CB" w:rsidRPr="00E349EB">
        <w:rPr>
          <w:rFonts w:cs="Arial"/>
          <w:color w:val="000000" w:themeColor="text1"/>
          <w:lang w:val="es-ES_tradnl"/>
        </w:rPr>
        <w:t>9,922</w:t>
      </w:r>
      <w:r w:rsidR="004971A5" w:rsidRPr="00E349EB">
        <w:rPr>
          <w:rFonts w:cs="Arial"/>
          <w:color w:val="000000" w:themeColor="text1"/>
          <w:lang w:val="es-ES_tradnl"/>
        </w:rPr>
        <w:t xml:space="preserve"> pesos</w:t>
      </w:r>
      <w:r w:rsidR="00604B61" w:rsidRPr="00E349EB">
        <w:rPr>
          <w:rFonts w:cs="Arial"/>
          <w:color w:val="000000" w:themeColor="text1"/>
          <w:lang w:val="es-ES_tradnl"/>
        </w:rPr>
        <w:t xml:space="preserve">, </w:t>
      </w:r>
      <w:r w:rsidR="000D284C" w:rsidRPr="00E349EB">
        <w:rPr>
          <w:rFonts w:cs="Arial"/>
          <w:color w:val="000000" w:themeColor="text1"/>
          <w:lang w:val="es-ES_tradnl"/>
        </w:rPr>
        <w:t xml:space="preserve">y los </w:t>
      </w:r>
      <w:r w:rsidR="004147CB" w:rsidRPr="00E349EB">
        <w:rPr>
          <w:rFonts w:cs="Arial"/>
          <w:color w:val="000000" w:themeColor="text1"/>
          <w:lang w:val="es-ES_tradnl"/>
        </w:rPr>
        <w:t>auxiliares 9</w:t>
      </w:r>
      <w:r w:rsidR="000D284C" w:rsidRPr="00E349EB">
        <w:rPr>
          <w:rFonts w:cs="Arial"/>
          <w:color w:val="000000" w:themeColor="text1"/>
          <w:lang w:val="es-ES_tradnl"/>
        </w:rPr>
        <w:t>,</w:t>
      </w:r>
      <w:r w:rsidR="004147CB" w:rsidRPr="00E349EB">
        <w:rPr>
          <w:rFonts w:cs="Arial"/>
          <w:color w:val="000000" w:themeColor="text1"/>
          <w:lang w:val="es-ES_tradnl"/>
        </w:rPr>
        <w:t>034</w:t>
      </w:r>
      <w:r w:rsidR="004971A5" w:rsidRPr="00E349EB">
        <w:rPr>
          <w:rFonts w:cs="Arial"/>
          <w:color w:val="000000" w:themeColor="text1"/>
          <w:lang w:val="es-ES_tradnl"/>
        </w:rPr>
        <w:t xml:space="preserve"> pesos</w:t>
      </w:r>
      <w:r w:rsidR="00031871" w:rsidRPr="00E349EB">
        <w:rPr>
          <w:rFonts w:cs="Arial"/>
          <w:color w:val="000000" w:themeColor="text1"/>
          <w:lang w:val="es-ES_tradnl"/>
        </w:rPr>
        <w:t>.</w:t>
      </w:r>
      <w:bookmarkEnd w:id="6"/>
    </w:p>
    <w:p w14:paraId="6B21B142" w14:textId="069A12FD" w:rsidR="00FA7E57" w:rsidRDefault="00FA7E57" w:rsidP="00082E9C">
      <w:pPr>
        <w:autoSpaceDE w:val="0"/>
        <w:autoSpaceDN w:val="0"/>
        <w:adjustRightInd w:val="0"/>
        <w:spacing w:before="240" w:after="240" w:line="280" w:lineRule="exact"/>
        <w:ind w:left="426" w:right="454"/>
        <w:rPr>
          <w:rFonts w:cs="Arial"/>
          <w:color w:val="000000" w:themeColor="text1"/>
          <w:lang w:val="es-ES_tradnl"/>
        </w:rPr>
      </w:pPr>
    </w:p>
    <w:p w14:paraId="5FD71780" w14:textId="59AD6E0D" w:rsidR="00FA7E57" w:rsidRDefault="00FA7E57" w:rsidP="00082E9C">
      <w:pPr>
        <w:autoSpaceDE w:val="0"/>
        <w:autoSpaceDN w:val="0"/>
        <w:adjustRightInd w:val="0"/>
        <w:spacing w:before="240" w:after="240" w:line="280" w:lineRule="exact"/>
        <w:ind w:left="426" w:right="454"/>
        <w:rPr>
          <w:rFonts w:cs="Arial"/>
          <w:color w:val="000000" w:themeColor="text1"/>
          <w:lang w:val="es-ES_tradnl"/>
        </w:rPr>
      </w:pPr>
    </w:p>
    <w:p w14:paraId="6D63DFC8" w14:textId="2B8CED8C" w:rsidR="00FA7E57" w:rsidRDefault="00FA7E57" w:rsidP="00082E9C">
      <w:pPr>
        <w:autoSpaceDE w:val="0"/>
        <w:autoSpaceDN w:val="0"/>
        <w:adjustRightInd w:val="0"/>
        <w:spacing w:before="240" w:after="240" w:line="280" w:lineRule="exact"/>
        <w:ind w:left="426" w:right="454"/>
        <w:rPr>
          <w:rFonts w:cs="Arial"/>
          <w:color w:val="000000" w:themeColor="text1"/>
          <w:lang w:val="es-ES_tradnl"/>
        </w:rPr>
      </w:pPr>
    </w:p>
    <w:p w14:paraId="5881F14B" w14:textId="03EC9981" w:rsidR="00FA7E57" w:rsidRDefault="00FA7E57" w:rsidP="00082E9C">
      <w:pPr>
        <w:autoSpaceDE w:val="0"/>
        <w:autoSpaceDN w:val="0"/>
        <w:adjustRightInd w:val="0"/>
        <w:spacing w:before="240" w:after="240" w:line="280" w:lineRule="exact"/>
        <w:ind w:left="426" w:right="454"/>
        <w:rPr>
          <w:rFonts w:cs="Arial"/>
          <w:color w:val="000000" w:themeColor="text1"/>
          <w:lang w:val="es-ES_tradnl"/>
        </w:rPr>
      </w:pPr>
    </w:p>
    <w:p w14:paraId="26C98E48" w14:textId="1D641E46" w:rsidR="00FA7E57" w:rsidRDefault="00FA7E57" w:rsidP="00082E9C">
      <w:pPr>
        <w:autoSpaceDE w:val="0"/>
        <w:autoSpaceDN w:val="0"/>
        <w:adjustRightInd w:val="0"/>
        <w:spacing w:before="240" w:after="240" w:line="280" w:lineRule="exact"/>
        <w:ind w:left="426" w:right="454"/>
        <w:rPr>
          <w:rFonts w:cs="Arial"/>
          <w:color w:val="000000" w:themeColor="text1"/>
          <w:lang w:val="es-ES_tradnl"/>
        </w:rPr>
      </w:pPr>
    </w:p>
    <w:p w14:paraId="24EA2D29" w14:textId="46D34D8B" w:rsidR="00FA7E57" w:rsidRDefault="00FA7E57" w:rsidP="00082E9C">
      <w:pPr>
        <w:autoSpaceDE w:val="0"/>
        <w:autoSpaceDN w:val="0"/>
        <w:adjustRightInd w:val="0"/>
        <w:spacing w:before="240" w:after="240" w:line="280" w:lineRule="exact"/>
        <w:ind w:left="426" w:right="454"/>
        <w:rPr>
          <w:rFonts w:cs="Arial"/>
          <w:color w:val="000000" w:themeColor="text1"/>
          <w:lang w:val="es-ES_tradnl"/>
        </w:rPr>
      </w:pPr>
    </w:p>
    <w:p w14:paraId="3352AA8F" w14:textId="0565FA5B" w:rsidR="00FA7E57" w:rsidRDefault="00FA7E57" w:rsidP="00082E9C">
      <w:pPr>
        <w:autoSpaceDE w:val="0"/>
        <w:autoSpaceDN w:val="0"/>
        <w:adjustRightInd w:val="0"/>
        <w:spacing w:before="240" w:after="240" w:line="280" w:lineRule="exact"/>
        <w:ind w:left="426" w:right="454"/>
        <w:rPr>
          <w:rFonts w:cs="Arial"/>
          <w:color w:val="000000" w:themeColor="text1"/>
          <w:lang w:val="es-ES_tradnl"/>
        </w:rPr>
      </w:pPr>
    </w:p>
    <w:p w14:paraId="344236B2" w14:textId="6B3928FF" w:rsidR="00FA7E57" w:rsidRDefault="00FA7E57" w:rsidP="00082E9C">
      <w:pPr>
        <w:autoSpaceDE w:val="0"/>
        <w:autoSpaceDN w:val="0"/>
        <w:adjustRightInd w:val="0"/>
        <w:spacing w:before="240" w:after="240" w:line="280" w:lineRule="exact"/>
        <w:ind w:left="426" w:right="454"/>
        <w:rPr>
          <w:rFonts w:cs="Arial"/>
          <w:color w:val="000000" w:themeColor="text1"/>
          <w:lang w:val="es-ES_tradnl"/>
        </w:rPr>
      </w:pPr>
    </w:p>
    <w:p w14:paraId="0AE6B2C7" w14:textId="4F6544BF" w:rsidR="00FA7E57" w:rsidRDefault="00FA7E57" w:rsidP="00082E9C">
      <w:pPr>
        <w:autoSpaceDE w:val="0"/>
        <w:autoSpaceDN w:val="0"/>
        <w:adjustRightInd w:val="0"/>
        <w:spacing w:before="240" w:after="240" w:line="280" w:lineRule="exact"/>
        <w:ind w:left="426" w:right="454"/>
        <w:rPr>
          <w:rFonts w:cs="Arial"/>
          <w:color w:val="000000" w:themeColor="text1"/>
          <w:lang w:val="es-ES_tradnl"/>
        </w:rPr>
      </w:pPr>
    </w:p>
    <w:p w14:paraId="7B0B4606" w14:textId="7A8A50EF" w:rsidR="00FA7E57" w:rsidRDefault="00FA7E57" w:rsidP="00082E9C">
      <w:pPr>
        <w:autoSpaceDE w:val="0"/>
        <w:autoSpaceDN w:val="0"/>
        <w:adjustRightInd w:val="0"/>
        <w:spacing w:before="240" w:after="240" w:line="280" w:lineRule="exact"/>
        <w:ind w:left="426" w:right="454"/>
        <w:rPr>
          <w:rFonts w:cs="Arial"/>
          <w:color w:val="000000" w:themeColor="text1"/>
          <w:lang w:val="es-ES_tradnl"/>
        </w:rPr>
      </w:pPr>
    </w:p>
    <w:p w14:paraId="274FCB4D" w14:textId="3B3700CB" w:rsidR="00FA7E57" w:rsidRDefault="00FA7E57" w:rsidP="00082E9C">
      <w:pPr>
        <w:autoSpaceDE w:val="0"/>
        <w:autoSpaceDN w:val="0"/>
        <w:adjustRightInd w:val="0"/>
        <w:spacing w:before="240" w:after="240" w:line="280" w:lineRule="exact"/>
        <w:ind w:left="426" w:right="454"/>
        <w:rPr>
          <w:rFonts w:cs="Arial"/>
          <w:color w:val="000000" w:themeColor="text1"/>
          <w:lang w:val="es-ES_tradnl"/>
        </w:rPr>
      </w:pPr>
    </w:p>
    <w:p w14:paraId="482651F3" w14:textId="77777777" w:rsidR="00FA7E57" w:rsidRDefault="00FA7E57" w:rsidP="00082E9C">
      <w:pPr>
        <w:autoSpaceDE w:val="0"/>
        <w:autoSpaceDN w:val="0"/>
        <w:adjustRightInd w:val="0"/>
        <w:spacing w:before="240" w:after="240" w:line="280" w:lineRule="exact"/>
        <w:ind w:left="426" w:right="454"/>
        <w:rPr>
          <w:rFonts w:cs="Arial"/>
          <w:color w:val="000000" w:themeColor="text1"/>
          <w:lang w:val="es-ES_tradnl"/>
        </w:rPr>
      </w:pPr>
    </w:p>
    <w:p w14:paraId="4516302B" w14:textId="7F42C1D3" w:rsidR="00FA7E57" w:rsidRDefault="00FA7E57" w:rsidP="00082E9C">
      <w:pPr>
        <w:autoSpaceDE w:val="0"/>
        <w:autoSpaceDN w:val="0"/>
        <w:adjustRightInd w:val="0"/>
        <w:spacing w:before="240" w:after="240" w:line="280" w:lineRule="exact"/>
        <w:ind w:left="426" w:right="454"/>
        <w:rPr>
          <w:rFonts w:cs="Arial"/>
          <w:color w:val="000000" w:themeColor="text1"/>
          <w:lang w:val="es-ES_tradnl"/>
        </w:rPr>
      </w:pPr>
    </w:p>
    <w:p w14:paraId="3F12C48C" w14:textId="77777777" w:rsidR="00FA7E57" w:rsidRPr="00E349EB" w:rsidRDefault="00FA7E57" w:rsidP="00082E9C">
      <w:pPr>
        <w:autoSpaceDE w:val="0"/>
        <w:autoSpaceDN w:val="0"/>
        <w:adjustRightInd w:val="0"/>
        <w:spacing w:before="240" w:after="240" w:line="280" w:lineRule="exact"/>
        <w:ind w:left="426" w:right="454"/>
        <w:rPr>
          <w:rFonts w:cs="Arial"/>
          <w:color w:val="000000" w:themeColor="text1"/>
          <w:lang w:val="es-ES_tradnl"/>
        </w:rPr>
      </w:pPr>
    </w:p>
    <w:p w14:paraId="0B3AFCF2" w14:textId="77777777" w:rsidR="004971A5" w:rsidRPr="00E349EB" w:rsidRDefault="004971A5" w:rsidP="004971A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71067826" w14:textId="77777777" w:rsidR="004971A5" w:rsidRPr="00E349EB" w:rsidRDefault="004971A5" w:rsidP="004971A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  <w:lang w:val="es-ES_tradnl"/>
        </w:rPr>
      </w:pPr>
      <w:r w:rsidRPr="00E349EB">
        <w:rPr>
          <w:rFonts w:ascii="Arial" w:hAnsi="Arial" w:cs="Arial"/>
          <w:sz w:val="22"/>
          <w:szCs w:val="22"/>
          <w:lang w:val="es-ES_tradnl"/>
        </w:rPr>
        <w:t xml:space="preserve">Para consultas de medios y periodistas, contactar a: </w:t>
      </w:r>
      <w:hyperlink r:id="rId15" w:history="1">
        <w:r w:rsidRPr="00E349EB">
          <w:rPr>
            <w:rStyle w:val="Hipervnculo"/>
            <w:rFonts w:ascii="Arial" w:hAnsi="Arial" w:cs="Arial"/>
            <w:sz w:val="22"/>
            <w:szCs w:val="22"/>
            <w:lang w:val="es-ES_tradnl"/>
          </w:rPr>
          <w:t>comunicacionsocial@inegi.org.mx</w:t>
        </w:r>
      </w:hyperlink>
      <w:r w:rsidRPr="00E349EB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203C3867" w14:textId="77777777" w:rsidR="004971A5" w:rsidRPr="00E349EB" w:rsidRDefault="004971A5" w:rsidP="004971A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  <w:lang w:val="es-ES_tradnl"/>
        </w:rPr>
      </w:pPr>
      <w:r w:rsidRPr="00E349EB">
        <w:rPr>
          <w:rFonts w:ascii="Arial" w:hAnsi="Arial" w:cs="Arial"/>
          <w:sz w:val="22"/>
          <w:szCs w:val="22"/>
          <w:lang w:val="es-ES_tradnl"/>
        </w:rPr>
        <w:t xml:space="preserve">o llamar al teléfono (55) 52-78-10-00, </w:t>
      </w:r>
      <w:proofErr w:type="spellStart"/>
      <w:r w:rsidRPr="00E349EB">
        <w:rPr>
          <w:rFonts w:ascii="Arial" w:hAnsi="Arial" w:cs="Arial"/>
          <w:sz w:val="22"/>
          <w:szCs w:val="22"/>
          <w:lang w:val="es-ES_tradnl"/>
        </w:rPr>
        <w:t>exts</w:t>
      </w:r>
      <w:proofErr w:type="spellEnd"/>
      <w:r w:rsidRPr="00E349EB">
        <w:rPr>
          <w:rFonts w:ascii="Arial" w:hAnsi="Arial" w:cs="Arial"/>
          <w:sz w:val="22"/>
          <w:szCs w:val="22"/>
          <w:lang w:val="es-ES_tradnl"/>
        </w:rPr>
        <w:t>. 1134, 1260 y 1241.</w:t>
      </w:r>
    </w:p>
    <w:p w14:paraId="414C7ECA" w14:textId="77777777" w:rsidR="004971A5" w:rsidRPr="00E349EB" w:rsidRDefault="004971A5" w:rsidP="004971A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2EA8EE24" w14:textId="77777777" w:rsidR="004971A5" w:rsidRPr="00E349EB" w:rsidRDefault="004971A5" w:rsidP="004971A5">
      <w:pPr>
        <w:ind w:left="-426" w:right="-518"/>
        <w:contextualSpacing/>
        <w:jc w:val="center"/>
        <w:rPr>
          <w:rFonts w:cs="Arial"/>
          <w:szCs w:val="22"/>
          <w:lang w:val="es-ES_tradnl"/>
        </w:rPr>
      </w:pPr>
      <w:r w:rsidRPr="00E349EB">
        <w:rPr>
          <w:rFonts w:cs="Arial"/>
          <w:szCs w:val="22"/>
          <w:lang w:val="es-ES_tradnl"/>
        </w:rPr>
        <w:t>Dirección de Atención a Medios / Dirección General Adjunta de Comunicación</w:t>
      </w:r>
    </w:p>
    <w:p w14:paraId="21C49DFE" w14:textId="77777777" w:rsidR="004971A5" w:rsidRPr="00E349EB" w:rsidRDefault="004971A5" w:rsidP="004971A5">
      <w:pPr>
        <w:ind w:left="-426" w:right="-518"/>
        <w:contextualSpacing/>
        <w:jc w:val="center"/>
        <w:rPr>
          <w:rFonts w:cs="Arial"/>
          <w:szCs w:val="22"/>
          <w:lang w:val="es-ES_tradnl"/>
        </w:rPr>
      </w:pPr>
    </w:p>
    <w:p w14:paraId="0EEDD49F" w14:textId="77777777" w:rsidR="004971A5" w:rsidRPr="00E349EB" w:rsidRDefault="004971A5" w:rsidP="004971A5">
      <w:pPr>
        <w:ind w:left="-426" w:right="-518"/>
        <w:contextualSpacing/>
        <w:jc w:val="center"/>
        <w:rPr>
          <w:rFonts w:cs="Arial"/>
          <w:szCs w:val="22"/>
          <w:lang w:val="es-ES_tradnl"/>
        </w:rPr>
      </w:pPr>
    </w:p>
    <w:p w14:paraId="550285D7" w14:textId="77777777" w:rsidR="004971A5" w:rsidRPr="00E349EB" w:rsidRDefault="004971A5" w:rsidP="004971A5">
      <w:pPr>
        <w:ind w:left="-426" w:right="-518"/>
        <w:contextualSpacing/>
        <w:jc w:val="center"/>
        <w:rPr>
          <w:rFonts w:cs="Arial"/>
          <w:sz w:val="20"/>
          <w:szCs w:val="20"/>
          <w:lang w:val="es-ES_tradnl"/>
        </w:rPr>
      </w:pPr>
    </w:p>
    <w:p w14:paraId="5CD57E24" w14:textId="3AE2CC7E" w:rsidR="002D2AB1" w:rsidRPr="00E349EB" w:rsidRDefault="004971A5" w:rsidP="00D41A2F">
      <w:pPr>
        <w:rPr>
          <w:lang w:val="es-ES_tradnl"/>
        </w:rPr>
      </w:pPr>
      <w:r w:rsidRPr="00E349EB">
        <w:rPr>
          <w:noProof/>
          <w:sz w:val="20"/>
          <w:lang w:val="es-ES_tradnl" w:eastAsia="es-MX"/>
        </w:rPr>
        <w:t xml:space="preserve">                                       </w:t>
      </w:r>
      <w:r w:rsidRPr="00E349EB">
        <w:rPr>
          <w:noProof/>
          <w:sz w:val="20"/>
          <w:lang w:val="es-ES_tradnl"/>
        </w:rPr>
        <w:drawing>
          <wp:inline distT="0" distB="0" distL="0" distR="0" wp14:anchorId="794EAD32" wp14:editId="5A574C33">
            <wp:extent cx="318472" cy="322419"/>
            <wp:effectExtent l="0" t="0" r="5715" b="1905"/>
            <wp:docPr id="16" name="Imagen 16" descr="C:\Users\saladeprensa\Desktop\NVOS LOGOS\F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9EB">
        <w:rPr>
          <w:noProof/>
          <w:sz w:val="20"/>
          <w:lang w:val="es-ES_tradnl" w:eastAsia="es-MX"/>
        </w:rPr>
        <w:t xml:space="preserve"> </w:t>
      </w:r>
      <w:r w:rsidRPr="00E349EB">
        <w:rPr>
          <w:noProof/>
          <w:sz w:val="20"/>
          <w:lang w:val="es-ES_tradnl"/>
        </w:rPr>
        <w:drawing>
          <wp:inline distT="0" distB="0" distL="0" distR="0" wp14:anchorId="6213363D" wp14:editId="1614A9B7">
            <wp:extent cx="327704" cy="325467"/>
            <wp:effectExtent l="0" t="0" r="0" b="0"/>
            <wp:docPr id="17" name="Imagen 17" descr="C:\Users\saladeprensa\Desktop\NVOS LOGOS\I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9EB">
        <w:rPr>
          <w:noProof/>
          <w:sz w:val="20"/>
          <w:lang w:val="es-ES_tradnl" w:eastAsia="es-MX"/>
        </w:rPr>
        <w:t xml:space="preserve"> </w:t>
      </w:r>
      <w:r w:rsidRPr="00E349EB">
        <w:rPr>
          <w:noProof/>
          <w:sz w:val="20"/>
          <w:lang w:val="es-ES_tradnl"/>
        </w:rPr>
        <w:drawing>
          <wp:inline distT="0" distB="0" distL="0" distR="0" wp14:anchorId="31BF8602" wp14:editId="1B84BADE">
            <wp:extent cx="321276" cy="324093"/>
            <wp:effectExtent l="0" t="0" r="3175" b="0"/>
            <wp:docPr id="10" name="Imagen 10" descr="C:\Users\saladeprensa\Desktop\NVOS LOGOS\T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9EB">
        <w:rPr>
          <w:noProof/>
          <w:sz w:val="20"/>
          <w:lang w:val="es-ES_tradnl" w:eastAsia="es-MX"/>
        </w:rPr>
        <w:t xml:space="preserve"> </w:t>
      </w:r>
      <w:r w:rsidRPr="00E349EB">
        <w:rPr>
          <w:noProof/>
          <w:sz w:val="20"/>
          <w:lang w:val="es-ES_tradnl"/>
        </w:rPr>
        <w:drawing>
          <wp:inline distT="0" distB="0" distL="0" distR="0" wp14:anchorId="4E019CB5" wp14:editId="2EE59F3A">
            <wp:extent cx="321276" cy="326574"/>
            <wp:effectExtent l="0" t="0" r="3175" b="0"/>
            <wp:docPr id="18" name="Imagen 18" descr="C:\Users\saladeprensa\Desktop\NVOS LOGOS\Y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9EB">
        <w:rPr>
          <w:noProof/>
          <w:sz w:val="20"/>
          <w:lang w:val="es-ES_tradnl" w:eastAsia="es-MX"/>
        </w:rPr>
        <w:t xml:space="preserve">  </w:t>
      </w:r>
      <w:r w:rsidRPr="00E349EB">
        <w:rPr>
          <w:noProof/>
          <w:sz w:val="14"/>
          <w:szCs w:val="18"/>
          <w:lang w:val="es-ES_tradnl"/>
        </w:rPr>
        <w:drawing>
          <wp:inline distT="0" distB="0" distL="0" distR="0" wp14:anchorId="3A1A34E2" wp14:editId="1A6BA084">
            <wp:extent cx="2323070" cy="319707"/>
            <wp:effectExtent l="0" t="0" r="1270" b="4445"/>
            <wp:docPr id="19" name="Imagen 19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AB1" w:rsidRPr="00E349EB" w:rsidSect="00D41A2F">
      <w:headerReference w:type="default" r:id="rId26"/>
      <w:footerReference w:type="default" r:id="rId27"/>
      <w:headerReference w:type="first" r:id="rId28"/>
      <w:footerReference w:type="first" r:id="rId29"/>
      <w:pgSz w:w="12242" w:h="15842" w:code="1"/>
      <w:pgMar w:top="1843" w:right="720" w:bottom="720" w:left="720" w:header="567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E7EB7" w14:textId="77777777" w:rsidR="00FC6FC8" w:rsidRDefault="00FC6FC8" w:rsidP="00074F52">
      <w:r>
        <w:separator/>
      </w:r>
    </w:p>
  </w:endnote>
  <w:endnote w:type="continuationSeparator" w:id="0">
    <w:p w14:paraId="7DEE46E8" w14:textId="77777777" w:rsidR="00FC6FC8" w:rsidRDefault="00FC6FC8" w:rsidP="00074F52">
      <w:r>
        <w:continuationSeparator/>
      </w:r>
    </w:p>
  </w:endnote>
  <w:endnote w:type="continuationNotice" w:id="1">
    <w:p w14:paraId="150FBF7C" w14:textId="77777777" w:rsidR="00FC6FC8" w:rsidRDefault="00FC6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6346953"/>
      <w:docPartObj>
        <w:docPartGallery w:val="Page Numbers (Bottom of Page)"/>
        <w:docPartUnique/>
      </w:docPartObj>
    </w:sdtPr>
    <w:sdtEndPr/>
    <w:sdtContent>
      <w:p w14:paraId="683A0F68" w14:textId="77777777" w:rsidR="002152DF" w:rsidRDefault="002152DF">
        <w:pPr>
          <w:pStyle w:val="Piedepgina"/>
          <w:jc w:val="center"/>
        </w:pPr>
        <w:r w:rsidRPr="00D41A2F">
          <w:rPr>
            <w:b/>
            <w:color w:val="002060"/>
            <w:sz w:val="20"/>
            <w:szCs w:val="20"/>
          </w:rPr>
          <w:fldChar w:fldCharType="begin"/>
        </w:r>
        <w:r w:rsidRPr="00D41A2F">
          <w:rPr>
            <w:b/>
            <w:color w:val="002060"/>
            <w:sz w:val="20"/>
            <w:szCs w:val="20"/>
          </w:rPr>
          <w:instrText>PAGE   \* MERGEFORMAT</w:instrText>
        </w:r>
        <w:r w:rsidRPr="00D41A2F">
          <w:rPr>
            <w:b/>
            <w:color w:val="002060"/>
            <w:sz w:val="20"/>
            <w:szCs w:val="20"/>
          </w:rPr>
          <w:fldChar w:fldCharType="separate"/>
        </w:r>
        <w:r w:rsidR="00FC507E" w:rsidRPr="00D41A2F">
          <w:rPr>
            <w:b/>
            <w:noProof/>
            <w:color w:val="002060"/>
            <w:sz w:val="20"/>
            <w:szCs w:val="20"/>
          </w:rPr>
          <w:t>4</w:t>
        </w:r>
        <w:r w:rsidRPr="00D41A2F">
          <w:rPr>
            <w:b/>
            <w:color w:val="002060"/>
            <w:sz w:val="20"/>
            <w:szCs w:val="20"/>
          </w:rPr>
          <w:fldChar w:fldCharType="end"/>
        </w:r>
        <w:r w:rsidR="004971A5" w:rsidRPr="00D41A2F">
          <w:rPr>
            <w:b/>
            <w:color w:val="002060"/>
            <w:sz w:val="20"/>
            <w:szCs w:val="20"/>
          </w:rPr>
          <w:t>COMUNICACIÓN SOCIAL</w:t>
        </w:r>
      </w:p>
    </w:sdtContent>
  </w:sdt>
  <w:p w14:paraId="166DFC53" w14:textId="77777777" w:rsidR="00AD6AA4" w:rsidRDefault="00AD6A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F8553" w14:textId="77777777" w:rsidR="00AD6AA4" w:rsidRDefault="00AD6AA4">
    <w:pPr>
      <w:pStyle w:val="Piedepgina"/>
      <w:jc w:val="right"/>
    </w:pPr>
  </w:p>
  <w:p w14:paraId="79CAAD29" w14:textId="77777777" w:rsidR="00AD6AA4" w:rsidRDefault="00AD6A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0C6AA" w14:textId="77777777" w:rsidR="00FC6FC8" w:rsidRDefault="00FC6FC8" w:rsidP="00074F52">
      <w:r>
        <w:separator/>
      </w:r>
    </w:p>
  </w:footnote>
  <w:footnote w:type="continuationSeparator" w:id="0">
    <w:p w14:paraId="132C973B" w14:textId="77777777" w:rsidR="00FC6FC8" w:rsidRDefault="00FC6FC8" w:rsidP="00074F52">
      <w:r>
        <w:continuationSeparator/>
      </w:r>
    </w:p>
  </w:footnote>
  <w:footnote w:type="continuationNotice" w:id="1">
    <w:p w14:paraId="46D9EEDE" w14:textId="77777777" w:rsidR="00FC6FC8" w:rsidRDefault="00FC6FC8"/>
  </w:footnote>
  <w:footnote w:id="2">
    <w:p w14:paraId="3E9F9133" w14:textId="77777777" w:rsidR="0083488A" w:rsidRPr="0083488A" w:rsidRDefault="0083488A" w:rsidP="009C4F4D">
      <w:pPr>
        <w:pStyle w:val="Textonotapie"/>
        <w:ind w:left="284" w:hanging="284"/>
        <w:rPr>
          <w:sz w:val="16"/>
          <w:szCs w:val="16"/>
        </w:rPr>
      </w:pPr>
      <w:r w:rsidRPr="0083488A">
        <w:rPr>
          <w:rStyle w:val="Refdenotaalpie"/>
          <w:sz w:val="16"/>
          <w:szCs w:val="16"/>
        </w:rPr>
        <w:footnoteRef/>
      </w:r>
      <w:r w:rsidRPr="008348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Nota: </w:t>
      </w:r>
      <w:r w:rsidRPr="0083488A">
        <w:rPr>
          <w:sz w:val="16"/>
          <w:szCs w:val="16"/>
        </w:rPr>
        <w:t xml:space="preserve">Incluye a los profesionales en </w:t>
      </w:r>
      <w:proofErr w:type="spellStart"/>
      <w:r w:rsidRPr="0083488A">
        <w:rPr>
          <w:sz w:val="16"/>
          <w:szCs w:val="16"/>
        </w:rPr>
        <w:t>paramedicina</w:t>
      </w:r>
      <w:proofErr w:type="spellEnd"/>
      <w:r w:rsidRPr="0083488A">
        <w:rPr>
          <w:sz w:val="16"/>
          <w:szCs w:val="16"/>
        </w:rPr>
        <w:t>.</w:t>
      </w:r>
    </w:p>
  </w:footnote>
  <w:footnote w:id="3">
    <w:p w14:paraId="0A9228E6" w14:textId="77777777" w:rsidR="00031871" w:rsidRPr="00031871" w:rsidRDefault="00031871" w:rsidP="00031871">
      <w:pPr>
        <w:pStyle w:val="Textonotapie"/>
        <w:ind w:left="284" w:hanging="284"/>
        <w:rPr>
          <w:sz w:val="16"/>
          <w:szCs w:val="16"/>
          <w:lang w:val="es-MX"/>
        </w:rPr>
      </w:pPr>
      <w:r w:rsidRPr="00031871">
        <w:rPr>
          <w:rStyle w:val="Refdenotaalpie"/>
          <w:sz w:val="16"/>
          <w:szCs w:val="16"/>
        </w:rPr>
        <w:footnoteRef/>
      </w:r>
      <w:r w:rsidRPr="00031871">
        <w:rPr>
          <w:sz w:val="16"/>
          <w:szCs w:val="16"/>
        </w:rPr>
        <w:t xml:space="preserve"> </w:t>
      </w:r>
      <w:r w:rsidR="00380D0E" w:rsidRPr="00380D0E">
        <w:rPr>
          <w:sz w:val="16"/>
          <w:szCs w:val="16"/>
        </w:rPr>
        <w:t>Nota: La suma de los porcentajes no es de 100% debido al redondeo de las cifras.</w:t>
      </w:r>
    </w:p>
  </w:footnote>
  <w:footnote w:id="4">
    <w:p w14:paraId="548150DB" w14:textId="1B6F9345" w:rsidR="005C22E2" w:rsidRDefault="005C22E2" w:rsidP="00283B09">
      <w:pPr>
        <w:pStyle w:val="Textonotapie"/>
        <w:tabs>
          <w:tab w:val="left" w:pos="142"/>
        </w:tabs>
        <w:ind w:left="142" w:right="454" w:hanging="142"/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  <w:lang w:val="es-MX"/>
        </w:rPr>
        <w:t>C</w:t>
      </w:r>
      <w:r w:rsidRPr="005C22E2">
        <w:rPr>
          <w:sz w:val="16"/>
          <w:szCs w:val="16"/>
          <w:lang w:val="es-MX"/>
        </w:rPr>
        <w:t>onsidera</w:t>
      </w:r>
      <w:r>
        <w:rPr>
          <w:sz w:val="16"/>
          <w:szCs w:val="16"/>
          <w:lang w:val="es-MX"/>
        </w:rPr>
        <w:t>ndo</w:t>
      </w:r>
      <w:r w:rsidRPr="005C22E2">
        <w:rPr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MX"/>
        </w:rPr>
        <w:t>personal de enfermería</w:t>
      </w:r>
      <w:r w:rsidRPr="005C22E2">
        <w:rPr>
          <w:sz w:val="16"/>
          <w:szCs w:val="16"/>
          <w:lang w:val="es-MX"/>
        </w:rPr>
        <w:t xml:space="preserve"> profesional y técnica</w:t>
      </w:r>
      <w:r>
        <w:rPr>
          <w:sz w:val="16"/>
          <w:szCs w:val="16"/>
          <w:lang w:val="es-MX"/>
        </w:rPr>
        <w:t>.</w:t>
      </w:r>
    </w:p>
  </w:footnote>
  <w:footnote w:id="5">
    <w:p w14:paraId="6D825564" w14:textId="77777777" w:rsidR="001663AD" w:rsidRPr="00DB1E69" w:rsidRDefault="001663AD" w:rsidP="00283B09">
      <w:pPr>
        <w:pStyle w:val="Textonotapie"/>
        <w:tabs>
          <w:tab w:val="left" w:pos="142"/>
        </w:tabs>
        <w:ind w:left="142" w:right="454" w:hanging="142"/>
        <w:rPr>
          <w:sz w:val="16"/>
          <w:szCs w:val="16"/>
          <w:lang w:val="es-MX"/>
        </w:rPr>
      </w:pPr>
      <w:r w:rsidRPr="00DB1E69">
        <w:rPr>
          <w:rStyle w:val="Refdenotaalpie"/>
          <w:sz w:val="16"/>
          <w:szCs w:val="16"/>
        </w:rPr>
        <w:footnoteRef/>
      </w:r>
      <w:bookmarkStart w:id="4" w:name="_GoBack"/>
      <w:bookmarkEnd w:id="4"/>
      <w:r w:rsidRPr="00DB1E69">
        <w:rPr>
          <w:sz w:val="16"/>
          <w:szCs w:val="16"/>
        </w:rPr>
        <w:t xml:space="preserve"> </w:t>
      </w:r>
      <w:r w:rsidRPr="00DB1E69">
        <w:rPr>
          <w:sz w:val="16"/>
          <w:szCs w:val="16"/>
        </w:rPr>
        <w:tab/>
      </w:r>
      <w:r w:rsidRPr="00DB1E69">
        <w:rPr>
          <w:sz w:val="16"/>
          <w:szCs w:val="16"/>
          <w:lang w:val="es-MX"/>
        </w:rPr>
        <w:t xml:space="preserve">La </w:t>
      </w:r>
      <w:r w:rsidRPr="00717A3F">
        <w:rPr>
          <w:i/>
          <w:sz w:val="16"/>
          <w:lang w:val="es-MX"/>
        </w:rPr>
        <w:t>Clasificación mexicana de planes de estudio por campos de formación académica 2016</w:t>
      </w:r>
      <w:r w:rsidRPr="00DB1E69">
        <w:rPr>
          <w:sz w:val="16"/>
          <w:szCs w:val="16"/>
          <w:lang w:val="es-MX"/>
        </w:rPr>
        <w:t xml:space="preserve"> (CMPE), considera a las y los auxiliares y asistentes de enfermería dentro de su campo detallado 0921 Enfermería general y </w:t>
      </w:r>
      <w:r w:rsidRPr="00400214">
        <w:rPr>
          <w:sz w:val="16"/>
          <w:szCs w:val="16"/>
          <w:lang w:val="es-MX"/>
        </w:rPr>
        <w:t>obstetricia</w:t>
      </w:r>
      <w:r>
        <w:rPr>
          <w:sz w:val="16"/>
          <w:szCs w:val="16"/>
          <w:lang w:val="es-MX"/>
        </w:rPr>
        <w:t xml:space="preserve">, </w:t>
      </w:r>
      <w:r w:rsidRPr="00A21DF5">
        <w:rPr>
          <w:sz w:val="16"/>
          <w:szCs w:val="16"/>
        </w:rPr>
        <w:t>debido a que su formación les permite proporcionar atención básica de salud a los pacientes bajo la supervisión de una enfermera</w:t>
      </w:r>
      <w:r w:rsidRPr="00A21DF5">
        <w:rPr>
          <w:sz w:val="10"/>
          <w:szCs w:val="10"/>
          <w:lang w:val="es-MX"/>
        </w:rPr>
        <w:t xml:space="preserve"> </w:t>
      </w:r>
      <w:r w:rsidRPr="00DB1E69">
        <w:rPr>
          <w:sz w:val="16"/>
          <w:szCs w:val="16"/>
          <w:lang w:val="es-MX"/>
        </w:rPr>
        <w:t>(INEGI, CMP, 2016, p. 62). Véase:</w:t>
      </w:r>
    </w:p>
    <w:p w14:paraId="3C12CF72" w14:textId="34B40727" w:rsidR="001663AD" w:rsidRPr="00DB1E69" w:rsidRDefault="00E97BC2" w:rsidP="00283B09">
      <w:pPr>
        <w:pStyle w:val="Textonotapie"/>
        <w:tabs>
          <w:tab w:val="left" w:pos="142"/>
        </w:tabs>
        <w:ind w:left="142" w:right="454" w:hanging="142"/>
        <w:rPr>
          <w:sz w:val="16"/>
          <w:szCs w:val="16"/>
          <w:lang w:val="es-MX"/>
        </w:rPr>
      </w:pPr>
      <w:r>
        <w:rPr>
          <w:rStyle w:val="Hipervnculo"/>
          <w:sz w:val="16"/>
          <w:szCs w:val="16"/>
          <w:lang w:val="es-MX"/>
        </w:rPr>
        <w:tab/>
      </w:r>
      <w:hyperlink r:id="rId1" w:history="1">
        <w:r w:rsidRPr="00E97BC2">
          <w:rPr>
            <w:rStyle w:val="Hipervnculo"/>
            <w:sz w:val="16"/>
            <w:szCs w:val="16"/>
            <w:lang w:val="es-MX"/>
          </w:rPr>
          <w:t>https://www.inegi.org.mx/contenidos/productos/prod_serv/contenidos/espanol/bvinegi/productos/nueva_estruc/702825086664.pdf</w:t>
        </w:r>
      </w:hyperlink>
    </w:p>
  </w:footnote>
  <w:footnote w:id="6">
    <w:p w14:paraId="6ED23F46" w14:textId="132A35A4" w:rsidR="00283B09" w:rsidRDefault="00283B09" w:rsidP="00283B09">
      <w:pPr>
        <w:pStyle w:val="Textonotapie"/>
        <w:ind w:left="284" w:hanging="284"/>
        <w:rPr>
          <w:sz w:val="16"/>
          <w:szCs w:val="16"/>
        </w:rPr>
      </w:pPr>
      <w:r w:rsidRPr="00283B09">
        <w:rPr>
          <w:rStyle w:val="Refdenotaalpie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Nota: La suma de los porcentajes no es de 100% debido al redondeo de las cifras.</w:t>
      </w:r>
    </w:p>
    <w:p w14:paraId="55588EF2" w14:textId="2629A688" w:rsidR="00283B09" w:rsidRDefault="00283B09" w:rsidP="00283B09">
      <w:pPr>
        <w:pStyle w:val="Textonotapie"/>
        <w:rPr>
          <w:sz w:val="16"/>
          <w:szCs w:val="16"/>
          <w:lang w:val="es-MX"/>
        </w:rPr>
      </w:pPr>
      <w:r w:rsidRPr="00283B09">
        <w:rPr>
          <w:rFonts w:cs="Arial"/>
          <w:sz w:val="16"/>
          <w:szCs w:val="16"/>
          <w:vertAlign w:val="superscript"/>
        </w:rPr>
        <w:t>6</w:t>
      </w:r>
      <w:r w:rsidRPr="00283B09">
        <w:rPr>
          <w:rFonts w:cs="Arial"/>
          <w:sz w:val="16"/>
          <w:szCs w:val="16"/>
        </w:rPr>
        <w:t xml:space="preserve"> </w:t>
      </w:r>
      <w:proofErr w:type="gramStart"/>
      <w:r w:rsidRPr="00283B09">
        <w:rPr>
          <w:rFonts w:cs="Arial"/>
          <w:sz w:val="16"/>
          <w:szCs w:val="16"/>
        </w:rPr>
        <w:t>Nota</w:t>
      </w:r>
      <w:proofErr w:type="gramEnd"/>
      <w:r w:rsidRPr="00283B09">
        <w:rPr>
          <w:rFonts w:cs="Arial"/>
          <w:sz w:val="16"/>
          <w:szCs w:val="16"/>
        </w:rPr>
        <w:t>: La suma de l</w:t>
      </w:r>
      <w:r>
        <w:rPr>
          <w:rFonts w:cs="Arial"/>
          <w:sz w:val="16"/>
          <w:szCs w:val="16"/>
        </w:rPr>
        <w:t xml:space="preserve">as cifras </w:t>
      </w:r>
      <w:r w:rsidRPr="00283B09">
        <w:rPr>
          <w:rFonts w:cs="Arial"/>
          <w:sz w:val="16"/>
          <w:szCs w:val="16"/>
        </w:rPr>
        <w:t>no es de 10</w:t>
      </w:r>
      <w:r>
        <w:rPr>
          <w:rFonts w:cs="Arial"/>
          <w:sz w:val="16"/>
          <w:szCs w:val="16"/>
        </w:rPr>
        <w:t>0</w:t>
      </w:r>
      <w:r w:rsidRPr="00283B09">
        <w:rPr>
          <w:rFonts w:cs="Arial"/>
          <w:sz w:val="16"/>
          <w:szCs w:val="16"/>
        </w:rPr>
        <w:t xml:space="preserve"> debido al redondeo.</w:t>
      </w:r>
    </w:p>
    <w:p w14:paraId="63CB156C" w14:textId="3B224754" w:rsidR="00283B09" w:rsidRPr="00283B09" w:rsidRDefault="00283B09">
      <w:pPr>
        <w:pStyle w:val="Textonotapie"/>
        <w:rPr>
          <w:lang w:val="es-MX"/>
        </w:rPr>
      </w:pPr>
    </w:p>
  </w:footnote>
  <w:footnote w:id="7">
    <w:p w14:paraId="448C2A76" w14:textId="5BDE6C0B" w:rsidR="00E97BC2" w:rsidRPr="00283B09" w:rsidRDefault="00E97BC2">
      <w:pPr>
        <w:pStyle w:val="Textonotapie"/>
        <w:rPr>
          <w:rFonts w:cs="Arial"/>
          <w:sz w:val="16"/>
          <w:szCs w:val="16"/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4D21C" w14:textId="77777777" w:rsidR="00AD6AA4" w:rsidRDefault="00AD6AA4">
    <w:pPr>
      <w:pStyle w:val="Encabezado"/>
    </w:pPr>
  </w:p>
  <w:p w14:paraId="482D332B" w14:textId="220DBBDC" w:rsidR="00D87685" w:rsidRPr="00B53B2A" w:rsidRDefault="00D87685" w:rsidP="00D87685">
    <w:pPr>
      <w:pStyle w:val="Encabezado"/>
      <w:tabs>
        <w:tab w:val="clear" w:pos="4419"/>
        <w:tab w:val="clear" w:pos="8838"/>
      </w:tabs>
      <w:ind w:left="3969" w:right="454"/>
      <w:jc w:val="right"/>
      <w:rPr>
        <w:b/>
        <w:color w:val="002060"/>
        <w:sz w:val="24"/>
        <w:lang w:val="pt-BR"/>
      </w:rPr>
    </w:pPr>
    <w:r w:rsidRPr="00B53B2A">
      <w:rPr>
        <w:noProof/>
        <w:sz w:val="24"/>
        <w:lang w:val="en-US"/>
      </w:rPr>
      <w:drawing>
        <wp:anchor distT="0" distB="0" distL="114300" distR="114300" simplePos="0" relativeHeight="251661312" behindDoc="0" locked="0" layoutInCell="1" allowOverlap="1" wp14:anchorId="503F369A" wp14:editId="241E9899">
          <wp:simplePos x="0" y="0"/>
          <wp:positionH relativeFrom="margin">
            <wp:posOffset>381000</wp:posOffset>
          </wp:positionH>
          <wp:positionV relativeFrom="margin">
            <wp:posOffset>-905510</wp:posOffset>
          </wp:positionV>
          <wp:extent cx="862965" cy="82740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4901" b="-2430"/>
                  <a:stretch/>
                </pic:blipFill>
                <pic:spPr bwMode="auto">
                  <a:xfrm>
                    <a:off x="0" y="0"/>
                    <a:ext cx="86296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3B2A">
      <w:rPr>
        <w:rFonts w:cs="Arial"/>
        <w:b/>
        <w:color w:val="002060"/>
        <w:sz w:val="24"/>
      </w:rPr>
      <w:t>C</w:t>
    </w:r>
    <w:r w:rsidRPr="00B53B2A">
      <w:rPr>
        <w:b/>
        <w:color w:val="002060"/>
        <w:sz w:val="24"/>
      </w:rPr>
      <w:t xml:space="preserve">OMUNICADO DE PRENSA NÚM. </w:t>
    </w:r>
    <w:r w:rsidR="00FA7E57" w:rsidRPr="00B53B2A">
      <w:rPr>
        <w:b/>
        <w:color w:val="002060"/>
        <w:sz w:val="24"/>
      </w:rPr>
      <w:t>254</w:t>
    </w:r>
    <w:r w:rsidRPr="00B53B2A">
      <w:rPr>
        <w:b/>
        <w:color w:val="002060"/>
        <w:sz w:val="24"/>
      </w:rPr>
      <w:t>/22</w:t>
    </w:r>
  </w:p>
  <w:p w14:paraId="0910DEE7" w14:textId="77777777" w:rsidR="00D87685" w:rsidRPr="00B53B2A" w:rsidRDefault="00D87685" w:rsidP="00D87685">
    <w:pPr>
      <w:pStyle w:val="Encabezado"/>
      <w:tabs>
        <w:tab w:val="clear" w:pos="4419"/>
        <w:tab w:val="clear" w:pos="8838"/>
      </w:tabs>
      <w:ind w:left="3969" w:right="454"/>
      <w:jc w:val="right"/>
      <w:rPr>
        <w:b/>
        <w:color w:val="002060"/>
        <w:sz w:val="24"/>
        <w:lang w:val="pt-BR"/>
      </w:rPr>
    </w:pPr>
    <w:r w:rsidRPr="00B53B2A">
      <w:rPr>
        <w:b/>
        <w:color w:val="002060"/>
        <w:sz w:val="24"/>
        <w:lang w:val="pt-BR"/>
      </w:rPr>
      <w:t>10 DE MAYO DE 2022</w:t>
    </w:r>
  </w:p>
  <w:p w14:paraId="6743F512" w14:textId="37DDA575" w:rsidR="00D87685" w:rsidRPr="00B53B2A" w:rsidRDefault="00D87685" w:rsidP="00D87685">
    <w:pPr>
      <w:pStyle w:val="Encabezado"/>
      <w:tabs>
        <w:tab w:val="clear" w:pos="4419"/>
        <w:tab w:val="clear" w:pos="8838"/>
      </w:tabs>
      <w:ind w:left="3969" w:right="454"/>
      <w:jc w:val="right"/>
      <w:rPr>
        <w:b/>
        <w:color w:val="002060"/>
        <w:sz w:val="24"/>
      </w:rPr>
    </w:pPr>
    <w:r w:rsidRPr="00B53B2A">
      <w:rPr>
        <w:b/>
        <w:color w:val="002060"/>
        <w:sz w:val="24"/>
      </w:rPr>
      <w:t xml:space="preserve">PÁGINA </w:t>
    </w:r>
    <w:r w:rsidRPr="00B53B2A">
      <w:rPr>
        <w:b/>
        <w:color w:val="002060"/>
        <w:sz w:val="24"/>
      </w:rPr>
      <w:fldChar w:fldCharType="begin"/>
    </w:r>
    <w:r w:rsidRPr="00B53B2A">
      <w:rPr>
        <w:b/>
        <w:color w:val="002060"/>
        <w:sz w:val="24"/>
      </w:rPr>
      <w:instrText xml:space="preserve"> PAGE  \* Arabic </w:instrText>
    </w:r>
    <w:r w:rsidRPr="00B53B2A">
      <w:rPr>
        <w:b/>
        <w:color w:val="002060"/>
        <w:sz w:val="24"/>
      </w:rPr>
      <w:fldChar w:fldCharType="separate"/>
    </w:r>
    <w:r w:rsidRPr="00B53B2A">
      <w:rPr>
        <w:b/>
        <w:color w:val="002060"/>
        <w:sz w:val="24"/>
      </w:rPr>
      <w:t>1</w:t>
    </w:r>
    <w:r w:rsidRPr="00B53B2A">
      <w:rPr>
        <w:b/>
        <w:color w:val="002060"/>
        <w:sz w:val="24"/>
      </w:rPr>
      <w:fldChar w:fldCharType="end"/>
    </w:r>
    <w:r w:rsidRPr="00B53B2A">
      <w:rPr>
        <w:b/>
        <w:color w:val="002060"/>
        <w:sz w:val="24"/>
      </w:rPr>
      <w:t>/</w:t>
    </w:r>
    <w:r w:rsidR="00FA7E57" w:rsidRPr="00B53B2A">
      <w:rPr>
        <w:b/>
        <w:color w:val="002060"/>
        <w:sz w:val="24"/>
      </w:rPr>
      <w:t>4</w:t>
    </w:r>
  </w:p>
  <w:p w14:paraId="351D9360" w14:textId="77777777" w:rsidR="00AD6AA4" w:rsidRDefault="00AD6AA4" w:rsidP="00D41A2F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3BF37" w14:textId="3CE26805" w:rsidR="00B233CC" w:rsidRPr="00B53B2A" w:rsidRDefault="00B233CC" w:rsidP="00B233CC">
    <w:pPr>
      <w:pStyle w:val="Encabezado"/>
      <w:tabs>
        <w:tab w:val="clear" w:pos="4419"/>
        <w:tab w:val="clear" w:pos="8838"/>
      </w:tabs>
      <w:ind w:left="3969" w:right="454"/>
      <w:jc w:val="right"/>
      <w:rPr>
        <w:b/>
        <w:color w:val="002060"/>
        <w:sz w:val="24"/>
        <w:lang w:val="pt-BR"/>
      </w:rPr>
    </w:pPr>
    <w:r w:rsidRPr="00B53B2A">
      <w:rPr>
        <w:noProof/>
        <w:sz w:val="24"/>
        <w:lang w:val="en-US"/>
      </w:rPr>
      <w:drawing>
        <wp:anchor distT="0" distB="0" distL="114300" distR="114300" simplePos="0" relativeHeight="251659264" behindDoc="0" locked="0" layoutInCell="1" allowOverlap="1" wp14:anchorId="44D0F994" wp14:editId="20036DFF">
          <wp:simplePos x="0" y="0"/>
          <wp:positionH relativeFrom="margin">
            <wp:posOffset>381000</wp:posOffset>
          </wp:positionH>
          <wp:positionV relativeFrom="margin">
            <wp:posOffset>-905510</wp:posOffset>
          </wp:positionV>
          <wp:extent cx="862965" cy="82740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4901" b="-2430"/>
                  <a:stretch/>
                </pic:blipFill>
                <pic:spPr bwMode="auto">
                  <a:xfrm>
                    <a:off x="0" y="0"/>
                    <a:ext cx="86296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3B2A">
      <w:rPr>
        <w:rFonts w:cs="Arial"/>
        <w:b/>
        <w:color w:val="002060"/>
        <w:sz w:val="24"/>
      </w:rPr>
      <w:t>C</w:t>
    </w:r>
    <w:r w:rsidRPr="00B53B2A">
      <w:rPr>
        <w:b/>
        <w:color w:val="002060"/>
        <w:sz w:val="24"/>
      </w:rPr>
      <w:t xml:space="preserve">OMUNICADO DE PRENSA NÚM. </w:t>
    </w:r>
    <w:r w:rsidR="008626FD" w:rsidRPr="00B53B2A">
      <w:rPr>
        <w:b/>
        <w:color w:val="002060"/>
        <w:sz w:val="24"/>
      </w:rPr>
      <w:t>254</w:t>
    </w:r>
    <w:r w:rsidRPr="00B53B2A">
      <w:rPr>
        <w:b/>
        <w:color w:val="002060"/>
        <w:sz w:val="24"/>
      </w:rPr>
      <w:t>/22</w:t>
    </w:r>
  </w:p>
  <w:p w14:paraId="47AB5641" w14:textId="77777777" w:rsidR="00B233CC" w:rsidRPr="00B53B2A" w:rsidRDefault="00B233CC" w:rsidP="00D87685">
    <w:pPr>
      <w:pStyle w:val="Encabezado"/>
      <w:tabs>
        <w:tab w:val="clear" w:pos="4419"/>
        <w:tab w:val="clear" w:pos="8838"/>
      </w:tabs>
      <w:ind w:left="3969" w:right="454"/>
      <w:jc w:val="right"/>
      <w:rPr>
        <w:b/>
        <w:color w:val="002060"/>
        <w:sz w:val="24"/>
        <w:lang w:val="pt-BR"/>
      </w:rPr>
    </w:pPr>
    <w:r w:rsidRPr="00B53B2A">
      <w:rPr>
        <w:b/>
        <w:color w:val="002060"/>
        <w:sz w:val="24"/>
        <w:lang w:val="pt-BR"/>
      </w:rPr>
      <w:t>10 DE MAYO DE 2022</w:t>
    </w:r>
  </w:p>
  <w:p w14:paraId="1318DB14" w14:textId="28524F62" w:rsidR="00B233CC" w:rsidRPr="00B53B2A" w:rsidRDefault="00B233CC" w:rsidP="00D41A2F">
    <w:pPr>
      <w:pStyle w:val="Encabezado"/>
      <w:tabs>
        <w:tab w:val="clear" w:pos="4419"/>
        <w:tab w:val="clear" w:pos="8838"/>
      </w:tabs>
      <w:ind w:left="3969" w:right="454"/>
      <w:jc w:val="right"/>
      <w:rPr>
        <w:b/>
        <w:color w:val="002060"/>
        <w:sz w:val="24"/>
      </w:rPr>
    </w:pPr>
    <w:r w:rsidRPr="00B53B2A">
      <w:rPr>
        <w:b/>
        <w:color w:val="002060"/>
        <w:sz w:val="24"/>
      </w:rPr>
      <w:t xml:space="preserve">PÁGINA </w:t>
    </w:r>
    <w:r w:rsidRPr="00B53B2A">
      <w:rPr>
        <w:b/>
        <w:color w:val="002060"/>
        <w:sz w:val="24"/>
      </w:rPr>
      <w:fldChar w:fldCharType="begin"/>
    </w:r>
    <w:r w:rsidRPr="00B53B2A">
      <w:rPr>
        <w:b/>
        <w:color w:val="002060"/>
        <w:sz w:val="24"/>
      </w:rPr>
      <w:instrText xml:space="preserve"> PAGE  \* Arabic </w:instrText>
    </w:r>
    <w:r w:rsidRPr="00B53B2A">
      <w:rPr>
        <w:b/>
        <w:color w:val="002060"/>
        <w:sz w:val="24"/>
      </w:rPr>
      <w:fldChar w:fldCharType="separate"/>
    </w:r>
    <w:r w:rsidRPr="00B53B2A">
      <w:rPr>
        <w:b/>
        <w:color w:val="002060"/>
        <w:sz w:val="24"/>
      </w:rPr>
      <w:t>1</w:t>
    </w:r>
    <w:r w:rsidRPr="00B53B2A">
      <w:rPr>
        <w:b/>
        <w:color w:val="002060"/>
        <w:sz w:val="24"/>
      </w:rPr>
      <w:fldChar w:fldCharType="end"/>
    </w:r>
    <w:r w:rsidRPr="00B53B2A">
      <w:rPr>
        <w:b/>
        <w:color w:val="002060"/>
        <w:sz w:val="24"/>
      </w:rPr>
      <w:t>/</w:t>
    </w:r>
    <w:r w:rsidR="00FA7E57" w:rsidRPr="00B53B2A">
      <w:rPr>
        <w:b/>
        <w:color w:val="002060"/>
        <w:sz w:val="24"/>
      </w:rPr>
      <w:t>4</w:t>
    </w:r>
  </w:p>
  <w:p w14:paraId="3B99421E" w14:textId="77777777" w:rsidR="00AD6AA4" w:rsidRDefault="00AD6AA4">
    <w:pPr>
      <w:pStyle w:val="Encabezado"/>
    </w:pPr>
  </w:p>
  <w:p w14:paraId="018A470E" w14:textId="77777777" w:rsidR="00AD6AA4" w:rsidRDefault="00AD6AA4" w:rsidP="00AD6AA4">
    <w:pPr>
      <w:pStyle w:val="Encabezado"/>
      <w:ind w:hanging="426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3E6"/>
    <w:multiLevelType w:val="hybridMultilevel"/>
    <w:tmpl w:val="EFA67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52"/>
    <w:rsid w:val="0000332C"/>
    <w:rsid w:val="00004735"/>
    <w:rsid w:val="0001565D"/>
    <w:rsid w:val="000218FB"/>
    <w:rsid w:val="00025BE5"/>
    <w:rsid w:val="00026FB7"/>
    <w:rsid w:val="0002758C"/>
    <w:rsid w:val="00031871"/>
    <w:rsid w:val="000404C8"/>
    <w:rsid w:val="00043A4B"/>
    <w:rsid w:val="0004786B"/>
    <w:rsid w:val="0005057F"/>
    <w:rsid w:val="00056962"/>
    <w:rsid w:val="00063DA6"/>
    <w:rsid w:val="00064B69"/>
    <w:rsid w:val="0007341E"/>
    <w:rsid w:val="00073CFB"/>
    <w:rsid w:val="00074F52"/>
    <w:rsid w:val="00076F58"/>
    <w:rsid w:val="00082E9C"/>
    <w:rsid w:val="00084C14"/>
    <w:rsid w:val="00086B19"/>
    <w:rsid w:val="00090569"/>
    <w:rsid w:val="000912DC"/>
    <w:rsid w:val="00094650"/>
    <w:rsid w:val="000A20C0"/>
    <w:rsid w:val="000A4C18"/>
    <w:rsid w:val="000A717E"/>
    <w:rsid w:val="000B0B31"/>
    <w:rsid w:val="000B3C00"/>
    <w:rsid w:val="000B5F46"/>
    <w:rsid w:val="000D284C"/>
    <w:rsid w:val="000D39A7"/>
    <w:rsid w:val="000D7DF0"/>
    <w:rsid w:val="000E3418"/>
    <w:rsid w:val="000E555D"/>
    <w:rsid w:val="000E6CA4"/>
    <w:rsid w:val="000F01E3"/>
    <w:rsid w:val="000F32D0"/>
    <w:rsid w:val="000F36C1"/>
    <w:rsid w:val="000F5F5B"/>
    <w:rsid w:val="000F76B1"/>
    <w:rsid w:val="000F7F94"/>
    <w:rsid w:val="00103C31"/>
    <w:rsid w:val="001104CA"/>
    <w:rsid w:val="00121504"/>
    <w:rsid w:val="001216E6"/>
    <w:rsid w:val="00124214"/>
    <w:rsid w:val="00127012"/>
    <w:rsid w:val="0013335A"/>
    <w:rsid w:val="00135862"/>
    <w:rsid w:val="00135DC6"/>
    <w:rsid w:val="0015095F"/>
    <w:rsid w:val="00151327"/>
    <w:rsid w:val="00153BCE"/>
    <w:rsid w:val="00160050"/>
    <w:rsid w:val="00162FF6"/>
    <w:rsid w:val="00164EF3"/>
    <w:rsid w:val="001663AD"/>
    <w:rsid w:val="00167643"/>
    <w:rsid w:val="00167F5C"/>
    <w:rsid w:val="00173A9C"/>
    <w:rsid w:val="001771BA"/>
    <w:rsid w:val="00182406"/>
    <w:rsid w:val="00182AA6"/>
    <w:rsid w:val="00195402"/>
    <w:rsid w:val="001A1E65"/>
    <w:rsid w:val="001A4064"/>
    <w:rsid w:val="001A471B"/>
    <w:rsid w:val="001A596B"/>
    <w:rsid w:val="001B05CC"/>
    <w:rsid w:val="001B1034"/>
    <w:rsid w:val="001B1970"/>
    <w:rsid w:val="001B2CF8"/>
    <w:rsid w:val="001B6522"/>
    <w:rsid w:val="001D232A"/>
    <w:rsid w:val="001D4B77"/>
    <w:rsid w:val="001D62B5"/>
    <w:rsid w:val="001D70FD"/>
    <w:rsid w:val="001E37CA"/>
    <w:rsid w:val="001E73B1"/>
    <w:rsid w:val="001F25D5"/>
    <w:rsid w:val="001F38AA"/>
    <w:rsid w:val="001F393C"/>
    <w:rsid w:val="001F422C"/>
    <w:rsid w:val="001F4C6E"/>
    <w:rsid w:val="001F5B6E"/>
    <w:rsid w:val="001F5BEB"/>
    <w:rsid w:val="00200A70"/>
    <w:rsid w:val="0020472C"/>
    <w:rsid w:val="002152DF"/>
    <w:rsid w:val="0021614F"/>
    <w:rsid w:val="00233D4F"/>
    <w:rsid w:val="00234BB6"/>
    <w:rsid w:val="002362DF"/>
    <w:rsid w:val="00241F79"/>
    <w:rsid w:val="00242614"/>
    <w:rsid w:val="00247254"/>
    <w:rsid w:val="0025598D"/>
    <w:rsid w:val="002576E3"/>
    <w:rsid w:val="00257B08"/>
    <w:rsid w:val="00260AC8"/>
    <w:rsid w:val="0026229E"/>
    <w:rsid w:val="00262B3F"/>
    <w:rsid w:val="0026456D"/>
    <w:rsid w:val="00267595"/>
    <w:rsid w:val="00275A88"/>
    <w:rsid w:val="00283B09"/>
    <w:rsid w:val="00284E70"/>
    <w:rsid w:val="00284F81"/>
    <w:rsid w:val="0028549C"/>
    <w:rsid w:val="00291882"/>
    <w:rsid w:val="0029342C"/>
    <w:rsid w:val="002966EB"/>
    <w:rsid w:val="002A33B8"/>
    <w:rsid w:val="002A675F"/>
    <w:rsid w:val="002B7CDE"/>
    <w:rsid w:val="002C45DA"/>
    <w:rsid w:val="002D05CF"/>
    <w:rsid w:val="002D2AB1"/>
    <w:rsid w:val="002D2ABD"/>
    <w:rsid w:val="002D4000"/>
    <w:rsid w:val="002E16CD"/>
    <w:rsid w:val="002E198D"/>
    <w:rsid w:val="002E1C8C"/>
    <w:rsid w:val="002E55E1"/>
    <w:rsid w:val="002E5F6B"/>
    <w:rsid w:val="002E69F3"/>
    <w:rsid w:val="002F0456"/>
    <w:rsid w:val="002F5AFE"/>
    <w:rsid w:val="002F789E"/>
    <w:rsid w:val="003122FD"/>
    <w:rsid w:val="003148EA"/>
    <w:rsid w:val="00314EC9"/>
    <w:rsid w:val="00317CF8"/>
    <w:rsid w:val="00320E08"/>
    <w:rsid w:val="00322AF6"/>
    <w:rsid w:val="00323EFD"/>
    <w:rsid w:val="00331D0F"/>
    <w:rsid w:val="003324A7"/>
    <w:rsid w:val="00334DA7"/>
    <w:rsid w:val="00344B63"/>
    <w:rsid w:val="00355B1C"/>
    <w:rsid w:val="00355C0E"/>
    <w:rsid w:val="00361B7B"/>
    <w:rsid w:val="0036332C"/>
    <w:rsid w:val="00363C8C"/>
    <w:rsid w:val="00371812"/>
    <w:rsid w:val="00372208"/>
    <w:rsid w:val="00374639"/>
    <w:rsid w:val="0037667C"/>
    <w:rsid w:val="00380D0E"/>
    <w:rsid w:val="00384211"/>
    <w:rsid w:val="00385736"/>
    <w:rsid w:val="00385953"/>
    <w:rsid w:val="00385B42"/>
    <w:rsid w:val="00386D72"/>
    <w:rsid w:val="0039041C"/>
    <w:rsid w:val="00390E5D"/>
    <w:rsid w:val="003926DA"/>
    <w:rsid w:val="00393FA9"/>
    <w:rsid w:val="00395CF1"/>
    <w:rsid w:val="00397D54"/>
    <w:rsid w:val="003A03A1"/>
    <w:rsid w:val="003A3254"/>
    <w:rsid w:val="003A4A9D"/>
    <w:rsid w:val="003A50E6"/>
    <w:rsid w:val="003B7E80"/>
    <w:rsid w:val="003C0FAD"/>
    <w:rsid w:val="003C2DFD"/>
    <w:rsid w:val="003C717D"/>
    <w:rsid w:val="003D0047"/>
    <w:rsid w:val="003D2B1F"/>
    <w:rsid w:val="003E39EE"/>
    <w:rsid w:val="003E52FD"/>
    <w:rsid w:val="003F1DD5"/>
    <w:rsid w:val="00400214"/>
    <w:rsid w:val="00400925"/>
    <w:rsid w:val="004024D0"/>
    <w:rsid w:val="004147CB"/>
    <w:rsid w:val="0042082F"/>
    <w:rsid w:val="004212F8"/>
    <w:rsid w:val="0042335B"/>
    <w:rsid w:val="00425A9E"/>
    <w:rsid w:val="00425AFC"/>
    <w:rsid w:val="00430759"/>
    <w:rsid w:val="00431C07"/>
    <w:rsid w:val="0044030D"/>
    <w:rsid w:val="00443722"/>
    <w:rsid w:val="0044540B"/>
    <w:rsid w:val="00445B85"/>
    <w:rsid w:val="00447FF8"/>
    <w:rsid w:val="0045096C"/>
    <w:rsid w:val="00450B80"/>
    <w:rsid w:val="004641A7"/>
    <w:rsid w:val="0046618E"/>
    <w:rsid w:val="00473B29"/>
    <w:rsid w:val="00474C56"/>
    <w:rsid w:val="00481008"/>
    <w:rsid w:val="0048526D"/>
    <w:rsid w:val="00486169"/>
    <w:rsid w:val="0049499C"/>
    <w:rsid w:val="004955EB"/>
    <w:rsid w:val="00495D21"/>
    <w:rsid w:val="00496500"/>
    <w:rsid w:val="00496DA4"/>
    <w:rsid w:val="004971A5"/>
    <w:rsid w:val="004A4FD7"/>
    <w:rsid w:val="004B3F78"/>
    <w:rsid w:val="004C51D0"/>
    <w:rsid w:val="004C6405"/>
    <w:rsid w:val="004C74BC"/>
    <w:rsid w:val="004D12E4"/>
    <w:rsid w:val="004D239C"/>
    <w:rsid w:val="004D42F5"/>
    <w:rsid w:val="004E0055"/>
    <w:rsid w:val="004E466F"/>
    <w:rsid w:val="004E5E83"/>
    <w:rsid w:val="004E6647"/>
    <w:rsid w:val="004E7CE5"/>
    <w:rsid w:val="004F1490"/>
    <w:rsid w:val="004F2D95"/>
    <w:rsid w:val="004F31BB"/>
    <w:rsid w:val="004F4815"/>
    <w:rsid w:val="00511549"/>
    <w:rsid w:val="00513407"/>
    <w:rsid w:val="005246F4"/>
    <w:rsid w:val="0052791B"/>
    <w:rsid w:val="0052795A"/>
    <w:rsid w:val="0053028E"/>
    <w:rsid w:val="00537EC8"/>
    <w:rsid w:val="00545F96"/>
    <w:rsid w:val="005473D2"/>
    <w:rsid w:val="00550FE4"/>
    <w:rsid w:val="00553116"/>
    <w:rsid w:val="00553B5D"/>
    <w:rsid w:val="005649A2"/>
    <w:rsid w:val="00567B07"/>
    <w:rsid w:val="0057049C"/>
    <w:rsid w:val="005754F6"/>
    <w:rsid w:val="0058009C"/>
    <w:rsid w:val="00581DA9"/>
    <w:rsid w:val="0058300E"/>
    <w:rsid w:val="00592E82"/>
    <w:rsid w:val="005A48AB"/>
    <w:rsid w:val="005B2109"/>
    <w:rsid w:val="005C1520"/>
    <w:rsid w:val="005C22E2"/>
    <w:rsid w:val="005C4A9D"/>
    <w:rsid w:val="005C5622"/>
    <w:rsid w:val="005D0BA9"/>
    <w:rsid w:val="005E0FDA"/>
    <w:rsid w:val="005E4CF7"/>
    <w:rsid w:val="005F2F23"/>
    <w:rsid w:val="005F395C"/>
    <w:rsid w:val="005F5619"/>
    <w:rsid w:val="005F643D"/>
    <w:rsid w:val="005F794D"/>
    <w:rsid w:val="00600BC7"/>
    <w:rsid w:val="00600F8B"/>
    <w:rsid w:val="00604B61"/>
    <w:rsid w:val="00604EA7"/>
    <w:rsid w:val="00613CB4"/>
    <w:rsid w:val="006162EA"/>
    <w:rsid w:val="0061768F"/>
    <w:rsid w:val="00622DDC"/>
    <w:rsid w:val="00625509"/>
    <w:rsid w:val="00625CCB"/>
    <w:rsid w:val="006336ED"/>
    <w:rsid w:val="006409DA"/>
    <w:rsid w:val="006410D1"/>
    <w:rsid w:val="006422F6"/>
    <w:rsid w:val="006610DA"/>
    <w:rsid w:val="006624A4"/>
    <w:rsid w:val="00663C39"/>
    <w:rsid w:val="00672AD7"/>
    <w:rsid w:val="00676822"/>
    <w:rsid w:val="00683EB8"/>
    <w:rsid w:val="0068442B"/>
    <w:rsid w:val="00684E40"/>
    <w:rsid w:val="00686837"/>
    <w:rsid w:val="00687CBA"/>
    <w:rsid w:val="00696A62"/>
    <w:rsid w:val="006A138F"/>
    <w:rsid w:val="006A1E03"/>
    <w:rsid w:val="006A1F84"/>
    <w:rsid w:val="006B0C77"/>
    <w:rsid w:val="006B2837"/>
    <w:rsid w:val="006B5844"/>
    <w:rsid w:val="006C0780"/>
    <w:rsid w:val="006C0DFF"/>
    <w:rsid w:val="006D7936"/>
    <w:rsid w:val="006E0AC8"/>
    <w:rsid w:val="006E132A"/>
    <w:rsid w:val="006E1604"/>
    <w:rsid w:val="006E1F3B"/>
    <w:rsid w:val="006E4B26"/>
    <w:rsid w:val="006E4C5E"/>
    <w:rsid w:val="006F04DB"/>
    <w:rsid w:val="006F10A9"/>
    <w:rsid w:val="006F5E95"/>
    <w:rsid w:val="006F6BB4"/>
    <w:rsid w:val="00710005"/>
    <w:rsid w:val="0071137C"/>
    <w:rsid w:val="00716CC1"/>
    <w:rsid w:val="00717A3F"/>
    <w:rsid w:val="0072348F"/>
    <w:rsid w:val="007236C0"/>
    <w:rsid w:val="00727E85"/>
    <w:rsid w:val="00735AB9"/>
    <w:rsid w:val="0073725E"/>
    <w:rsid w:val="007379C3"/>
    <w:rsid w:val="00737AD1"/>
    <w:rsid w:val="00740F2E"/>
    <w:rsid w:val="0075220D"/>
    <w:rsid w:val="00766209"/>
    <w:rsid w:val="00766D18"/>
    <w:rsid w:val="0077429B"/>
    <w:rsid w:val="007839E6"/>
    <w:rsid w:val="007A1469"/>
    <w:rsid w:val="007A6BD1"/>
    <w:rsid w:val="007B434D"/>
    <w:rsid w:val="007C3891"/>
    <w:rsid w:val="007C48C6"/>
    <w:rsid w:val="007C4D26"/>
    <w:rsid w:val="007C61A2"/>
    <w:rsid w:val="007D323D"/>
    <w:rsid w:val="007E1DF7"/>
    <w:rsid w:val="007E2F2E"/>
    <w:rsid w:val="007F1439"/>
    <w:rsid w:val="007F2669"/>
    <w:rsid w:val="007F310F"/>
    <w:rsid w:val="00803FB0"/>
    <w:rsid w:val="008052AE"/>
    <w:rsid w:val="00813EBD"/>
    <w:rsid w:val="00814D97"/>
    <w:rsid w:val="00820AA9"/>
    <w:rsid w:val="00821AEF"/>
    <w:rsid w:val="00822B50"/>
    <w:rsid w:val="00824CF0"/>
    <w:rsid w:val="0083097B"/>
    <w:rsid w:val="00832489"/>
    <w:rsid w:val="0083488A"/>
    <w:rsid w:val="00834B11"/>
    <w:rsid w:val="00841CC3"/>
    <w:rsid w:val="00842775"/>
    <w:rsid w:val="00842983"/>
    <w:rsid w:val="00844EB4"/>
    <w:rsid w:val="008555EA"/>
    <w:rsid w:val="008559EF"/>
    <w:rsid w:val="008561E9"/>
    <w:rsid w:val="0085648E"/>
    <w:rsid w:val="00860013"/>
    <w:rsid w:val="008626FD"/>
    <w:rsid w:val="00865A9C"/>
    <w:rsid w:val="00885412"/>
    <w:rsid w:val="0089442D"/>
    <w:rsid w:val="00895061"/>
    <w:rsid w:val="008A0CB1"/>
    <w:rsid w:val="008A450A"/>
    <w:rsid w:val="008A5B3B"/>
    <w:rsid w:val="008B16C2"/>
    <w:rsid w:val="008B29BF"/>
    <w:rsid w:val="008D1A6B"/>
    <w:rsid w:val="008E63C8"/>
    <w:rsid w:val="008F2837"/>
    <w:rsid w:val="00903255"/>
    <w:rsid w:val="00913AAC"/>
    <w:rsid w:val="0091643F"/>
    <w:rsid w:val="00931B9D"/>
    <w:rsid w:val="00932F66"/>
    <w:rsid w:val="00940C7E"/>
    <w:rsid w:val="009428A4"/>
    <w:rsid w:val="009477F4"/>
    <w:rsid w:val="00954613"/>
    <w:rsid w:val="00961CDA"/>
    <w:rsid w:val="009715F0"/>
    <w:rsid w:val="009725A7"/>
    <w:rsid w:val="00974B4C"/>
    <w:rsid w:val="00976740"/>
    <w:rsid w:val="009830D9"/>
    <w:rsid w:val="00993BAF"/>
    <w:rsid w:val="00995FEE"/>
    <w:rsid w:val="009A418D"/>
    <w:rsid w:val="009A567A"/>
    <w:rsid w:val="009B3D25"/>
    <w:rsid w:val="009B7707"/>
    <w:rsid w:val="009C02BE"/>
    <w:rsid w:val="009C0A6F"/>
    <w:rsid w:val="009C17E2"/>
    <w:rsid w:val="009C469F"/>
    <w:rsid w:val="009C4F4D"/>
    <w:rsid w:val="009C5545"/>
    <w:rsid w:val="009C7725"/>
    <w:rsid w:val="009E1963"/>
    <w:rsid w:val="009E5241"/>
    <w:rsid w:val="009F0569"/>
    <w:rsid w:val="009F0675"/>
    <w:rsid w:val="009F61D5"/>
    <w:rsid w:val="00A01707"/>
    <w:rsid w:val="00A11D08"/>
    <w:rsid w:val="00A1701A"/>
    <w:rsid w:val="00A170DD"/>
    <w:rsid w:val="00A17425"/>
    <w:rsid w:val="00A26816"/>
    <w:rsid w:val="00A313A4"/>
    <w:rsid w:val="00A35FD7"/>
    <w:rsid w:val="00A41ED0"/>
    <w:rsid w:val="00A471B5"/>
    <w:rsid w:val="00A50819"/>
    <w:rsid w:val="00A50921"/>
    <w:rsid w:val="00A540EE"/>
    <w:rsid w:val="00A60B94"/>
    <w:rsid w:val="00A61681"/>
    <w:rsid w:val="00A64B04"/>
    <w:rsid w:val="00A65E96"/>
    <w:rsid w:val="00A70306"/>
    <w:rsid w:val="00A73DAF"/>
    <w:rsid w:val="00A80AA7"/>
    <w:rsid w:val="00A931F8"/>
    <w:rsid w:val="00A9509F"/>
    <w:rsid w:val="00A95812"/>
    <w:rsid w:val="00AB05A1"/>
    <w:rsid w:val="00AB0600"/>
    <w:rsid w:val="00AB1D8D"/>
    <w:rsid w:val="00AC3810"/>
    <w:rsid w:val="00AC43D6"/>
    <w:rsid w:val="00AD5CD4"/>
    <w:rsid w:val="00AD68B7"/>
    <w:rsid w:val="00AD6AA4"/>
    <w:rsid w:val="00AE0EB1"/>
    <w:rsid w:val="00AE1059"/>
    <w:rsid w:val="00AE10D0"/>
    <w:rsid w:val="00AE6333"/>
    <w:rsid w:val="00AE7AF9"/>
    <w:rsid w:val="00AF467B"/>
    <w:rsid w:val="00B00D8B"/>
    <w:rsid w:val="00B017BD"/>
    <w:rsid w:val="00B01A9E"/>
    <w:rsid w:val="00B02DE1"/>
    <w:rsid w:val="00B052B1"/>
    <w:rsid w:val="00B05ED5"/>
    <w:rsid w:val="00B076A4"/>
    <w:rsid w:val="00B100E7"/>
    <w:rsid w:val="00B13722"/>
    <w:rsid w:val="00B14962"/>
    <w:rsid w:val="00B17F8E"/>
    <w:rsid w:val="00B233CC"/>
    <w:rsid w:val="00B234F5"/>
    <w:rsid w:val="00B244EA"/>
    <w:rsid w:val="00B4171A"/>
    <w:rsid w:val="00B428A2"/>
    <w:rsid w:val="00B43319"/>
    <w:rsid w:val="00B44A28"/>
    <w:rsid w:val="00B46BE9"/>
    <w:rsid w:val="00B46FEE"/>
    <w:rsid w:val="00B53B2A"/>
    <w:rsid w:val="00B558BE"/>
    <w:rsid w:val="00B61675"/>
    <w:rsid w:val="00B72371"/>
    <w:rsid w:val="00B74CA2"/>
    <w:rsid w:val="00B80411"/>
    <w:rsid w:val="00B807EC"/>
    <w:rsid w:val="00B8114B"/>
    <w:rsid w:val="00B81470"/>
    <w:rsid w:val="00B944F2"/>
    <w:rsid w:val="00B966C5"/>
    <w:rsid w:val="00BA3302"/>
    <w:rsid w:val="00BA4016"/>
    <w:rsid w:val="00BA4423"/>
    <w:rsid w:val="00BA548D"/>
    <w:rsid w:val="00BA5953"/>
    <w:rsid w:val="00BB2EF5"/>
    <w:rsid w:val="00BB30AE"/>
    <w:rsid w:val="00BC1A42"/>
    <w:rsid w:val="00BC4C0E"/>
    <w:rsid w:val="00BD28BA"/>
    <w:rsid w:val="00BD2B3E"/>
    <w:rsid w:val="00BE262E"/>
    <w:rsid w:val="00BF01DE"/>
    <w:rsid w:val="00BF1227"/>
    <w:rsid w:val="00BF4DF8"/>
    <w:rsid w:val="00BF66F9"/>
    <w:rsid w:val="00C05067"/>
    <w:rsid w:val="00C0680F"/>
    <w:rsid w:val="00C21717"/>
    <w:rsid w:val="00C25F5E"/>
    <w:rsid w:val="00C266B3"/>
    <w:rsid w:val="00C36CB8"/>
    <w:rsid w:val="00C41980"/>
    <w:rsid w:val="00C447D0"/>
    <w:rsid w:val="00C47387"/>
    <w:rsid w:val="00C5255E"/>
    <w:rsid w:val="00C54CF3"/>
    <w:rsid w:val="00C559DF"/>
    <w:rsid w:val="00C5781B"/>
    <w:rsid w:val="00C654F1"/>
    <w:rsid w:val="00C67C51"/>
    <w:rsid w:val="00C71225"/>
    <w:rsid w:val="00C72F9E"/>
    <w:rsid w:val="00C80841"/>
    <w:rsid w:val="00C832B8"/>
    <w:rsid w:val="00C90AFC"/>
    <w:rsid w:val="00C912FB"/>
    <w:rsid w:val="00C91B19"/>
    <w:rsid w:val="00C9207F"/>
    <w:rsid w:val="00C94F3A"/>
    <w:rsid w:val="00C954BF"/>
    <w:rsid w:val="00C96C08"/>
    <w:rsid w:val="00C97957"/>
    <w:rsid w:val="00CA4D17"/>
    <w:rsid w:val="00CA56C6"/>
    <w:rsid w:val="00CB3F8B"/>
    <w:rsid w:val="00CC0205"/>
    <w:rsid w:val="00CC7D65"/>
    <w:rsid w:val="00CD50D3"/>
    <w:rsid w:val="00CD63F0"/>
    <w:rsid w:val="00CD7252"/>
    <w:rsid w:val="00CE38E2"/>
    <w:rsid w:val="00CE4998"/>
    <w:rsid w:val="00CE525A"/>
    <w:rsid w:val="00CF34D2"/>
    <w:rsid w:val="00CF5141"/>
    <w:rsid w:val="00CF78B4"/>
    <w:rsid w:val="00D163EB"/>
    <w:rsid w:val="00D257C5"/>
    <w:rsid w:val="00D30DC5"/>
    <w:rsid w:val="00D314B7"/>
    <w:rsid w:val="00D316FB"/>
    <w:rsid w:val="00D35C20"/>
    <w:rsid w:val="00D37535"/>
    <w:rsid w:val="00D40202"/>
    <w:rsid w:val="00D41A2F"/>
    <w:rsid w:val="00D42AC8"/>
    <w:rsid w:val="00D461D4"/>
    <w:rsid w:val="00D50FC7"/>
    <w:rsid w:val="00D5645B"/>
    <w:rsid w:val="00D5795F"/>
    <w:rsid w:val="00D57D2B"/>
    <w:rsid w:val="00D60E9F"/>
    <w:rsid w:val="00D61F4E"/>
    <w:rsid w:val="00D62692"/>
    <w:rsid w:val="00D71B87"/>
    <w:rsid w:val="00D71F2E"/>
    <w:rsid w:val="00D7260D"/>
    <w:rsid w:val="00D80800"/>
    <w:rsid w:val="00D8655C"/>
    <w:rsid w:val="00D87685"/>
    <w:rsid w:val="00D929C8"/>
    <w:rsid w:val="00DB1E69"/>
    <w:rsid w:val="00DB22AC"/>
    <w:rsid w:val="00DB50A8"/>
    <w:rsid w:val="00DC28C3"/>
    <w:rsid w:val="00DC32F0"/>
    <w:rsid w:val="00DC59D5"/>
    <w:rsid w:val="00DE0F3A"/>
    <w:rsid w:val="00DE5091"/>
    <w:rsid w:val="00DE7DA9"/>
    <w:rsid w:val="00DF3B16"/>
    <w:rsid w:val="00DF6333"/>
    <w:rsid w:val="00DF70FB"/>
    <w:rsid w:val="00E14B61"/>
    <w:rsid w:val="00E14E61"/>
    <w:rsid w:val="00E20E7D"/>
    <w:rsid w:val="00E21439"/>
    <w:rsid w:val="00E2352A"/>
    <w:rsid w:val="00E27430"/>
    <w:rsid w:val="00E32F90"/>
    <w:rsid w:val="00E349EB"/>
    <w:rsid w:val="00E41E1F"/>
    <w:rsid w:val="00E51CFC"/>
    <w:rsid w:val="00E532F6"/>
    <w:rsid w:val="00E53F35"/>
    <w:rsid w:val="00E5402A"/>
    <w:rsid w:val="00E568E2"/>
    <w:rsid w:val="00E6312A"/>
    <w:rsid w:val="00E64A4E"/>
    <w:rsid w:val="00E665CD"/>
    <w:rsid w:val="00E71FA0"/>
    <w:rsid w:val="00E723C5"/>
    <w:rsid w:val="00E72967"/>
    <w:rsid w:val="00E76B60"/>
    <w:rsid w:val="00E77EBC"/>
    <w:rsid w:val="00E917A9"/>
    <w:rsid w:val="00E9399F"/>
    <w:rsid w:val="00E97BC2"/>
    <w:rsid w:val="00EA2C78"/>
    <w:rsid w:val="00EA42C8"/>
    <w:rsid w:val="00EA544A"/>
    <w:rsid w:val="00EC5BBF"/>
    <w:rsid w:val="00ED153B"/>
    <w:rsid w:val="00ED293F"/>
    <w:rsid w:val="00EE35C9"/>
    <w:rsid w:val="00EF7620"/>
    <w:rsid w:val="00F03187"/>
    <w:rsid w:val="00F03FC4"/>
    <w:rsid w:val="00F04458"/>
    <w:rsid w:val="00F10B7A"/>
    <w:rsid w:val="00F11087"/>
    <w:rsid w:val="00F11B4F"/>
    <w:rsid w:val="00F133C4"/>
    <w:rsid w:val="00F20DC8"/>
    <w:rsid w:val="00F26791"/>
    <w:rsid w:val="00F30C4A"/>
    <w:rsid w:val="00F4037E"/>
    <w:rsid w:val="00F44704"/>
    <w:rsid w:val="00F4699B"/>
    <w:rsid w:val="00F55597"/>
    <w:rsid w:val="00F56CA0"/>
    <w:rsid w:val="00F64952"/>
    <w:rsid w:val="00F67406"/>
    <w:rsid w:val="00F80250"/>
    <w:rsid w:val="00F82BBD"/>
    <w:rsid w:val="00F8349A"/>
    <w:rsid w:val="00F84F88"/>
    <w:rsid w:val="00F87C11"/>
    <w:rsid w:val="00F9076F"/>
    <w:rsid w:val="00F96A2F"/>
    <w:rsid w:val="00F97E67"/>
    <w:rsid w:val="00FA1D7D"/>
    <w:rsid w:val="00FA4EB1"/>
    <w:rsid w:val="00FA660E"/>
    <w:rsid w:val="00FA7E57"/>
    <w:rsid w:val="00FB4685"/>
    <w:rsid w:val="00FC130D"/>
    <w:rsid w:val="00FC4A51"/>
    <w:rsid w:val="00FC507E"/>
    <w:rsid w:val="00FC6FC8"/>
    <w:rsid w:val="00FD2075"/>
    <w:rsid w:val="00FD29B2"/>
    <w:rsid w:val="00FD3A1D"/>
    <w:rsid w:val="00FD4D87"/>
    <w:rsid w:val="00FD5CA2"/>
    <w:rsid w:val="00FD7FA1"/>
    <w:rsid w:val="00FE0468"/>
    <w:rsid w:val="00FE1875"/>
    <w:rsid w:val="00FE3AAF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FDF782"/>
  <w15:chartTrackingRefBased/>
  <w15:docId w15:val="{31085397-AA5C-40AE-B951-3D4FF090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FD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D284C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F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F52"/>
    <w:rPr>
      <w:rFonts w:ascii="Arial" w:eastAsia="Times New Roman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74F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F52"/>
    <w:rPr>
      <w:rFonts w:ascii="Arial" w:eastAsia="Times New Roman" w:hAnsi="Arial" w:cs="Times New Roman"/>
      <w:szCs w:val="24"/>
      <w:lang w:val="es-ES" w:eastAsia="es-ES"/>
    </w:rPr>
  </w:style>
  <w:style w:type="paragraph" w:customStyle="1" w:styleId="Default">
    <w:name w:val="Default"/>
    <w:rsid w:val="00074F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074F5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74F52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74F52"/>
    <w:rPr>
      <w:vertAlign w:val="superscript"/>
    </w:rPr>
  </w:style>
  <w:style w:type="paragraph" w:styleId="Prrafodelista">
    <w:name w:val="List Paragraph"/>
    <w:basedOn w:val="Normal"/>
    <w:uiPriority w:val="34"/>
    <w:qFormat/>
    <w:rsid w:val="00074F5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2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5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D23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D23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D232A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23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232A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B8114B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8009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8009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009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D28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  <w:style w:type="paragraph" w:customStyle="1" w:styleId="pf0">
    <w:name w:val="pf0"/>
    <w:basedOn w:val="Normal"/>
    <w:rsid w:val="002D2AB1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character" w:customStyle="1" w:styleId="cf01">
    <w:name w:val="cf01"/>
    <w:basedOn w:val="Fuentedeprrafopredeter"/>
    <w:rsid w:val="002D2AB1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Fuentedeprrafopredeter"/>
    <w:rsid w:val="002D2AB1"/>
    <w:rPr>
      <w:rFonts w:ascii="Segoe UI" w:hAnsi="Segoe UI" w:cs="Segoe UI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0F7F94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53028E"/>
    <w:rPr>
      <w:color w:val="605E5C"/>
      <w:shd w:val="clear" w:color="auto" w:fill="E1DFDD"/>
    </w:rPr>
  </w:style>
  <w:style w:type="paragraph" w:customStyle="1" w:styleId="Ningnestilodeprrafo">
    <w:name w:val="[Ningún estilo de párrafo]"/>
    <w:basedOn w:val="Normal"/>
    <w:rsid w:val="004971A5"/>
    <w:pPr>
      <w:autoSpaceDE w:val="0"/>
      <w:autoSpaceDN w:val="0"/>
      <w:spacing w:line="288" w:lineRule="auto"/>
      <w:jc w:val="left"/>
    </w:pPr>
    <w:rPr>
      <w:rFonts w:ascii="Times New Roman" w:eastAsiaTheme="minorHAnsi" w:hAnsi="Times New Roman"/>
      <w:color w:val="000000"/>
      <w:sz w:val="24"/>
      <w:lang w:val="es-MX" w:eastAsia="es-MX"/>
    </w:rPr>
  </w:style>
  <w:style w:type="character" w:customStyle="1" w:styleId="texto">
    <w:name w:val="texto"/>
    <w:uiPriority w:val="99"/>
    <w:rsid w:val="004971A5"/>
    <w:rPr>
      <w:rFonts w:ascii="Gill Sans MT" w:hAnsi="Gill Sans MT" w:cs="Gill Sans MT"/>
      <w:color w:val="000000"/>
      <w:spacing w:val="6"/>
      <w:sz w:val="24"/>
      <w:szCs w:val="24"/>
      <w:u w:val="none"/>
      <w:vertAlign w:val="baseline"/>
    </w:rPr>
  </w:style>
  <w:style w:type="table" w:styleId="Tablaconcuadrcula">
    <w:name w:val="Table Grid"/>
    <w:basedOn w:val="Tablanormal"/>
    <w:uiPriority w:val="59"/>
    <w:rsid w:val="0049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71A5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val="es-MX"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3B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3B0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83B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hyperlink" Target="https://www.instagram.com/inegi_informa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image" Target="media/image1.jpeg"/><Relationship Id="rId25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INEGIInforma/" TargetMode="External"/><Relationship Id="rId20" Type="http://schemas.openxmlformats.org/officeDocument/2006/relationships/hyperlink" Target="https://twitter.com/INEGI_INFORMA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hyperlink" Target="http://www.inegi.org.mx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municacionsocial@inegi.org.mx" TargetMode="External"/><Relationship Id="rId23" Type="http://schemas.openxmlformats.org/officeDocument/2006/relationships/image" Target="media/image4.jpe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hyperlink" Target="https://www.youtube.com/user/INEGIInforma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egi.org.mx/contenidos/productos/prod_serv/contenidos/espanol/bvinegi/productos/nueva_estruc/70282508666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rabajo\Boletin\2022\Enfermeras\Entrega\ENFERMEROS_28%2004%202022%20RA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rabajo\Boletin\2022\Enfermeras\ENFERMEROS_30032022_4T2021%20RA%20(version%203)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rabajo\Boletin\2022\Enfermeras\ENFERMEROS_28032022_4T2021%20RA%20(version%202)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rabajo\Boletin\2022\Enfermeras\ENFERMEROS_28032022_4T2021%20RA%20(version%202)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 algn="ctr">
              <a:defRPr>
                <a:solidFill>
                  <a:sysClr val="windowText" lastClr="000000"/>
                </a:solidFill>
              </a:defRPr>
            </a:pPr>
            <a:r>
              <a:rPr lang="es-MX" sz="100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Gráfica 1.</a:t>
            </a:r>
          </a:p>
          <a:p>
            <a:pPr algn="ctr">
              <a:defRPr>
                <a:solidFill>
                  <a:sysClr val="windowText" lastClr="000000"/>
                </a:solidFill>
              </a:defRPr>
            </a:pPr>
            <a:r>
              <a:rPr lang="es-MX" sz="1100" b="1" cap="small">
                <a:effectLst/>
                <a:latin typeface="Arial" panose="020B0604020202020204" pitchFamily="34" charset="0"/>
                <a:cs typeface="Arial" panose="020B0604020202020204" pitchFamily="34" charset="0"/>
              </a:rPr>
              <a:t>Población ocupada</a:t>
            </a:r>
            <a:r>
              <a:rPr lang="es-MX" sz="1100" b="1" cap="small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 en enfermería</a:t>
            </a:r>
            <a:endParaRPr lang="es-MX" sz="110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 algn="ctr">
              <a:defRPr>
                <a:solidFill>
                  <a:sysClr val="windowText" lastClr="000000"/>
                </a:solidFill>
              </a:defRPr>
            </a:pPr>
            <a:r>
              <a:rPr lang="es-MX" sz="90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(Miles)</a:t>
            </a:r>
          </a:p>
          <a:p>
            <a:pPr algn="ctr">
              <a:defRPr>
                <a:solidFill>
                  <a:sysClr val="windowText" lastClr="000000"/>
                </a:solidFill>
              </a:defRPr>
            </a:pPr>
            <a:endParaRPr lang="es-MX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29359887908748245"/>
          <c:y val="4.0656682620554786E-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2.0427112349117919E-2"/>
          <c:y val="0.21836228287841192"/>
          <c:w val="0.95914577530176415"/>
          <c:h val="0.539374116696951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'2020-2021'!$C$8</c:f>
              <c:strCache>
                <c:ptCount val="1"/>
                <c:pt idx="0">
                  <c:v>1˚ trimestre 2020 
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'2020-2021'!$B$9:$B$11</c:f>
              <c:strCache>
                <c:ptCount val="3"/>
                <c:pt idx="0">
                  <c:v>Enfermeras(os) y paramédicas(os) profesionales</c:v>
                </c:pt>
                <c:pt idx="1">
                  <c:v>Enfermeras(os) técnicas(os)</c:v>
                </c:pt>
                <c:pt idx="2">
                  <c:v>Auxiliares en enfermería y paramédicas(os)</c:v>
                </c:pt>
              </c:strCache>
            </c:strRef>
          </c:cat>
          <c:val>
            <c:numRef>
              <c:f>'2020-2021'!$C$9:$C$11</c:f>
              <c:numCache>
                <c:formatCode>#,##0.0</c:formatCode>
                <c:ptCount val="3"/>
                <c:pt idx="0">
                  <c:v>252</c:v>
                </c:pt>
                <c:pt idx="1">
                  <c:v>113.5</c:v>
                </c:pt>
                <c:pt idx="2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24-452D-BC53-31BC2E6C2F71}"/>
            </c:ext>
          </c:extLst>
        </c:ser>
        <c:ser>
          <c:idx val="1"/>
          <c:order val="1"/>
          <c:tx>
            <c:strRef>
              <c:f>'2020-2021'!$D$8</c:f>
              <c:strCache>
                <c:ptCount val="1"/>
                <c:pt idx="0">
                  <c:v>4˚ Trimestre 2021 
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'2020-2021'!$B$9:$B$11</c:f>
              <c:strCache>
                <c:ptCount val="3"/>
                <c:pt idx="0">
                  <c:v>Enfermeras(os) y paramédicas(os) profesionales</c:v>
                </c:pt>
                <c:pt idx="1">
                  <c:v>Enfermeras(os) técnicas(os)</c:v>
                </c:pt>
                <c:pt idx="2">
                  <c:v>Auxiliares en enfermería y paramédicas(os)</c:v>
                </c:pt>
              </c:strCache>
            </c:strRef>
          </c:cat>
          <c:val>
            <c:numRef>
              <c:f>'2020-2021'!$D$9:$D$11</c:f>
              <c:numCache>
                <c:formatCode>#,##0.0</c:formatCode>
                <c:ptCount val="3"/>
                <c:pt idx="0">
                  <c:v>331.1</c:v>
                </c:pt>
                <c:pt idx="1">
                  <c:v>112.7</c:v>
                </c:pt>
                <c:pt idx="2">
                  <c:v>176.4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24-452D-BC53-31BC2E6C2F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910829680"/>
        <c:axId val="910822608"/>
      </c:barChart>
      <c:catAx>
        <c:axId val="91082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910822608"/>
        <c:crosses val="autoZero"/>
        <c:auto val="1"/>
        <c:lblAlgn val="ctr"/>
        <c:lblOffset val="100"/>
        <c:noMultiLvlLbl val="0"/>
      </c:catAx>
      <c:valAx>
        <c:axId val="910822608"/>
        <c:scaling>
          <c:orientation val="minMax"/>
        </c:scaling>
        <c:delete val="1"/>
        <c:axPos val="l"/>
        <c:numFmt formatCode="#,##0.0" sourceLinked="1"/>
        <c:majorTickMark val="none"/>
        <c:minorTickMark val="none"/>
        <c:tickLblPos val="nextTo"/>
        <c:crossAx val="910829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379363791225262"/>
          <c:y val="0.86137616172668241"/>
          <c:w val="0.37241257795421812"/>
          <c:h val="8.56875272724904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324028302801203E-2"/>
          <c:y val="0.17289580508597563"/>
          <c:w val="0.95735194339439755"/>
          <c:h val="0.57593981636971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Clave!$C$7</c:f>
              <c:strCache>
                <c:ptCount val="1"/>
                <c:pt idx="0">
                  <c:v>Total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7.6982294072363176E-3"/>
                </c:manualLayout>
              </c:layout>
              <c:tx>
                <c:rich>
                  <a:bodyPr/>
                  <a:lstStyle/>
                  <a:p>
                    <a:fld id="{484E4EAC-F3F2-E543-BDCE-14C0F18CAE8B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937F-4CA9-8B55-15FB8D53E903}"/>
                </c:ext>
              </c:extLst>
            </c:dLbl>
            <c:dLbl>
              <c:idx val="1"/>
              <c:layout>
                <c:manualLayout>
                  <c:x val="-1.938555975694366E-3"/>
                  <c:y val="1.1547344110854433E-2"/>
                </c:manualLayout>
              </c:layout>
              <c:tx>
                <c:rich>
                  <a:bodyPr/>
                  <a:lstStyle/>
                  <a:p>
                    <a:fld id="{0695E5F7-43D7-0241-A555-1B8D7C8227A8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37F-4CA9-8B55-15FB8D53E903}"/>
                </c:ext>
              </c:extLst>
            </c:dLbl>
            <c:dLbl>
              <c:idx val="2"/>
              <c:layout>
                <c:manualLayout>
                  <c:x val="0"/>
                  <c:y val="1.1547344110854504E-2"/>
                </c:manualLayout>
              </c:layout>
              <c:tx>
                <c:rich>
                  <a:bodyPr/>
                  <a:lstStyle/>
                  <a:p>
                    <a:fld id="{B3486E53-E0A8-4A4D-9A45-CDBCFF46F31E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937F-4CA9-8B55-15FB8D53E9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Clave!$B$8:$B$10</c:f>
              <c:strCache>
                <c:ptCount val="3"/>
                <c:pt idx="0">
                  <c:v>Enfermeras(os) y paramédicas(os) profesionales</c:v>
                </c:pt>
                <c:pt idx="1">
                  <c:v>Enfermeras(os) técnicas(os)</c:v>
                </c:pt>
                <c:pt idx="2">
                  <c:v>Auxiliares en enfermería y paramédicas(os)</c:v>
                </c:pt>
              </c:strCache>
            </c:strRef>
          </c:cat>
          <c:val>
            <c:numRef>
              <c:f>Clave!$C$8:$C$10</c:f>
              <c:numCache>
                <c:formatCode>#,##0</c:formatCode>
                <c:ptCount val="3"/>
                <c:pt idx="0">
                  <c:v>53.382502092144655</c:v>
                </c:pt>
                <c:pt idx="1">
                  <c:v>18.176907560261022</c:v>
                </c:pt>
                <c:pt idx="2">
                  <c:v>28.440590347594313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7F-4CA9-8B55-15FB8D53E9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overlap val="-8"/>
        <c:axId val="471584432"/>
        <c:axId val="471582352"/>
      </c:barChart>
      <c:catAx>
        <c:axId val="47158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71582352"/>
        <c:crosses val="autoZero"/>
        <c:auto val="1"/>
        <c:lblAlgn val="ctr"/>
        <c:lblOffset val="100"/>
        <c:noMultiLvlLbl val="0"/>
      </c:catAx>
      <c:valAx>
        <c:axId val="47158235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471584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</c:legendEntry>
      <c:layout>
        <c:manualLayout>
          <c:xMode val="edge"/>
          <c:yMode val="edge"/>
          <c:x val="0.37301048599865888"/>
          <c:y val="0.83232778468480917"/>
          <c:w val="0.26364204706840055"/>
          <c:h val="5.59927244481485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763919188086883E-2"/>
          <c:y val="0.10385357459456643"/>
          <c:w val="0.95826614815517408"/>
          <c:h val="0.708796739603529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'Edad Sexo'!$C$23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8.6944520286203125E-18"/>
                  <c:y val="1.3425805218056279E-2"/>
                </c:manualLayout>
              </c:layout>
              <c:tx>
                <c:rich>
                  <a:bodyPr/>
                  <a:lstStyle/>
                  <a:p>
                    <a:fld id="{3843B13B-4F7E-D248-A088-323D93A903D3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32B-4711-A17D-2CCDB83858EF}"/>
                </c:ext>
              </c:extLst>
            </c:dLbl>
            <c:dLbl>
              <c:idx val="1"/>
              <c:layout>
                <c:manualLayout>
                  <c:x val="0"/>
                  <c:y val="1.3425805218056351E-2"/>
                </c:manualLayout>
              </c:layout>
              <c:tx>
                <c:rich>
                  <a:bodyPr/>
                  <a:lstStyle/>
                  <a:p>
                    <a:fld id="{0F78BEAF-1445-F14C-99AB-AFC1983DE7CC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32B-4711-A17D-2CCDB83858EF}"/>
                </c:ext>
              </c:extLst>
            </c:dLbl>
            <c:dLbl>
              <c:idx val="2"/>
              <c:layout>
                <c:manualLayout>
                  <c:x val="0"/>
                  <c:y val="1.3425805218056351E-2"/>
                </c:manualLayout>
              </c:layout>
              <c:tx>
                <c:rich>
                  <a:bodyPr/>
                  <a:lstStyle/>
                  <a:p>
                    <a:fld id="{EEFE9100-3992-0C45-8BCD-F9EF454D3AB1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B32B-4711-A17D-2CCDB83858EF}"/>
                </c:ext>
              </c:extLst>
            </c:dLbl>
            <c:dLbl>
              <c:idx val="3"/>
              <c:layout>
                <c:manualLayout>
                  <c:x val="-1.8969932656739763E-3"/>
                  <c:y val="1.3425805218056426E-2"/>
                </c:manualLayout>
              </c:layout>
              <c:tx>
                <c:rich>
                  <a:bodyPr/>
                  <a:lstStyle/>
                  <a:p>
                    <a:fld id="{2A6DDEA7-5BAB-A943-AD42-2DCC5E0E9ABF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B32B-4711-A17D-2CCDB83858EF}"/>
                </c:ext>
              </c:extLst>
            </c:dLbl>
            <c:dLbl>
              <c:idx val="4"/>
              <c:layout>
                <c:manualLayout>
                  <c:x val="0"/>
                  <c:y val="1.6561505970693915E-2"/>
                </c:manualLayout>
              </c:layout>
              <c:tx>
                <c:rich>
                  <a:bodyPr/>
                  <a:lstStyle/>
                  <a:p>
                    <a:fld id="{D097D81B-E333-434A-9A9D-F45628F60614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32B-4711-A17D-2CCDB83858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'Edad Sexo'!$B$24:$B$28</c:f>
              <c:strCache>
                <c:ptCount val="5"/>
                <c:pt idx="0">
                  <c:v>15-29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 y más</c:v>
                </c:pt>
              </c:strCache>
            </c:strRef>
          </c:cat>
          <c:val>
            <c:numRef>
              <c:f>'Edad Sexo'!$C$24:$C$28</c:f>
              <c:numCache>
                <c:formatCode>0</c:formatCode>
                <c:ptCount val="5"/>
                <c:pt idx="0">
                  <c:v>32.582633306770845</c:v>
                </c:pt>
                <c:pt idx="1">
                  <c:v>26.89427430265393</c:v>
                </c:pt>
                <c:pt idx="2">
                  <c:v>25.041581335354884</c:v>
                </c:pt>
                <c:pt idx="3">
                  <c:v>11.047138444429718</c:v>
                </c:pt>
                <c:pt idx="4">
                  <c:v>4.4343726107906187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DD-4EEC-9871-9642BB90A68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9"/>
        <c:overlap val="-11"/>
        <c:axId val="696770095"/>
        <c:axId val="696771343"/>
      </c:barChart>
      <c:catAx>
        <c:axId val="6967700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96771343"/>
        <c:crosses val="autoZero"/>
        <c:auto val="1"/>
        <c:lblAlgn val="ctr"/>
        <c:lblOffset val="100"/>
        <c:noMultiLvlLbl val="0"/>
      </c:catAx>
      <c:valAx>
        <c:axId val="696771343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6967700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40420457434494"/>
          <c:y val="0.86976509845816996"/>
          <c:w val="0.2567983956210303"/>
          <c:h val="5.34322531291628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18817204301075269"/>
          <c:w val="0.95924793924238216"/>
          <c:h val="0.638793815087630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Jornada!$B$16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8.3542188805346695E-3"/>
                </c:manualLayout>
              </c:layout>
              <c:tx>
                <c:rich>
                  <a:bodyPr/>
                  <a:lstStyle/>
                  <a:p>
                    <a:fld id="{55906B25-A83C-1947-839F-8469868487C8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6388-4B24-A7DA-5E4E4AD7C45A}"/>
                </c:ext>
              </c:extLst>
            </c:dLbl>
            <c:dLbl>
              <c:idx val="1"/>
              <c:layout>
                <c:manualLayout>
                  <c:x val="-6.7919316652954676E-17"/>
                  <c:y val="1.2531328320802004E-2"/>
                </c:manualLayout>
              </c:layout>
              <c:tx>
                <c:rich>
                  <a:bodyPr/>
                  <a:lstStyle/>
                  <a:p>
                    <a:fld id="{4190DC84-8D84-DB45-8086-F5DB09098438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388-4B24-A7DA-5E4E4AD7C45A}"/>
                </c:ext>
              </c:extLst>
            </c:dLbl>
            <c:dLbl>
              <c:idx val="2"/>
              <c:layout>
                <c:manualLayout>
                  <c:x val="-6.7919316652954676E-17"/>
                  <c:y val="8.3542188805346695E-3"/>
                </c:manualLayout>
              </c:layout>
              <c:tx>
                <c:rich>
                  <a:bodyPr/>
                  <a:lstStyle/>
                  <a:p>
                    <a:fld id="{09A2DB7B-3C50-F044-8241-5421D2765590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6388-4B24-A7DA-5E4E4AD7C45A}"/>
                </c:ext>
              </c:extLst>
            </c:dLbl>
            <c:dLbl>
              <c:idx val="3"/>
              <c:layout>
                <c:manualLayout>
                  <c:x val="0"/>
                  <c:y val="8.3542188805345932E-3"/>
                </c:manualLayout>
              </c:layout>
              <c:tx>
                <c:rich>
                  <a:bodyPr/>
                  <a:lstStyle/>
                  <a:p>
                    <a:fld id="{32A138A7-2C9A-A24B-B4FB-3D42578BF4E0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388-4B24-A7DA-5E4E4AD7C4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Jornada!$A$17:$A$20</c:f>
              <c:strCache>
                <c:ptCount val="4"/>
                <c:pt idx="0">
                  <c:v>Menos de 15 horas</c:v>
                </c:pt>
                <c:pt idx="1">
                  <c:v>15 a 34 horas</c:v>
                </c:pt>
                <c:pt idx="2">
                  <c:v>35 a 48 horas</c:v>
                </c:pt>
                <c:pt idx="3">
                  <c:v>Más de 48 horas</c:v>
                </c:pt>
              </c:strCache>
            </c:strRef>
          </c:cat>
          <c:val>
            <c:numRef>
              <c:f>Jornada!$B$17:$B$20</c:f>
              <c:numCache>
                <c:formatCode>0</c:formatCode>
                <c:ptCount val="4"/>
                <c:pt idx="0">
                  <c:v>2.0328611441081641</c:v>
                </c:pt>
                <c:pt idx="1">
                  <c:v>13.575930278861033</c:v>
                </c:pt>
                <c:pt idx="2">
                  <c:v>70.451013238212212</c:v>
                </c:pt>
                <c:pt idx="3">
                  <c:v>13.940195338818592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88-4B24-A7DA-5E4E4AD7C4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overlap val="-24"/>
        <c:axId val="1877956384"/>
        <c:axId val="1877962208"/>
      </c:barChart>
      <c:catAx>
        <c:axId val="187795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877962208"/>
        <c:crosses val="autoZero"/>
        <c:auto val="1"/>
        <c:lblAlgn val="ctr"/>
        <c:lblOffset val="100"/>
        <c:noMultiLvlLbl val="0"/>
      </c:catAx>
      <c:valAx>
        <c:axId val="1877962208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1877956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0.91361</cdr:y>
    </cdr:from>
    <cdr:to>
      <cdr:x>1</cdr:x>
      <cdr:y>1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0" y="3325378"/>
          <a:ext cx="6334125" cy="3144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r>
            <a:rPr lang="es-ES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Nota: Población de 15 años</a:t>
          </a:r>
          <a:r>
            <a:rPr lang="es-ES" sz="80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y más.</a:t>
          </a:r>
          <a:endParaRPr lang="es-MX" sz="800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pPr algn="l"/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INEGI. Encuesta Nacional de Ocupación y Empleo, primer trimestre de 2020</a:t>
          </a:r>
          <a:r>
            <a:rPr lang="es-MX" sz="80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y c</a:t>
          </a:r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uarto trimestre de 2021. Bases de datos.</a:t>
          </a:r>
          <a:endParaRPr lang="es-MX" sz="8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0.8904</cdr:y>
    </cdr:from>
    <cdr:to>
      <cdr:x>0.88173</cdr:x>
      <cdr:y>1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-461176" y="3093891"/>
          <a:ext cx="6022269" cy="3808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ES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Nota: La suma de los porcentajes en el total no es de 100% debido al redondeo de las cifras.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INEGI. Encuesta Nacional de Ocupación y Empleo, 2021, cuarto trimestre. Base de datos.</a:t>
          </a:r>
          <a:endParaRPr lang="es-MX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2.90019E-7</cdr:y>
    </cdr:from>
    <cdr:to>
      <cdr:x>1</cdr:x>
      <cdr:y>0.14917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0" y="1"/>
          <a:ext cx="6134100" cy="5143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000" b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Gráfica 3.</a:t>
          </a:r>
        </a:p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100" b="1" cap="small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Distribución pocentual de</a:t>
          </a:r>
          <a:r>
            <a:rPr lang="es-MX" sz="1100" b="1" cap="small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enfermeros </a:t>
          </a:r>
          <a:r>
            <a:rPr lang="es-MX" sz="1100" b="1" cap="small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por rango de edad</a:t>
          </a:r>
        </a:p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900" b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(Distribución</a:t>
          </a:r>
          <a:r>
            <a:rPr lang="es-MX" sz="900" b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porcentual)</a:t>
          </a:r>
          <a:endParaRPr lang="es-MX" sz="900" b="0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s-MX" sz="1100" b="1" cap="small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0.92722</cdr:y>
    </cdr:from>
    <cdr:to>
      <cdr:x>0.98103</cdr:x>
      <cdr:y>1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0" y="3276600"/>
          <a:ext cx="656780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INEGI. Encuesta Nacional de Ocupación y Empleo, 2021, cuarto trimestre. Base de datos.</a:t>
          </a:r>
          <a:endParaRPr lang="es-MX" sz="8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0.98611</cdr:x>
      <cdr:y>0.17962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0" y="0"/>
          <a:ext cx="6227359" cy="638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000" b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Gráfica 4.</a:t>
          </a:r>
        </a:p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100" b="1" cap="small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Enfermeros</a:t>
          </a:r>
          <a:r>
            <a:rPr lang="es-MX" sz="1100" b="1" cap="small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es-MX" sz="1100" b="1" cap="small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por horas</a:t>
          </a:r>
          <a:r>
            <a:rPr lang="es-MX" sz="1100" b="1" cap="small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laboradas a la semana</a:t>
          </a:r>
        </a:p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900" b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(Distribución</a:t>
          </a:r>
          <a:r>
            <a:rPr lang="es-MX" sz="900" b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porcentual)</a:t>
          </a:r>
          <a:endParaRPr lang="es-MX" sz="900" b="0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s-MX" sz="1100" b="1" cap="small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0.01396</cdr:x>
      <cdr:y>0.92324</cdr:y>
    </cdr:from>
    <cdr:to>
      <cdr:x>0.97391</cdr:x>
      <cdr:y>0.99668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95693" y="2806996"/>
          <a:ext cx="6581554" cy="2232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INEGI. Encuesta Nacional de Ocupación y Empleo, 2021, cuarto trimestre. Base de datos.</a:t>
          </a:r>
          <a:endParaRPr lang="es-MX" sz="800"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es-MX" sz="11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811589A038F4AA963311E9F82662E" ma:contentTypeVersion="15" ma:contentTypeDescription="Create a new document." ma:contentTypeScope="" ma:versionID="ff96229b27971447382ba4acbc59c51f">
  <xsd:schema xmlns:xsd="http://www.w3.org/2001/XMLSchema" xmlns:xs="http://www.w3.org/2001/XMLSchema" xmlns:p="http://schemas.microsoft.com/office/2006/metadata/properties" xmlns:ns3="0754e61c-95ea-4e68-96b3-64c5283265b6" xmlns:ns4="6ff02e26-51ee-43bc-949e-61a93fe208e9" targetNamespace="http://schemas.microsoft.com/office/2006/metadata/properties" ma:root="true" ma:fieldsID="8b1276ab9defdf7441b0f4b92efbb64a" ns3:_="" ns4:_="">
    <xsd:import namespace="0754e61c-95ea-4e68-96b3-64c5283265b6"/>
    <xsd:import namespace="6ff02e26-51ee-43bc-949e-61a93fe208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e61c-95ea-4e68-96b3-64c528326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02e26-51ee-43bc-949e-61a93fe20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61AF-B2C6-49EB-8C75-1C6023702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4e61c-95ea-4e68-96b3-64c5283265b6"/>
    <ds:schemaRef ds:uri="6ff02e26-51ee-43bc-949e-61a93fe20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320C7-4D07-4D53-8AFB-6159726094C6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0754e61c-95ea-4e68-96b3-64c5283265b6"/>
    <ds:schemaRef ds:uri="6ff02e26-51ee-43bc-949e-61a93fe208e9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4DB7399-AD1E-4892-8AE8-53DFC36B2A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78E57B-878E-4ABE-8556-34C3F6F1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3439</Characters>
  <Application>Microsoft Office Word</Application>
  <DocSecurity>4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INEGI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Díaz</dc:creator>
  <cp:keywords/>
  <dc:description/>
  <cp:lastModifiedBy>COLLAZO GALLEGOS MARCOS DARIO</cp:lastModifiedBy>
  <cp:revision>2</cp:revision>
  <dcterms:created xsi:type="dcterms:W3CDTF">2022-05-10T15:17:00Z</dcterms:created>
  <dcterms:modified xsi:type="dcterms:W3CDTF">2022-05-10T15:17:00Z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0x010100881811589A038F4AA963311E9F82662E</vt:lpwstr>
  </property>
</Properties>
</file>