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5556" w14:textId="77777777" w:rsidR="00962DB3" w:rsidRPr="00B31638" w:rsidRDefault="00962DB3" w:rsidP="00962DB3">
      <w:pPr>
        <w:jc w:val="center"/>
        <w:rPr>
          <w:b/>
          <w:bCs/>
        </w:rPr>
      </w:pPr>
      <w:r w:rsidRPr="00B31638">
        <w:rPr>
          <w:b/>
          <w:bCs/>
        </w:rPr>
        <w:t>ESTADÍSTICAS A PROPÓSITO DEL DÍA MUNDIAL DEL MEDIO AMBIENTE</w:t>
      </w:r>
    </w:p>
    <w:p w14:paraId="6854C557" w14:textId="77777777" w:rsidR="00962DB3" w:rsidRPr="00B31638" w:rsidRDefault="00962DB3" w:rsidP="00962DB3">
      <w:pPr>
        <w:pStyle w:val="Encabezado"/>
        <w:jc w:val="center"/>
      </w:pPr>
      <w:r w:rsidRPr="00B31638">
        <w:rPr>
          <w:b/>
          <w:bCs/>
        </w:rPr>
        <w:t>(5 DE JUNIO)</w:t>
      </w:r>
    </w:p>
    <w:p w14:paraId="1723999D" w14:textId="77777777" w:rsidR="00962DB3" w:rsidRPr="001D48BA" w:rsidRDefault="00962DB3" w:rsidP="00962DB3">
      <w:pPr>
        <w:tabs>
          <w:tab w:val="left" w:pos="8789"/>
        </w:tabs>
        <w:ind w:left="284" w:right="51" w:hanging="284"/>
        <w:jc w:val="center"/>
        <w:rPr>
          <w:b/>
        </w:rPr>
      </w:pPr>
    </w:p>
    <w:p w14:paraId="4BC8CAF1" w14:textId="5A193CCF" w:rsidR="00962DB3" w:rsidRPr="002343A5" w:rsidRDefault="00962DB3" w:rsidP="00962DB3">
      <w:pPr>
        <w:pStyle w:val="NormalWeb"/>
        <w:numPr>
          <w:ilvl w:val="0"/>
          <w:numId w:val="1"/>
        </w:numPr>
        <w:spacing w:before="120" w:beforeAutospacing="0" w:after="120" w:afterAutospacing="0"/>
        <w:ind w:left="284" w:right="51" w:hanging="284"/>
        <w:jc w:val="both"/>
        <w:rPr>
          <w:rFonts w:ascii="Arial" w:hAnsi="Arial" w:cs="Arial"/>
        </w:rPr>
      </w:pPr>
      <w:r w:rsidRPr="00B31638">
        <w:rPr>
          <w:rFonts w:ascii="Arial" w:hAnsi="Arial" w:cs="Arial"/>
          <w:lang w:eastAsia="es-MX"/>
        </w:rPr>
        <w:t xml:space="preserve">En 2018, </w:t>
      </w:r>
      <w:r>
        <w:rPr>
          <w:rFonts w:ascii="Arial" w:hAnsi="Arial" w:cs="Arial"/>
          <w:lang w:eastAsia="es-MX"/>
        </w:rPr>
        <w:t>solo 12.5</w:t>
      </w:r>
      <w:r w:rsidR="00C15D54">
        <w:rPr>
          <w:rFonts w:ascii="Arial" w:hAnsi="Arial" w:cs="Arial"/>
          <w:lang w:eastAsia="es-MX"/>
        </w:rPr>
        <w:t xml:space="preserve"> </w:t>
      </w:r>
      <w:r>
        <w:rPr>
          <w:rFonts w:ascii="Arial" w:hAnsi="Arial" w:cs="Arial"/>
          <w:lang w:eastAsia="es-MX"/>
        </w:rPr>
        <w:t xml:space="preserve">% </w:t>
      </w:r>
      <w:r w:rsidRPr="00F57E0E">
        <w:rPr>
          <w:rFonts w:ascii="Arial" w:hAnsi="Arial" w:cs="Arial"/>
          <w:bCs/>
          <w:lang w:eastAsia="es-MX"/>
        </w:rPr>
        <w:t>d</w:t>
      </w:r>
      <w:r w:rsidRPr="00B31638">
        <w:rPr>
          <w:rFonts w:ascii="Arial" w:hAnsi="Arial" w:cs="Arial"/>
          <w:bCs/>
          <w:lang w:eastAsia="es-MX"/>
        </w:rPr>
        <w:t>e los grandes establecimientos en México</w:t>
      </w:r>
      <w:r>
        <w:rPr>
          <w:rFonts w:ascii="Arial" w:hAnsi="Arial" w:cs="Arial"/>
          <w:bCs/>
          <w:lang w:eastAsia="es-MX"/>
        </w:rPr>
        <w:t xml:space="preserve"> contó</w:t>
      </w:r>
      <w:r w:rsidRPr="00B31638">
        <w:rPr>
          <w:rFonts w:ascii="Arial" w:hAnsi="Arial" w:cs="Arial"/>
          <w:bCs/>
          <w:lang w:eastAsia="es-MX"/>
        </w:rPr>
        <w:t xml:space="preserve"> con personal que participaba en actividades de protección al medio ambiente</w:t>
      </w:r>
      <w:r>
        <w:rPr>
          <w:rFonts w:ascii="Arial" w:hAnsi="Arial" w:cs="Arial"/>
          <w:bCs/>
          <w:lang w:eastAsia="es-MX"/>
        </w:rPr>
        <w:t>.</w:t>
      </w:r>
    </w:p>
    <w:p w14:paraId="711E4E26" w14:textId="2A4696CB" w:rsidR="00962DB3" w:rsidRPr="00FE6BBF" w:rsidRDefault="00962DB3" w:rsidP="00962DB3">
      <w:pPr>
        <w:pStyle w:val="NormalWeb"/>
        <w:numPr>
          <w:ilvl w:val="0"/>
          <w:numId w:val="1"/>
        </w:numPr>
        <w:spacing w:before="120" w:beforeAutospacing="0" w:after="120" w:afterAutospacing="0"/>
        <w:ind w:left="284" w:right="51" w:hanging="284"/>
        <w:jc w:val="both"/>
        <w:rPr>
          <w:rFonts w:ascii="Arial" w:hAnsi="Arial" w:cs="Arial"/>
        </w:rPr>
      </w:pPr>
      <w:r w:rsidRPr="00FE6BBF">
        <w:rPr>
          <w:rFonts w:ascii="Arial" w:hAnsi="Arial" w:cs="Arial"/>
          <w:bCs/>
          <w:lang w:eastAsia="es-MX"/>
        </w:rPr>
        <w:t xml:space="preserve">El </w:t>
      </w:r>
      <w:r w:rsidRPr="008F293E">
        <w:rPr>
          <w:rFonts w:ascii="Arial" w:hAnsi="Arial" w:cs="Arial"/>
          <w:bCs/>
          <w:lang w:eastAsia="es-MX"/>
        </w:rPr>
        <w:t>56.6</w:t>
      </w:r>
      <w:r w:rsidR="00C15D54">
        <w:rPr>
          <w:rFonts w:ascii="Arial" w:hAnsi="Arial" w:cs="Arial"/>
          <w:bCs/>
          <w:lang w:eastAsia="es-MX"/>
        </w:rPr>
        <w:t xml:space="preserve"> </w:t>
      </w:r>
      <w:r w:rsidRPr="008F293E">
        <w:rPr>
          <w:rFonts w:ascii="Arial" w:hAnsi="Arial" w:cs="Arial"/>
          <w:bCs/>
          <w:lang w:eastAsia="es-MX"/>
        </w:rPr>
        <w:t xml:space="preserve">% de </w:t>
      </w:r>
      <w:r w:rsidRPr="00FE6BBF">
        <w:rPr>
          <w:rFonts w:ascii="Arial" w:hAnsi="Arial" w:cs="Arial"/>
          <w:bCs/>
          <w:lang w:eastAsia="es-MX"/>
        </w:rPr>
        <w:t xml:space="preserve">las unidades económicas grandes no aplicó medida alguna de protección ambiental; </w:t>
      </w:r>
      <w:r w:rsidRPr="00936E3C">
        <w:rPr>
          <w:rFonts w:ascii="Arial" w:hAnsi="Arial" w:cs="Arial"/>
          <w:bCs/>
          <w:lang w:eastAsia="es-MX"/>
        </w:rPr>
        <w:t>27.5</w:t>
      </w:r>
      <w:r w:rsidR="00C15D54">
        <w:rPr>
          <w:rFonts w:ascii="Arial" w:hAnsi="Arial" w:cs="Arial"/>
          <w:bCs/>
          <w:lang w:eastAsia="es-MX"/>
        </w:rPr>
        <w:t xml:space="preserve"> </w:t>
      </w:r>
      <w:r w:rsidRPr="00936E3C">
        <w:rPr>
          <w:rFonts w:ascii="Arial" w:hAnsi="Arial" w:cs="Arial"/>
          <w:bCs/>
          <w:lang w:eastAsia="es-MX"/>
        </w:rPr>
        <w:t>% dijo desconocer la obligatoriedad y</w:t>
      </w:r>
      <w:r w:rsidRPr="00FE6BBF">
        <w:rPr>
          <w:rFonts w:ascii="Arial" w:hAnsi="Arial" w:cs="Arial"/>
          <w:bCs/>
          <w:lang w:eastAsia="es-MX"/>
        </w:rPr>
        <w:t xml:space="preserve"> 15.9</w:t>
      </w:r>
      <w:r w:rsidR="00C15D54">
        <w:rPr>
          <w:rFonts w:ascii="Arial" w:hAnsi="Arial" w:cs="Arial"/>
          <w:bCs/>
          <w:lang w:eastAsia="es-MX"/>
        </w:rPr>
        <w:t xml:space="preserve"> </w:t>
      </w:r>
      <w:r w:rsidRPr="00FE6BBF">
        <w:rPr>
          <w:rFonts w:ascii="Arial" w:hAnsi="Arial" w:cs="Arial"/>
          <w:bCs/>
          <w:lang w:eastAsia="es-MX"/>
        </w:rPr>
        <w:t>% cumplió</w:t>
      </w:r>
      <w:r>
        <w:rPr>
          <w:rFonts w:ascii="Arial" w:hAnsi="Arial" w:cs="Arial"/>
          <w:bCs/>
          <w:lang w:eastAsia="es-MX"/>
        </w:rPr>
        <w:t xml:space="preserve">, </w:t>
      </w:r>
      <w:r w:rsidRPr="00FE6BBF">
        <w:rPr>
          <w:rFonts w:ascii="Arial" w:hAnsi="Arial" w:cs="Arial"/>
          <w:bCs/>
          <w:lang w:eastAsia="es-MX"/>
        </w:rPr>
        <w:t>al menos, con una de estas medidas.</w:t>
      </w:r>
    </w:p>
    <w:p w14:paraId="32A8F666" w14:textId="20B9C7FC" w:rsidR="00962DB3" w:rsidRPr="00D052BF" w:rsidRDefault="00962DB3" w:rsidP="00962DB3">
      <w:pPr>
        <w:pStyle w:val="NormalWeb"/>
        <w:numPr>
          <w:ilvl w:val="0"/>
          <w:numId w:val="1"/>
        </w:numPr>
        <w:spacing w:before="120" w:beforeAutospacing="0" w:after="120" w:afterAutospacing="0"/>
        <w:ind w:left="284" w:right="51" w:hanging="284"/>
        <w:jc w:val="both"/>
        <w:rPr>
          <w:rFonts w:ascii="Arial" w:hAnsi="Arial" w:cs="Arial"/>
        </w:rPr>
      </w:pPr>
      <w:r w:rsidRPr="00D052BF">
        <w:rPr>
          <w:rFonts w:ascii="Arial" w:hAnsi="Arial" w:cs="Arial"/>
          <w:bCs/>
          <w:lang w:eastAsia="es-MX"/>
        </w:rPr>
        <w:t>En 2018</w:t>
      </w:r>
      <w:r>
        <w:rPr>
          <w:rFonts w:ascii="Arial" w:hAnsi="Arial" w:cs="Arial"/>
          <w:bCs/>
          <w:lang w:eastAsia="es-MX"/>
        </w:rPr>
        <w:t xml:space="preserve">, </w:t>
      </w:r>
      <w:r w:rsidRPr="00D052BF">
        <w:rPr>
          <w:rFonts w:ascii="Arial" w:hAnsi="Arial" w:cs="Arial"/>
          <w:bCs/>
          <w:lang w:eastAsia="es-MX"/>
        </w:rPr>
        <w:t>65.1</w:t>
      </w:r>
      <w:r w:rsidR="00C15D54">
        <w:rPr>
          <w:rFonts w:ascii="Arial" w:hAnsi="Arial" w:cs="Arial"/>
          <w:bCs/>
          <w:lang w:eastAsia="es-MX"/>
        </w:rPr>
        <w:t xml:space="preserve"> </w:t>
      </w:r>
      <w:r w:rsidRPr="00D052BF">
        <w:rPr>
          <w:rFonts w:ascii="Arial" w:hAnsi="Arial" w:cs="Arial"/>
          <w:bCs/>
          <w:lang w:eastAsia="es-MX"/>
        </w:rPr>
        <w:t>% de las empresas grandes envió sus desechos a rellenos sanitarios (basureros); 29.4</w:t>
      </w:r>
      <w:r w:rsidR="00C15D54">
        <w:rPr>
          <w:rFonts w:ascii="Arial" w:hAnsi="Arial" w:cs="Arial"/>
          <w:bCs/>
          <w:lang w:eastAsia="es-MX"/>
        </w:rPr>
        <w:t xml:space="preserve"> </w:t>
      </w:r>
      <w:r w:rsidRPr="00D052BF">
        <w:rPr>
          <w:rFonts w:ascii="Arial" w:hAnsi="Arial" w:cs="Arial"/>
          <w:bCs/>
          <w:lang w:eastAsia="es-MX"/>
        </w:rPr>
        <w:t>% los trasladó a empresas de servicio para el manejo y transporte de residuos, y 5.5</w:t>
      </w:r>
      <w:r w:rsidR="00C15D54">
        <w:rPr>
          <w:rFonts w:ascii="Arial" w:hAnsi="Arial" w:cs="Arial"/>
          <w:bCs/>
          <w:lang w:eastAsia="es-MX"/>
        </w:rPr>
        <w:t xml:space="preserve"> </w:t>
      </w:r>
      <w:r w:rsidRPr="00D052BF">
        <w:rPr>
          <w:rFonts w:ascii="Arial" w:hAnsi="Arial" w:cs="Arial"/>
          <w:bCs/>
          <w:lang w:eastAsia="es-MX"/>
        </w:rPr>
        <w:t xml:space="preserve">% los recicló o reusó en el proceso de producción. </w:t>
      </w:r>
    </w:p>
    <w:p w14:paraId="170184CB" w14:textId="77777777" w:rsidR="00962DB3" w:rsidRDefault="00962DB3" w:rsidP="00962DB3">
      <w:pPr>
        <w:pStyle w:val="NormalWeb"/>
        <w:numPr>
          <w:ilvl w:val="0"/>
          <w:numId w:val="1"/>
        </w:numPr>
        <w:spacing w:before="120" w:beforeAutospacing="0" w:after="120" w:afterAutospacing="0"/>
        <w:ind w:left="284" w:right="51" w:hanging="284"/>
        <w:jc w:val="both"/>
        <w:rPr>
          <w:rFonts w:ascii="Arial" w:hAnsi="Arial" w:cs="Arial"/>
        </w:rPr>
      </w:pPr>
      <w:r>
        <w:rPr>
          <w:rFonts w:ascii="Arial" w:hAnsi="Arial" w:cs="Arial"/>
        </w:rPr>
        <w:t>En</w:t>
      </w:r>
      <w:r w:rsidRPr="00B31638">
        <w:rPr>
          <w:rFonts w:ascii="Arial" w:hAnsi="Arial" w:cs="Arial"/>
        </w:rPr>
        <w:t xml:space="preserve"> 2020, fueron recolectados 106</w:t>
      </w:r>
      <w:r>
        <w:rPr>
          <w:rFonts w:ascii="Arial" w:hAnsi="Arial" w:cs="Arial"/>
        </w:rPr>
        <w:t>,</w:t>
      </w:r>
      <w:r w:rsidRPr="00B31638">
        <w:rPr>
          <w:rFonts w:ascii="Arial" w:hAnsi="Arial" w:cs="Arial"/>
        </w:rPr>
        <w:t>523</w:t>
      </w:r>
      <w:r>
        <w:rPr>
          <w:rFonts w:ascii="Arial" w:hAnsi="Arial" w:cs="Arial"/>
        </w:rPr>
        <w:t>,</w:t>
      </w:r>
      <w:r w:rsidRPr="00B31638">
        <w:rPr>
          <w:rFonts w:ascii="Arial" w:hAnsi="Arial" w:cs="Arial"/>
        </w:rPr>
        <w:t xml:space="preserve">139 kg </w:t>
      </w:r>
      <w:r>
        <w:rPr>
          <w:rFonts w:ascii="Arial" w:hAnsi="Arial" w:cs="Arial"/>
        </w:rPr>
        <w:t xml:space="preserve">diarios </w:t>
      </w:r>
      <w:r w:rsidRPr="00B31638">
        <w:rPr>
          <w:rFonts w:ascii="Arial" w:hAnsi="Arial" w:cs="Arial"/>
        </w:rPr>
        <w:t>de residuos sólidos urbanos</w:t>
      </w:r>
      <w:r>
        <w:rPr>
          <w:rFonts w:ascii="Arial" w:hAnsi="Arial" w:cs="Arial"/>
        </w:rPr>
        <w:t xml:space="preserve">. En 2018 la </w:t>
      </w:r>
      <w:r w:rsidRPr="00B31638">
        <w:rPr>
          <w:rFonts w:ascii="Arial" w:hAnsi="Arial" w:cs="Arial"/>
        </w:rPr>
        <w:t>cifra fue de 107</w:t>
      </w:r>
      <w:r>
        <w:rPr>
          <w:rFonts w:ascii="Arial" w:hAnsi="Arial" w:cs="Arial"/>
        </w:rPr>
        <w:t>,</w:t>
      </w:r>
      <w:r w:rsidRPr="00B31638">
        <w:rPr>
          <w:rFonts w:ascii="Arial" w:hAnsi="Arial" w:cs="Arial"/>
        </w:rPr>
        <w:t>055</w:t>
      </w:r>
      <w:r>
        <w:rPr>
          <w:rFonts w:ascii="Arial" w:hAnsi="Arial" w:cs="Arial"/>
        </w:rPr>
        <w:t>,</w:t>
      </w:r>
      <w:r w:rsidRPr="00B31638">
        <w:rPr>
          <w:rFonts w:ascii="Arial" w:hAnsi="Arial" w:cs="Arial"/>
        </w:rPr>
        <w:t>547 kg</w:t>
      </w:r>
      <w:r>
        <w:rPr>
          <w:rFonts w:ascii="Arial" w:hAnsi="Arial" w:cs="Arial"/>
        </w:rPr>
        <w:t>.</w:t>
      </w:r>
    </w:p>
    <w:p w14:paraId="30501C24" w14:textId="77777777" w:rsidR="00962DB3" w:rsidRPr="00B31638" w:rsidRDefault="00962DB3" w:rsidP="00962DB3">
      <w:pPr>
        <w:pStyle w:val="NormalWeb"/>
        <w:spacing w:before="0" w:beforeAutospacing="0" w:after="0" w:afterAutospacing="0"/>
        <w:ind w:left="284" w:right="51"/>
        <w:jc w:val="both"/>
        <w:rPr>
          <w:rFonts w:ascii="Arial" w:hAnsi="Arial" w:cs="Arial"/>
        </w:rPr>
      </w:pPr>
    </w:p>
    <w:p w14:paraId="0C5453FE" w14:textId="77777777" w:rsidR="00962DB3" w:rsidRPr="005F257C" w:rsidRDefault="00962DB3" w:rsidP="00962DB3">
      <w:pPr>
        <w:pStyle w:val="NormalWeb"/>
        <w:spacing w:before="0" w:beforeAutospacing="0" w:after="0" w:afterAutospacing="0"/>
        <w:ind w:left="-567" w:right="-518"/>
        <w:jc w:val="both"/>
        <w:rPr>
          <w:rFonts w:ascii="Arial" w:hAnsi="Arial" w:cs="Arial"/>
          <w:bCs/>
          <w:lang w:eastAsia="es-MX"/>
        </w:rPr>
      </w:pPr>
      <w:r w:rsidRPr="005F257C">
        <w:rPr>
          <w:rFonts w:ascii="Arial" w:hAnsi="Arial" w:cs="Arial"/>
          <w:bCs/>
          <w:lang w:eastAsia="es-MX"/>
        </w:rPr>
        <w:t xml:space="preserve">El 5 de junio es el Día Mundial del Medio Ambiente. Su propósito es concientizar en torno al problema ambiental y promover la acción mundial para mejorar el ecosistema. Este año, el tema para la conmemoración es </w:t>
      </w:r>
      <w:r>
        <w:rPr>
          <w:rFonts w:ascii="Arial" w:hAnsi="Arial" w:cs="Arial"/>
          <w:bCs/>
          <w:lang w:eastAsia="es-MX"/>
        </w:rPr>
        <w:t>“</w:t>
      </w:r>
      <w:r w:rsidRPr="005F257C">
        <w:rPr>
          <w:rFonts w:ascii="Arial" w:hAnsi="Arial" w:cs="Arial"/>
          <w:bCs/>
          <w:lang w:eastAsia="es-MX"/>
        </w:rPr>
        <w:t>Una sola Tierra</w:t>
      </w:r>
      <w:r>
        <w:rPr>
          <w:rFonts w:ascii="Arial" w:hAnsi="Arial" w:cs="Arial"/>
          <w:bCs/>
          <w:lang w:eastAsia="es-MX"/>
        </w:rPr>
        <w:t>”</w:t>
      </w:r>
      <w:r w:rsidRPr="005F257C">
        <w:rPr>
          <w:rFonts w:ascii="Arial" w:hAnsi="Arial" w:cs="Arial"/>
          <w:bCs/>
          <w:lang w:eastAsia="es-MX"/>
        </w:rPr>
        <w:t>.</w:t>
      </w:r>
    </w:p>
    <w:p w14:paraId="1A26F29F" w14:textId="77777777" w:rsidR="00962DB3" w:rsidRPr="005F257C" w:rsidRDefault="00962DB3" w:rsidP="00962DB3">
      <w:pPr>
        <w:pStyle w:val="NormalWeb"/>
        <w:spacing w:before="0" w:beforeAutospacing="0" w:after="0" w:afterAutospacing="0"/>
        <w:ind w:left="-567" w:right="-518"/>
        <w:jc w:val="both"/>
        <w:rPr>
          <w:rFonts w:ascii="Arial" w:hAnsi="Arial" w:cs="Arial"/>
          <w:bCs/>
          <w:lang w:eastAsia="es-MX"/>
        </w:rPr>
      </w:pPr>
    </w:p>
    <w:p w14:paraId="63366BD7" w14:textId="77777777" w:rsidR="00962DB3" w:rsidRPr="005F257C" w:rsidRDefault="00962DB3" w:rsidP="00962DB3">
      <w:pPr>
        <w:pStyle w:val="NormalWeb"/>
        <w:spacing w:before="0" w:beforeAutospacing="0" w:after="0" w:afterAutospacing="0"/>
        <w:ind w:left="-567" w:right="-518"/>
        <w:jc w:val="both"/>
        <w:rPr>
          <w:rFonts w:ascii="Arial" w:hAnsi="Arial" w:cs="Arial"/>
          <w:bCs/>
          <w:lang w:eastAsia="es-MX"/>
        </w:rPr>
      </w:pPr>
      <w:r w:rsidRPr="005F257C">
        <w:rPr>
          <w:rFonts w:ascii="Arial" w:hAnsi="Arial" w:cs="Arial"/>
          <w:bCs/>
          <w:lang w:eastAsia="es-MX"/>
        </w:rPr>
        <w:t xml:space="preserve">A propósito de esta fecha, el </w:t>
      </w:r>
      <w:r w:rsidRPr="007D05BD">
        <w:rPr>
          <w:rFonts w:ascii="Arial" w:hAnsi="Arial" w:cs="Arial"/>
          <w:bCs/>
          <w:lang w:eastAsia="es-MX"/>
        </w:rPr>
        <w:t>Instituto Nacional de Estadística y Geografía</w:t>
      </w:r>
      <w:r w:rsidRPr="005F257C">
        <w:rPr>
          <w:rFonts w:ascii="Arial" w:hAnsi="Arial" w:cs="Arial"/>
          <w:bCs/>
          <w:lang w:eastAsia="es-MX"/>
        </w:rPr>
        <w:t xml:space="preserve"> (</w:t>
      </w:r>
      <w:r w:rsidRPr="007D05BD">
        <w:rPr>
          <w:rFonts w:ascii="Arial" w:hAnsi="Arial" w:cs="Arial"/>
          <w:bCs/>
          <w:lang w:eastAsia="es-MX"/>
        </w:rPr>
        <w:t>INEGI</w:t>
      </w:r>
      <w:r w:rsidRPr="005F257C">
        <w:rPr>
          <w:rFonts w:ascii="Arial" w:hAnsi="Arial" w:cs="Arial"/>
          <w:bCs/>
          <w:lang w:eastAsia="es-MX"/>
        </w:rPr>
        <w:t>) ofrece datos estadísticos que permiten identificar la medición de prácticas ambientales y acciones implementadas en México.</w:t>
      </w:r>
      <w:r w:rsidRPr="005F257C" w:rsidDel="00007604">
        <w:rPr>
          <w:rFonts w:ascii="Arial" w:hAnsi="Arial" w:cs="Arial"/>
          <w:bCs/>
          <w:lang w:eastAsia="es-MX"/>
        </w:rPr>
        <w:t xml:space="preserve"> </w:t>
      </w:r>
    </w:p>
    <w:p w14:paraId="39D40C25" w14:textId="77777777" w:rsidR="00962DB3" w:rsidRPr="005F257C" w:rsidRDefault="00962DB3" w:rsidP="00962DB3">
      <w:pPr>
        <w:pStyle w:val="NormalWeb"/>
        <w:spacing w:before="0" w:beforeAutospacing="0" w:after="0" w:afterAutospacing="0"/>
        <w:ind w:left="-567" w:right="-518"/>
        <w:jc w:val="both"/>
        <w:rPr>
          <w:bCs/>
          <w:lang w:eastAsia="es-MX"/>
        </w:rPr>
      </w:pPr>
    </w:p>
    <w:p w14:paraId="16E2B6A5" w14:textId="77777777" w:rsidR="00962DB3" w:rsidRPr="005F257C" w:rsidRDefault="00962DB3" w:rsidP="00962DB3">
      <w:pPr>
        <w:pStyle w:val="NormalWeb"/>
        <w:spacing w:before="0" w:beforeAutospacing="0" w:after="0" w:afterAutospacing="0"/>
        <w:ind w:left="-567" w:right="-518"/>
        <w:jc w:val="both"/>
        <w:rPr>
          <w:b/>
          <w:bCs/>
          <w:smallCaps/>
          <w:lang w:eastAsia="es-MX"/>
        </w:rPr>
      </w:pPr>
      <w:r w:rsidRPr="005F257C">
        <w:rPr>
          <w:rFonts w:ascii="Arial" w:hAnsi="Arial" w:cs="Arial"/>
          <w:b/>
          <w:bCs/>
          <w:smallCaps/>
          <w:lang w:eastAsia="es-MX"/>
        </w:rPr>
        <w:t>Unidades económicas grandes y sus acciones de protección al medio ambiente</w:t>
      </w:r>
    </w:p>
    <w:p w14:paraId="12858B32" w14:textId="77777777" w:rsidR="00962DB3" w:rsidRPr="005F257C" w:rsidRDefault="00962DB3" w:rsidP="00962DB3">
      <w:pPr>
        <w:pStyle w:val="NormalWeb"/>
        <w:spacing w:before="0" w:beforeAutospacing="0" w:after="0" w:afterAutospacing="0"/>
        <w:ind w:left="-567" w:right="-518"/>
        <w:jc w:val="both"/>
        <w:rPr>
          <w:bCs/>
          <w:lang w:eastAsia="es-MX"/>
        </w:rPr>
      </w:pPr>
    </w:p>
    <w:p w14:paraId="2839B9EF" w14:textId="77777777" w:rsidR="00962DB3" w:rsidRPr="005F257C" w:rsidRDefault="00962DB3" w:rsidP="00962DB3">
      <w:pPr>
        <w:pStyle w:val="NormalWeb"/>
        <w:spacing w:before="0" w:beforeAutospacing="0" w:after="0" w:afterAutospacing="0"/>
        <w:ind w:left="-567" w:right="-518"/>
        <w:jc w:val="both"/>
        <w:rPr>
          <w:bCs/>
          <w:lang w:eastAsia="es-MX"/>
        </w:rPr>
      </w:pPr>
      <w:r w:rsidRPr="005F257C">
        <w:rPr>
          <w:rFonts w:ascii="Arial" w:hAnsi="Arial" w:cs="Arial"/>
          <w:bCs/>
          <w:lang w:eastAsia="es-MX"/>
        </w:rPr>
        <w:t>En el levantamiento de información de los Censos Económicos (CE) 2019 se aplicó un cuestionario sobre medio ambiente. El objetivo fue conocer las prácticas ambientales y acciones implementadas en las unidades económicas grandes de los sectores privado y paraestatal.</w:t>
      </w:r>
    </w:p>
    <w:p w14:paraId="499EC537" w14:textId="77777777" w:rsidR="00962DB3" w:rsidRPr="005F257C" w:rsidRDefault="00962DB3" w:rsidP="00962DB3">
      <w:pPr>
        <w:pStyle w:val="NormalWeb"/>
        <w:spacing w:before="0" w:beforeAutospacing="0" w:after="0" w:afterAutospacing="0"/>
        <w:ind w:left="-567" w:right="-518"/>
        <w:jc w:val="both"/>
        <w:rPr>
          <w:bCs/>
          <w:lang w:eastAsia="es-MX"/>
        </w:rPr>
      </w:pPr>
    </w:p>
    <w:p w14:paraId="6B009C14" w14:textId="1239CB8B" w:rsidR="00962DB3" w:rsidRPr="005F257C" w:rsidRDefault="00962DB3" w:rsidP="00962DB3">
      <w:pPr>
        <w:pStyle w:val="NormalWeb"/>
        <w:spacing w:before="0" w:beforeAutospacing="0" w:after="0" w:afterAutospacing="0"/>
        <w:ind w:left="-567" w:right="-518"/>
        <w:jc w:val="both"/>
        <w:rPr>
          <w:bCs/>
          <w:lang w:eastAsia="es-MX"/>
        </w:rPr>
      </w:pPr>
      <w:r w:rsidRPr="005F257C">
        <w:rPr>
          <w:rFonts w:ascii="Arial" w:hAnsi="Arial" w:cs="Arial"/>
          <w:bCs/>
          <w:lang w:eastAsia="es-MX"/>
        </w:rPr>
        <w:t>En 2018 —año de referencia de la información de los CE 2019— se registraron 306,698 grandes establecimientos. De estos, solo 12.5</w:t>
      </w:r>
      <w:r w:rsidR="00C15D54">
        <w:rPr>
          <w:rFonts w:ascii="Arial" w:hAnsi="Arial" w:cs="Arial"/>
          <w:bCs/>
          <w:lang w:eastAsia="es-MX"/>
        </w:rPr>
        <w:t xml:space="preserve"> </w:t>
      </w:r>
      <w:r w:rsidRPr="005F257C">
        <w:rPr>
          <w:rFonts w:ascii="Arial" w:hAnsi="Arial" w:cs="Arial"/>
          <w:bCs/>
          <w:lang w:eastAsia="es-MX"/>
        </w:rPr>
        <w:t xml:space="preserve">% contó con personal que participaba en actividades de protección al medio ambiente (244,919 personas). </w:t>
      </w:r>
    </w:p>
    <w:p w14:paraId="1170A7F3" w14:textId="77777777" w:rsidR="00962DB3" w:rsidRPr="005F257C" w:rsidRDefault="00962DB3" w:rsidP="00962DB3">
      <w:pPr>
        <w:pStyle w:val="NormalWeb"/>
        <w:spacing w:before="0" w:beforeAutospacing="0" w:after="0" w:afterAutospacing="0"/>
        <w:ind w:left="-567" w:right="-518"/>
        <w:jc w:val="both"/>
        <w:rPr>
          <w:bCs/>
          <w:lang w:eastAsia="es-MX"/>
        </w:rPr>
      </w:pPr>
    </w:p>
    <w:p w14:paraId="29E7D258" w14:textId="77777777" w:rsidR="00962DB3" w:rsidRPr="005F257C" w:rsidRDefault="00962DB3" w:rsidP="00962DB3">
      <w:pPr>
        <w:pStyle w:val="NormalWeb"/>
        <w:spacing w:before="0" w:beforeAutospacing="0" w:after="0" w:afterAutospacing="0"/>
        <w:ind w:left="-567" w:right="-518"/>
        <w:jc w:val="both"/>
        <w:rPr>
          <w:bCs/>
          <w:lang w:eastAsia="es-MX"/>
        </w:rPr>
      </w:pPr>
      <w:r w:rsidRPr="005F257C">
        <w:rPr>
          <w:rFonts w:ascii="Arial" w:hAnsi="Arial" w:cs="Arial"/>
          <w:bCs/>
          <w:lang w:eastAsia="es-MX"/>
        </w:rPr>
        <w:t>Por actividad económica, las grandes empresas que más personal ocuparon en acciones para cuidar del medio ambiente fueron las de autotransporte foráneo de materiales y residuos peligrosos (25,217 personas); los laboratorios de pruebas (17,100 personas) y los comercios al por mayor de desechos de plástico (12,213 personas).</w:t>
      </w:r>
    </w:p>
    <w:p w14:paraId="3D7D553B" w14:textId="77777777" w:rsidR="00962DB3" w:rsidRPr="00B31638" w:rsidRDefault="00962DB3" w:rsidP="00962DB3">
      <w:pPr>
        <w:ind w:left="-284" w:right="-233"/>
        <w:rPr>
          <w:bCs/>
          <w:lang w:eastAsia="es-MX"/>
        </w:rPr>
      </w:pPr>
    </w:p>
    <w:p w14:paraId="0C3B9B6B" w14:textId="77777777" w:rsidR="00640D35" w:rsidRDefault="00640D35"/>
    <w:p w14:paraId="65C60952" w14:textId="77777777" w:rsidR="00962DB3" w:rsidRDefault="00962DB3"/>
    <w:p w14:paraId="79608A7E" w14:textId="77777777" w:rsidR="00962DB3" w:rsidRDefault="00962DB3"/>
    <w:p w14:paraId="07ADFFB5" w14:textId="77777777" w:rsidR="00962DB3" w:rsidRDefault="00962DB3"/>
    <w:p w14:paraId="39378704" w14:textId="77777777" w:rsidR="00962DB3" w:rsidRDefault="00962DB3"/>
    <w:p w14:paraId="22436A23" w14:textId="77777777" w:rsidR="00962DB3" w:rsidRDefault="00962DB3"/>
    <w:p w14:paraId="0F4B97B6" w14:textId="53A3A745" w:rsidR="00962DB3" w:rsidRPr="00B31638" w:rsidRDefault="00962DB3" w:rsidP="00C15D54">
      <w:pPr>
        <w:ind w:left="-567" w:right="-518"/>
        <w:rPr>
          <w:bCs/>
          <w:lang w:eastAsia="es-MX"/>
        </w:rPr>
      </w:pPr>
      <w:r>
        <w:rPr>
          <w:bCs/>
          <w:lang w:eastAsia="es-MX"/>
        </w:rPr>
        <w:t>El</w:t>
      </w:r>
      <w:r w:rsidRPr="00B31638">
        <w:rPr>
          <w:bCs/>
          <w:lang w:eastAsia="es-MX"/>
        </w:rPr>
        <w:t xml:space="preserve"> 15.9</w:t>
      </w:r>
      <w:r w:rsidR="00C15D54">
        <w:rPr>
          <w:bCs/>
          <w:lang w:eastAsia="es-MX"/>
        </w:rPr>
        <w:t xml:space="preserve"> </w:t>
      </w:r>
      <w:r w:rsidRPr="00B31638">
        <w:rPr>
          <w:bCs/>
          <w:lang w:eastAsia="es-MX"/>
        </w:rPr>
        <w:t>% de las unidades económicas grandes cumplió</w:t>
      </w:r>
      <w:r>
        <w:rPr>
          <w:bCs/>
          <w:lang w:eastAsia="es-MX"/>
        </w:rPr>
        <w:t xml:space="preserve">, al menos, con </w:t>
      </w:r>
      <w:r w:rsidRPr="00B31638">
        <w:rPr>
          <w:bCs/>
          <w:lang w:eastAsia="es-MX"/>
        </w:rPr>
        <w:t>una medida de protección ambiental</w:t>
      </w:r>
      <w:r>
        <w:rPr>
          <w:bCs/>
          <w:lang w:eastAsia="es-MX"/>
        </w:rPr>
        <w:t xml:space="preserve">; </w:t>
      </w:r>
      <w:r w:rsidRPr="00B31638">
        <w:rPr>
          <w:bCs/>
          <w:lang w:eastAsia="es-MX"/>
        </w:rPr>
        <w:t>56.6</w:t>
      </w:r>
      <w:r w:rsidR="00C15D54">
        <w:rPr>
          <w:bCs/>
          <w:lang w:eastAsia="es-MX"/>
        </w:rPr>
        <w:t xml:space="preserve"> </w:t>
      </w:r>
      <w:r w:rsidRPr="00B31638">
        <w:rPr>
          <w:bCs/>
          <w:lang w:eastAsia="es-MX"/>
        </w:rPr>
        <w:t>% no aplic</w:t>
      </w:r>
      <w:r>
        <w:rPr>
          <w:bCs/>
          <w:lang w:eastAsia="es-MX"/>
        </w:rPr>
        <w:t xml:space="preserve">ó medida alguna y </w:t>
      </w:r>
      <w:r w:rsidRPr="00B31638">
        <w:rPr>
          <w:bCs/>
          <w:lang w:eastAsia="es-MX"/>
        </w:rPr>
        <w:t>27.5</w:t>
      </w:r>
      <w:r w:rsidR="00C15D54">
        <w:rPr>
          <w:bCs/>
          <w:lang w:eastAsia="es-MX"/>
        </w:rPr>
        <w:t xml:space="preserve"> </w:t>
      </w:r>
      <w:r w:rsidRPr="00B31638">
        <w:rPr>
          <w:bCs/>
          <w:lang w:eastAsia="es-MX"/>
        </w:rPr>
        <w:t>%</w:t>
      </w:r>
      <w:r>
        <w:rPr>
          <w:bCs/>
          <w:lang w:eastAsia="es-MX"/>
        </w:rPr>
        <w:t xml:space="preserve"> dijo desconocer la obligatoriedad</w:t>
      </w:r>
      <w:r w:rsidRPr="00B31638">
        <w:rPr>
          <w:bCs/>
          <w:lang w:eastAsia="es-MX"/>
        </w:rPr>
        <w:t>.</w:t>
      </w:r>
    </w:p>
    <w:p w14:paraId="6207D02C" w14:textId="77777777" w:rsidR="00962DB3" w:rsidRDefault="00962DB3" w:rsidP="00962DB3">
      <w:pPr>
        <w:ind w:left="-284" w:right="-233"/>
        <w:rPr>
          <w:bCs/>
          <w:sz w:val="22"/>
          <w:szCs w:val="22"/>
          <w:lang w:eastAsia="es-MX"/>
        </w:rPr>
      </w:pPr>
    </w:p>
    <w:p w14:paraId="60CA0485" w14:textId="77777777" w:rsidR="00962DB3" w:rsidRPr="007D05BD" w:rsidRDefault="00962DB3" w:rsidP="00962DB3">
      <w:pPr>
        <w:keepNext/>
        <w:ind w:left="-567" w:right="-518"/>
        <w:jc w:val="center"/>
        <w:rPr>
          <w:bCs/>
          <w:smallCaps/>
          <w:sz w:val="20"/>
          <w:szCs w:val="20"/>
          <w:lang w:eastAsia="es-MX"/>
        </w:rPr>
      </w:pPr>
      <w:r w:rsidRPr="007D05BD">
        <w:rPr>
          <w:bCs/>
          <w:smallCaps/>
          <w:sz w:val="20"/>
          <w:szCs w:val="20"/>
          <w:lang w:eastAsia="es-MX"/>
        </w:rPr>
        <w:t>Gráfica 1</w:t>
      </w:r>
    </w:p>
    <w:p w14:paraId="411C48AB" w14:textId="77777777" w:rsidR="00962DB3" w:rsidRDefault="00962DB3" w:rsidP="00962DB3">
      <w:pPr>
        <w:keepNext/>
        <w:ind w:left="-567" w:right="-518"/>
        <w:jc w:val="center"/>
        <w:rPr>
          <w:b/>
          <w:bCs/>
          <w:smallCaps/>
          <w:sz w:val="22"/>
          <w:szCs w:val="22"/>
          <w:lang w:eastAsia="es-MX"/>
        </w:rPr>
      </w:pPr>
      <w:r w:rsidRPr="00D86AB1">
        <w:rPr>
          <w:b/>
          <w:bCs/>
          <w:smallCaps/>
          <w:sz w:val="22"/>
          <w:szCs w:val="22"/>
          <w:lang w:eastAsia="es-MX"/>
        </w:rPr>
        <w:t>Unidades económicas grandes que cumplieron alguna norma ambiental</w:t>
      </w:r>
    </w:p>
    <w:p w14:paraId="751CA69A" w14:textId="77777777" w:rsidR="00962DB3" w:rsidRPr="00B31638" w:rsidRDefault="00962DB3" w:rsidP="00962DB3">
      <w:pPr>
        <w:keepNext/>
        <w:ind w:left="-567" w:right="-518"/>
        <w:jc w:val="center"/>
        <w:rPr>
          <w:b/>
          <w:bCs/>
          <w:smallCaps/>
          <w:sz w:val="22"/>
          <w:szCs w:val="22"/>
          <w:lang w:eastAsia="es-MX"/>
        </w:rPr>
      </w:pPr>
      <w:r w:rsidRPr="00D86AB1">
        <w:rPr>
          <w:bCs/>
          <w:sz w:val="18"/>
          <w:szCs w:val="18"/>
          <w:lang w:eastAsia="es-MX"/>
        </w:rPr>
        <w:t xml:space="preserve"> (Porcentajes)</w:t>
      </w:r>
    </w:p>
    <w:p w14:paraId="67306405" w14:textId="77777777" w:rsidR="00962DB3" w:rsidRDefault="00962DB3" w:rsidP="00962DB3">
      <w:pPr>
        <w:ind w:left="-567" w:right="-518"/>
        <w:jc w:val="center"/>
        <w:rPr>
          <w:bCs/>
          <w:sz w:val="22"/>
          <w:szCs w:val="22"/>
          <w:lang w:eastAsia="es-MX"/>
        </w:rPr>
      </w:pPr>
      <w:r w:rsidRPr="00966FBD">
        <w:rPr>
          <w:noProof/>
        </w:rPr>
        <w:drawing>
          <wp:inline distT="0" distB="0" distL="0" distR="0" wp14:anchorId="3CCB1781" wp14:editId="5651873B">
            <wp:extent cx="5972810" cy="2920365"/>
            <wp:effectExtent l="0" t="0" r="8890" b="0"/>
            <wp:docPr id="72" name="Imagen 7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8"/>
                    <a:stretch>
                      <a:fillRect/>
                    </a:stretch>
                  </pic:blipFill>
                  <pic:spPr>
                    <a:xfrm>
                      <a:off x="0" y="0"/>
                      <a:ext cx="5972810" cy="2920365"/>
                    </a:xfrm>
                    <a:prstGeom prst="rect">
                      <a:avLst/>
                    </a:prstGeom>
                  </pic:spPr>
                </pic:pic>
              </a:graphicData>
            </a:graphic>
          </wp:inline>
        </w:drawing>
      </w:r>
    </w:p>
    <w:p w14:paraId="4679FA3E" w14:textId="77777777" w:rsidR="00962DB3" w:rsidRDefault="00962DB3" w:rsidP="00962DB3">
      <w:pPr>
        <w:ind w:right="50" w:hanging="284"/>
        <w:rPr>
          <w:bCs/>
          <w:sz w:val="22"/>
          <w:szCs w:val="22"/>
          <w:lang w:eastAsia="es-MX"/>
        </w:rPr>
      </w:pPr>
      <w:r w:rsidRPr="00F87E34">
        <w:rPr>
          <w:sz w:val="16"/>
          <w:szCs w:val="16"/>
        </w:rPr>
        <w:t>Fuente:</w:t>
      </w:r>
      <w:r>
        <w:rPr>
          <w:sz w:val="16"/>
          <w:szCs w:val="16"/>
        </w:rPr>
        <w:t xml:space="preserve"> </w:t>
      </w:r>
      <w:r w:rsidRPr="00D86AB1">
        <w:rPr>
          <w:bCs/>
          <w:sz w:val="16"/>
          <w:szCs w:val="16"/>
          <w:lang w:eastAsia="es-MX"/>
        </w:rPr>
        <w:t>Censo</w:t>
      </w:r>
      <w:r>
        <w:rPr>
          <w:bCs/>
          <w:sz w:val="16"/>
          <w:szCs w:val="16"/>
          <w:lang w:eastAsia="es-MX"/>
        </w:rPr>
        <w:t>s Económicos 2019. INEGI.</w:t>
      </w:r>
    </w:p>
    <w:p w14:paraId="508201FA" w14:textId="77777777" w:rsidR="00962DB3" w:rsidRDefault="00962DB3" w:rsidP="00962DB3">
      <w:pPr>
        <w:ind w:right="-233"/>
        <w:textAlignment w:val="baseline"/>
        <w:rPr>
          <w:bCs/>
          <w:color w:val="000000" w:themeColor="text1"/>
          <w:lang w:eastAsia="es-MX"/>
        </w:rPr>
      </w:pPr>
    </w:p>
    <w:p w14:paraId="2692AB6A" w14:textId="77777777" w:rsidR="00962DB3" w:rsidRDefault="00962DB3" w:rsidP="00962DB3">
      <w:pPr>
        <w:ind w:left="-284" w:right="-233"/>
        <w:textAlignment w:val="baseline"/>
        <w:rPr>
          <w:bCs/>
          <w:color w:val="000000" w:themeColor="text1"/>
          <w:lang w:eastAsia="es-MX"/>
        </w:rPr>
      </w:pPr>
    </w:p>
    <w:p w14:paraId="63C6C1F2" w14:textId="05852E74" w:rsidR="00962DB3" w:rsidRDefault="00962DB3" w:rsidP="00962DB3">
      <w:pPr>
        <w:ind w:left="-567" w:right="-518"/>
        <w:textAlignment w:val="baseline"/>
        <w:rPr>
          <w:color w:val="000000" w:themeColor="text1"/>
        </w:rPr>
      </w:pPr>
      <w:r>
        <w:rPr>
          <w:bCs/>
          <w:color w:val="000000" w:themeColor="text1"/>
          <w:lang w:eastAsia="es-MX"/>
        </w:rPr>
        <w:t>En 2018, a</w:t>
      </w:r>
      <w:r w:rsidRPr="00B31638">
        <w:rPr>
          <w:bCs/>
          <w:color w:val="000000" w:themeColor="text1"/>
          <w:lang w:eastAsia="es-MX"/>
        </w:rPr>
        <w:t xml:space="preserve"> nivel nacional, 65.1</w:t>
      </w:r>
      <w:r w:rsidR="00C15D54">
        <w:rPr>
          <w:bCs/>
          <w:color w:val="000000" w:themeColor="text1"/>
          <w:lang w:eastAsia="es-MX"/>
        </w:rPr>
        <w:t xml:space="preserve"> </w:t>
      </w:r>
      <w:r w:rsidRPr="00B31638">
        <w:rPr>
          <w:bCs/>
          <w:color w:val="000000" w:themeColor="text1"/>
          <w:lang w:eastAsia="es-MX"/>
        </w:rPr>
        <w:t>% de las empresas grandes envi</w:t>
      </w:r>
      <w:r>
        <w:rPr>
          <w:bCs/>
          <w:color w:val="000000" w:themeColor="text1"/>
          <w:lang w:eastAsia="es-MX"/>
        </w:rPr>
        <w:t>ó</w:t>
      </w:r>
      <w:r w:rsidRPr="00B31638">
        <w:rPr>
          <w:bCs/>
          <w:color w:val="000000" w:themeColor="text1"/>
          <w:lang w:eastAsia="es-MX"/>
        </w:rPr>
        <w:t xml:space="preserve"> sus desechos a rellenos sanitarios (basureros)</w:t>
      </w:r>
      <w:r>
        <w:rPr>
          <w:bCs/>
          <w:color w:val="000000" w:themeColor="text1"/>
          <w:lang w:eastAsia="es-MX"/>
        </w:rPr>
        <w:t>;</w:t>
      </w:r>
      <w:r w:rsidRPr="00B31638">
        <w:rPr>
          <w:bCs/>
          <w:color w:val="000000" w:themeColor="text1"/>
          <w:lang w:eastAsia="es-MX"/>
        </w:rPr>
        <w:t xml:space="preserve"> 29.4</w:t>
      </w:r>
      <w:r w:rsidR="00C15D54">
        <w:rPr>
          <w:bCs/>
          <w:color w:val="000000" w:themeColor="text1"/>
          <w:lang w:eastAsia="es-MX"/>
        </w:rPr>
        <w:t xml:space="preserve"> </w:t>
      </w:r>
      <w:r w:rsidRPr="00B31638">
        <w:rPr>
          <w:bCs/>
          <w:color w:val="000000" w:themeColor="text1"/>
          <w:lang w:eastAsia="es-MX"/>
        </w:rPr>
        <w:t>% los traslad</w:t>
      </w:r>
      <w:r>
        <w:rPr>
          <w:bCs/>
          <w:color w:val="000000" w:themeColor="text1"/>
          <w:lang w:eastAsia="es-MX"/>
        </w:rPr>
        <w:t xml:space="preserve">ó </w:t>
      </w:r>
      <w:r w:rsidRPr="00B31638">
        <w:rPr>
          <w:bCs/>
          <w:color w:val="000000" w:themeColor="text1"/>
          <w:lang w:eastAsia="es-MX"/>
        </w:rPr>
        <w:t>a empresas de servicio para el manejo y transporte de residuos, y 5.5</w:t>
      </w:r>
      <w:r w:rsidR="00C15D54">
        <w:rPr>
          <w:bCs/>
          <w:color w:val="000000" w:themeColor="text1"/>
          <w:lang w:eastAsia="es-MX"/>
        </w:rPr>
        <w:t xml:space="preserve"> </w:t>
      </w:r>
      <w:r w:rsidRPr="00B31638">
        <w:rPr>
          <w:bCs/>
          <w:color w:val="000000" w:themeColor="text1"/>
          <w:lang w:eastAsia="es-MX"/>
        </w:rPr>
        <w:t>% los recicl</w:t>
      </w:r>
      <w:r>
        <w:rPr>
          <w:bCs/>
          <w:color w:val="000000" w:themeColor="text1"/>
          <w:lang w:eastAsia="es-MX"/>
        </w:rPr>
        <w:t>ó</w:t>
      </w:r>
      <w:r w:rsidRPr="00B31638">
        <w:rPr>
          <w:bCs/>
          <w:color w:val="000000" w:themeColor="text1"/>
          <w:lang w:eastAsia="es-MX"/>
        </w:rPr>
        <w:t xml:space="preserve"> o reus</w:t>
      </w:r>
      <w:r>
        <w:rPr>
          <w:bCs/>
          <w:color w:val="000000" w:themeColor="text1"/>
          <w:lang w:eastAsia="es-MX"/>
        </w:rPr>
        <w:t>ó</w:t>
      </w:r>
      <w:r w:rsidRPr="00B31638">
        <w:rPr>
          <w:bCs/>
          <w:color w:val="000000" w:themeColor="text1"/>
          <w:lang w:eastAsia="es-MX"/>
        </w:rPr>
        <w:t xml:space="preserve"> en el proceso de producción.</w:t>
      </w:r>
      <w:r w:rsidRPr="00B31638">
        <w:rPr>
          <w:color w:val="000000" w:themeColor="text1"/>
        </w:rPr>
        <w:t xml:space="preserve"> </w:t>
      </w:r>
    </w:p>
    <w:p w14:paraId="5B0B42D8" w14:textId="77777777" w:rsidR="00962DB3" w:rsidRDefault="00962DB3" w:rsidP="00962DB3">
      <w:pPr>
        <w:ind w:left="-567" w:right="-518"/>
        <w:textAlignment w:val="baseline"/>
        <w:rPr>
          <w:bCs/>
          <w:color w:val="000000" w:themeColor="text1"/>
          <w:lang w:eastAsia="es-MX"/>
        </w:rPr>
      </w:pPr>
    </w:p>
    <w:p w14:paraId="5A1041D1" w14:textId="77777777" w:rsidR="00962DB3" w:rsidRPr="00EC3CD1" w:rsidRDefault="00962DB3" w:rsidP="00962DB3">
      <w:pPr>
        <w:ind w:left="-567" w:right="-518"/>
        <w:textAlignment w:val="baseline"/>
        <w:rPr>
          <w:color w:val="000000" w:themeColor="text1"/>
        </w:rPr>
      </w:pPr>
      <w:r>
        <w:rPr>
          <w:bCs/>
          <w:color w:val="000000" w:themeColor="text1"/>
          <w:lang w:eastAsia="es-MX"/>
        </w:rPr>
        <w:t>A continuación, se presentan las cifras correspondientes a las unidades económicas grandes, desagregadas por actividades económicas, que utilizaron materiales reciclados y que en la práctica separan los residuos.</w:t>
      </w:r>
    </w:p>
    <w:p w14:paraId="3CB9D79A" w14:textId="77777777" w:rsidR="00962DB3" w:rsidRDefault="00962DB3" w:rsidP="00962DB3">
      <w:pPr>
        <w:ind w:left="-567" w:right="-518"/>
        <w:textAlignment w:val="baseline"/>
        <w:rPr>
          <w:bCs/>
          <w:color w:val="000000" w:themeColor="text1"/>
          <w:lang w:eastAsia="es-MX"/>
        </w:rPr>
      </w:pPr>
    </w:p>
    <w:p w14:paraId="4090FF45" w14:textId="5A5211FB" w:rsidR="00962DB3" w:rsidRPr="00CA3C8E" w:rsidRDefault="00962DB3" w:rsidP="00962DB3">
      <w:pPr>
        <w:keepNext/>
        <w:ind w:left="-567" w:right="-518"/>
        <w:rPr>
          <w:bCs/>
          <w:lang w:eastAsia="es-MX"/>
        </w:rPr>
      </w:pPr>
      <w:r w:rsidRPr="00CA3C8E">
        <w:rPr>
          <w:bCs/>
          <w:lang w:eastAsia="es-MX"/>
        </w:rPr>
        <w:t>De las unidades económicas manufactureras grandes</w:t>
      </w:r>
      <w:r>
        <w:rPr>
          <w:bCs/>
          <w:lang w:eastAsia="es-MX"/>
        </w:rPr>
        <w:t xml:space="preserve"> </w:t>
      </w:r>
      <w:r w:rsidRPr="00CA3C8E">
        <w:rPr>
          <w:bCs/>
          <w:lang w:eastAsia="es-MX"/>
        </w:rPr>
        <w:t>19.6</w:t>
      </w:r>
      <w:r w:rsidR="00C15D54">
        <w:rPr>
          <w:bCs/>
          <w:lang w:eastAsia="es-MX"/>
        </w:rPr>
        <w:t xml:space="preserve"> </w:t>
      </w:r>
      <w:r w:rsidRPr="00CA3C8E">
        <w:rPr>
          <w:bCs/>
          <w:lang w:eastAsia="es-MX"/>
        </w:rPr>
        <w:t>% declararon utilizar material reciclado como materias primas, 25.4</w:t>
      </w:r>
      <w:r w:rsidR="00C15D54">
        <w:rPr>
          <w:bCs/>
          <w:lang w:eastAsia="es-MX"/>
        </w:rPr>
        <w:t xml:space="preserve"> </w:t>
      </w:r>
      <w:r w:rsidRPr="00CA3C8E">
        <w:rPr>
          <w:bCs/>
          <w:lang w:eastAsia="es-MX"/>
        </w:rPr>
        <w:t>% como materiales de empaque y embalaje y 1.1</w:t>
      </w:r>
      <w:r w:rsidR="00C15D54">
        <w:rPr>
          <w:bCs/>
          <w:lang w:eastAsia="es-MX"/>
        </w:rPr>
        <w:t xml:space="preserve"> </w:t>
      </w:r>
      <w:r w:rsidRPr="00CA3C8E">
        <w:rPr>
          <w:bCs/>
          <w:lang w:eastAsia="es-MX"/>
        </w:rPr>
        <w:t>% en otros materiales reciclados utilizados en el proceso productivo.</w:t>
      </w:r>
    </w:p>
    <w:p w14:paraId="159DC91E" w14:textId="77777777" w:rsidR="00962DB3" w:rsidRDefault="00962DB3"/>
    <w:p w14:paraId="61394F93" w14:textId="77777777" w:rsidR="00962DB3" w:rsidRDefault="00962DB3"/>
    <w:p w14:paraId="6EAEA5C6" w14:textId="77777777" w:rsidR="00962DB3" w:rsidRDefault="00962DB3"/>
    <w:p w14:paraId="3D1A81EF" w14:textId="77777777" w:rsidR="00962DB3" w:rsidRDefault="00962DB3"/>
    <w:p w14:paraId="3CF781F8" w14:textId="77777777" w:rsidR="00962DB3" w:rsidRDefault="00962DB3"/>
    <w:p w14:paraId="7E41E041" w14:textId="77777777" w:rsidR="00962DB3" w:rsidRDefault="00962DB3"/>
    <w:p w14:paraId="404523A9" w14:textId="77777777" w:rsidR="00962DB3" w:rsidRDefault="00962DB3"/>
    <w:p w14:paraId="3775E296" w14:textId="77777777" w:rsidR="00962DB3" w:rsidRDefault="00962DB3"/>
    <w:p w14:paraId="40826650" w14:textId="77777777" w:rsidR="00962DB3" w:rsidRPr="007D05BD" w:rsidRDefault="00962DB3" w:rsidP="00962DB3">
      <w:pPr>
        <w:ind w:left="-284" w:right="-233"/>
        <w:jc w:val="center"/>
        <w:textAlignment w:val="baseline"/>
        <w:rPr>
          <w:color w:val="000000" w:themeColor="text1"/>
          <w:sz w:val="20"/>
          <w:szCs w:val="20"/>
        </w:rPr>
      </w:pPr>
      <w:r w:rsidRPr="007D05BD">
        <w:rPr>
          <w:color w:val="000000" w:themeColor="text1"/>
          <w:sz w:val="20"/>
          <w:szCs w:val="20"/>
        </w:rPr>
        <w:t>Gráfica 2</w:t>
      </w:r>
    </w:p>
    <w:p w14:paraId="659BF263" w14:textId="77777777" w:rsidR="00962DB3" w:rsidRPr="00D86AB1" w:rsidRDefault="00962DB3" w:rsidP="00962DB3">
      <w:pPr>
        <w:keepNext/>
        <w:ind w:right="51"/>
        <w:jc w:val="center"/>
        <w:rPr>
          <w:b/>
          <w:bCs/>
          <w:smallCaps/>
          <w:sz w:val="22"/>
          <w:szCs w:val="22"/>
          <w:lang w:eastAsia="es-MX"/>
        </w:rPr>
      </w:pPr>
      <w:r w:rsidRPr="00D86AB1">
        <w:rPr>
          <w:b/>
          <w:bCs/>
          <w:smallCaps/>
          <w:sz w:val="22"/>
          <w:szCs w:val="22"/>
          <w:lang w:eastAsia="es-MX"/>
        </w:rPr>
        <w:t>Unidades económicas grandes que utilizaron materiales reciclados</w:t>
      </w:r>
    </w:p>
    <w:p w14:paraId="2AAEAC50" w14:textId="77777777" w:rsidR="00962DB3" w:rsidRPr="00B31638" w:rsidRDefault="00962DB3" w:rsidP="00962DB3">
      <w:pPr>
        <w:keepNext/>
        <w:ind w:right="51"/>
        <w:jc w:val="center"/>
        <w:rPr>
          <w:bCs/>
          <w:sz w:val="18"/>
          <w:szCs w:val="18"/>
          <w:lang w:eastAsia="es-MX"/>
        </w:rPr>
      </w:pPr>
      <w:r w:rsidRPr="00D86AB1">
        <w:rPr>
          <w:bCs/>
          <w:sz w:val="18"/>
          <w:szCs w:val="18"/>
          <w:lang w:eastAsia="es-MX"/>
        </w:rPr>
        <w:t>(Porcentajes)</w:t>
      </w:r>
    </w:p>
    <w:p w14:paraId="0A154591" w14:textId="77777777" w:rsidR="00962DB3" w:rsidRDefault="00962DB3" w:rsidP="00EC6153">
      <w:pPr>
        <w:ind w:left="-567" w:right="-376"/>
        <w:jc w:val="center"/>
        <w:rPr>
          <w:bCs/>
          <w:sz w:val="22"/>
          <w:szCs w:val="22"/>
          <w:lang w:eastAsia="es-MX"/>
        </w:rPr>
      </w:pPr>
      <w:r>
        <w:rPr>
          <w:noProof/>
        </w:rPr>
        <w:drawing>
          <wp:inline distT="0" distB="0" distL="0" distR="0" wp14:anchorId="10BDB455" wp14:editId="58BBE8CF">
            <wp:extent cx="5972810" cy="2454179"/>
            <wp:effectExtent l="0" t="0" r="8890" b="1016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87E34">
        <w:rPr>
          <w:sz w:val="16"/>
          <w:szCs w:val="16"/>
        </w:rPr>
        <w:t>Fuente:</w:t>
      </w:r>
      <w:r>
        <w:rPr>
          <w:sz w:val="16"/>
          <w:szCs w:val="16"/>
        </w:rPr>
        <w:t xml:space="preserve"> </w:t>
      </w:r>
      <w:r w:rsidRPr="00D86AB1">
        <w:rPr>
          <w:bCs/>
          <w:sz w:val="16"/>
          <w:szCs w:val="16"/>
          <w:lang w:eastAsia="es-MX"/>
        </w:rPr>
        <w:t>Censo</w:t>
      </w:r>
      <w:r>
        <w:rPr>
          <w:bCs/>
          <w:sz w:val="16"/>
          <w:szCs w:val="16"/>
          <w:lang w:eastAsia="es-MX"/>
        </w:rPr>
        <w:t>s Económicos 2019. INEGI.</w:t>
      </w:r>
    </w:p>
    <w:p w14:paraId="6D1A909B" w14:textId="77777777" w:rsidR="00962DB3" w:rsidRDefault="00962DB3" w:rsidP="00962DB3">
      <w:pPr>
        <w:keepNext/>
        <w:ind w:right="51"/>
        <w:rPr>
          <w:bCs/>
          <w:sz w:val="22"/>
          <w:szCs w:val="22"/>
          <w:lang w:eastAsia="es-MX"/>
        </w:rPr>
      </w:pPr>
    </w:p>
    <w:p w14:paraId="2F2A8EB5" w14:textId="77777777" w:rsidR="00EC6153" w:rsidRDefault="00EC6153" w:rsidP="00962DB3">
      <w:pPr>
        <w:ind w:left="-284" w:right="-233"/>
        <w:rPr>
          <w:bCs/>
          <w:lang w:eastAsia="es-MX"/>
        </w:rPr>
      </w:pPr>
    </w:p>
    <w:p w14:paraId="0EB18E19" w14:textId="2DB328B2" w:rsidR="00962DB3" w:rsidRPr="00EC3CD1" w:rsidRDefault="00962DB3" w:rsidP="00EC6153">
      <w:pPr>
        <w:ind w:left="-567" w:right="-518"/>
        <w:rPr>
          <w:bCs/>
          <w:lang w:eastAsia="es-MX"/>
        </w:rPr>
      </w:pPr>
      <w:r w:rsidRPr="00EC3CD1">
        <w:rPr>
          <w:bCs/>
          <w:lang w:eastAsia="es-MX"/>
        </w:rPr>
        <w:t>De las unidades económicas grandes del sector comercio que declaró separar los residuos y desechos, 94</w:t>
      </w:r>
      <w:r w:rsidR="00C15D54">
        <w:rPr>
          <w:bCs/>
          <w:lang w:eastAsia="es-MX"/>
        </w:rPr>
        <w:t xml:space="preserve"> </w:t>
      </w:r>
      <w:r w:rsidRPr="00EC3CD1">
        <w:rPr>
          <w:bCs/>
          <w:lang w:eastAsia="es-MX"/>
        </w:rPr>
        <w:t>% separó los residuos y desechos de papel y cartón, 80.1</w:t>
      </w:r>
      <w:r w:rsidR="00C15D54">
        <w:rPr>
          <w:bCs/>
          <w:lang w:eastAsia="es-MX"/>
        </w:rPr>
        <w:t xml:space="preserve"> </w:t>
      </w:r>
      <w:r w:rsidRPr="00EC3CD1">
        <w:rPr>
          <w:bCs/>
          <w:lang w:eastAsia="es-MX"/>
        </w:rPr>
        <w:t>% los residuos y desechos de plástico, 43</w:t>
      </w:r>
      <w:r w:rsidR="00C15D54">
        <w:rPr>
          <w:bCs/>
          <w:lang w:eastAsia="es-MX"/>
        </w:rPr>
        <w:t xml:space="preserve"> </w:t>
      </w:r>
      <w:r w:rsidRPr="00EC3CD1">
        <w:rPr>
          <w:bCs/>
          <w:lang w:eastAsia="es-MX"/>
        </w:rPr>
        <w:t>% los residuos y desechos metálicos y 40</w:t>
      </w:r>
      <w:r w:rsidR="00C15D54">
        <w:rPr>
          <w:bCs/>
          <w:lang w:eastAsia="es-MX"/>
        </w:rPr>
        <w:t xml:space="preserve"> </w:t>
      </w:r>
      <w:r w:rsidRPr="00EC3CD1">
        <w:rPr>
          <w:bCs/>
          <w:lang w:eastAsia="es-MX"/>
        </w:rPr>
        <w:t xml:space="preserve">% declaró separar los residuos y desechos de vidrio. </w:t>
      </w:r>
    </w:p>
    <w:p w14:paraId="4CA50E7A" w14:textId="77777777" w:rsidR="00962DB3" w:rsidRDefault="00962DB3" w:rsidP="00962DB3">
      <w:pPr>
        <w:keepNext/>
        <w:ind w:right="51"/>
        <w:rPr>
          <w:bCs/>
          <w:sz w:val="22"/>
          <w:szCs w:val="22"/>
          <w:lang w:eastAsia="es-MX"/>
        </w:rPr>
      </w:pPr>
    </w:p>
    <w:p w14:paraId="73293D67" w14:textId="50705295" w:rsidR="00962DB3" w:rsidRPr="006C0A3F" w:rsidRDefault="006C0A3F" w:rsidP="006C0A3F">
      <w:pPr>
        <w:ind w:left="-284" w:right="-233"/>
        <w:jc w:val="center"/>
        <w:textAlignment w:val="baseline"/>
        <w:rPr>
          <w:color w:val="000000" w:themeColor="text1"/>
          <w:sz w:val="20"/>
          <w:szCs w:val="20"/>
        </w:rPr>
      </w:pPr>
      <w:r w:rsidRPr="007D05BD">
        <w:rPr>
          <w:color w:val="000000" w:themeColor="text1"/>
          <w:sz w:val="20"/>
          <w:szCs w:val="20"/>
        </w:rPr>
        <w:t xml:space="preserve">Gráfica </w:t>
      </w:r>
      <w:r>
        <w:rPr>
          <w:color w:val="000000" w:themeColor="text1"/>
          <w:sz w:val="20"/>
          <w:szCs w:val="20"/>
        </w:rPr>
        <w:t>3</w:t>
      </w:r>
    </w:p>
    <w:p w14:paraId="10258584" w14:textId="77777777" w:rsidR="00962DB3" w:rsidRDefault="00962DB3" w:rsidP="00EC6153">
      <w:pPr>
        <w:keepNext/>
        <w:ind w:left="-567" w:right="-518"/>
        <w:jc w:val="center"/>
        <w:rPr>
          <w:b/>
          <w:bCs/>
          <w:smallCaps/>
          <w:sz w:val="22"/>
          <w:szCs w:val="22"/>
          <w:lang w:eastAsia="es-MX"/>
        </w:rPr>
      </w:pPr>
      <w:r>
        <w:rPr>
          <w:b/>
          <w:bCs/>
          <w:smallCaps/>
          <w:sz w:val="22"/>
          <w:szCs w:val="22"/>
          <w:lang w:eastAsia="es-MX"/>
        </w:rPr>
        <w:t>Porcentaje de u</w:t>
      </w:r>
      <w:r w:rsidRPr="00B31638">
        <w:rPr>
          <w:b/>
          <w:bCs/>
          <w:smallCaps/>
          <w:sz w:val="22"/>
          <w:szCs w:val="22"/>
          <w:lang w:eastAsia="es-MX"/>
        </w:rPr>
        <w:t>nidades económicas grandes que separaron residuos</w:t>
      </w:r>
      <w:r>
        <w:rPr>
          <w:b/>
          <w:bCs/>
          <w:smallCaps/>
          <w:sz w:val="22"/>
          <w:szCs w:val="22"/>
          <w:lang w:eastAsia="es-MX"/>
        </w:rPr>
        <w:t xml:space="preserve">, </w:t>
      </w:r>
    </w:p>
    <w:p w14:paraId="0A7FDE6A" w14:textId="77777777" w:rsidR="00962DB3" w:rsidRPr="00CA3C8E" w:rsidRDefault="00962DB3" w:rsidP="00EC6153">
      <w:pPr>
        <w:keepNext/>
        <w:ind w:left="-567" w:right="-518"/>
        <w:jc w:val="center"/>
        <w:rPr>
          <w:b/>
          <w:bCs/>
          <w:smallCaps/>
          <w:sz w:val="22"/>
          <w:szCs w:val="22"/>
          <w:lang w:eastAsia="es-MX"/>
        </w:rPr>
      </w:pPr>
      <w:r>
        <w:rPr>
          <w:b/>
          <w:bCs/>
          <w:smallCaps/>
          <w:sz w:val="22"/>
          <w:szCs w:val="22"/>
          <w:lang w:eastAsia="es-MX"/>
        </w:rPr>
        <w:t>por sector de actividad</w:t>
      </w:r>
    </w:p>
    <w:p w14:paraId="66844A98" w14:textId="77777777" w:rsidR="00962DB3" w:rsidRDefault="00962DB3" w:rsidP="00EC6153">
      <w:pPr>
        <w:ind w:left="-567" w:right="-518"/>
        <w:jc w:val="center"/>
        <w:rPr>
          <w:bCs/>
          <w:sz w:val="22"/>
          <w:szCs w:val="22"/>
          <w:lang w:eastAsia="es-MX"/>
        </w:rPr>
      </w:pPr>
      <w:r w:rsidRPr="003F2AD1">
        <w:rPr>
          <w:noProof/>
        </w:rPr>
        <w:drawing>
          <wp:inline distT="0" distB="0" distL="0" distR="0" wp14:anchorId="3BDF356D" wp14:editId="7D116378">
            <wp:extent cx="5972810" cy="2441575"/>
            <wp:effectExtent l="0" t="0" r="8890" b="0"/>
            <wp:docPr id="7" name="Imagen 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de barras&#10;&#10;Descripción generada automáticamente"/>
                    <pic:cNvPicPr/>
                  </pic:nvPicPr>
                  <pic:blipFill>
                    <a:blip r:embed="rId10"/>
                    <a:stretch>
                      <a:fillRect/>
                    </a:stretch>
                  </pic:blipFill>
                  <pic:spPr>
                    <a:xfrm>
                      <a:off x="0" y="0"/>
                      <a:ext cx="5972810" cy="2441575"/>
                    </a:xfrm>
                    <a:prstGeom prst="rect">
                      <a:avLst/>
                    </a:prstGeom>
                  </pic:spPr>
                </pic:pic>
              </a:graphicData>
            </a:graphic>
          </wp:inline>
        </w:drawing>
      </w:r>
    </w:p>
    <w:p w14:paraId="7C2E8AFF" w14:textId="77777777" w:rsidR="00962DB3" w:rsidRDefault="00962DB3" w:rsidP="00962DB3">
      <w:pPr>
        <w:ind w:right="50"/>
        <w:rPr>
          <w:bCs/>
          <w:sz w:val="22"/>
          <w:szCs w:val="22"/>
          <w:lang w:eastAsia="es-MX"/>
        </w:rPr>
      </w:pPr>
      <w:r w:rsidRPr="00F87E34">
        <w:rPr>
          <w:sz w:val="16"/>
          <w:szCs w:val="16"/>
        </w:rPr>
        <w:t>Fuente:</w:t>
      </w:r>
      <w:r>
        <w:rPr>
          <w:sz w:val="16"/>
          <w:szCs w:val="16"/>
        </w:rPr>
        <w:t xml:space="preserve"> </w:t>
      </w:r>
      <w:r w:rsidRPr="00D86AB1">
        <w:rPr>
          <w:bCs/>
          <w:sz w:val="16"/>
          <w:szCs w:val="16"/>
          <w:lang w:eastAsia="es-MX"/>
        </w:rPr>
        <w:t>Censo</w:t>
      </w:r>
      <w:r>
        <w:rPr>
          <w:bCs/>
          <w:sz w:val="16"/>
          <w:szCs w:val="16"/>
          <w:lang w:eastAsia="es-MX"/>
        </w:rPr>
        <w:t>s Económicos 2019. INEGI.</w:t>
      </w:r>
    </w:p>
    <w:p w14:paraId="20975A6A" w14:textId="77777777" w:rsidR="00962DB3" w:rsidRDefault="00962DB3" w:rsidP="00962DB3">
      <w:pPr>
        <w:ind w:right="50"/>
        <w:rPr>
          <w:bCs/>
          <w:sz w:val="22"/>
          <w:szCs w:val="22"/>
          <w:lang w:eastAsia="es-MX"/>
        </w:rPr>
      </w:pPr>
    </w:p>
    <w:p w14:paraId="69745F0F" w14:textId="77777777" w:rsidR="00962DB3" w:rsidRDefault="00962DB3"/>
    <w:p w14:paraId="306FB863" w14:textId="77777777" w:rsidR="00962DB3" w:rsidRDefault="00962DB3"/>
    <w:p w14:paraId="4901840F" w14:textId="77777777" w:rsidR="00962DB3" w:rsidRDefault="00962DB3"/>
    <w:p w14:paraId="5A3401F9" w14:textId="77777777" w:rsidR="00962DB3" w:rsidRPr="005F257C" w:rsidRDefault="00962DB3" w:rsidP="00EC6153">
      <w:pPr>
        <w:pStyle w:val="NormalWeb"/>
        <w:spacing w:before="0" w:beforeAutospacing="0" w:after="0" w:afterAutospacing="0"/>
        <w:ind w:left="-567" w:right="-518"/>
        <w:jc w:val="both"/>
        <w:rPr>
          <w:bCs/>
          <w:lang w:eastAsia="es-MX"/>
        </w:rPr>
      </w:pPr>
      <w:r w:rsidRPr="002E0004">
        <w:rPr>
          <w:rFonts w:ascii="Arial" w:hAnsi="Arial" w:cs="Arial"/>
          <w:bCs/>
          <w:lang w:eastAsia="es-MX"/>
        </w:rPr>
        <w:t>E</w:t>
      </w:r>
      <w:r>
        <w:rPr>
          <w:rFonts w:ascii="Arial" w:hAnsi="Arial" w:cs="Arial"/>
          <w:bCs/>
          <w:lang w:eastAsia="es-MX"/>
        </w:rPr>
        <w:t>n 2018, en relación a</w:t>
      </w:r>
      <w:r w:rsidRPr="002E0004">
        <w:rPr>
          <w:rFonts w:ascii="Arial" w:hAnsi="Arial" w:cs="Arial"/>
          <w:bCs/>
          <w:lang w:eastAsia="es-MX"/>
        </w:rPr>
        <w:t xml:space="preserve"> la disposición final de los residuos sólidos</w:t>
      </w:r>
      <w:r>
        <w:rPr>
          <w:rFonts w:ascii="Arial" w:hAnsi="Arial" w:cs="Arial"/>
          <w:bCs/>
          <w:lang w:eastAsia="es-MX"/>
        </w:rPr>
        <w:t>,</w:t>
      </w:r>
      <w:r w:rsidRPr="002E0004">
        <w:rPr>
          <w:rFonts w:ascii="Arial" w:hAnsi="Arial" w:cs="Arial"/>
          <w:bCs/>
          <w:lang w:eastAsia="es-MX"/>
        </w:rPr>
        <w:t xml:space="preserve"> 322 centros de recolección contaban con geomembranas</w:t>
      </w:r>
      <w:r>
        <w:rPr>
          <w:rStyle w:val="Refdenotaalpie"/>
          <w:rFonts w:ascii="Arial" w:hAnsi="Arial" w:cs="Arial"/>
          <w:bCs/>
          <w:lang w:eastAsia="es-MX"/>
        </w:rPr>
        <w:footnoteReference w:id="1"/>
      </w:r>
      <w:r w:rsidRPr="002E0004">
        <w:rPr>
          <w:rFonts w:ascii="Arial" w:hAnsi="Arial" w:cs="Arial"/>
          <w:bCs/>
          <w:lang w:eastAsia="es-MX"/>
        </w:rPr>
        <w:t xml:space="preserve"> y/o algún otro control o manejo. Los restantes 1,893 centros no tenían infraestructura para hacerlo. </w:t>
      </w:r>
    </w:p>
    <w:p w14:paraId="183C9516" w14:textId="77777777" w:rsidR="00962DB3" w:rsidRDefault="00962DB3" w:rsidP="00EC6153">
      <w:pPr>
        <w:ind w:left="-567" w:right="-518"/>
        <w:rPr>
          <w:lang w:eastAsia="es-MX"/>
        </w:rPr>
      </w:pPr>
    </w:p>
    <w:p w14:paraId="6730287C" w14:textId="77777777" w:rsidR="00962DB3" w:rsidRDefault="00962DB3" w:rsidP="00EC6153">
      <w:pPr>
        <w:ind w:left="-567" w:right="-518"/>
        <w:rPr>
          <w:bCs/>
          <w:lang w:eastAsia="es-MX"/>
        </w:rPr>
      </w:pPr>
    </w:p>
    <w:p w14:paraId="3D8DFF6E" w14:textId="77777777" w:rsidR="00962DB3" w:rsidRPr="00B31638" w:rsidRDefault="00962DB3" w:rsidP="00EC6153">
      <w:pPr>
        <w:ind w:left="-567" w:right="-518"/>
        <w:rPr>
          <w:rFonts w:ascii="Arial Negrita" w:hAnsi="Arial Negrita"/>
          <w:b/>
          <w:smallCaps/>
          <w:lang w:eastAsia="es-MX"/>
        </w:rPr>
      </w:pPr>
      <w:r w:rsidRPr="00B31638">
        <w:rPr>
          <w:rFonts w:ascii="Arial Negrita" w:hAnsi="Arial Negrita"/>
          <w:b/>
          <w:smallCaps/>
          <w:lang w:eastAsia="es-MX"/>
        </w:rPr>
        <w:t>Residuos Sólidos Urbanos</w:t>
      </w:r>
      <w:r>
        <w:rPr>
          <w:rStyle w:val="Refdenotaalpie"/>
          <w:rFonts w:ascii="Arial Negrita" w:hAnsi="Arial Negrita"/>
          <w:b/>
          <w:smallCaps/>
          <w:lang w:eastAsia="es-MX"/>
        </w:rPr>
        <w:footnoteReference w:id="2"/>
      </w:r>
    </w:p>
    <w:p w14:paraId="0B8CE566" w14:textId="77777777" w:rsidR="00962DB3" w:rsidRPr="00B31638" w:rsidRDefault="00962DB3" w:rsidP="00EC6153">
      <w:pPr>
        <w:ind w:left="-567" w:right="-518"/>
        <w:rPr>
          <w:b/>
          <w:lang w:eastAsia="es-MX"/>
        </w:rPr>
      </w:pPr>
    </w:p>
    <w:p w14:paraId="374923A4" w14:textId="77777777" w:rsidR="00962DB3" w:rsidRPr="005F257C" w:rsidRDefault="00962DB3" w:rsidP="00EC6153">
      <w:pPr>
        <w:pStyle w:val="NormalWeb"/>
        <w:spacing w:before="0" w:beforeAutospacing="0" w:after="0" w:afterAutospacing="0"/>
        <w:ind w:left="-567" w:right="-518"/>
        <w:jc w:val="both"/>
        <w:rPr>
          <w:bCs/>
          <w:lang w:eastAsia="es-MX"/>
        </w:rPr>
      </w:pPr>
      <w:r w:rsidRPr="002E0004">
        <w:rPr>
          <w:rFonts w:ascii="Arial" w:hAnsi="Arial" w:cs="Arial"/>
          <w:bCs/>
          <w:lang w:eastAsia="es-MX"/>
        </w:rPr>
        <w:t>A partir del Censo Nacional de Gobiernos Municipales y Demarcaciones Territoriales de la Ciudad de México el INEGI cuenta con estadísticas bianuales sobre residuos sólidos. En promedio, cada día se recolectaron más de 106,000 toneladas de residuos sólidos en los municipios y demarcaciones territoriales donde se presta este servicio.</w:t>
      </w:r>
    </w:p>
    <w:p w14:paraId="0BE91D27" w14:textId="77777777" w:rsidR="00962DB3" w:rsidRDefault="00962DB3" w:rsidP="00962DB3">
      <w:pPr>
        <w:pStyle w:val="p01"/>
        <w:keepNext/>
        <w:widowControl w:val="0"/>
        <w:spacing w:before="0"/>
        <w:jc w:val="center"/>
        <w:outlineLvl w:val="0"/>
        <w:rPr>
          <w:rFonts w:ascii="Arial" w:hAnsi="Arial" w:cs="Arial"/>
          <w:color w:val="auto"/>
          <w:sz w:val="20"/>
        </w:rPr>
      </w:pPr>
    </w:p>
    <w:p w14:paraId="09101B17" w14:textId="77777777" w:rsidR="00962DB3" w:rsidRPr="007D05BD" w:rsidRDefault="00962DB3" w:rsidP="00EC6153">
      <w:pPr>
        <w:pStyle w:val="p0"/>
        <w:ind w:left="-567" w:right="-660"/>
        <w:jc w:val="center"/>
        <w:rPr>
          <w:rFonts w:ascii="Arial" w:hAnsi="Arial"/>
          <w:color w:val="000000" w:themeColor="text1"/>
          <w:sz w:val="20"/>
          <w:szCs w:val="20"/>
        </w:rPr>
      </w:pPr>
      <w:r w:rsidRPr="007D05BD">
        <w:rPr>
          <w:rFonts w:ascii="Arial" w:hAnsi="Arial"/>
          <w:color w:val="000000" w:themeColor="text1"/>
          <w:sz w:val="20"/>
          <w:szCs w:val="20"/>
        </w:rPr>
        <w:t>Tabla 1</w:t>
      </w:r>
    </w:p>
    <w:p w14:paraId="49EC047E" w14:textId="77777777" w:rsidR="00962DB3" w:rsidRDefault="00962DB3" w:rsidP="00EC6153">
      <w:pPr>
        <w:pStyle w:val="p01"/>
        <w:keepNext/>
        <w:widowControl w:val="0"/>
        <w:spacing w:before="0" w:after="120"/>
        <w:ind w:left="-567" w:right="-660"/>
        <w:jc w:val="center"/>
        <w:outlineLvl w:val="0"/>
        <w:rPr>
          <w:rFonts w:ascii="Arial" w:hAnsi="Arial" w:cs="Arial"/>
          <w:szCs w:val="22"/>
        </w:rPr>
      </w:pPr>
      <w:r>
        <w:rPr>
          <w:rFonts w:ascii="Arial" w:hAnsi="Arial" w:cs="Arial"/>
          <w:b/>
          <w:smallCaps/>
          <w:color w:val="auto"/>
          <w:sz w:val="22"/>
        </w:rPr>
        <w:t>Recolección de residuos urbanos a nivel nacional</w:t>
      </w:r>
    </w:p>
    <w:tbl>
      <w:tblPr>
        <w:tblStyle w:val="Tablaconcuadrcula"/>
        <w:tblW w:w="2995"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035"/>
        <w:gridCol w:w="2247"/>
      </w:tblGrid>
      <w:tr w:rsidR="00962DB3" w:rsidRPr="00F87E34" w14:paraId="17EBE64B" w14:textId="77777777" w:rsidTr="0064643E">
        <w:trPr>
          <w:trHeight w:val="458"/>
          <w:jc w:val="center"/>
        </w:trPr>
        <w:tc>
          <w:tcPr>
            <w:tcW w:w="3253" w:type="dxa"/>
            <w:vMerge w:val="restart"/>
            <w:tcBorders>
              <w:top w:val="single" w:sz="8" w:space="0" w:color="404040"/>
              <w:left w:val="single" w:sz="8" w:space="0" w:color="404040"/>
              <w:bottom w:val="single" w:sz="4" w:space="0" w:color="auto"/>
              <w:right w:val="single" w:sz="6" w:space="0" w:color="404040"/>
            </w:tcBorders>
            <w:shd w:val="clear" w:color="auto" w:fill="D7E4BD"/>
            <w:vAlign w:val="center"/>
            <w:hideMark/>
          </w:tcPr>
          <w:p w14:paraId="7E752605"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Año</w:t>
            </w:r>
          </w:p>
        </w:tc>
        <w:tc>
          <w:tcPr>
            <w:tcW w:w="2370" w:type="dxa"/>
            <w:vMerge w:val="restart"/>
            <w:tcBorders>
              <w:top w:val="single" w:sz="8" w:space="0" w:color="404040"/>
              <w:left w:val="single" w:sz="6" w:space="0" w:color="404040"/>
              <w:bottom w:val="single" w:sz="4" w:space="0" w:color="auto"/>
              <w:right w:val="single" w:sz="8" w:space="0" w:color="404040"/>
            </w:tcBorders>
            <w:shd w:val="clear" w:color="auto" w:fill="D7E4BD"/>
            <w:vAlign w:val="center"/>
          </w:tcPr>
          <w:p w14:paraId="6F407C42" w14:textId="77777777" w:rsidR="00962DB3" w:rsidRPr="00F87E34" w:rsidRDefault="00962DB3" w:rsidP="00EC6153">
            <w:pPr>
              <w:pStyle w:val="p0"/>
              <w:spacing w:before="40" w:after="40"/>
              <w:ind w:left="-567" w:right="-660"/>
              <w:jc w:val="center"/>
              <w:rPr>
                <w:rFonts w:ascii="Arial" w:hAnsi="Arial"/>
                <w:color w:val="auto"/>
                <w:sz w:val="18"/>
                <w:szCs w:val="18"/>
              </w:rPr>
            </w:pPr>
            <w:r>
              <w:rPr>
                <w:rFonts w:ascii="Arial" w:hAnsi="Arial"/>
                <w:color w:val="auto"/>
                <w:sz w:val="18"/>
                <w:szCs w:val="18"/>
              </w:rPr>
              <w:t>Kilogramos por día</w:t>
            </w:r>
          </w:p>
        </w:tc>
      </w:tr>
      <w:tr w:rsidR="00962DB3" w:rsidRPr="00F87E34" w14:paraId="7A43EB9F" w14:textId="77777777" w:rsidTr="0064643E">
        <w:trPr>
          <w:trHeight w:val="404"/>
          <w:jc w:val="center"/>
        </w:trPr>
        <w:tc>
          <w:tcPr>
            <w:tcW w:w="3253" w:type="dxa"/>
            <w:vMerge/>
            <w:tcBorders>
              <w:top w:val="single" w:sz="6" w:space="0" w:color="404040"/>
              <w:left w:val="single" w:sz="8" w:space="0" w:color="404040"/>
              <w:bottom w:val="single" w:sz="4" w:space="0" w:color="auto"/>
              <w:right w:val="single" w:sz="6" w:space="0" w:color="404040"/>
            </w:tcBorders>
            <w:shd w:val="clear" w:color="auto" w:fill="D7E4BD"/>
            <w:vAlign w:val="center"/>
          </w:tcPr>
          <w:p w14:paraId="4FEE7787"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20"/>
              </w:rPr>
            </w:pPr>
          </w:p>
        </w:tc>
        <w:tc>
          <w:tcPr>
            <w:tcW w:w="2370" w:type="dxa"/>
            <w:vMerge/>
            <w:tcBorders>
              <w:top w:val="single" w:sz="6" w:space="0" w:color="404040"/>
              <w:left w:val="single" w:sz="6" w:space="0" w:color="404040"/>
              <w:bottom w:val="single" w:sz="4" w:space="0" w:color="auto"/>
              <w:right w:val="single" w:sz="8" w:space="0" w:color="404040"/>
            </w:tcBorders>
            <w:shd w:val="clear" w:color="auto" w:fill="D7E4BD"/>
            <w:vAlign w:val="center"/>
          </w:tcPr>
          <w:p w14:paraId="0A6C5D4C"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6"/>
                <w:szCs w:val="16"/>
              </w:rPr>
            </w:pPr>
          </w:p>
        </w:tc>
      </w:tr>
      <w:tr w:rsidR="00962DB3" w:rsidRPr="00F87E34" w14:paraId="769C0B41" w14:textId="77777777" w:rsidTr="0064643E">
        <w:trPr>
          <w:trHeight w:val="372"/>
          <w:jc w:val="center"/>
        </w:trPr>
        <w:tc>
          <w:tcPr>
            <w:tcW w:w="3253" w:type="dxa"/>
            <w:tcBorders>
              <w:top w:val="single" w:sz="4" w:space="0" w:color="auto"/>
              <w:left w:val="single" w:sz="4" w:space="0" w:color="auto"/>
              <w:bottom w:val="nil"/>
              <w:right w:val="single" w:sz="4" w:space="0" w:color="auto"/>
            </w:tcBorders>
            <w:shd w:val="clear" w:color="auto" w:fill="auto"/>
            <w:vAlign w:val="center"/>
            <w:hideMark/>
          </w:tcPr>
          <w:p w14:paraId="1AB329C0"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2010</w:t>
            </w:r>
          </w:p>
        </w:tc>
        <w:tc>
          <w:tcPr>
            <w:tcW w:w="2370" w:type="dxa"/>
            <w:tcBorders>
              <w:top w:val="single" w:sz="4" w:space="0" w:color="auto"/>
              <w:left w:val="single" w:sz="4" w:space="0" w:color="auto"/>
              <w:bottom w:val="nil"/>
              <w:right w:val="single" w:sz="4" w:space="0" w:color="auto"/>
            </w:tcBorders>
            <w:shd w:val="clear" w:color="auto" w:fill="auto"/>
            <w:vAlign w:val="center"/>
          </w:tcPr>
          <w:p w14:paraId="66556F4F" w14:textId="77777777" w:rsidR="00962DB3" w:rsidRPr="00F87E34" w:rsidRDefault="00962DB3" w:rsidP="00EC6153">
            <w:pPr>
              <w:tabs>
                <w:tab w:val="decimal" w:pos="331"/>
              </w:tabs>
              <w:ind w:left="-567" w:right="-660"/>
              <w:jc w:val="center"/>
              <w:rPr>
                <w:color w:val="000000"/>
                <w:sz w:val="18"/>
                <w:szCs w:val="18"/>
              </w:rPr>
            </w:pPr>
            <w:r>
              <w:rPr>
                <w:color w:val="000000"/>
                <w:sz w:val="18"/>
                <w:szCs w:val="18"/>
              </w:rPr>
              <w:t>86,342,420</w:t>
            </w:r>
          </w:p>
        </w:tc>
      </w:tr>
      <w:tr w:rsidR="00962DB3" w:rsidRPr="00F87E34" w14:paraId="4072420D" w14:textId="77777777" w:rsidTr="0064643E">
        <w:trPr>
          <w:trHeight w:val="372"/>
          <w:jc w:val="center"/>
        </w:trPr>
        <w:tc>
          <w:tcPr>
            <w:tcW w:w="3253" w:type="dxa"/>
            <w:tcBorders>
              <w:top w:val="nil"/>
              <w:left w:val="single" w:sz="4" w:space="0" w:color="auto"/>
              <w:bottom w:val="nil"/>
              <w:right w:val="single" w:sz="4" w:space="0" w:color="auto"/>
            </w:tcBorders>
            <w:shd w:val="clear" w:color="auto" w:fill="auto"/>
            <w:vAlign w:val="center"/>
          </w:tcPr>
          <w:p w14:paraId="5B68A97C"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2012</w:t>
            </w:r>
          </w:p>
        </w:tc>
        <w:tc>
          <w:tcPr>
            <w:tcW w:w="2370" w:type="dxa"/>
            <w:tcBorders>
              <w:top w:val="nil"/>
              <w:left w:val="single" w:sz="4" w:space="0" w:color="auto"/>
              <w:bottom w:val="nil"/>
              <w:right w:val="single" w:sz="4" w:space="0" w:color="auto"/>
            </w:tcBorders>
            <w:shd w:val="clear" w:color="auto" w:fill="auto"/>
            <w:vAlign w:val="center"/>
          </w:tcPr>
          <w:p w14:paraId="593AD10A" w14:textId="77777777" w:rsidR="00962DB3" w:rsidRDefault="00962DB3" w:rsidP="00EC6153">
            <w:pPr>
              <w:tabs>
                <w:tab w:val="decimal" w:pos="365"/>
              </w:tabs>
              <w:ind w:left="-567" w:right="-660"/>
              <w:jc w:val="center"/>
              <w:rPr>
                <w:color w:val="000000"/>
                <w:sz w:val="18"/>
                <w:szCs w:val="18"/>
              </w:rPr>
            </w:pPr>
            <w:r>
              <w:rPr>
                <w:color w:val="000000"/>
                <w:sz w:val="18"/>
                <w:szCs w:val="18"/>
              </w:rPr>
              <w:t>99,770,725</w:t>
            </w:r>
          </w:p>
        </w:tc>
      </w:tr>
      <w:tr w:rsidR="00962DB3" w:rsidRPr="00F87E34" w14:paraId="5E9BA826" w14:textId="77777777" w:rsidTr="0064643E">
        <w:trPr>
          <w:trHeight w:val="372"/>
          <w:jc w:val="center"/>
        </w:trPr>
        <w:tc>
          <w:tcPr>
            <w:tcW w:w="3253" w:type="dxa"/>
            <w:tcBorders>
              <w:top w:val="nil"/>
              <w:left w:val="single" w:sz="4" w:space="0" w:color="auto"/>
              <w:bottom w:val="nil"/>
              <w:right w:val="single" w:sz="4" w:space="0" w:color="auto"/>
            </w:tcBorders>
            <w:shd w:val="clear" w:color="auto" w:fill="auto"/>
            <w:vAlign w:val="center"/>
          </w:tcPr>
          <w:p w14:paraId="7A5CC942"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2014</w:t>
            </w:r>
          </w:p>
        </w:tc>
        <w:tc>
          <w:tcPr>
            <w:tcW w:w="2370" w:type="dxa"/>
            <w:tcBorders>
              <w:top w:val="nil"/>
              <w:left w:val="single" w:sz="4" w:space="0" w:color="auto"/>
              <w:bottom w:val="nil"/>
              <w:right w:val="single" w:sz="4" w:space="0" w:color="auto"/>
            </w:tcBorders>
            <w:shd w:val="clear" w:color="auto" w:fill="auto"/>
            <w:vAlign w:val="center"/>
          </w:tcPr>
          <w:p w14:paraId="54A1CF54" w14:textId="77777777" w:rsidR="00962DB3" w:rsidRDefault="00962DB3" w:rsidP="00EC6153">
            <w:pPr>
              <w:tabs>
                <w:tab w:val="decimal" w:pos="365"/>
              </w:tabs>
              <w:ind w:left="-567" w:right="-660"/>
              <w:jc w:val="center"/>
              <w:rPr>
                <w:color w:val="000000"/>
                <w:sz w:val="18"/>
                <w:szCs w:val="18"/>
              </w:rPr>
            </w:pPr>
            <w:r>
              <w:rPr>
                <w:color w:val="000000"/>
                <w:sz w:val="18"/>
                <w:szCs w:val="18"/>
              </w:rPr>
              <w:t>102,887,315</w:t>
            </w:r>
          </w:p>
        </w:tc>
      </w:tr>
      <w:tr w:rsidR="00962DB3" w:rsidRPr="00F87E34" w14:paraId="01EB915C" w14:textId="77777777" w:rsidTr="0064643E">
        <w:trPr>
          <w:trHeight w:val="391"/>
          <w:jc w:val="center"/>
        </w:trPr>
        <w:tc>
          <w:tcPr>
            <w:tcW w:w="3253" w:type="dxa"/>
            <w:tcBorders>
              <w:top w:val="nil"/>
              <w:left w:val="single" w:sz="4" w:space="0" w:color="auto"/>
              <w:bottom w:val="nil"/>
              <w:right w:val="single" w:sz="4" w:space="0" w:color="auto"/>
            </w:tcBorders>
            <w:shd w:val="clear" w:color="auto" w:fill="auto"/>
            <w:vAlign w:val="center"/>
          </w:tcPr>
          <w:p w14:paraId="148EA375"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2016</w:t>
            </w:r>
          </w:p>
        </w:tc>
        <w:tc>
          <w:tcPr>
            <w:tcW w:w="2370" w:type="dxa"/>
            <w:tcBorders>
              <w:top w:val="nil"/>
              <w:left w:val="single" w:sz="4" w:space="0" w:color="auto"/>
              <w:bottom w:val="nil"/>
              <w:right w:val="single" w:sz="4" w:space="0" w:color="auto"/>
            </w:tcBorders>
            <w:shd w:val="clear" w:color="auto" w:fill="auto"/>
            <w:vAlign w:val="center"/>
          </w:tcPr>
          <w:p w14:paraId="3F217753" w14:textId="77777777" w:rsidR="00962DB3" w:rsidRDefault="00962DB3" w:rsidP="00EC6153">
            <w:pPr>
              <w:tabs>
                <w:tab w:val="decimal" w:pos="365"/>
              </w:tabs>
              <w:ind w:left="-567" w:right="-660"/>
              <w:jc w:val="center"/>
              <w:rPr>
                <w:color w:val="000000"/>
                <w:sz w:val="18"/>
                <w:szCs w:val="18"/>
              </w:rPr>
            </w:pPr>
            <w:r>
              <w:rPr>
                <w:color w:val="000000"/>
                <w:sz w:val="18"/>
                <w:szCs w:val="18"/>
              </w:rPr>
              <w:t>104,734,930</w:t>
            </w:r>
          </w:p>
        </w:tc>
      </w:tr>
      <w:tr w:rsidR="00962DB3" w:rsidRPr="00F87E34" w14:paraId="05370D06" w14:textId="77777777" w:rsidTr="0064643E">
        <w:trPr>
          <w:trHeight w:val="372"/>
          <w:jc w:val="center"/>
        </w:trPr>
        <w:tc>
          <w:tcPr>
            <w:tcW w:w="3253" w:type="dxa"/>
            <w:tcBorders>
              <w:top w:val="nil"/>
              <w:left w:val="single" w:sz="4" w:space="0" w:color="auto"/>
              <w:bottom w:val="nil"/>
              <w:right w:val="single" w:sz="4" w:space="0" w:color="auto"/>
            </w:tcBorders>
            <w:shd w:val="clear" w:color="auto" w:fill="auto"/>
            <w:vAlign w:val="center"/>
          </w:tcPr>
          <w:p w14:paraId="4534209B"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2018</w:t>
            </w:r>
          </w:p>
        </w:tc>
        <w:tc>
          <w:tcPr>
            <w:tcW w:w="2370" w:type="dxa"/>
            <w:tcBorders>
              <w:top w:val="nil"/>
              <w:left w:val="single" w:sz="4" w:space="0" w:color="auto"/>
              <w:bottom w:val="nil"/>
              <w:right w:val="single" w:sz="4" w:space="0" w:color="auto"/>
            </w:tcBorders>
            <w:shd w:val="clear" w:color="auto" w:fill="auto"/>
            <w:vAlign w:val="center"/>
          </w:tcPr>
          <w:p w14:paraId="7BD3BE43" w14:textId="77777777" w:rsidR="00962DB3" w:rsidRDefault="00962DB3" w:rsidP="00EC6153">
            <w:pPr>
              <w:tabs>
                <w:tab w:val="decimal" w:pos="365"/>
              </w:tabs>
              <w:ind w:left="-567" w:right="-660"/>
              <w:jc w:val="center"/>
              <w:rPr>
                <w:color w:val="000000"/>
                <w:sz w:val="18"/>
                <w:szCs w:val="18"/>
              </w:rPr>
            </w:pPr>
            <w:r>
              <w:rPr>
                <w:color w:val="000000"/>
                <w:sz w:val="18"/>
                <w:szCs w:val="18"/>
              </w:rPr>
              <w:t>107,055,547</w:t>
            </w:r>
          </w:p>
        </w:tc>
      </w:tr>
      <w:tr w:rsidR="00962DB3" w:rsidRPr="00F87E34" w14:paraId="00BB6CCA" w14:textId="77777777" w:rsidTr="0064643E">
        <w:trPr>
          <w:trHeight w:val="372"/>
          <w:jc w:val="center"/>
        </w:trPr>
        <w:tc>
          <w:tcPr>
            <w:tcW w:w="3253" w:type="dxa"/>
            <w:tcBorders>
              <w:top w:val="nil"/>
              <w:left w:val="single" w:sz="4" w:space="0" w:color="auto"/>
              <w:right w:val="single" w:sz="4" w:space="0" w:color="auto"/>
            </w:tcBorders>
            <w:shd w:val="clear" w:color="auto" w:fill="auto"/>
            <w:vAlign w:val="center"/>
            <w:hideMark/>
          </w:tcPr>
          <w:p w14:paraId="2BFB5C3F" w14:textId="77777777" w:rsidR="00962DB3" w:rsidRPr="00F87E34" w:rsidRDefault="00962DB3" w:rsidP="00EC6153">
            <w:pPr>
              <w:pStyle w:val="p0"/>
              <w:keepLines w:val="0"/>
              <w:widowControl/>
              <w:spacing w:before="40" w:after="40"/>
              <w:ind w:left="-567" w:right="-660"/>
              <w:jc w:val="center"/>
              <w:rPr>
                <w:rFonts w:ascii="Arial" w:hAnsi="Arial"/>
                <w:color w:val="000000" w:themeColor="text1"/>
                <w:sz w:val="18"/>
                <w:szCs w:val="18"/>
              </w:rPr>
            </w:pPr>
            <w:r>
              <w:rPr>
                <w:rFonts w:ascii="Arial" w:hAnsi="Arial"/>
                <w:color w:val="000000" w:themeColor="text1"/>
                <w:sz w:val="18"/>
                <w:szCs w:val="18"/>
              </w:rPr>
              <w:t>2020</w:t>
            </w:r>
          </w:p>
        </w:tc>
        <w:tc>
          <w:tcPr>
            <w:tcW w:w="2370" w:type="dxa"/>
            <w:tcBorders>
              <w:top w:val="nil"/>
              <w:left w:val="single" w:sz="4" w:space="0" w:color="auto"/>
              <w:bottom w:val="single" w:sz="4" w:space="0" w:color="auto"/>
              <w:right w:val="single" w:sz="4" w:space="0" w:color="auto"/>
            </w:tcBorders>
            <w:shd w:val="clear" w:color="auto" w:fill="auto"/>
            <w:vAlign w:val="center"/>
          </w:tcPr>
          <w:p w14:paraId="650EB826" w14:textId="77777777" w:rsidR="00962DB3" w:rsidRPr="00F87E34" w:rsidRDefault="00962DB3" w:rsidP="00EC6153">
            <w:pPr>
              <w:tabs>
                <w:tab w:val="decimal" w:pos="331"/>
              </w:tabs>
              <w:ind w:left="-567" w:right="-660"/>
              <w:jc w:val="center"/>
              <w:rPr>
                <w:color w:val="000000"/>
                <w:sz w:val="18"/>
                <w:szCs w:val="18"/>
              </w:rPr>
            </w:pPr>
            <w:r>
              <w:rPr>
                <w:color w:val="000000"/>
                <w:sz w:val="18"/>
                <w:szCs w:val="18"/>
              </w:rPr>
              <w:t>106,523,139</w:t>
            </w:r>
          </w:p>
        </w:tc>
      </w:tr>
    </w:tbl>
    <w:p w14:paraId="314932D6" w14:textId="77777777" w:rsidR="00962DB3" w:rsidRPr="00F87E34" w:rsidRDefault="00962DB3" w:rsidP="00EC6153">
      <w:pPr>
        <w:pStyle w:val="Prrafodelista"/>
        <w:ind w:left="1701" w:right="1750"/>
        <w:rPr>
          <w:sz w:val="16"/>
          <w:szCs w:val="16"/>
        </w:rPr>
      </w:pPr>
      <w:r w:rsidRPr="00F87E34">
        <w:rPr>
          <w:sz w:val="16"/>
          <w:szCs w:val="16"/>
        </w:rPr>
        <w:t>Fuente:</w:t>
      </w:r>
      <w:r>
        <w:rPr>
          <w:sz w:val="16"/>
          <w:szCs w:val="16"/>
        </w:rPr>
        <w:t xml:space="preserve"> </w:t>
      </w:r>
      <w:r w:rsidRPr="00B31638">
        <w:rPr>
          <w:bCs/>
          <w:sz w:val="16"/>
          <w:szCs w:val="16"/>
          <w:lang w:eastAsia="es-MX"/>
        </w:rPr>
        <w:t>Censo Nacional de Gobiernos Municipales y Demarcaciones Territoriales de la Ciudad de México</w:t>
      </w:r>
      <w:r>
        <w:rPr>
          <w:sz w:val="16"/>
          <w:szCs w:val="16"/>
        </w:rPr>
        <w:t xml:space="preserve">, ediciones bianuales de 2011 a 2021. </w:t>
      </w:r>
      <w:r w:rsidRPr="00F87E34">
        <w:rPr>
          <w:sz w:val="16"/>
          <w:szCs w:val="16"/>
        </w:rPr>
        <w:t>INEGI.</w:t>
      </w:r>
    </w:p>
    <w:p w14:paraId="60301116" w14:textId="77777777" w:rsidR="00962DB3" w:rsidRDefault="00962DB3" w:rsidP="00EC6153">
      <w:pPr>
        <w:ind w:left="-567" w:right="-660"/>
        <w:rPr>
          <w:bCs/>
          <w:lang w:eastAsia="es-MX"/>
        </w:rPr>
      </w:pPr>
    </w:p>
    <w:p w14:paraId="2F0C5A10" w14:textId="77777777" w:rsidR="00962DB3" w:rsidRDefault="00962DB3" w:rsidP="00962DB3">
      <w:pPr>
        <w:autoSpaceDE w:val="0"/>
        <w:autoSpaceDN w:val="0"/>
        <w:adjustRightInd w:val="0"/>
        <w:ind w:left="-284" w:right="-233"/>
        <w:rPr>
          <w:b/>
          <w:smallCaps/>
        </w:rPr>
      </w:pPr>
    </w:p>
    <w:p w14:paraId="07E7EA89" w14:textId="77777777" w:rsidR="00962DB3" w:rsidRPr="00EB1220" w:rsidRDefault="00962DB3" w:rsidP="00962DB3">
      <w:pPr>
        <w:ind w:left="-284" w:right="-233"/>
        <w:jc w:val="center"/>
        <w:rPr>
          <w:b/>
          <w:bCs/>
          <w:sz w:val="22"/>
          <w:szCs w:val="22"/>
          <w:lang w:eastAsia="es-MX"/>
        </w:rPr>
      </w:pPr>
      <w:r w:rsidRPr="00B31638">
        <w:rPr>
          <w:b/>
          <w:bCs/>
          <w:sz w:val="22"/>
          <w:szCs w:val="22"/>
          <w:lang w:eastAsia="es-MX"/>
        </w:rPr>
        <w:t>-oOo-</w:t>
      </w:r>
    </w:p>
    <w:p w14:paraId="671D51A0" w14:textId="77777777" w:rsidR="00962DB3" w:rsidRPr="00EC3CD1" w:rsidRDefault="00962DB3" w:rsidP="00EC6153">
      <w:pPr>
        <w:spacing w:before="240"/>
        <w:ind w:left="-567" w:right="-518"/>
        <w:jc w:val="center"/>
      </w:pPr>
      <w:r w:rsidRPr="00EC3CD1">
        <w:t xml:space="preserve">Para consultas de medios y periodistas, contactar a: </w:t>
      </w:r>
      <w:hyperlink r:id="rId11" w:history="1">
        <w:r w:rsidR="00EC6153" w:rsidRPr="00673EEA">
          <w:rPr>
            <w:rStyle w:val="Hipervnculo"/>
          </w:rPr>
          <w:t>comunicacionsocial@inegi.org.mx</w:t>
        </w:r>
      </w:hyperlink>
    </w:p>
    <w:p w14:paraId="6AD14861" w14:textId="77777777" w:rsidR="00962DB3" w:rsidRPr="00EC3CD1" w:rsidRDefault="00962DB3" w:rsidP="00EC6153">
      <w:pPr>
        <w:pStyle w:val="NormalWeb"/>
        <w:spacing w:before="0" w:beforeAutospacing="0" w:after="0" w:afterAutospacing="0"/>
        <w:ind w:left="-567" w:right="-518"/>
        <w:contextualSpacing/>
        <w:jc w:val="center"/>
        <w:rPr>
          <w:rFonts w:ascii="Arial" w:hAnsi="Arial" w:cs="Arial"/>
        </w:rPr>
      </w:pPr>
      <w:r w:rsidRPr="00EC3CD1">
        <w:rPr>
          <w:rFonts w:ascii="Arial" w:hAnsi="Arial" w:cs="Arial"/>
        </w:rPr>
        <w:t>o llamar al teléfono (55) 52-78-10-00, extensiones. 1134, 1260 y 1241.</w:t>
      </w:r>
    </w:p>
    <w:p w14:paraId="79D2A899" w14:textId="77777777" w:rsidR="00962DB3" w:rsidRPr="00EC3CD1" w:rsidRDefault="00962DB3" w:rsidP="00EC6153">
      <w:pPr>
        <w:pStyle w:val="NormalWeb"/>
        <w:spacing w:before="0" w:beforeAutospacing="0" w:after="0" w:afterAutospacing="0"/>
        <w:ind w:left="-567" w:right="-518"/>
        <w:contextualSpacing/>
        <w:jc w:val="center"/>
        <w:rPr>
          <w:rFonts w:ascii="Arial" w:hAnsi="Arial" w:cs="Arial"/>
        </w:rPr>
      </w:pPr>
    </w:p>
    <w:p w14:paraId="219ADD0F" w14:textId="77777777" w:rsidR="00962DB3" w:rsidRPr="00EC3CD1" w:rsidRDefault="00962DB3" w:rsidP="00EC6153">
      <w:pPr>
        <w:pStyle w:val="NormalWeb"/>
        <w:spacing w:before="0" w:beforeAutospacing="0" w:after="0" w:afterAutospacing="0"/>
        <w:ind w:left="-567" w:right="-518"/>
        <w:contextualSpacing/>
        <w:jc w:val="center"/>
        <w:rPr>
          <w:rFonts w:ascii="Arial" w:hAnsi="Arial" w:cs="Arial"/>
        </w:rPr>
      </w:pPr>
      <w:r w:rsidRPr="00EC3CD1">
        <w:rPr>
          <w:rFonts w:ascii="Arial" w:hAnsi="Arial" w:cs="Arial"/>
        </w:rPr>
        <w:t>Dirección de Atención a Medios / Dirección General Adjunta de Comunicación</w:t>
      </w:r>
    </w:p>
    <w:p w14:paraId="4D1F5C72" w14:textId="77777777" w:rsidR="00962DB3" w:rsidRPr="002A4D9D" w:rsidRDefault="00962DB3" w:rsidP="00962DB3">
      <w:pPr>
        <w:pStyle w:val="NormalWeb"/>
        <w:spacing w:before="0" w:beforeAutospacing="0" w:after="0" w:afterAutospacing="0"/>
        <w:ind w:left="-426" w:right="-518"/>
        <w:contextualSpacing/>
        <w:jc w:val="center"/>
        <w:rPr>
          <w:rFonts w:ascii="Arial" w:hAnsi="Arial" w:cs="Arial"/>
          <w:sz w:val="22"/>
          <w:szCs w:val="22"/>
        </w:rPr>
      </w:pPr>
    </w:p>
    <w:p w14:paraId="472A4CA4" w14:textId="77777777" w:rsidR="00962DB3" w:rsidRDefault="00962DB3" w:rsidP="00EC6153">
      <w:pPr>
        <w:spacing w:before="120"/>
        <w:ind w:left="-425" w:right="-516"/>
        <w:contextualSpacing/>
        <w:jc w:val="center"/>
        <w:rPr>
          <w:noProof/>
          <w:lang w:eastAsia="es-MX"/>
        </w:rPr>
      </w:pPr>
      <w:r w:rsidRPr="00FF1218">
        <w:rPr>
          <w:noProof/>
          <w:lang w:val="es-MX" w:eastAsia="es-MX"/>
        </w:rPr>
        <w:drawing>
          <wp:inline distT="0" distB="0" distL="0" distR="0" wp14:anchorId="1F2200BC" wp14:editId="7682F5CC">
            <wp:extent cx="388620" cy="365760"/>
            <wp:effectExtent l="0" t="0" r="0" b="0"/>
            <wp:docPr id="73" name="Imagen 73"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1C9A95" wp14:editId="79630930">
            <wp:extent cx="365760" cy="365760"/>
            <wp:effectExtent l="0" t="0" r="0" b="0"/>
            <wp:docPr id="5" name="Imagen 5"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646614" wp14:editId="11ACFFFC">
            <wp:extent cx="365760" cy="365760"/>
            <wp:effectExtent l="0" t="0" r="0" b="0"/>
            <wp:docPr id="74" name="Imagen 7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E51D8C" wp14:editId="54AB43C6">
            <wp:extent cx="365760" cy="365760"/>
            <wp:effectExtent l="0" t="0" r="0" b="0"/>
            <wp:docPr id="75" name="Imagen 7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953DA72" wp14:editId="30F02740">
            <wp:extent cx="2286000" cy="274320"/>
            <wp:effectExtent l="0" t="0" r="0" b="0"/>
            <wp:docPr id="33" name="Imagen 3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sectPr w:rsidR="00962DB3">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70B4" w14:textId="77777777" w:rsidR="00F67872" w:rsidRDefault="00F67872" w:rsidP="00962DB3">
      <w:r>
        <w:separator/>
      </w:r>
    </w:p>
  </w:endnote>
  <w:endnote w:type="continuationSeparator" w:id="0">
    <w:p w14:paraId="6C2A9D63" w14:textId="77777777" w:rsidR="00F67872" w:rsidRDefault="00F67872" w:rsidP="0096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9B2A" w14:textId="77777777" w:rsidR="00962DB3" w:rsidRPr="00B31638" w:rsidRDefault="00962DB3" w:rsidP="00962DB3">
    <w:pPr>
      <w:pStyle w:val="Piedepgina"/>
      <w:jc w:val="center"/>
      <w:rPr>
        <w:b/>
        <w:color w:val="002060"/>
        <w:sz w:val="20"/>
        <w:szCs w:val="20"/>
      </w:rPr>
    </w:pPr>
    <w:r w:rsidRPr="00B31638">
      <w:rPr>
        <w:b/>
        <w:color w:val="002060"/>
        <w:sz w:val="20"/>
        <w:szCs w:val="20"/>
      </w:rPr>
      <w:t>COMUNICACIÓN SOCIAL</w:t>
    </w:r>
  </w:p>
  <w:p w14:paraId="4CB549D6" w14:textId="77777777" w:rsidR="00962DB3" w:rsidRDefault="00962D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37EC" w14:textId="77777777" w:rsidR="00F67872" w:rsidRDefault="00F67872" w:rsidP="00962DB3">
      <w:r>
        <w:separator/>
      </w:r>
    </w:p>
  </w:footnote>
  <w:footnote w:type="continuationSeparator" w:id="0">
    <w:p w14:paraId="4816607D" w14:textId="77777777" w:rsidR="00F67872" w:rsidRDefault="00F67872" w:rsidP="00962DB3">
      <w:r>
        <w:continuationSeparator/>
      </w:r>
    </w:p>
  </w:footnote>
  <w:footnote w:id="1">
    <w:p w14:paraId="634D64EA" w14:textId="77777777" w:rsidR="00962DB3" w:rsidRPr="00EC6153" w:rsidRDefault="00962DB3" w:rsidP="00EC6153">
      <w:pPr>
        <w:pStyle w:val="Textonotapie"/>
        <w:ind w:left="-426" w:right="-518" w:hanging="141"/>
        <w:rPr>
          <w:sz w:val="16"/>
          <w:szCs w:val="16"/>
          <w:lang w:val="es-MX"/>
        </w:rPr>
      </w:pPr>
      <w:r w:rsidRPr="00EC6153">
        <w:rPr>
          <w:rStyle w:val="Refdenotaalpie"/>
          <w:sz w:val="16"/>
          <w:szCs w:val="16"/>
        </w:rPr>
        <w:footnoteRef/>
      </w:r>
      <w:r w:rsidRPr="00EC6153">
        <w:rPr>
          <w:sz w:val="16"/>
          <w:szCs w:val="16"/>
        </w:rPr>
        <w:t xml:space="preserve"> </w:t>
      </w:r>
      <w:r w:rsidRPr="00EC6153">
        <w:rPr>
          <w:bCs/>
          <w:sz w:val="16"/>
          <w:szCs w:val="16"/>
          <w:lang w:eastAsia="es-MX"/>
        </w:rPr>
        <w:t>Las geomembranas (láminas impermeables hechas a partir de resinas plásticas) ayudan a manejar los residuos generados por la basura sin dañar el medio ambiente. Su uso en los rellenos sanitarios constituye una alternativa confiable como sistema de protección ambiental.</w:t>
      </w:r>
    </w:p>
    <w:p w14:paraId="2B255793" w14:textId="77777777" w:rsidR="00962DB3" w:rsidRPr="00EC6153" w:rsidRDefault="00962DB3" w:rsidP="00EC6153">
      <w:pPr>
        <w:pStyle w:val="Textonotapie"/>
        <w:ind w:left="-426" w:right="-518" w:hanging="141"/>
        <w:rPr>
          <w:sz w:val="16"/>
          <w:szCs w:val="16"/>
          <w:lang w:val="es-MX"/>
        </w:rPr>
      </w:pPr>
    </w:p>
  </w:footnote>
  <w:footnote w:id="2">
    <w:p w14:paraId="529D71D3" w14:textId="77777777" w:rsidR="00962DB3" w:rsidRPr="00962DB3" w:rsidRDefault="00962DB3" w:rsidP="00EC6153">
      <w:pPr>
        <w:pStyle w:val="Textonotapie"/>
        <w:ind w:left="-426" w:right="-518" w:hanging="141"/>
        <w:rPr>
          <w:lang w:val="es-MX"/>
        </w:rPr>
      </w:pPr>
      <w:r w:rsidRPr="00EC6153">
        <w:rPr>
          <w:rStyle w:val="Refdenotaalpie"/>
          <w:sz w:val="16"/>
          <w:szCs w:val="16"/>
        </w:rPr>
        <w:footnoteRef/>
      </w:r>
      <w:r w:rsidRPr="00EC6153">
        <w:rPr>
          <w:sz w:val="16"/>
          <w:szCs w:val="16"/>
        </w:rPr>
        <w:t xml:space="preserve"> </w:t>
      </w:r>
      <w:r w:rsidRPr="00EC6153">
        <w:rPr>
          <w:color w:val="000000" w:themeColor="text1"/>
          <w:sz w:val="16"/>
          <w:szCs w:val="16"/>
        </w:rPr>
        <w:t xml:space="preserve">INEGI. </w:t>
      </w:r>
      <w:r w:rsidRPr="00EC6153">
        <w:rPr>
          <w:iCs/>
          <w:color w:val="000000" w:themeColor="text1"/>
          <w:sz w:val="16"/>
          <w:szCs w:val="16"/>
          <w:shd w:val="clear" w:color="auto" w:fill="FFFFFF"/>
        </w:rPr>
        <w:t xml:space="preserve">Censo Nacional de Gobiernos Municipales y Delegacionales 2017. Módulo 6: Residuos Sólidos Urbanos, consultado el 18 de mayo de 2022 en: </w:t>
      </w:r>
      <w:r w:rsidRPr="00EC6153">
        <w:rPr>
          <w:iCs/>
          <w:sz w:val="16"/>
          <w:szCs w:val="16"/>
          <w:shd w:val="clear" w:color="auto" w:fill="FFFFFF"/>
        </w:rPr>
        <w:t>https://inegi.org.mx/rnm/index.php/catalog/535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0F86" w14:textId="57801031" w:rsidR="00962DB3" w:rsidRPr="00265B8C" w:rsidRDefault="00962DB3" w:rsidP="00962DB3">
    <w:pPr>
      <w:pStyle w:val="Encabezado"/>
      <w:ind w:left="567" w:right="-518" w:hanging="11"/>
      <w:jc w:val="right"/>
      <w:rPr>
        <w:b/>
        <w:color w:val="002060"/>
      </w:rPr>
    </w:pPr>
    <w:r w:rsidRPr="001B7B7C">
      <w:rPr>
        <w:b/>
        <w:bCs/>
        <w:noProof/>
        <w:color w:val="000000"/>
        <w:lang w:eastAsia="es-MX"/>
      </w:rPr>
      <w:drawing>
        <wp:anchor distT="0" distB="0" distL="114300" distR="114300" simplePos="0" relativeHeight="251659264" behindDoc="0" locked="0" layoutInCell="1" allowOverlap="1" wp14:anchorId="30E655BB" wp14:editId="0F73A9FF">
          <wp:simplePos x="0" y="0"/>
          <wp:positionH relativeFrom="margin">
            <wp:posOffset>-390525</wp:posOffset>
          </wp:positionH>
          <wp:positionV relativeFrom="margin">
            <wp:posOffset>-895350</wp:posOffset>
          </wp:positionV>
          <wp:extent cx="828000" cy="828000"/>
          <wp:effectExtent l="0" t="0" r="0" b="0"/>
          <wp:wrapSquare wrapText="bothSides"/>
          <wp:docPr id="88" name="Imagen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rika.herrera\Downloads\inegi_vertica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B8C">
      <w:rPr>
        <w:b/>
        <w:color w:val="002060"/>
      </w:rPr>
      <w:t>COMUNICADO DE PRENSA NÚM</w:t>
    </w:r>
    <w:r w:rsidRPr="009A070D">
      <w:rPr>
        <w:b/>
        <w:color w:val="002060"/>
      </w:rPr>
      <w:t>. 3</w:t>
    </w:r>
    <w:r w:rsidR="00B613A3">
      <w:rPr>
        <w:b/>
        <w:color w:val="002060"/>
      </w:rPr>
      <w:t>10</w:t>
    </w:r>
    <w:r w:rsidRPr="009A070D">
      <w:rPr>
        <w:b/>
        <w:color w:val="002060"/>
      </w:rPr>
      <w:t>/22</w:t>
    </w:r>
  </w:p>
  <w:p w14:paraId="545851DC" w14:textId="77777777" w:rsidR="00962DB3" w:rsidRPr="00265B8C" w:rsidRDefault="00962DB3" w:rsidP="00962DB3">
    <w:pPr>
      <w:pStyle w:val="Encabezado"/>
      <w:ind w:left="567" w:right="-518" w:hanging="11"/>
      <w:jc w:val="right"/>
      <w:rPr>
        <w:b/>
        <w:color w:val="002060"/>
        <w:lang w:val="pt-BR"/>
      </w:rPr>
    </w:pPr>
    <w:r>
      <w:rPr>
        <w:b/>
        <w:color w:val="002060"/>
        <w:lang w:val="pt-BR"/>
      </w:rPr>
      <w:t xml:space="preserve">2 DE JUNIO DE </w:t>
    </w:r>
    <w:r w:rsidRPr="00265B8C">
      <w:rPr>
        <w:b/>
        <w:color w:val="002060"/>
        <w:lang w:val="pt-BR"/>
      </w:rPr>
      <w:t>20</w:t>
    </w:r>
    <w:r>
      <w:rPr>
        <w:b/>
        <w:color w:val="002060"/>
        <w:lang w:val="pt-BR"/>
      </w:rPr>
      <w:t>22</w:t>
    </w:r>
  </w:p>
  <w:p w14:paraId="5B493804" w14:textId="71CFE57B" w:rsidR="00962DB3" w:rsidRPr="00265B8C" w:rsidRDefault="00962DB3" w:rsidP="00962DB3">
    <w:pPr>
      <w:pStyle w:val="Encabezado"/>
      <w:ind w:left="567" w:right="-518"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color w:val="002060"/>
      </w:rPr>
      <w:t>5</w:t>
    </w:r>
    <w:r w:rsidRPr="00265B8C">
      <w:rPr>
        <w:color w:val="002060"/>
      </w:rPr>
      <w:fldChar w:fldCharType="end"/>
    </w:r>
    <w:r w:rsidRPr="00265B8C">
      <w:rPr>
        <w:b/>
        <w:color w:val="002060"/>
        <w:lang w:val="pt-BR"/>
      </w:rPr>
      <w:t>/</w:t>
    </w:r>
    <w:r w:rsidR="00B613A3">
      <w:rPr>
        <w:b/>
        <w:color w:val="002060"/>
        <w:lang w:val="pt-BR"/>
      </w:rPr>
      <w:t>4</w:t>
    </w:r>
  </w:p>
  <w:p w14:paraId="22F6DC27" w14:textId="77777777" w:rsidR="00962DB3" w:rsidRDefault="00962D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C1D34"/>
    <w:multiLevelType w:val="hybridMultilevel"/>
    <w:tmpl w:val="29FE4A46"/>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num w:numId="1" w16cid:durableId="177420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B3"/>
    <w:rsid w:val="005075C2"/>
    <w:rsid w:val="00640D35"/>
    <w:rsid w:val="006C0A3F"/>
    <w:rsid w:val="007322AB"/>
    <w:rsid w:val="007B6705"/>
    <w:rsid w:val="008943D0"/>
    <w:rsid w:val="00962DB3"/>
    <w:rsid w:val="00B17250"/>
    <w:rsid w:val="00B613A3"/>
    <w:rsid w:val="00C15D54"/>
    <w:rsid w:val="00C45F6E"/>
    <w:rsid w:val="00C77976"/>
    <w:rsid w:val="00EC6153"/>
    <w:rsid w:val="00F15390"/>
    <w:rsid w:val="00F23E62"/>
    <w:rsid w:val="00F67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8CC8"/>
  <w15:chartTrackingRefBased/>
  <w15:docId w15:val="{48C4D86C-5B18-4BE4-BD35-F9FF6D5C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B3"/>
    <w:pPr>
      <w:spacing w:after="0" w:line="240" w:lineRule="auto"/>
      <w:jc w:val="both"/>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2DB3"/>
    <w:pPr>
      <w:tabs>
        <w:tab w:val="center" w:pos="4320"/>
        <w:tab w:val="right" w:pos="8640"/>
      </w:tabs>
    </w:pPr>
  </w:style>
  <w:style w:type="character" w:customStyle="1" w:styleId="EncabezadoCar">
    <w:name w:val="Encabezado Car"/>
    <w:basedOn w:val="Fuentedeprrafopredeter"/>
    <w:link w:val="Encabezado"/>
    <w:rsid w:val="00962DB3"/>
    <w:rPr>
      <w:rFonts w:ascii="Arial" w:eastAsia="Times New Roman" w:hAnsi="Arial" w:cs="Arial"/>
      <w:sz w:val="24"/>
      <w:szCs w:val="24"/>
      <w:lang w:val="es-ES_tradnl" w:eastAsia="es-ES"/>
    </w:rPr>
  </w:style>
  <w:style w:type="paragraph" w:styleId="NormalWeb">
    <w:name w:val="Normal (Web)"/>
    <w:basedOn w:val="Normal"/>
    <w:uiPriority w:val="99"/>
    <w:rsid w:val="00962DB3"/>
    <w:pPr>
      <w:spacing w:before="100" w:beforeAutospacing="1" w:after="100" w:afterAutospacing="1"/>
      <w:jc w:val="left"/>
    </w:pPr>
    <w:rPr>
      <w:rFonts w:ascii="Times New Roman" w:hAnsi="Times New Roman" w:cs="Times New Roman"/>
      <w:lang w:val="es-ES"/>
    </w:rPr>
  </w:style>
  <w:style w:type="paragraph" w:customStyle="1" w:styleId="p0">
    <w:name w:val="p0"/>
    <w:basedOn w:val="Normal"/>
    <w:rsid w:val="00962DB3"/>
    <w:pPr>
      <w:keepLines/>
      <w:widowControl w:val="0"/>
      <w:spacing w:before="240"/>
    </w:pPr>
    <w:rPr>
      <w:rFonts w:ascii="Helvetica" w:hAnsi="Helvetica"/>
      <w:snapToGrid w:val="0"/>
      <w:color w:val="0000FF"/>
    </w:rPr>
  </w:style>
  <w:style w:type="character" w:styleId="Hipervnculo">
    <w:name w:val="Hyperlink"/>
    <w:basedOn w:val="Fuentedeprrafopredeter"/>
    <w:rsid w:val="00962DB3"/>
    <w:rPr>
      <w:color w:val="0000FF"/>
      <w:u w:val="single"/>
    </w:rPr>
  </w:style>
  <w:style w:type="paragraph" w:styleId="Prrafodelista">
    <w:name w:val="List Paragraph"/>
    <w:basedOn w:val="Normal"/>
    <w:uiPriority w:val="34"/>
    <w:qFormat/>
    <w:rsid w:val="00962DB3"/>
    <w:pPr>
      <w:ind w:left="708"/>
    </w:pPr>
  </w:style>
  <w:style w:type="table" w:styleId="Tablaconcuadrcula">
    <w:name w:val="Table Grid"/>
    <w:basedOn w:val="Tablanormal"/>
    <w:rsid w:val="00962DB3"/>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962DB3"/>
    <w:pPr>
      <w:keepLines/>
      <w:spacing w:before="240"/>
    </w:pPr>
    <w:rPr>
      <w:rFonts w:ascii="Univers" w:hAnsi="Univers" w:cs="Times New Roman"/>
      <w:color w:val="0000FF"/>
      <w:szCs w:val="20"/>
    </w:rPr>
  </w:style>
  <w:style w:type="paragraph" w:styleId="Textonotapie">
    <w:name w:val="footnote text"/>
    <w:basedOn w:val="Normal"/>
    <w:link w:val="TextonotapieCar"/>
    <w:unhideWhenUsed/>
    <w:rsid w:val="00962DB3"/>
    <w:rPr>
      <w:sz w:val="20"/>
      <w:szCs w:val="20"/>
    </w:rPr>
  </w:style>
  <w:style w:type="character" w:customStyle="1" w:styleId="TextonotapieCar">
    <w:name w:val="Texto nota pie Car"/>
    <w:basedOn w:val="Fuentedeprrafopredeter"/>
    <w:link w:val="Textonotapie"/>
    <w:rsid w:val="00962DB3"/>
    <w:rPr>
      <w:rFonts w:ascii="Arial" w:eastAsia="Times New Roman" w:hAnsi="Arial" w:cs="Arial"/>
      <w:sz w:val="20"/>
      <w:szCs w:val="20"/>
      <w:lang w:val="es-ES_tradnl" w:eastAsia="es-ES"/>
    </w:rPr>
  </w:style>
  <w:style w:type="character" w:styleId="Refdenotaalpie">
    <w:name w:val="footnote reference"/>
    <w:basedOn w:val="Fuentedeprrafopredeter"/>
    <w:uiPriority w:val="99"/>
    <w:semiHidden/>
    <w:unhideWhenUsed/>
    <w:rsid w:val="00962DB3"/>
    <w:rPr>
      <w:vertAlign w:val="superscript"/>
    </w:rPr>
  </w:style>
  <w:style w:type="paragraph" w:styleId="Piedepgina">
    <w:name w:val="footer"/>
    <w:basedOn w:val="Normal"/>
    <w:link w:val="PiedepginaCar"/>
    <w:uiPriority w:val="99"/>
    <w:unhideWhenUsed/>
    <w:rsid w:val="00962DB3"/>
    <w:pPr>
      <w:tabs>
        <w:tab w:val="center" w:pos="4419"/>
        <w:tab w:val="right" w:pos="8838"/>
      </w:tabs>
    </w:pPr>
  </w:style>
  <w:style w:type="character" w:customStyle="1" w:styleId="PiedepginaCar">
    <w:name w:val="Pie de página Car"/>
    <w:basedOn w:val="Fuentedeprrafopredeter"/>
    <w:link w:val="Piedepgina"/>
    <w:uiPriority w:val="99"/>
    <w:rsid w:val="00962DB3"/>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E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youtube.com/user/INEGIInforma"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instagram.com/inegi_inform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778651924303638E-2"/>
          <c:y val="0"/>
          <c:w val="0.95322134807569636"/>
          <c:h val="0.63403147976068208"/>
        </c:manualLayout>
      </c:layout>
      <c:barChart>
        <c:barDir val="col"/>
        <c:grouping val="clustered"/>
        <c:varyColors val="0"/>
        <c:ser>
          <c:idx val="0"/>
          <c:order val="0"/>
          <c:tx>
            <c:strRef>
              <c:f>Hoja1!$B$1</c:f>
              <c:strCache>
                <c:ptCount val="1"/>
                <c:pt idx="0">
                  <c:v>Materias primas</c:v>
                </c:pt>
              </c:strCache>
            </c:strRef>
          </c:tx>
          <c:spPr>
            <a:solidFill>
              <a:srgbClr val="0070C0"/>
            </a:solidFill>
            <a:ln>
              <a:noFill/>
            </a:ln>
            <a:effectLst/>
          </c:spPr>
          <c:invertIfNegative val="0"/>
          <c:dPt>
            <c:idx val="0"/>
            <c:invertIfNegative val="0"/>
            <c:bubble3D val="0"/>
            <c:extLst>
              <c:ext xmlns:c16="http://schemas.microsoft.com/office/drawing/2014/chart" uri="{C3380CC4-5D6E-409C-BE32-E72D297353CC}">
                <c16:uniqueId val="{00000000-1731-4960-A753-88E5D881F8A2}"/>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Manufacturas</c:v>
                </c:pt>
                <c:pt idx="1">
                  <c:v>Comercio</c:v>
                </c:pt>
                <c:pt idx="2">
                  <c:v>Servicios privados
no financieros</c:v>
                </c:pt>
                <c:pt idx="3">
                  <c:v>Resto de actividades</c:v>
                </c:pt>
              </c:strCache>
            </c:strRef>
          </c:cat>
          <c:val>
            <c:numRef>
              <c:f>Hoja1!$B$2:$B$5</c:f>
              <c:numCache>
                <c:formatCode>_-* #,##0.0_-;\-* #,##0.0_-;_-* "-"??_-;_-@_-</c:formatCode>
                <c:ptCount val="4"/>
                <c:pt idx="0">
                  <c:v>19.600000000000001</c:v>
                </c:pt>
                <c:pt idx="1">
                  <c:v>12.8</c:v>
                </c:pt>
                <c:pt idx="2">
                  <c:v>6.6</c:v>
                </c:pt>
                <c:pt idx="3">
                  <c:v>5.6</c:v>
                </c:pt>
              </c:numCache>
            </c:numRef>
          </c:val>
          <c:extLst>
            <c:ext xmlns:c16="http://schemas.microsoft.com/office/drawing/2014/chart" uri="{C3380CC4-5D6E-409C-BE32-E72D297353CC}">
              <c16:uniqueId val="{00000001-1731-4960-A753-88E5D881F8A2}"/>
            </c:ext>
          </c:extLst>
        </c:ser>
        <c:ser>
          <c:idx val="1"/>
          <c:order val="1"/>
          <c:tx>
            <c:strRef>
              <c:f>Hoja1!$C$1</c:f>
              <c:strCache>
                <c:ptCount val="1"/>
                <c:pt idx="0">
                  <c:v>Materiales de empaque y embalaje</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Manufacturas</c:v>
                </c:pt>
                <c:pt idx="1">
                  <c:v>Comercio</c:v>
                </c:pt>
                <c:pt idx="2">
                  <c:v>Servicios privados
no financieros</c:v>
                </c:pt>
                <c:pt idx="3">
                  <c:v>Resto de actividades</c:v>
                </c:pt>
              </c:strCache>
            </c:strRef>
          </c:cat>
          <c:val>
            <c:numRef>
              <c:f>Hoja1!$C$2:$C$5</c:f>
              <c:numCache>
                <c:formatCode>_-* #,##0.0_-;\-* #,##0.0_-;_-* "-"??_-;_-@_-</c:formatCode>
                <c:ptCount val="4"/>
                <c:pt idx="0">
                  <c:v>25.4</c:v>
                </c:pt>
                <c:pt idx="1">
                  <c:v>25.2</c:v>
                </c:pt>
                <c:pt idx="2">
                  <c:v>13.3</c:v>
                </c:pt>
                <c:pt idx="3">
                  <c:v>6.2</c:v>
                </c:pt>
              </c:numCache>
            </c:numRef>
          </c:val>
          <c:extLst>
            <c:ext xmlns:c16="http://schemas.microsoft.com/office/drawing/2014/chart" uri="{C3380CC4-5D6E-409C-BE32-E72D297353CC}">
              <c16:uniqueId val="{00000002-1731-4960-A753-88E5D881F8A2}"/>
            </c:ext>
          </c:extLst>
        </c:ser>
        <c:ser>
          <c:idx val="2"/>
          <c:order val="2"/>
          <c:tx>
            <c:strRef>
              <c:f>Hoja1!$D$1</c:f>
              <c:strCache>
                <c:ptCount val="1"/>
                <c:pt idx="0">
                  <c:v>Otros</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Manufacturas</c:v>
                </c:pt>
                <c:pt idx="1">
                  <c:v>Comercio</c:v>
                </c:pt>
                <c:pt idx="2">
                  <c:v>Servicios privados
no financieros</c:v>
                </c:pt>
                <c:pt idx="3">
                  <c:v>Resto de actividades</c:v>
                </c:pt>
              </c:strCache>
            </c:strRef>
          </c:cat>
          <c:val>
            <c:numRef>
              <c:f>Hoja1!$D$2:$D$5</c:f>
              <c:numCache>
                <c:formatCode>_-* #,##0.0_-;\-* #,##0.0_-;_-* "-"??_-;_-@_-</c:formatCode>
                <c:ptCount val="4"/>
                <c:pt idx="0">
                  <c:v>1.1000000000000001</c:v>
                </c:pt>
                <c:pt idx="1">
                  <c:v>1.3</c:v>
                </c:pt>
                <c:pt idx="2">
                  <c:v>3.3</c:v>
                </c:pt>
                <c:pt idx="3">
                  <c:v>1</c:v>
                </c:pt>
              </c:numCache>
            </c:numRef>
          </c:val>
          <c:extLst>
            <c:ext xmlns:c16="http://schemas.microsoft.com/office/drawing/2014/chart" uri="{C3380CC4-5D6E-409C-BE32-E72D297353CC}">
              <c16:uniqueId val="{00000003-1731-4960-A753-88E5D881F8A2}"/>
            </c:ext>
          </c:extLst>
        </c:ser>
        <c:dLbls>
          <c:showLegendKey val="0"/>
          <c:showVal val="0"/>
          <c:showCatName val="0"/>
          <c:showSerName val="0"/>
          <c:showPercent val="0"/>
          <c:showBubbleSize val="0"/>
        </c:dLbls>
        <c:gapWidth val="142"/>
        <c:overlap val="-6"/>
        <c:axId val="1673507951"/>
        <c:axId val="1673518351"/>
      </c:barChart>
      <c:catAx>
        <c:axId val="167350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73518351"/>
        <c:crosses val="autoZero"/>
        <c:auto val="1"/>
        <c:lblAlgn val="ctr"/>
        <c:lblOffset val="100"/>
        <c:noMultiLvlLbl val="0"/>
      </c:catAx>
      <c:valAx>
        <c:axId val="1673518351"/>
        <c:scaling>
          <c:orientation val="minMax"/>
        </c:scaling>
        <c:delete val="1"/>
        <c:axPos val="l"/>
        <c:numFmt formatCode="_-* #,##0.0_-;\-* #,##0.0_-;_-* &quot;-&quot;??_-;_-@_-" sourceLinked="1"/>
        <c:majorTickMark val="none"/>
        <c:minorTickMark val="none"/>
        <c:tickLblPos val="nextTo"/>
        <c:crossAx val="167350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A389-E9B0-4899-B8B0-0E505CFA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2</cp:revision>
  <dcterms:created xsi:type="dcterms:W3CDTF">2022-06-02T14:48:00Z</dcterms:created>
  <dcterms:modified xsi:type="dcterms:W3CDTF">2022-06-02T14:48:00Z</dcterms:modified>
</cp:coreProperties>
</file>