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E76E" w14:textId="77777777" w:rsidR="00722093" w:rsidRPr="00810CE8" w:rsidRDefault="00722093" w:rsidP="00274339">
      <w:pPr>
        <w:jc w:val="center"/>
        <w:rPr>
          <w:rFonts w:cs="Arial"/>
          <w:b/>
          <w:bCs/>
          <w:color w:val="000000" w:themeColor="text1"/>
          <w:szCs w:val="22"/>
        </w:rPr>
      </w:pPr>
    </w:p>
    <w:p w14:paraId="6CEC601E" w14:textId="0AE6C0B1" w:rsidR="00274339" w:rsidRDefault="00274339" w:rsidP="00274339">
      <w:pPr>
        <w:jc w:val="center"/>
        <w:rPr>
          <w:rFonts w:cs="Arial"/>
          <w:b/>
          <w:bCs/>
          <w:color w:val="000000" w:themeColor="text1"/>
          <w:sz w:val="24"/>
        </w:rPr>
      </w:pPr>
      <w:r w:rsidRPr="00780143">
        <w:rPr>
          <w:rFonts w:cs="Arial"/>
          <w:b/>
          <w:bCs/>
          <w:color w:val="000000" w:themeColor="text1"/>
          <w:sz w:val="24"/>
        </w:rPr>
        <w:t xml:space="preserve">ESTADÍSTICAS A PROPÓSITO DEL DÍA INTERNACIONAL DE LA MUJER </w:t>
      </w:r>
    </w:p>
    <w:p w14:paraId="30198D13" w14:textId="542667CE" w:rsidR="00274339" w:rsidRDefault="00780143" w:rsidP="00780143">
      <w:pPr>
        <w:jc w:val="center"/>
        <w:rPr>
          <w:rFonts w:cs="Arial"/>
          <w:b/>
          <w:bCs/>
          <w:color w:val="000000" w:themeColor="text1"/>
          <w:sz w:val="24"/>
        </w:rPr>
      </w:pPr>
      <w:r>
        <w:rPr>
          <w:rFonts w:cs="Arial"/>
          <w:b/>
          <w:bCs/>
          <w:color w:val="000000" w:themeColor="text1"/>
          <w:sz w:val="24"/>
        </w:rPr>
        <w:t>(8 DE MARZO)</w:t>
      </w:r>
    </w:p>
    <w:p w14:paraId="60693EDF" w14:textId="77777777" w:rsidR="00780143" w:rsidRPr="00780143" w:rsidRDefault="00780143" w:rsidP="00780143">
      <w:pPr>
        <w:jc w:val="center"/>
        <w:rPr>
          <w:rFonts w:cs="Arial"/>
          <w:b/>
          <w:bCs/>
          <w:color w:val="000000" w:themeColor="text1"/>
          <w:sz w:val="24"/>
        </w:rPr>
      </w:pPr>
    </w:p>
    <w:p w14:paraId="5F45E61F" w14:textId="2E0B9CD3" w:rsidR="00274339" w:rsidRPr="00B17200" w:rsidRDefault="004A57F6" w:rsidP="00581CB1">
      <w:pPr>
        <w:pStyle w:val="Prrafodelista"/>
        <w:numPr>
          <w:ilvl w:val="0"/>
          <w:numId w:val="1"/>
        </w:numPr>
        <w:autoSpaceDE w:val="0"/>
        <w:autoSpaceDN w:val="0"/>
        <w:adjustRightInd w:val="0"/>
        <w:spacing w:after="240"/>
        <w:ind w:left="426" w:right="333" w:hanging="284"/>
        <w:jc w:val="both"/>
        <w:rPr>
          <w:rFonts w:ascii="Arial" w:hAnsi="Arial" w:cs="Arial"/>
          <w:bCs/>
          <w:color w:val="000000" w:themeColor="text1"/>
          <w:sz w:val="22"/>
          <w:szCs w:val="22"/>
        </w:rPr>
      </w:pPr>
      <w:r w:rsidRPr="00B17200">
        <w:rPr>
          <w:rFonts w:ascii="Arial" w:hAnsi="Arial" w:cs="Arial"/>
          <w:bCs/>
          <w:color w:val="000000" w:themeColor="text1"/>
          <w:sz w:val="22"/>
          <w:szCs w:val="22"/>
        </w:rPr>
        <w:t>Según la Encuesta Nacional de Ocupación y Empleo-Nueva Edición, e</w:t>
      </w:r>
      <w:r w:rsidR="00274339" w:rsidRPr="00B17200">
        <w:rPr>
          <w:rFonts w:ascii="Arial" w:hAnsi="Arial" w:cs="Arial"/>
          <w:bCs/>
          <w:color w:val="000000" w:themeColor="text1"/>
          <w:sz w:val="22"/>
          <w:szCs w:val="22"/>
        </w:rPr>
        <w:t xml:space="preserve">n el tercer trimestre de 2021, se estima que </w:t>
      </w:r>
      <w:bookmarkStart w:id="0" w:name="_Hlk94262971"/>
      <w:r w:rsidR="00274339" w:rsidRPr="00B17200">
        <w:rPr>
          <w:rFonts w:ascii="Arial" w:hAnsi="Arial" w:cs="Arial"/>
          <w:bCs/>
          <w:color w:val="000000" w:themeColor="text1"/>
          <w:sz w:val="22"/>
          <w:szCs w:val="22"/>
        </w:rPr>
        <w:t>había</w:t>
      </w:r>
      <w:r w:rsidR="00581CB1" w:rsidRPr="00B17200">
        <w:rPr>
          <w:rFonts w:ascii="Arial" w:hAnsi="Arial" w:cs="Arial"/>
          <w:bCs/>
          <w:color w:val="000000" w:themeColor="text1"/>
          <w:sz w:val="22"/>
          <w:szCs w:val="22"/>
        </w:rPr>
        <w:t xml:space="preserve"> </w:t>
      </w:r>
      <w:r w:rsidR="00274339" w:rsidRPr="00B17200">
        <w:rPr>
          <w:rFonts w:ascii="Arial" w:hAnsi="Arial" w:cs="Arial"/>
          <w:bCs/>
          <w:color w:val="000000" w:themeColor="text1"/>
          <w:sz w:val="22"/>
          <w:szCs w:val="22"/>
        </w:rPr>
        <w:t xml:space="preserve">127.8 millones </w:t>
      </w:r>
      <w:bookmarkEnd w:id="0"/>
      <w:r w:rsidR="00274339" w:rsidRPr="00B17200">
        <w:rPr>
          <w:rFonts w:ascii="Arial" w:hAnsi="Arial" w:cs="Arial"/>
          <w:bCs/>
          <w:color w:val="000000" w:themeColor="text1"/>
          <w:sz w:val="22"/>
          <w:szCs w:val="22"/>
        </w:rPr>
        <w:t>de personas</w:t>
      </w:r>
      <w:r w:rsidR="00581CB1" w:rsidRPr="00B17200">
        <w:rPr>
          <w:rFonts w:ascii="Arial" w:hAnsi="Arial" w:cs="Arial"/>
          <w:bCs/>
          <w:color w:val="000000" w:themeColor="text1"/>
          <w:sz w:val="22"/>
          <w:szCs w:val="22"/>
        </w:rPr>
        <w:t xml:space="preserve"> en México</w:t>
      </w:r>
      <w:r w:rsidR="00274339" w:rsidRPr="00B17200">
        <w:rPr>
          <w:rFonts w:ascii="Arial" w:hAnsi="Arial" w:cs="Arial"/>
          <w:bCs/>
          <w:color w:val="000000" w:themeColor="text1"/>
          <w:sz w:val="22"/>
          <w:szCs w:val="22"/>
        </w:rPr>
        <w:t xml:space="preserve">. </w:t>
      </w:r>
      <w:r w:rsidR="00581CB1" w:rsidRPr="00B17200">
        <w:rPr>
          <w:rFonts w:ascii="Arial" w:hAnsi="Arial" w:cs="Arial"/>
          <w:bCs/>
          <w:color w:val="000000" w:themeColor="text1"/>
          <w:sz w:val="22"/>
          <w:szCs w:val="22"/>
        </w:rPr>
        <w:t>Las mujeres representa</w:t>
      </w:r>
      <w:r w:rsidRPr="00B17200">
        <w:rPr>
          <w:rFonts w:ascii="Arial" w:hAnsi="Arial" w:cs="Arial"/>
          <w:bCs/>
          <w:color w:val="000000" w:themeColor="text1"/>
          <w:sz w:val="22"/>
          <w:szCs w:val="22"/>
        </w:rPr>
        <w:t>ron</w:t>
      </w:r>
      <w:r w:rsidR="00581CB1" w:rsidRPr="00B17200">
        <w:rPr>
          <w:rFonts w:ascii="Arial" w:hAnsi="Arial" w:cs="Arial"/>
          <w:bCs/>
          <w:color w:val="000000" w:themeColor="text1"/>
          <w:sz w:val="22"/>
          <w:szCs w:val="22"/>
        </w:rPr>
        <w:t xml:space="preserve"> 52% de la población (66.2 millones)</w:t>
      </w:r>
      <w:r w:rsidR="00274339" w:rsidRPr="00B17200">
        <w:rPr>
          <w:rFonts w:ascii="Arial" w:hAnsi="Arial" w:cs="Arial"/>
          <w:bCs/>
          <w:color w:val="000000" w:themeColor="text1"/>
          <w:sz w:val="22"/>
          <w:szCs w:val="22"/>
        </w:rPr>
        <w:t>.</w:t>
      </w:r>
    </w:p>
    <w:p w14:paraId="179A1366" w14:textId="56640B1A" w:rsidR="00274339" w:rsidRPr="00B17200" w:rsidRDefault="00581CB1" w:rsidP="00581CB1">
      <w:pPr>
        <w:pStyle w:val="Prrafodelista"/>
        <w:numPr>
          <w:ilvl w:val="0"/>
          <w:numId w:val="1"/>
        </w:numPr>
        <w:autoSpaceDE w:val="0"/>
        <w:autoSpaceDN w:val="0"/>
        <w:adjustRightInd w:val="0"/>
        <w:spacing w:after="240"/>
        <w:ind w:left="426" w:right="333" w:hanging="284"/>
        <w:jc w:val="both"/>
        <w:rPr>
          <w:rFonts w:ascii="Arial" w:hAnsi="Arial" w:cs="Arial"/>
          <w:bCs/>
          <w:color w:val="000000" w:themeColor="text1"/>
          <w:sz w:val="22"/>
          <w:szCs w:val="22"/>
        </w:rPr>
      </w:pPr>
      <w:r w:rsidRPr="00B17200">
        <w:rPr>
          <w:rFonts w:ascii="Arial" w:hAnsi="Arial" w:cs="Arial"/>
          <w:bCs/>
          <w:color w:val="000000" w:themeColor="text1"/>
          <w:sz w:val="22"/>
          <w:szCs w:val="22"/>
        </w:rPr>
        <w:t xml:space="preserve">En México hay  </w:t>
      </w:r>
      <w:r w:rsidRPr="00B17200">
        <w:rPr>
          <w:rFonts w:ascii="Arial" w:hAnsi="Arial" w:cs="Arial"/>
          <w:bCs/>
          <w:sz w:val="22"/>
          <w:szCs w:val="22"/>
        </w:rPr>
        <w:t>51.7 millones</w:t>
      </w:r>
      <w:r w:rsidRPr="00B17200">
        <w:rPr>
          <w:rFonts w:ascii="Arial" w:hAnsi="Arial" w:cs="Arial"/>
          <w:bCs/>
          <w:color w:val="000000" w:themeColor="text1"/>
          <w:sz w:val="22"/>
          <w:szCs w:val="22"/>
        </w:rPr>
        <w:t xml:space="preserve"> de mujeres de 15 años o más edad, de las cuales, </w:t>
      </w:r>
      <w:r w:rsidR="00E6759C" w:rsidRPr="00B17200">
        <w:rPr>
          <w:rFonts w:ascii="Arial" w:hAnsi="Arial" w:cs="Arial"/>
          <w:bCs/>
          <w:color w:val="000000" w:themeColor="text1"/>
          <w:sz w:val="22"/>
          <w:szCs w:val="22"/>
        </w:rPr>
        <w:t xml:space="preserve">cuatro de cada </w:t>
      </w:r>
      <w:r w:rsidR="00CB09FF" w:rsidRPr="00B17200">
        <w:rPr>
          <w:rFonts w:ascii="Arial" w:hAnsi="Arial" w:cs="Arial"/>
          <w:bCs/>
          <w:color w:val="000000" w:themeColor="text1"/>
          <w:sz w:val="22"/>
          <w:szCs w:val="22"/>
        </w:rPr>
        <w:t>diez</w:t>
      </w:r>
      <w:r w:rsidR="00E6759C" w:rsidRPr="00B17200">
        <w:rPr>
          <w:rFonts w:ascii="Arial" w:hAnsi="Arial" w:cs="Arial"/>
          <w:bCs/>
          <w:color w:val="000000" w:themeColor="text1"/>
          <w:sz w:val="22"/>
          <w:szCs w:val="22"/>
        </w:rPr>
        <w:t xml:space="preserve"> </w:t>
      </w:r>
      <w:r w:rsidR="00274339" w:rsidRPr="00B17200">
        <w:rPr>
          <w:rFonts w:ascii="Arial" w:hAnsi="Arial" w:cs="Arial"/>
          <w:bCs/>
          <w:color w:val="000000" w:themeColor="text1"/>
          <w:sz w:val="22"/>
          <w:szCs w:val="22"/>
        </w:rPr>
        <w:t xml:space="preserve">(22.8 millones) </w:t>
      </w:r>
      <w:r w:rsidR="00A43D67" w:rsidRPr="00B17200">
        <w:rPr>
          <w:rFonts w:ascii="Arial" w:hAnsi="Arial" w:cs="Arial"/>
          <w:bCs/>
          <w:color w:val="000000" w:themeColor="text1"/>
          <w:sz w:val="22"/>
          <w:szCs w:val="22"/>
        </w:rPr>
        <w:t>forma</w:t>
      </w:r>
      <w:r w:rsidR="00E6759C" w:rsidRPr="00B17200">
        <w:rPr>
          <w:rFonts w:ascii="Arial" w:hAnsi="Arial" w:cs="Arial"/>
          <w:bCs/>
          <w:color w:val="000000" w:themeColor="text1"/>
          <w:sz w:val="22"/>
          <w:szCs w:val="22"/>
        </w:rPr>
        <w:t>ron</w:t>
      </w:r>
      <w:r w:rsidR="00274339" w:rsidRPr="00B17200">
        <w:rPr>
          <w:rFonts w:ascii="Arial" w:hAnsi="Arial" w:cs="Arial"/>
          <w:bCs/>
          <w:color w:val="000000" w:themeColor="text1"/>
          <w:sz w:val="22"/>
          <w:szCs w:val="22"/>
        </w:rPr>
        <w:t xml:space="preserve"> parte de la Población Económicamente Activa.</w:t>
      </w:r>
      <w:r w:rsidR="00274339" w:rsidRPr="00B17200">
        <w:rPr>
          <w:rFonts w:ascii="Arial" w:hAnsi="Arial" w:cs="Arial"/>
          <w:bCs/>
          <w:szCs w:val="22"/>
        </w:rPr>
        <w:t xml:space="preserve"> </w:t>
      </w:r>
    </w:p>
    <w:p w14:paraId="316D6973" w14:textId="17429F6A" w:rsidR="00F62DBD" w:rsidRPr="00B17200" w:rsidRDefault="00CB09FF" w:rsidP="00F62DBD">
      <w:pPr>
        <w:pStyle w:val="Prrafodelista"/>
        <w:numPr>
          <w:ilvl w:val="0"/>
          <w:numId w:val="1"/>
        </w:numPr>
        <w:autoSpaceDE w:val="0"/>
        <w:autoSpaceDN w:val="0"/>
        <w:adjustRightInd w:val="0"/>
        <w:spacing w:after="240"/>
        <w:ind w:left="426" w:right="333" w:hanging="284"/>
        <w:jc w:val="both"/>
        <w:rPr>
          <w:rFonts w:ascii="Arial" w:hAnsi="Arial" w:cs="Arial"/>
          <w:bCs/>
          <w:color w:val="000000" w:themeColor="text1"/>
          <w:sz w:val="22"/>
          <w:szCs w:val="22"/>
        </w:rPr>
      </w:pPr>
      <w:r w:rsidRPr="00B17200">
        <w:rPr>
          <w:rFonts w:ascii="Arial" w:hAnsi="Arial" w:cs="Arial"/>
          <w:bCs/>
          <w:sz w:val="22"/>
          <w:szCs w:val="22"/>
        </w:rPr>
        <w:t>De acuerdo con los Censos Económicos</w:t>
      </w:r>
      <w:r w:rsidRPr="00B17200">
        <w:rPr>
          <w:rFonts w:ascii="Arial" w:hAnsi="Arial" w:cs="Arial"/>
          <w:bCs/>
          <w:color w:val="000000" w:themeColor="text1"/>
          <w:sz w:val="22"/>
          <w:szCs w:val="22"/>
        </w:rPr>
        <w:t>, e</w:t>
      </w:r>
      <w:r w:rsidR="00F62DBD" w:rsidRPr="00B17200">
        <w:rPr>
          <w:rFonts w:ascii="Arial" w:hAnsi="Arial" w:cs="Arial"/>
          <w:bCs/>
          <w:color w:val="000000" w:themeColor="text1"/>
          <w:sz w:val="22"/>
          <w:szCs w:val="22"/>
        </w:rPr>
        <w:t xml:space="preserve">n 2018, </w:t>
      </w:r>
      <w:r w:rsidR="008935E5" w:rsidRPr="00B17200">
        <w:rPr>
          <w:rFonts w:ascii="Arial" w:hAnsi="Arial" w:cs="Arial"/>
          <w:bCs/>
          <w:color w:val="000000" w:themeColor="text1"/>
          <w:sz w:val="22"/>
          <w:szCs w:val="22"/>
        </w:rPr>
        <w:t>en México</w:t>
      </w:r>
      <w:r w:rsidR="00F62DBD" w:rsidRPr="00B17200">
        <w:rPr>
          <w:rFonts w:ascii="Arial" w:hAnsi="Arial" w:cs="Arial"/>
          <w:bCs/>
          <w:color w:val="000000" w:themeColor="text1"/>
          <w:sz w:val="22"/>
          <w:szCs w:val="22"/>
        </w:rPr>
        <w:t xml:space="preserve"> había </w:t>
      </w:r>
      <w:r w:rsidR="00F62DBD" w:rsidRPr="00B17200">
        <w:rPr>
          <w:rFonts w:ascii="Arial" w:hAnsi="Arial" w:cs="Arial"/>
          <w:bCs/>
          <w:sz w:val="22"/>
          <w:szCs w:val="22"/>
        </w:rPr>
        <w:t xml:space="preserve">1.6 millones de establecimientos </w:t>
      </w:r>
      <w:r w:rsidR="00F62DBD" w:rsidRPr="00B17200">
        <w:rPr>
          <w:rFonts w:ascii="Arial" w:hAnsi="Arial" w:cs="Arial"/>
          <w:sz w:val="22"/>
          <w:szCs w:val="22"/>
        </w:rPr>
        <w:t>micro, pequeños y medianos</w:t>
      </w:r>
      <w:r w:rsidR="00780143">
        <w:rPr>
          <w:rFonts w:ascii="Arial" w:hAnsi="Arial" w:cs="Arial"/>
          <w:sz w:val="22"/>
          <w:szCs w:val="22"/>
        </w:rPr>
        <w:t xml:space="preserve"> (</w:t>
      </w:r>
      <w:r w:rsidR="00780143" w:rsidRPr="00B17200">
        <w:rPr>
          <w:rFonts w:ascii="Arial" w:hAnsi="Arial" w:cs="Arial"/>
          <w:bCs/>
          <w:sz w:val="22"/>
          <w:szCs w:val="22"/>
        </w:rPr>
        <w:t>MIPYMES</w:t>
      </w:r>
      <w:r w:rsidR="00780143">
        <w:rPr>
          <w:rFonts w:ascii="Arial" w:hAnsi="Arial" w:cs="Arial"/>
          <w:bCs/>
          <w:sz w:val="22"/>
          <w:szCs w:val="22"/>
        </w:rPr>
        <w:t>)</w:t>
      </w:r>
      <w:r w:rsidR="00780143">
        <w:rPr>
          <w:rFonts w:ascii="Arial" w:hAnsi="Arial" w:cs="Arial"/>
          <w:sz w:val="22"/>
          <w:szCs w:val="22"/>
        </w:rPr>
        <w:t xml:space="preserve">, </w:t>
      </w:r>
      <w:r w:rsidR="00F62DBD" w:rsidRPr="00B17200">
        <w:rPr>
          <w:rFonts w:ascii="Arial" w:hAnsi="Arial" w:cs="Arial"/>
          <w:bCs/>
          <w:sz w:val="22"/>
          <w:szCs w:val="22"/>
        </w:rPr>
        <w:t>propiedad de mujeres</w:t>
      </w:r>
      <w:r w:rsidR="00780143">
        <w:rPr>
          <w:rFonts w:ascii="Arial" w:hAnsi="Arial" w:cs="Arial"/>
          <w:bCs/>
          <w:sz w:val="22"/>
          <w:szCs w:val="22"/>
        </w:rPr>
        <w:t xml:space="preserve">  y </w:t>
      </w:r>
      <w:r w:rsidRPr="00B17200">
        <w:rPr>
          <w:rFonts w:ascii="Arial" w:hAnsi="Arial" w:cs="Arial"/>
          <w:bCs/>
          <w:sz w:val="22"/>
          <w:szCs w:val="22"/>
        </w:rPr>
        <w:t>emplearon</w:t>
      </w:r>
      <w:r w:rsidR="00F62DBD" w:rsidRPr="00B17200">
        <w:rPr>
          <w:rFonts w:ascii="Arial" w:hAnsi="Arial" w:cs="Arial"/>
          <w:bCs/>
          <w:sz w:val="22"/>
          <w:szCs w:val="22"/>
        </w:rPr>
        <w:t xml:space="preserve"> a 2.9 millones de personas.</w:t>
      </w:r>
    </w:p>
    <w:p w14:paraId="1FAFB7A8" w14:textId="33257954" w:rsidR="00053C2A" w:rsidRPr="00B17200" w:rsidRDefault="00053C2A" w:rsidP="00F62DBD">
      <w:pPr>
        <w:pStyle w:val="Prrafodelista"/>
        <w:numPr>
          <w:ilvl w:val="0"/>
          <w:numId w:val="1"/>
        </w:numPr>
        <w:autoSpaceDE w:val="0"/>
        <w:autoSpaceDN w:val="0"/>
        <w:adjustRightInd w:val="0"/>
        <w:spacing w:after="240"/>
        <w:ind w:left="426" w:right="333" w:hanging="284"/>
        <w:jc w:val="both"/>
        <w:rPr>
          <w:rFonts w:ascii="Arial" w:hAnsi="Arial" w:cs="Arial"/>
          <w:bCs/>
          <w:sz w:val="22"/>
          <w:szCs w:val="22"/>
        </w:rPr>
      </w:pPr>
      <w:r w:rsidRPr="00B17200">
        <w:rPr>
          <w:rFonts w:ascii="Arial" w:hAnsi="Arial" w:cs="Arial"/>
          <w:bCs/>
          <w:sz w:val="22"/>
          <w:szCs w:val="22"/>
        </w:rPr>
        <w:t>13 de cada 100 establecimientos MIPYMES de mujeres propietarias obtuvieron un crédito o financiamiento. Las principales fuentes utilizadas fueron los bancos (33.4%) y las cajas de ahorro popular (25.8%).</w:t>
      </w:r>
    </w:p>
    <w:p w14:paraId="4F88C492" w14:textId="5B161963" w:rsidR="00E42A6E" w:rsidRPr="00B17200" w:rsidRDefault="00E42A6E" w:rsidP="00722093">
      <w:pPr>
        <w:pStyle w:val="Prrafodelista"/>
        <w:numPr>
          <w:ilvl w:val="0"/>
          <w:numId w:val="1"/>
        </w:numPr>
        <w:autoSpaceDE w:val="0"/>
        <w:autoSpaceDN w:val="0"/>
        <w:adjustRightInd w:val="0"/>
        <w:spacing w:after="240"/>
        <w:ind w:left="426" w:right="333" w:hanging="284"/>
        <w:jc w:val="both"/>
        <w:rPr>
          <w:rFonts w:ascii="Arial" w:hAnsi="Arial" w:cs="Arial"/>
          <w:sz w:val="22"/>
          <w:szCs w:val="22"/>
        </w:rPr>
      </w:pPr>
      <w:r w:rsidRPr="00B17200">
        <w:rPr>
          <w:rFonts w:ascii="Arial" w:hAnsi="Arial" w:cs="Arial"/>
          <w:sz w:val="22"/>
          <w:szCs w:val="22"/>
        </w:rPr>
        <w:t>En 2020, a nivel nacional</w:t>
      </w:r>
      <w:r w:rsidR="00156D60" w:rsidRPr="00B17200">
        <w:rPr>
          <w:rFonts w:ascii="Arial" w:hAnsi="Arial" w:cs="Arial"/>
          <w:sz w:val="22"/>
          <w:szCs w:val="22"/>
        </w:rPr>
        <w:t xml:space="preserve">, </w:t>
      </w:r>
      <w:r w:rsidRPr="00B17200">
        <w:rPr>
          <w:rFonts w:ascii="Arial" w:hAnsi="Arial" w:cs="Arial"/>
          <w:sz w:val="22"/>
          <w:szCs w:val="22"/>
        </w:rPr>
        <w:t>por cada 3 hombres hubo una mujer presidiendo las administraciones públicas municipales.</w:t>
      </w:r>
    </w:p>
    <w:p w14:paraId="1BD32238" w14:textId="6BDE52D2" w:rsidR="00274339" w:rsidRPr="00B17200" w:rsidRDefault="00E42A6E" w:rsidP="00FC72AF">
      <w:pPr>
        <w:pStyle w:val="Prrafodelista"/>
        <w:numPr>
          <w:ilvl w:val="0"/>
          <w:numId w:val="1"/>
        </w:numPr>
        <w:autoSpaceDE w:val="0"/>
        <w:autoSpaceDN w:val="0"/>
        <w:adjustRightInd w:val="0"/>
        <w:spacing w:after="240"/>
        <w:ind w:left="426" w:right="333" w:hanging="284"/>
        <w:jc w:val="both"/>
        <w:rPr>
          <w:rFonts w:ascii="Arial" w:hAnsi="Arial" w:cs="Arial"/>
          <w:bCs/>
          <w:color w:val="000000" w:themeColor="text1"/>
          <w:sz w:val="22"/>
          <w:szCs w:val="22"/>
        </w:rPr>
      </w:pPr>
      <w:r w:rsidRPr="00B17200">
        <w:rPr>
          <w:rFonts w:ascii="Arial" w:hAnsi="Arial" w:cs="Arial"/>
          <w:sz w:val="22"/>
          <w:szCs w:val="22"/>
        </w:rPr>
        <w:t>S</w:t>
      </w:r>
      <w:r w:rsidR="00274339" w:rsidRPr="00B17200">
        <w:rPr>
          <w:rFonts w:ascii="Arial" w:hAnsi="Arial" w:cs="Arial"/>
          <w:sz w:val="22"/>
          <w:szCs w:val="22"/>
        </w:rPr>
        <w:t xml:space="preserve">egún el Censo Nacional de Procuración de Justicia Estatal, el delito de violencia familiar </w:t>
      </w:r>
      <w:r w:rsidR="00FC72AF" w:rsidRPr="00B17200">
        <w:rPr>
          <w:rFonts w:ascii="Arial" w:hAnsi="Arial" w:cs="Arial"/>
          <w:sz w:val="22"/>
          <w:szCs w:val="22"/>
        </w:rPr>
        <w:t>aumentó 5.3% entre 2019 y 2020</w:t>
      </w:r>
      <w:r w:rsidR="00274339" w:rsidRPr="00B17200">
        <w:rPr>
          <w:rFonts w:ascii="Arial" w:hAnsi="Arial" w:cs="Arial"/>
          <w:sz w:val="22"/>
          <w:szCs w:val="22"/>
        </w:rPr>
        <w:t xml:space="preserve">. </w:t>
      </w:r>
    </w:p>
    <w:p w14:paraId="0DD47CC3" w14:textId="5C04D9B7" w:rsidR="00274339" w:rsidRPr="00B17200" w:rsidRDefault="00274339" w:rsidP="00FC72AF">
      <w:pPr>
        <w:autoSpaceDE w:val="0"/>
        <w:autoSpaceDN w:val="0"/>
        <w:adjustRightInd w:val="0"/>
        <w:ind w:left="-567" w:right="-518"/>
        <w:rPr>
          <w:rFonts w:cs="Arial"/>
          <w:szCs w:val="22"/>
        </w:rPr>
      </w:pPr>
      <w:r w:rsidRPr="00B17200">
        <w:rPr>
          <w:rFonts w:cs="Arial"/>
          <w:szCs w:val="22"/>
        </w:rPr>
        <w:t xml:space="preserve">El Día Internacional de la Mujer (8 de marzo) es una fecha que se conmemora </w:t>
      </w:r>
      <w:r w:rsidR="007F0F20">
        <w:rPr>
          <w:rFonts w:cs="Arial"/>
          <w:szCs w:val="22"/>
        </w:rPr>
        <w:t>c</w:t>
      </w:r>
      <w:r w:rsidR="001E0347" w:rsidRPr="00B17200">
        <w:rPr>
          <w:rFonts w:cs="Arial"/>
          <w:szCs w:val="22"/>
        </w:rPr>
        <w:t>on la finalidad de</w:t>
      </w:r>
      <w:r w:rsidRPr="00B17200">
        <w:rPr>
          <w:rFonts w:cs="Arial"/>
          <w:szCs w:val="22"/>
        </w:rPr>
        <w:t xml:space="preserve"> recordar los años de lucha de las mujeres en pro de la igualdad, justicia, paz y desarrollo. </w:t>
      </w:r>
      <w:r w:rsidR="001E0347" w:rsidRPr="00B17200">
        <w:rPr>
          <w:rFonts w:cs="Arial"/>
          <w:szCs w:val="22"/>
        </w:rPr>
        <w:t>En este marco</w:t>
      </w:r>
      <w:r w:rsidRPr="00B17200">
        <w:rPr>
          <w:rFonts w:cs="Arial"/>
          <w:szCs w:val="22"/>
        </w:rPr>
        <w:t xml:space="preserve">, el </w:t>
      </w:r>
      <w:r w:rsidRPr="00B17200">
        <w:rPr>
          <w:rFonts w:cs="Arial"/>
          <w:bCs/>
          <w:szCs w:val="22"/>
        </w:rPr>
        <w:t xml:space="preserve">Instituto Nacional de Estadística y Geografía </w:t>
      </w:r>
      <w:r w:rsidRPr="00B17200">
        <w:rPr>
          <w:rFonts w:cs="Arial"/>
          <w:szCs w:val="22"/>
        </w:rPr>
        <w:t>(</w:t>
      </w:r>
      <w:r w:rsidRPr="00B17200">
        <w:rPr>
          <w:rFonts w:cs="Arial"/>
          <w:bCs/>
          <w:szCs w:val="22"/>
        </w:rPr>
        <w:t>INEGI</w:t>
      </w:r>
      <w:r w:rsidRPr="00B17200">
        <w:rPr>
          <w:rFonts w:cs="Arial"/>
          <w:szCs w:val="22"/>
        </w:rPr>
        <w:t xml:space="preserve">) presenta algunos datos relevantes </w:t>
      </w:r>
      <w:r w:rsidR="001E0347" w:rsidRPr="00B17200">
        <w:rPr>
          <w:rFonts w:cs="Arial"/>
          <w:szCs w:val="22"/>
        </w:rPr>
        <w:t>que muestran un panorama general de</w:t>
      </w:r>
      <w:r w:rsidRPr="00B17200">
        <w:rPr>
          <w:rFonts w:cs="Arial"/>
          <w:szCs w:val="22"/>
        </w:rPr>
        <w:t xml:space="preserve"> la situación de las mujeres en México. </w:t>
      </w:r>
    </w:p>
    <w:p w14:paraId="2E32893B" w14:textId="77777777" w:rsidR="00502A86" w:rsidRDefault="00502A86" w:rsidP="00722093">
      <w:pPr>
        <w:pStyle w:val="Default"/>
        <w:ind w:left="-567" w:right="-518"/>
        <w:rPr>
          <w:b/>
          <w:bCs/>
          <w:smallCaps/>
          <w:sz w:val="22"/>
          <w:szCs w:val="22"/>
        </w:rPr>
      </w:pPr>
    </w:p>
    <w:p w14:paraId="2BC30415" w14:textId="01E44B89" w:rsidR="00274339" w:rsidRPr="00B17200" w:rsidRDefault="00274339" w:rsidP="00722093">
      <w:pPr>
        <w:pStyle w:val="Default"/>
        <w:ind w:left="-567" w:right="-518"/>
        <w:rPr>
          <w:b/>
          <w:bCs/>
          <w:smallCaps/>
          <w:sz w:val="22"/>
          <w:szCs w:val="22"/>
        </w:rPr>
      </w:pPr>
      <w:r w:rsidRPr="00B17200">
        <w:rPr>
          <w:b/>
          <w:bCs/>
          <w:smallCaps/>
          <w:sz w:val="22"/>
          <w:szCs w:val="22"/>
        </w:rPr>
        <w:t>Estructura de edad de la población</w:t>
      </w:r>
    </w:p>
    <w:p w14:paraId="738058CA" w14:textId="77777777" w:rsidR="00274339" w:rsidRPr="00B17200" w:rsidRDefault="00274339" w:rsidP="00722093">
      <w:pPr>
        <w:pStyle w:val="Default"/>
        <w:ind w:left="-567" w:right="-518"/>
        <w:rPr>
          <w:b/>
          <w:bCs/>
          <w:smallCaps/>
          <w:sz w:val="22"/>
          <w:szCs w:val="22"/>
        </w:rPr>
      </w:pPr>
    </w:p>
    <w:p w14:paraId="1428C0CD" w14:textId="19D3A5B2" w:rsidR="00BF37A2" w:rsidRPr="00B17200" w:rsidRDefault="00274339" w:rsidP="00722093">
      <w:pPr>
        <w:autoSpaceDE w:val="0"/>
        <w:autoSpaceDN w:val="0"/>
        <w:adjustRightInd w:val="0"/>
        <w:ind w:left="-567" w:right="-518"/>
        <w:rPr>
          <w:rFonts w:cs="Arial"/>
          <w:szCs w:val="22"/>
        </w:rPr>
      </w:pPr>
      <w:r w:rsidRPr="00B17200">
        <w:rPr>
          <w:rFonts w:cs="Arial"/>
          <w:szCs w:val="22"/>
        </w:rPr>
        <w:t>En el tercer trimestre de 2021, los resultados de la Encuesta Nacional de Ocupación y Empleo-Nueva Edición (ENOE</w:t>
      </w:r>
      <w:r w:rsidR="00780143" w:rsidRPr="00B17200">
        <w:rPr>
          <w:rFonts w:cs="Arial"/>
          <w:bCs/>
          <w:sz w:val="16"/>
          <w:szCs w:val="16"/>
          <w:vertAlign w:val="superscript"/>
        </w:rPr>
        <w:t>N</w:t>
      </w:r>
      <w:r w:rsidRPr="00B17200">
        <w:rPr>
          <w:rFonts w:cs="Arial"/>
          <w:szCs w:val="22"/>
        </w:rPr>
        <w:t>) estiman que</w:t>
      </w:r>
      <w:r w:rsidR="00917255" w:rsidRPr="00B17200">
        <w:rPr>
          <w:rFonts w:cs="Arial"/>
          <w:szCs w:val="22"/>
        </w:rPr>
        <w:t xml:space="preserve"> México tenía una población total de 127.8 millones de personas. Las mujeres representan un poco más de la mitad de la población, con un porcentaje de 52% (66.2 millones), mientras que el porcentaje de los hombres es de 48% (61.6 millones).</w:t>
      </w:r>
    </w:p>
    <w:p w14:paraId="7F8B8D2A" w14:textId="77777777" w:rsidR="00274339" w:rsidRPr="00B17200" w:rsidRDefault="00274339" w:rsidP="00917255">
      <w:pPr>
        <w:autoSpaceDE w:val="0"/>
        <w:autoSpaceDN w:val="0"/>
        <w:adjustRightInd w:val="0"/>
        <w:ind w:right="-518"/>
        <w:rPr>
          <w:rFonts w:cs="Arial"/>
          <w:szCs w:val="22"/>
        </w:rPr>
      </w:pPr>
    </w:p>
    <w:p w14:paraId="2A89303D" w14:textId="182EB93E" w:rsidR="00274339" w:rsidRPr="00B17200" w:rsidRDefault="00917255" w:rsidP="00597C15">
      <w:pPr>
        <w:autoSpaceDE w:val="0"/>
        <w:autoSpaceDN w:val="0"/>
        <w:adjustRightInd w:val="0"/>
        <w:ind w:left="-567" w:right="-518"/>
        <w:rPr>
          <w:rFonts w:cs="Arial"/>
          <w:szCs w:val="22"/>
        </w:rPr>
      </w:pPr>
      <w:r w:rsidRPr="00B17200">
        <w:rPr>
          <w:rFonts w:cs="Arial"/>
          <w:szCs w:val="22"/>
        </w:rPr>
        <w:t xml:space="preserve">Por grupos de edad, </w:t>
      </w:r>
      <w:r w:rsidR="00A276AE" w:rsidRPr="00B17200">
        <w:rPr>
          <w:rFonts w:cs="Arial"/>
          <w:szCs w:val="22"/>
        </w:rPr>
        <w:t xml:space="preserve">la mitad de la población se concentra en aquellos que tiene 30 años y más de edad. El 54% de las mujeres se encuentran en este rango de edad y 50% en el caso de los hombres. </w:t>
      </w:r>
    </w:p>
    <w:p w14:paraId="6C0C508D" w14:textId="77777777" w:rsidR="00274339" w:rsidRPr="00B17200" w:rsidRDefault="00274339" w:rsidP="00274339">
      <w:pPr>
        <w:keepNext/>
        <w:autoSpaceDE w:val="0"/>
        <w:autoSpaceDN w:val="0"/>
        <w:adjustRightInd w:val="0"/>
        <w:jc w:val="center"/>
        <w:rPr>
          <w:rFonts w:cs="Arial"/>
          <w:smallCaps/>
          <w:sz w:val="20"/>
          <w:szCs w:val="20"/>
        </w:rPr>
      </w:pPr>
      <w:r w:rsidRPr="00B17200">
        <w:rPr>
          <w:rFonts w:cs="Arial"/>
          <w:smallCaps/>
          <w:sz w:val="20"/>
          <w:szCs w:val="20"/>
        </w:rPr>
        <w:t>Gráfica 1</w:t>
      </w:r>
    </w:p>
    <w:p w14:paraId="2F7B1A80" w14:textId="77777777" w:rsidR="00274339" w:rsidRPr="00B17200" w:rsidRDefault="00274339" w:rsidP="00274339">
      <w:pPr>
        <w:keepNext/>
        <w:autoSpaceDE w:val="0"/>
        <w:autoSpaceDN w:val="0"/>
        <w:adjustRightInd w:val="0"/>
        <w:jc w:val="center"/>
        <w:rPr>
          <w:rFonts w:cs="Arial"/>
          <w:b/>
          <w:smallCaps/>
        </w:rPr>
      </w:pPr>
      <w:r w:rsidRPr="00B17200">
        <w:rPr>
          <w:rFonts w:cs="Arial"/>
          <w:b/>
          <w:smallCaps/>
        </w:rPr>
        <w:t xml:space="preserve">Población por grandes grupos de edad y sexo, tercer trimestre 2021 </w:t>
      </w:r>
    </w:p>
    <w:p w14:paraId="20B45BEC" w14:textId="77777777" w:rsidR="00274339" w:rsidRPr="00B17200" w:rsidRDefault="00274339" w:rsidP="00274339">
      <w:pPr>
        <w:keepNext/>
        <w:autoSpaceDE w:val="0"/>
        <w:autoSpaceDN w:val="0"/>
        <w:adjustRightInd w:val="0"/>
        <w:jc w:val="center"/>
        <w:rPr>
          <w:rFonts w:cs="Arial"/>
          <w:sz w:val="18"/>
          <w:szCs w:val="18"/>
        </w:rPr>
      </w:pPr>
      <w:r w:rsidRPr="00B17200">
        <w:rPr>
          <w:rFonts w:cs="Arial"/>
          <w:sz w:val="18"/>
          <w:szCs w:val="18"/>
        </w:rPr>
        <w:t>Distribución porcentual</w:t>
      </w:r>
    </w:p>
    <w:p w14:paraId="423721C9" w14:textId="77777777" w:rsidR="00274339" w:rsidRPr="00B17200" w:rsidRDefault="00274339" w:rsidP="00274339">
      <w:pPr>
        <w:keepNext/>
        <w:autoSpaceDE w:val="0"/>
        <w:autoSpaceDN w:val="0"/>
        <w:adjustRightInd w:val="0"/>
        <w:jc w:val="center"/>
        <w:rPr>
          <w:rFonts w:cs="Arial"/>
        </w:rPr>
      </w:pPr>
      <w:r w:rsidRPr="00B17200">
        <w:rPr>
          <w:rFonts w:cs="Arial"/>
          <w:noProof/>
        </w:rPr>
        <w:t xml:space="preserve"> </w:t>
      </w:r>
      <w:r w:rsidRPr="00B17200">
        <w:rPr>
          <w:rFonts w:cs="Arial"/>
          <w:noProof/>
        </w:rPr>
        <w:drawing>
          <wp:inline distT="0" distB="0" distL="0" distR="0" wp14:anchorId="45664109" wp14:editId="12846C43">
            <wp:extent cx="3646714" cy="1665514"/>
            <wp:effectExtent l="0" t="0" r="0" b="0"/>
            <wp:docPr id="4" name="Gráfico 4">
              <a:extLst xmlns:a="http://schemas.openxmlformats.org/drawingml/2006/main">
                <a:ext uri="{FF2B5EF4-FFF2-40B4-BE49-F238E27FC236}">
                  <a16:creationId xmlns:a16="http://schemas.microsoft.com/office/drawing/2014/main" id="{E704D6E1-F779-4D00-A54F-51242959C7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17E692" w14:textId="77777777" w:rsidR="00274339" w:rsidRPr="00B17200" w:rsidRDefault="00274339" w:rsidP="00722093">
      <w:pPr>
        <w:ind w:firstLine="1418"/>
        <w:rPr>
          <w:rFonts w:cs="Arial"/>
          <w:bCs/>
          <w:sz w:val="16"/>
          <w:szCs w:val="16"/>
        </w:rPr>
      </w:pPr>
      <w:r w:rsidRPr="00B17200">
        <w:rPr>
          <w:rFonts w:cs="Arial"/>
          <w:bCs/>
          <w:sz w:val="16"/>
          <w:szCs w:val="16"/>
        </w:rPr>
        <w:t>Fuente: INEGI. ENOE</w:t>
      </w:r>
      <w:r w:rsidRPr="00B17200">
        <w:rPr>
          <w:rFonts w:cs="Arial"/>
          <w:bCs/>
          <w:sz w:val="16"/>
          <w:szCs w:val="16"/>
          <w:vertAlign w:val="superscript"/>
        </w:rPr>
        <w:t>N</w:t>
      </w:r>
      <w:r w:rsidRPr="00B17200">
        <w:rPr>
          <w:rFonts w:cs="Arial"/>
          <w:bCs/>
          <w:sz w:val="16"/>
          <w:szCs w:val="16"/>
        </w:rPr>
        <w:t>. Tabulados básicos. Tercer trimestre de 2021.</w:t>
      </w:r>
    </w:p>
    <w:p w14:paraId="644E842C" w14:textId="77777777" w:rsidR="00810CE8" w:rsidRPr="00B17200" w:rsidRDefault="00810CE8" w:rsidP="00722093">
      <w:pPr>
        <w:keepNext/>
        <w:keepLines/>
        <w:ind w:left="-567" w:right="-518"/>
        <w:rPr>
          <w:rFonts w:cs="Arial"/>
          <w:b/>
          <w:bCs/>
          <w:smallCaps/>
          <w:szCs w:val="22"/>
        </w:rPr>
      </w:pPr>
    </w:p>
    <w:p w14:paraId="27F564FA" w14:textId="60C44316" w:rsidR="00274339" w:rsidRPr="00B17200" w:rsidRDefault="00274339" w:rsidP="00722093">
      <w:pPr>
        <w:keepNext/>
        <w:keepLines/>
        <w:ind w:left="-567" w:right="-518"/>
        <w:rPr>
          <w:rFonts w:cs="Arial"/>
          <w:b/>
          <w:bCs/>
          <w:smallCaps/>
          <w:szCs w:val="22"/>
        </w:rPr>
      </w:pPr>
      <w:r w:rsidRPr="00B17200">
        <w:rPr>
          <w:rFonts w:cs="Arial"/>
          <w:b/>
          <w:bCs/>
          <w:smallCaps/>
          <w:szCs w:val="22"/>
        </w:rPr>
        <w:t xml:space="preserve">Participación económica de la mujer </w:t>
      </w:r>
    </w:p>
    <w:p w14:paraId="0C2FA0EB" w14:textId="77777777" w:rsidR="00274339" w:rsidRPr="00B17200" w:rsidRDefault="00274339" w:rsidP="00722093">
      <w:pPr>
        <w:keepNext/>
        <w:keepLines/>
        <w:ind w:left="-567" w:right="-518"/>
        <w:rPr>
          <w:rFonts w:cs="Arial"/>
          <w:b/>
          <w:bCs/>
          <w:smallCaps/>
          <w:szCs w:val="22"/>
        </w:rPr>
      </w:pPr>
    </w:p>
    <w:p w14:paraId="1A3CFF89" w14:textId="1621B6CE" w:rsidR="00274339" w:rsidRPr="00B17200" w:rsidRDefault="00274339" w:rsidP="009A06F8">
      <w:pPr>
        <w:keepNext/>
        <w:keepLines/>
        <w:spacing w:after="240"/>
        <w:ind w:left="-567" w:right="-518"/>
        <w:rPr>
          <w:rFonts w:cs="Arial"/>
          <w:szCs w:val="22"/>
        </w:rPr>
      </w:pPr>
      <w:r w:rsidRPr="00B17200">
        <w:rPr>
          <w:rFonts w:cs="Arial"/>
          <w:szCs w:val="22"/>
        </w:rPr>
        <w:t>La participación económica de la mujer se identifica a través de la Población Económicamente Activa (PEA) y la Población No Económicamente Activa (PNEA)</w:t>
      </w:r>
      <w:r w:rsidRPr="00B17200">
        <w:rPr>
          <w:rStyle w:val="Refdenotaalpie"/>
          <w:rFonts w:cs="Arial"/>
          <w:szCs w:val="22"/>
        </w:rPr>
        <w:footnoteReference w:id="1"/>
      </w:r>
      <w:r w:rsidRPr="00B17200">
        <w:rPr>
          <w:rFonts w:cs="Arial"/>
          <w:szCs w:val="22"/>
        </w:rPr>
        <w:t>. Según los resultados de la ENOE</w:t>
      </w:r>
      <w:r w:rsidRPr="00B17200">
        <w:rPr>
          <w:rFonts w:cs="Arial"/>
          <w:szCs w:val="22"/>
          <w:vertAlign w:val="superscript"/>
        </w:rPr>
        <w:t>N</w:t>
      </w:r>
      <w:r w:rsidR="009A06F8" w:rsidRPr="00B17200">
        <w:rPr>
          <w:rFonts w:cs="Arial"/>
          <w:szCs w:val="22"/>
        </w:rPr>
        <w:t xml:space="preserve">, </w:t>
      </w:r>
      <w:r w:rsidRPr="00B17200">
        <w:rPr>
          <w:rFonts w:cs="Arial"/>
          <w:szCs w:val="22"/>
        </w:rPr>
        <w:t xml:space="preserve">para el tercer trimestre de 2021, </w:t>
      </w:r>
      <w:r w:rsidR="009A06F8" w:rsidRPr="00B17200">
        <w:rPr>
          <w:rFonts w:cs="Arial"/>
          <w:szCs w:val="22"/>
        </w:rPr>
        <w:t xml:space="preserve">en México había 51.7 millones de mujeres de 15 años o más de edad. De este total, </w:t>
      </w:r>
      <w:r w:rsidRPr="00B17200">
        <w:rPr>
          <w:rFonts w:cs="Arial"/>
          <w:szCs w:val="22"/>
        </w:rPr>
        <w:t>44% formaron parte de la PEA</w:t>
      </w:r>
      <w:r w:rsidR="00916D1C" w:rsidRPr="00B17200">
        <w:rPr>
          <w:rFonts w:cs="Arial"/>
          <w:szCs w:val="22"/>
        </w:rPr>
        <w:t xml:space="preserve"> (</w:t>
      </w:r>
      <w:r w:rsidR="00916D1C" w:rsidRPr="00B17200">
        <w:rPr>
          <w:rFonts w:cs="Arial"/>
          <w:bCs/>
          <w:color w:val="000000" w:themeColor="text1"/>
          <w:szCs w:val="22"/>
        </w:rPr>
        <w:t>22.8 millones</w:t>
      </w:r>
      <w:r w:rsidR="00916D1C" w:rsidRPr="00B17200">
        <w:rPr>
          <w:rFonts w:cs="Arial"/>
          <w:szCs w:val="22"/>
        </w:rPr>
        <w:t>)</w:t>
      </w:r>
      <w:r w:rsidRPr="00B17200">
        <w:rPr>
          <w:rFonts w:cs="Arial"/>
          <w:szCs w:val="22"/>
        </w:rPr>
        <w:t xml:space="preserve"> y 56%</w:t>
      </w:r>
      <w:r w:rsidR="00E61940" w:rsidRPr="00B17200">
        <w:rPr>
          <w:rFonts w:cs="Arial"/>
          <w:szCs w:val="22"/>
        </w:rPr>
        <w:t xml:space="preserve"> (28.9 millones)</w:t>
      </w:r>
      <w:r w:rsidRPr="00B17200">
        <w:rPr>
          <w:rFonts w:cs="Arial"/>
          <w:szCs w:val="22"/>
        </w:rPr>
        <w:t xml:space="preserve"> estuvieron en la PNEA. </w:t>
      </w:r>
    </w:p>
    <w:p w14:paraId="3123EC09" w14:textId="2F0CDE66" w:rsidR="00274339" w:rsidRPr="00B17200" w:rsidRDefault="00274339" w:rsidP="00916D1C">
      <w:pPr>
        <w:spacing w:after="240"/>
        <w:ind w:left="-567" w:right="-518"/>
        <w:rPr>
          <w:rFonts w:cs="Arial"/>
          <w:szCs w:val="22"/>
        </w:rPr>
      </w:pPr>
      <w:r w:rsidRPr="00B17200">
        <w:rPr>
          <w:rFonts w:cs="Arial"/>
          <w:szCs w:val="22"/>
        </w:rPr>
        <w:t xml:space="preserve">De las mujeres que integraron la PEA, 21.8 millones (96%) </w:t>
      </w:r>
      <w:r w:rsidR="00916D1C" w:rsidRPr="00B17200">
        <w:rPr>
          <w:rFonts w:cs="Arial"/>
          <w:szCs w:val="22"/>
        </w:rPr>
        <w:t xml:space="preserve">reportaron estar ocupadas durante la semana de referencia de la encuesta. </w:t>
      </w:r>
      <w:r w:rsidRPr="00B17200">
        <w:rPr>
          <w:rFonts w:cs="Arial"/>
          <w:szCs w:val="22"/>
        </w:rPr>
        <w:t>De esta población, 56% desarrolló alguna ocupación informal y 44% una ocupación formal. Respecto a las actividades que realizaron, 55 de cada 100 mujeres se ocuparon en actividades de comercio, industria manufacturera y servicios sociales.</w:t>
      </w:r>
    </w:p>
    <w:p w14:paraId="4A22D0C3" w14:textId="77777777" w:rsidR="00274339" w:rsidRPr="00B17200" w:rsidRDefault="00274339" w:rsidP="00274339">
      <w:pPr>
        <w:ind w:left="-142" w:right="-91"/>
        <w:jc w:val="center"/>
        <w:rPr>
          <w:rFonts w:cs="Arial"/>
          <w:sz w:val="20"/>
          <w:szCs w:val="20"/>
        </w:rPr>
      </w:pPr>
      <w:r w:rsidRPr="00B17200">
        <w:rPr>
          <w:rFonts w:cs="Arial"/>
          <w:sz w:val="20"/>
          <w:szCs w:val="20"/>
        </w:rPr>
        <w:t xml:space="preserve">Gráfica 2 </w:t>
      </w:r>
    </w:p>
    <w:p w14:paraId="34AFAB39" w14:textId="77777777" w:rsidR="00274339" w:rsidRPr="00B17200" w:rsidRDefault="00274339" w:rsidP="00780143">
      <w:pPr>
        <w:ind w:left="-567" w:right="-660" w:hanging="142"/>
        <w:jc w:val="center"/>
        <w:rPr>
          <w:rFonts w:cs="Arial"/>
          <w:b/>
        </w:rPr>
      </w:pPr>
      <w:r w:rsidRPr="00B17200">
        <w:rPr>
          <w:rFonts w:cs="Arial"/>
          <w:b/>
          <w:smallCaps/>
        </w:rPr>
        <w:t>Mujeres de 15 años o más ocupadas por sector de actividad económica, tercer trimestre 2021</w:t>
      </w:r>
      <w:r w:rsidRPr="00B17200">
        <w:rPr>
          <w:rFonts w:cs="Arial"/>
          <w:b/>
        </w:rPr>
        <w:t xml:space="preserve"> </w:t>
      </w:r>
      <w:r w:rsidRPr="00B17200">
        <w:rPr>
          <w:rFonts w:cs="Arial"/>
          <w:sz w:val="18"/>
          <w:szCs w:val="18"/>
        </w:rPr>
        <w:t>Distribución porcentual</w:t>
      </w:r>
      <w:r w:rsidRPr="00B17200">
        <w:rPr>
          <w:rFonts w:cs="Arial"/>
          <w:b/>
        </w:rPr>
        <w:t xml:space="preserve"> </w:t>
      </w:r>
    </w:p>
    <w:p w14:paraId="52487024" w14:textId="77777777" w:rsidR="00274339" w:rsidRPr="00B17200" w:rsidRDefault="00274339" w:rsidP="00722093">
      <w:pPr>
        <w:ind w:left="-567" w:right="-518"/>
        <w:jc w:val="center"/>
        <w:rPr>
          <w:rFonts w:cs="Arial"/>
          <w:szCs w:val="22"/>
        </w:rPr>
      </w:pPr>
      <w:r w:rsidRPr="00B17200">
        <w:rPr>
          <w:rFonts w:cs="Arial"/>
          <w:noProof/>
          <w:szCs w:val="22"/>
        </w:rPr>
        <w:drawing>
          <wp:inline distT="0" distB="0" distL="0" distR="0" wp14:anchorId="06CF1FCD" wp14:editId="2692D9C0">
            <wp:extent cx="6184244" cy="26136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4994" cy="2635109"/>
                    </a:xfrm>
                    <a:prstGeom prst="rect">
                      <a:avLst/>
                    </a:prstGeom>
                    <a:noFill/>
                    <a:ln>
                      <a:noFill/>
                    </a:ln>
                  </pic:spPr>
                </pic:pic>
              </a:graphicData>
            </a:graphic>
          </wp:inline>
        </w:drawing>
      </w:r>
    </w:p>
    <w:p w14:paraId="4002E507" w14:textId="77777777" w:rsidR="00274339" w:rsidRPr="00B17200" w:rsidRDefault="00274339" w:rsidP="00780143">
      <w:pPr>
        <w:ind w:left="-284"/>
        <w:rPr>
          <w:rFonts w:cs="Arial"/>
          <w:sz w:val="16"/>
          <w:szCs w:val="16"/>
        </w:rPr>
      </w:pPr>
      <w:r w:rsidRPr="00B17200">
        <w:rPr>
          <w:rFonts w:cs="Arial"/>
          <w:sz w:val="16"/>
          <w:szCs w:val="16"/>
        </w:rPr>
        <w:t>Fuente: INEGI. ENOE</w:t>
      </w:r>
      <w:r w:rsidRPr="00B17200">
        <w:rPr>
          <w:rFonts w:cs="Arial"/>
          <w:sz w:val="16"/>
          <w:szCs w:val="16"/>
          <w:vertAlign w:val="superscript"/>
        </w:rPr>
        <w:t>N</w:t>
      </w:r>
      <w:r w:rsidRPr="00B17200">
        <w:rPr>
          <w:rFonts w:cs="Arial"/>
          <w:sz w:val="16"/>
          <w:szCs w:val="16"/>
        </w:rPr>
        <w:t>. Indicadores estratégicos. Tercer trimestre de 2021.</w:t>
      </w:r>
    </w:p>
    <w:p w14:paraId="4A19101D" w14:textId="77777777" w:rsidR="00274339" w:rsidRPr="00B17200" w:rsidRDefault="00274339" w:rsidP="00780143">
      <w:pPr>
        <w:ind w:left="-284"/>
        <w:rPr>
          <w:rFonts w:cs="Arial"/>
          <w:sz w:val="16"/>
          <w:szCs w:val="16"/>
        </w:rPr>
      </w:pPr>
      <w:r w:rsidRPr="00B17200">
        <w:rPr>
          <w:rFonts w:cs="Arial"/>
          <w:bCs/>
          <w:sz w:val="16"/>
          <w:szCs w:val="16"/>
        </w:rPr>
        <w:t>Nota:</w:t>
      </w:r>
      <w:r w:rsidR="00722093" w:rsidRPr="00B17200">
        <w:rPr>
          <w:rFonts w:cs="Arial"/>
          <w:bCs/>
          <w:sz w:val="16"/>
          <w:szCs w:val="16"/>
        </w:rPr>
        <w:t xml:space="preserve"> </w:t>
      </w:r>
      <w:r w:rsidRPr="00B17200">
        <w:rPr>
          <w:rFonts w:cs="Arial"/>
          <w:bCs/>
          <w:sz w:val="16"/>
          <w:szCs w:val="16"/>
        </w:rPr>
        <w:t>El porcentaje se calcula con respecto al total de mujeres de 15 años o más en la población ocupada. La suma de los porcentajes puede ser distinta a cien, debido al redondeo de los porcentajes</w:t>
      </w:r>
      <w:r w:rsidRPr="00B17200">
        <w:rPr>
          <w:rFonts w:cs="Arial"/>
          <w:sz w:val="16"/>
          <w:szCs w:val="16"/>
        </w:rPr>
        <w:t>.</w:t>
      </w:r>
    </w:p>
    <w:p w14:paraId="49EA4E0E" w14:textId="77777777" w:rsidR="00780143" w:rsidRDefault="00780143" w:rsidP="00780143">
      <w:pPr>
        <w:ind w:left="-567" w:right="-518"/>
        <w:jc w:val="left"/>
        <w:rPr>
          <w:rFonts w:cs="Arial"/>
          <w:b/>
          <w:bCs/>
          <w:smallCaps/>
          <w:szCs w:val="22"/>
        </w:rPr>
      </w:pPr>
    </w:p>
    <w:p w14:paraId="1D3B236D" w14:textId="6AB854AB" w:rsidR="00274339" w:rsidRDefault="00274339" w:rsidP="00780143">
      <w:pPr>
        <w:ind w:left="-567" w:right="-518"/>
        <w:jc w:val="left"/>
        <w:rPr>
          <w:rFonts w:cs="Arial"/>
          <w:b/>
          <w:bCs/>
          <w:smallCaps/>
          <w:szCs w:val="22"/>
        </w:rPr>
      </w:pPr>
      <w:r w:rsidRPr="00B17200">
        <w:rPr>
          <w:rFonts w:cs="Arial"/>
          <w:b/>
          <w:bCs/>
          <w:smallCaps/>
          <w:szCs w:val="22"/>
        </w:rPr>
        <w:t>Las mujeres en los negocios</w:t>
      </w:r>
    </w:p>
    <w:p w14:paraId="3C950D9F" w14:textId="77777777" w:rsidR="00780143" w:rsidRPr="00B17200" w:rsidRDefault="00780143" w:rsidP="00780143">
      <w:pPr>
        <w:ind w:left="-567" w:right="-518"/>
        <w:jc w:val="left"/>
        <w:rPr>
          <w:rFonts w:cs="Arial"/>
          <w:b/>
          <w:bCs/>
          <w:smallCaps/>
          <w:szCs w:val="22"/>
        </w:rPr>
      </w:pPr>
    </w:p>
    <w:p w14:paraId="00CADCDA" w14:textId="1C96FA55" w:rsidR="00274339" w:rsidRPr="00B17200" w:rsidRDefault="00274339" w:rsidP="00B456EB">
      <w:pPr>
        <w:autoSpaceDE w:val="0"/>
        <w:autoSpaceDN w:val="0"/>
        <w:adjustRightInd w:val="0"/>
        <w:ind w:left="-567" w:right="-518"/>
        <w:rPr>
          <w:rFonts w:cs="Arial"/>
          <w:szCs w:val="22"/>
        </w:rPr>
      </w:pPr>
      <w:r w:rsidRPr="00B17200">
        <w:rPr>
          <w:rFonts w:cs="Arial"/>
          <w:szCs w:val="22"/>
        </w:rPr>
        <w:t xml:space="preserve">A partir del cuestionario básico aplicado a </w:t>
      </w:r>
      <w:r w:rsidR="00B34500" w:rsidRPr="00B17200">
        <w:rPr>
          <w:rFonts w:cs="Arial"/>
          <w:szCs w:val="22"/>
        </w:rPr>
        <w:t xml:space="preserve">4.5 millones de </w:t>
      </w:r>
      <w:r w:rsidRPr="00B17200">
        <w:rPr>
          <w:rFonts w:cs="Arial"/>
          <w:szCs w:val="22"/>
        </w:rPr>
        <w:t xml:space="preserve">establecimientos </w:t>
      </w:r>
      <w:r w:rsidR="00053C2A" w:rsidRPr="00B17200">
        <w:rPr>
          <w:rFonts w:cs="Arial"/>
          <w:bCs/>
          <w:szCs w:val="22"/>
        </w:rPr>
        <w:t xml:space="preserve">MIPYMES </w:t>
      </w:r>
      <w:r w:rsidRPr="00B17200">
        <w:rPr>
          <w:rFonts w:cs="Arial"/>
          <w:szCs w:val="22"/>
        </w:rPr>
        <w:t>de los sectores manufacturas, comercio y servicios privados no financieros,</w:t>
      </w:r>
      <w:r w:rsidR="002B320D" w:rsidRPr="00B17200">
        <w:rPr>
          <w:rFonts w:cs="Arial"/>
          <w:szCs w:val="22"/>
        </w:rPr>
        <w:t xml:space="preserve"> 1.6 millones de establecimientos tenía como propietaria a una mujer</w:t>
      </w:r>
      <w:r w:rsidR="00B456EB" w:rsidRPr="00B17200">
        <w:rPr>
          <w:rFonts w:cs="Arial"/>
          <w:szCs w:val="22"/>
        </w:rPr>
        <w:t xml:space="preserve"> y emplearon a 2.9 millones de personas. </w:t>
      </w:r>
      <w:r w:rsidRPr="00B17200">
        <w:rPr>
          <w:rFonts w:cs="Arial"/>
          <w:szCs w:val="22"/>
        </w:rPr>
        <w:t>Cabe aclarar que el personal ocupado incluye a las propietarias mismas.</w:t>
      </w:r>
    </w:p>
    <w:p w14:paraId="018738EB" w14:textId="77777777" w:rsidR="00274339" w:rsidRPr="00B17200" w:rsidRDefault="00274339" w:rsidP="00274339">
      <w:pPr>
        <w:autoSpaceDE w:val="0"/>
        <w:autoSpaceDN w:val="0"/>
        <w:adjustRightInd w:val="0"/>
        <w:ind w:right="51"/>
        <w:rPr>
          <w:rFonts w:cs="Arial"/>
          <w:szCs w:val="22"/>
        </w:rPr>
      </w:pPr>
    </w:p>
    <w:p w14:paraId="064B087A" w14:textId="77777777" w:rsidR="00B12115" w:rsidRPr="00B17200" w:rsidRDefault="00274339" w:rsidP="00B12115">
      <w:pPr>
        <w:autoSpaceDE w:val="0"/>
        <w:autoSpaceDN w:val="0"/>
        <w:adjustRightInd w:val="0"/>
        <w:ind w:left="-567" w:right="-518"/>
        <w:rPr>
          <w:rFonts w:cs="Arial"/>
          <w:szCs w:val="22"/>
        </w:rPr>
      </w:pPr>
      <w:r w:rsidRPr="00B17200">
        <w:rPr>
          <w:rFonts w:cs="Arial"/>
          <w:szCs w:val="22"/>
        </w:rPr>
        <w:t>Por sector de actividad,</w:t>
      </w:r>
      <w:r w:rsidR="00B06810" w:rsidRPr="00B17200">
        <w:rPr>
          <w:rFonts w:cs="Arial"/>
          <w:szCs w:val="22"/>
        </w:rPr>
        <w:t xml:space="preserve"> </w:t>
      </w:r>
      <w:r w:rsidRPr="00B17200">
        <w:rPr>
          <w:rFonts w:cs="Arial"/>
          <w:szCs w:val="22"/>
        </w:rPr>
        <w:t>las mujeres propietarias se dedicaron al comercio en cinco de cada diez establecimientos, a los servicios privados no financieros en cuatro de cada diez y a las manufacturas en uno de cada diez.</w:t>
      </w:r>
    </w:p>
    <w:p w14:paraId="5CD05729" w14:textId="77777777" w:rsidR="00B12115" w:rsidRPr="00B17200" w:rsidRDefault="00B12115" w:rsidP="00B12115">
      <w:pPr>
        <w:autoSpaceDE w:val="0"/>
        <w:autoSpaceDN w:val="0"/>
        <w:adjustRightInd w:val="0"/>
        <w:ind w:left="-567" w:right="-518"/>
        <w:rPr>
          <w:rFonts w:cs="Arial"/>
          <w:szCs w:val="22"/>
        </w:rPr>
      </w:pPr>
    </w:p>
    <w:p w14:paraId="1FFEF617" w14:textId="3450DFA4" w:rsidR="00274339" w:rsidRPr="00B17200" w:rsidRDefault="00274339" w:rsidP="00B12115">
      <w:pPr>
        <w:autoSpaceDE w:val="0"/>
        <w:autoSpaceDN w:val="0"/>
        <w:adjustRightInd w:val="0"/>
        <w:ind w:left="-567" w:right="-518"/>
        <w:rPr>
          <w:rFonts w:cs="Arial"/>
          <w:szCs w:val="22"/>
        </w:rPr>
      </w:pPr>
      <w:r w:rsidRPr="00B17200">
        <w:rPr>
          <w:rFonts w:cs="Arial"/>
          <w:szCs w:val="22"/>
        </w:rPr>
        <w:t xml:space="preserve">El 53.1% del personal ocupado que laboró en los negocios </w:t>
      </w:r>
      <w:r w:rsidR="00053C2A" w:rsidRPr="00B17200">
        <w:rPr>
          <w:rFonts w:cs="Arial"/>
          <w:bCs/>
          <w:szCs w:val="22"/>
        </w:rPr>
        <w:t>MIPYMES</w:t>
      </w:r>
      <w:r w:rsidR="008930E3" w:rsidRPr="00B17200">
        <w:rPr>
          <w:rFonts w:cs="Arial"/>
          <w:bCs/>
          <w:szCs w:val="22"/>
        </w:rPr>
        <w:t xml:space="preserve"> </w:t>
      </w:r>
      <w:r w:rsidRPr="00B17200">
        <w:rPr>
          <w:rFonts w:cs="Arial"/>
          <w:szCs w:val="22"/>
        </w:rPr>
        <w:t xml:space="preserve">que tenían una mujer como propietaria contó con educación básica. </w:t>
      </w:r>
    </w:p>
    <w:p w14:paraId="13338C87" w14:textId="77777777" w:rsidR="00274339" w:rsidRPr="00B17200" w:rsidRDefault="00274339" w:rsidP="00722093">
      <w:pPr>
        <w:autoSpaceDE w:val="0"/>
        <w:autoSpaceDN w:val="0"/>
        <w:adjustRightInd w:val="0"/>
        <w:ind w:left="-567" w:right="-518"/>
        <w:rPr>
          <w:rFonts w:cs="Arial"/>
          <w:szCs w:val="22"/>
        </w:rPr>
      </w:pPr>
    </w:p>
    <w:p w14:paraId="5B75D443" w14:textId="69414DAF" w:rsidR="00B12115" w:rsidRPr="00B17200" w:rsidRDefault="00B12115" w:rsidP="00722093">
      <w:pPr>
        <w:autoSpaceDE w:val="0"/>
        <w:autoSpaceDN w:val="0"/>
        <w:adjustRightInd w:val="0"/>
        <w:ind w:left="-567" w:right="-518"/>
        <w:rPr>
          <w:rFonts w:cs="Arial"/>
          <w:szCs w:val="22"/>
        </w:rPr>
      </w:pPr>
      <w:r w:rsidRPr="00B17200">
        <w:rPr>
          <w:rFonts w:cs="Arial"/>
          <w:szCs w:val="22"/>
        </w:rPr>
        <w:t xml:space="preserve">En México, los negocios </w:t>
      </w:r>
      <w:r w:rsidRPr="00B17200">
        <w:rPr>
          <w:rFonts w:cs="Arial"/>
        </w:rPr>
        <w:t>con una propietaria crecieron a una tasa promedio anual de 3.6% entre 2008 y 2013. En el periodo 2013 y 2018, el crecimiento promedio anual fue de 1.8%.</w:t>
      </w:r>
    </w:p>
    <w:p w14:paraId="6E6E4B6D" w14:textId="77777777" w:rsidR="00274339" w:rsidRPr="00B17200" w:rsidRDefault="00274339" w:rsidP="00B12115">
      <w:pPr>
        <w:autoSpaceDE w:val="0"/>
        <w:autoSpaceDN w:val="0"/>
        <w:adjustRightInd w:val="0"/>
        <w:ind w:right="-518"/>
        <w:rPr>
          <w:rFonts w:cs="Arial"/>
        </w:rPr>
      </w:pPr>
    </w:p>
    <w:p w14:paraId="5506CC22" w14:textId="6FCCB2A9" w:rsidR="00254750" w:rsidRPr="00B17200" w:rsidRDefault="00274339" w:rsidP="003121CA">
      <w:pPr>
        <w:autoSpaceDE w:val="0"/>
        <w:autoSpaceDN w:val="0"/>
        <w:adjustRightInd w:val="0"/>
        <w:ind w:left="-567" w:right="-518"/>
        <w:rPr>
          <w:rFonts w:cs="Arial"/>
        </w:rPr>
      </w:pPr>
      <w:r w:rsidRPr="00B17200">
        <w:rPr>
          <w:rFonts w:cs="Arial"/>
        </w:rPr>
        <w:t>De 2013 a 2018, el personal ocupado se incrementó a una tasa de 2.3% anual.</w:t>
      </w:r>
    </w:p>
    <w:p w14:paraId="656F3965" w14:textId="77777777" w:rsidR="00274339" w:rsidRPr="00B17200" w:rsidRDefault="00274339" w:rsidP="00274339">
      <w:pPr>
        <w:autoSpaceDE w:val="0"/>
        <w:autoSpaceDN w:val="0"/>
        <w:adjustRightInd w:val="0"/>
        <w:ind w:right="-93"/>
        <w:jc w:val="center"/>
        <w:rPr>
          <w:rFonts w:cs="Arial"/>
          <w:bCs/>
          <w:sz w:val="20"/>
          <w:szCs w:val="20"/>
        </w:rPr>
      </w:pPr>
    </w:p>
    <w:p w14:paraId="76F9BE57" w14:textId="77777777" w:rsidR="00274339" w:rsidRPr="00B17200" w:rsidRDefault="00274339" w:rsidP="00722093">
      <w:pPr>
        <w:autoSpaceDE w:val="0"/>
        <w:autoSpaceDN w:val="0"/>
        <w:adjustRightInd w:val="0"/>
        <w:ind w:left="-567" w:right="-660"/>
        <w:jc w:val="center"/>
        <w:rPr>
          <w:rFonts w:cs="Arial"/>
          <w:bCs/>
          <w:sz w:val="20"/>
          <w:szCs w:val="20"/>
        </w:rPr>
      </w:pPr>
      <w:r w:rsidRPr="00B17200">
        <w:rPr>
          <w:rFonts w:cs="Arial"/>
          <w:bCs/>
          <w:sz w:val="20"/>
          <w:szCs w:val="20"/>
        </w:rPr>
        <w:t>Gráfica 3</w:t>
      </w:r>
    </w:p>
    <w:p w14:paraId="660809F6" w14:textId="77777777" w:rsidR="00274339" w:rsidRPr="00B17200" w:rsidRDefault="00274339" w:rsidP="00722093">
      <w:pPr>
        <w:autoSpaceDE w:val="0"/>
        <w:autoSpaceDN w:val="0"/>
        <w:adjustRightInd w:val="0"/>
        <w:ind w:left="-567" w:right="-660"/>
        <w:jc w:val="center"/>
        <w:rPr>
          <w:rFonts w:cs="Arial"/>
          <w:b/>
          <w:bCs/>
          <w:smallCaps/>
          <w:szCs w:val="22"/>
        </w:rPr>
      </w:pPr>
      <w:r w:rsidRPr="00B17200">
        <w:rPr>
          <w:rFonts w:cs="Arial"/>
          <w:b/>
          <w:bCs/>
          <w:smallCaps/>
          <w:szCs w:val="22"/>
        </w:rPr>
        <w:t xml:space="preserve">   Evolución de los establecimientos y personal ocupado de mujeres propietarias, 2008 - 2018</w:t>
      </w:r>
    </w:p>
    <w:p w14:paraId="5D731408" w14:textId="77777777" w:rsidR="00274339" w:rsidRPr="00B17200" w:rsidRDefault="00274339" w:rsidP="00722093">
      <w:pPr>
        <w:autoSpaceDE w:val="0"/>
        <w:autoSpaceDN w:val="0"/>
        <w:adjustRightInd w:val="0"/>
        <w:ind w:left="-567" w:right="-660"/>
        <w:jc w:val="center"/>
        <w:rPr>
          <w:rFonts w:cs="Arial"/>
          <w:bCs/>
          <w:sz w:val="18"/>
          <w:szCs w:val="18"/>
        </w:rPr>
      </w:pPr>
      <w:r w:rsidRPr="00B17200">
        <w:rPr>
          <w:rFonts w:cs="Arial"/>
          <w:bCs/>
          <w:sz w:val="18"/>
          <w:szCs w:val="18"/>
        </w:rPr>
        <w:t>(Valores absolutos y tasas de crecimiento*)</w:t>
      </w:r>
    </w:p>
    <w:p w14:paraId="22D465CD" w14:textId="77777777" w:rsidR="00274339" w:rsidRPr="00B17200" w:rsidRDefault="00274339" w:rsidP="00274339">
      <w:pPr>
        <w:autoSpaceDE w:val="0"/>
        <w:autoSpaceDN w:val="0"/>
        <w:adjustRightInd w:val="0"/>
        <w:ind w:left="-851" w:right="-93"/>
        <w:jc w:val="center"/>
        <w:rPr>
          <w:rFonts w:cs="Arial"/>
          <w:sz w:val="21"/>
          <w:szCs w:val="21"/>
        </w:rPr>
      </w:pPr>
      <w:r w:rsidRPr="00B17200">
        <w:rPr>
          <w:rFonts w:cs="Arial"/>
          <w:noProof/>
          <w:sz w:val="18"/>
          <w:szCs w:val="18"/>
        </w:rPr>
        <mc:AlternateContent>
          <mc:Choice Requires="wps">
            <w:drawing>
              <wp:anchor distT="0" distB="0" distL="114300" distR="114300" simplePos="0" relativeHeight="251659264" behindDoc="0" locked="0" layoutInCell="1" allowOverlap="1" wp14:anchorId="514F9B72" wp14:editId="760B49A4">
                <wp:simplePos x="0" y="0"/>
                <wp:positionH relativeFrom="column">
                  <wp:posOffset>4559935</wp:posOffset>
                </wp:positionH>
                <wp:positionV relativeFrom="paragraph">
                  <wp:posOffset>39370</wp:posOffset>
                </wp:positionV>
                <wp:extent cx="427512" cy="237507"/>
                <wp:effectExtent l="0" t="0" r="0" b="0"/>
                <wp:wrapNone/>
                <wp:docPr id="32" name="Cuadro de texto 1"/>
                <wp:cNvGraphicFramePr/>
                <a:graphic xmlns:a="http://schemas.openxmlformats.org/drawingml/2006/main">
                  <a:graphicData uri="http://schemas.microsoft.com/office/word/2010/wordprocessingShape">
                    <wps:wsp>
                      <wps:cNvSpPr txBox="1"/>
                      <wps:spPr>
                        <a:xfrm>
                          <a:off x="0" y="0"/>
                          <a:ext cx="427512" cy="237507"/>
                        </a:xfrm>
                        <a:prstGeom prst="rect">
                          <a:avLst/>
                        </a:prstGeom>
                        <a:solidFill>
                          <a:schemeClr val="bg2">
                            <a:lumMod val="90000"/>
                          </a:schemeClr>
                        </a:solidFill>
                      </wps:spPr>
                      <wps:txbx>
                        <w:txbxContent>
                          <w:p w14:paraId="7B21CAEE" w14:textId="77777777" w:rsidR="00274339" w:rsidRDefault="00274339" w:rsidP="00274339">
                            <w:pPr>
                              <w:jc w:val="center"/>
                              <w:rPr>
                                <w:rFonts w:asciiTheme="minorHAnsi" w:hAnsi="Calibri" w:cstheme="minorBidi"/>
                                <w:sz w:val="18"/>
                                <w:szCs w:val="18"/>
                              </w:rPr>
                            </w:pPr>
                            <w:r>
                              <w:rPr>
                                <w:rFonts w:asciiTheme="minorHAnsi" w:hAnsi="Calibri" w:cstheme="minorBidi"/>
                                <w:sz w:val="18"/>
                                <w:szCs w:val="18"/>
                              </w:rPr>
                              <w:t>2.3</w:t>
                            </w:r>
                          </w:p>
                        </w:txbxContent>
                      </wps:txbx>
                      <wps:bodyPr vertOverflow="clip" wrap="square" rtlCol="0"/>
                    </wps:wsp>
                  </a:graphicData>
                </a:graphic>
              </wp:anchor>
            </w:drawing>
          </mc:Choice>
          <mc:Fallback>
            <w:pict>
              <v:shapetype w14:anchorId="514F9B72" id="_x0000_t202" coordsize="21600,21600" o:spt="202" path="m,l,21600r21600,l21600,xe">
                <v:stroke joinstyle="miter"/>
                <v:path gradientshapeok="t" o:connecttype="rect"/>
              </v:shapetype>
              <v:shape id="Cuadro de texto 1" o:spid="_x0000_s1026" type="#_x0000_t202" style="position:absolute;left:0;text-align:left;margin-left:359.05pt;margin-top:3.1pt;width:33.65pt;height:1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" fillcolor="#cfcdcd [2894]" stroked="f">
                <v:textbox>
                  <w:txbxContent>
                    <w:p w14:paraId="7B21CAEE" w14:textId="77777777" w:rsidR="00274339" w:rsidRDefault="00274339" w:rsidP="00274339">
                      <w:pPr>
                        <w:jc w:val="center"/>
                        <w:rPr>
                          <w:rFonts w:asciiTheme="minorHAnsi" w:hAnsi="Calibri" w:cstheme="minorBidi"/>
                          <w:sz w:val="18"/>
                          <w:szCs w:val="18"/>
                        </w:rPr>
                      </w:pPr>
                      <w:r>
                        <w:rPr>
                          <w:rFonts w:asciiTheme="minorHAnsi" w:hAnsi="Calibri" w:cstheme="minorBidi"/>
                          <w:sz w:val="18"/>
                          <w:szCs w:val="18"/>
                        </w:rPr>
                        <w:t>2.3</w:t>
                      </w:r>
                    </w:p>
                  </w:txbxContent>
                </v:textbox>
              </v:shape>
            </w:pict>
          </mc:Fallback>
        </mc:AlternateContent>
      </w:r>
    </w:p>
    <w:p w14:paraId="49523CB8" w14:textId="77777777" w:rsidR="00274339" w:rsidRPr="00B17200" w:rsidRDefault="00274339" w:rsidP="00722093">
      <w:pPr>
        <w:autoSpaceDE w:val="0"/>
        <w:autoSpaceDN w:val="0"/>
        <w:adjustRightInd w:val="0"/>
        <w:ind w:left="-851" w:right="-518" w:firstLine="284"/>
        <w:jc w:val="center"/>
        <w:rPr>
          <w:rFonts w:cs="Arial"/>
          <w:sz w:val="21"/>
          <w:szCs w:val="21"/>
        </w:rPr>
      </w:pPr>
      <w:r w:rsidRPr="00B17200">
        <w:rPr>
          <w:rFonts w:cs="Arial"/>
          <w:noProof/>
          <w:sz w:val="21"/>
          <w:szCs w:val="21"/>
        </w:rPr>
        <w:drawing>
          <wp:inline distT="0" distB="0" distL="0" distR="0" wp14:anchorId="2A1501A1" wp14:editId="02EC4A72">
            <wp:extent cx="5486400" cy="2220685"/>
            <wp:effectExtent l="0" t="0" r="0" b="825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F0311D" w14:textId="77777777" w:rsidR="00274339" w:rsidRPr="00B17200" w:rsidRDefault="00274339" w:rsidP="00722093">
      <w:pPr>
        <w:autoSpaceDE w:val="0"/>
        <w:autoSpaceDN w:val="0"/>
        <w:adjustRightInd w:val="0"/>
        <w:ind w:left="142" w:right="-93" w:firstLine="142"/>
        <w:rPr>
          <w:rFonts w:cs="Arial"/>
          <w:szCs w:val="22"/>
        </w:rPr>
      </w:pPr>
      <w:r w:rsidRPr="00B17200">
        <w:rPr>
          <w:rFonts w:cs="Arial"/>
          <w:noProof/>
        </w:rPr>
        <w:drawing>
          <wp:inline distT="0" distB="0" distL="0" distR="0" wp14:anchorId="3DF0996F" wp14:editId="523AFCA2">
            <wp:extent cx="3486150" cy="470789"/>
            <wp:effectExtent l="0" t="0" r="0" b="5715"/>
            <wp:docPr id="28" name="Imagen 2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Texto&#10;&#10;Descripción generada automáticamente"/>
                    <pic:cNvPicPr/>
                  </pic:nvPicPr>
                  <pic:blipFill rotWithShape="1">
                    <a:blip r:embed="rId10"/>
                    <a:srcRect t="22930"/>
                    <a:stretch/>
                  </pic:blipFill>
                  <pic:spPr bwMode="auto">
                    <a:xfrm>
                      <a:off x="0" y="0"/>
                      <a:ext cx="3591757" cy="485051"/>
                    </a:xfrm>
                    <a:prstGeom prst="rect">
                      <a:avLst/>
                    </a:prstGeom>
                    <a:ln>
                      <a:noFill/>
                    </a:ln>
                    <a:extLst>
                      <a:ext uri="{53640926-AAD7-44D8-BBD7-CCE9431645EC}">
                        <a14:shadowObscured xmlns:a14="http://schemas.microsoft.com/office/drawing/2010/main"/>
                      </a:ext>
                    </a:extLst>
                  </pic:spPr>
                </pic:pic>
              </a:graphicData>
            </a:graphic>
          </wp:inline>
        </w:drawing>
      </w:r>
      <w:r w:rsidRPr="00B17200">
        <w:rPr>
          <w:rFonts w:cs="Arial"/>
          <w:sz w:val="21"/>
          <w:szCs w:val="21"/>
        </w:rPr>
        <w:br w:type="textWrapping" w:clear="all"/>
      </w:r>
    </w:p>
    <w:p w14:paraId="03991050" w14:textId="2B1497F0" w:rsidR="00274339" w:rsidRPr="00B17200" w:rsidRDefault="00274339" w:rsidP="00722093">
      <w:pPr>
        <w:autoSpaceDE w:val="0"/>
        <w:autoSpaceDN w:val="0"/>
        <w:adjustRightInd w:val="0"/>
        <w:ind w:left="-567" w:right="-518"/>
        <w:rPr>
          <w:rFonts w:cs="Arial"/>
        </w:rPr>
      </w:pPr>
      <w:r w:rsidRPr="00B17200">
        <w:rPr>
          <w:rFonts w:cs="Arial"/>
        </w:rPr>
        <w:t xml:space="preserve">El 36.6% de los establecimientos </w:t>
      </w:r>
      <w:r w:rsidR="008930E3" w:rsidRPr="00B17200">
        <w:rPr>
          <w:rFonts w:cs="Arial"/>
          <w:bCs/>
          <w:szCs w:val="22"/>
        </w:rPr>
        <w:t xml:space="preserve">MIPYMES </w:t>
      </w:r>
      <w:r w:rsidRPr="00B17200">
        <w:rPr>
          <w:rFonts w:cs="Arial"/>
        </w:rPr>
        <w:t>de manufacturas, comercio y servicios tuvieron a una mujer como dueña. Estos establecimientos concentraron 24.7% del personal ocupado, así como 9.9% de las remuneraciones, 15.1% de la producción bruta y 17.6% de los activos fijos.</w:t>
      </w:r>
    </w:p>
    <w:p w14:paraId="22137A65" w14:textId="77777777" w:rsidR="00274339" w:rsidRPr="00B17200" w:rsidRDefault="00274339" w:rsidP="00274339">
      <w:pPr>
        <w:autoSpaceDE w:val="0"/>
        <w:autoSpaceDN w:val="0"/>
        <w:adjustRightInd w:val="0"/>
        <w:ind w:left="142" w:right="-93"/>
        <w:rPr>
          <w:rFonts w:cs="Arial"/>
        </w:rPr>
      </w:pPr>
    </w:p>
    <w:p w14:paraId="604B4A68" w14:textId="77777777" w:rsidR="00274339" w:rsidRPr="00B17200" w:rsidRDefault="00274339" w:rsidP="00722093">
      <w:pPr>
        <w:autoSpaceDE w:val="0"/>
        <w:autoSpaceDN w:val="0"/>
        <w:adjustRightInd w:val="0"/>
        <w:ind w:left="142" w:right="-518" w:hanging="709"/>
        <w:jc w:val="center"/>
        <w:rPr>
          <w:rFonts w:cs="Arial"/>
          <w:sz w:val="21"/>
          <w:szCs w:val="21"/>
        </w:rPr>
      </w:pPr>
      <w:r w:rsidRPr="00B17200">
        <w:rPr>
          <w:rFonts w:cs="Arial"/>
          <w:sz w:val="20"/>
          <w:szCs w:val="20"/>
        </w:rPr>
        <w:t>Cuadro 1</w:t>
      </w:r>
    </w:p>
    <w:p w14:paraId="43727031" w14:textId="77777777" w:rsidR="00274339" w:rsidRPr="00B17200" w:rsidRDefault="00274339" w:rsidP="00722093">
      <w:pPr>
        <w:autoSpaceDE w:val="0"/>
        <w:autoSpaceDN w:val="0"/>
        <w:adjustRightInd w:val="0"/>
        <w:ind w:left="142" w:right="-518" w:hanging="709"/>
        <w:jc w:val="center"/>
        <w:rPr>
          <w:rFonts w:cs="Arial"/>
          <w:sz w:val="21"/>
          <w:szCs w:val="21"/>
        </w:rPr>
      </w:pPr>
      <w:r w:rsidRPr="00B17200">
        <w:rPr>
          <w:rFonts w:cs="Arial"/>
          <w:noProof/>
        </w:rPr>
        <w:drawing>
          <wp:inline distT="0" distB="0" distL="0" distR="0" wp14:anchorId="3BFAC45E" wp14:editId="1E4C2B1C">
            <wp:extent cx="6333490" cy="14116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3490" cy="1411605"/>
                    </a:xfrm>
                    <a:prstGeom prst="rect">
                      <a:avLst/>
                    </a:prstGeom>
                  </pic:spPr>
                </pic:pic>
              </a:graphicData>
            </a:graphic>
          </wp:inline>
        </w:drawing>
      </w:r>
    </w:p>
    <w:p w14:paraId="1846DDAC" w14:textId="77777777" w:rsidR="00274339" w:rsidRPr="00B17200" w:rsidRDefault="00274339" w:rsidP="00274339">
      <w:pPr>
        <w:autoSpaceDE w:val="0"/>
        <w:autoSpaceDN w:val="0"/>
        <w:adjustRightInd w:val="0"/>
        <w:ind w:left="-851" w:right="-93"/>
        <w:jc w:val="center"/>
        <w:rPr>
          <w:rFonts w:cs="Arial"/>
          <w:sz w:val="21"/>
          <w:szCs w:val="21"/>
        </w:rPr>
      </w:pPr>
    </w:p>
    <w:p w14:paraId="71B2C91A" w14:textId="77777777" w:rsidR="00274339" w:rsidRPr="00B17200" w:rsidRDefault="00274339" w:rsidP="00274339">
      <w:pPr>
        <w:autoSpaceDE w:val="0"/>
        <w:autoSpaceDN w:val="0"/>
        <w:adjustRightInd w:val="0"/>
        <w:ind w:right="51"/>
        <w:rPr>
          <w:rFonts w:cs="Arial"/>
          <w:szCs w:val="22"/>
        </w:rPr>
      </w:pPr>
    </w:p>
    <w:p w14:paraId="781FEEB8" w14:textId="1AEF011F" w:rsidR="00254750" w:rsidRPr="00B17200" w:rsidRDefault="00274339" w:rsidP="003121CA">
      <w:pPr>
        <w:autoSpaceDE w:val="0"/>
        <w:autoSpaceDN w:val="0"/>
        <w:adjustRightInd w:val="0"/>
        <w:ind w:left="-567" w:right="-518"/>
        <w:rPr>
          <w:rFonts w:cs="Arial"/>
        </w:rPr>
      </w:pPr>
      <w:r w:rsidRPr="00B17200">
        <w:rPr>
          <w:rFonts w:cs="Arial"/>
        </w:rPr>
        <w:t xml:space="preserve">El 52.2% de los establecimientos de mujeres propietarias </w:t>
      </w:r>
      <w:r w:rsidR="001327AE" w:rsidRPr="00B17200">
        <w:rPr>
          <w:rFonts w:cs="Arial"/>
        </w:rPr>
        <w:t>se dedicaron a</w:t>
      </w:r>
      <w:r w:rsidRPr="00B17200">
        <w:rPr>
          <w:rFonts w:cs="Arial"/>
        </w:rPr>
        <w:t xml:space="preserve">l comercio, seguidos de 36.9% que </w:t>
      </w:r>
      <w:r w:rsidR="001327AE" w:rsidRPr="00B17200">
        <w:rPr>
          <w:rFonts w:cs="Arial"/>
        </w:rPr>
        <w:t xml:space="preserve">se enfocaron </w:t>
      </w:r>
      <w:r w:rsidRPr="00B17200">
        <w:rPr>
          <w:rFonts w:cs="Arial"/>
        </w:rPr>
        <w:t>a los servicios.</w:t>
      </w:r>
      <w:r w:rsidR="001327AE" w:rsidRPr="00B17200">
        <w:rPr>
          <w:rFonts w:cs="Arial"/>
        </w:rPr>
        <w:t xml:space="preserve"> </w:t>
      </w:r>
      <w:r w:rsidRPr="00B17200">
        <w:rPr>
          <w:rFonts w:cs="Arial"/>
        </w:rPr>
        <w:t>El 45.8% de los negocios de hombres propietarios se concentraron principalmente en los servicios y 38.4% en el comercio.</w:t>
      </w:r>
    </w:p>
    <w:p w14:paraId="71B12259" w14:textId="77777777" w:rsidR="00254750" w:rsidRPr="00B17200" w:rsidRDefault="00254750" w:rsidP="001327AE">
      <w:pPr>
        <w:autoSpaceDE w:val="0"/>
        <w:autoSpaceDN w:val="0"/>
        <w:adjustRightInd w:val="0"/>
        <w:ind w:left="-567" w:right="-518"/>
        <w:rPr>
          <w:rFonts w:cs="Arial"/>
        </w:rPr>
      </w:pPr>
    </w:p>
    <w:p w14:paraId="2B37290F" w14:textId="699A71CA" w:rsidR="00274339" w:rsidRPr="00B17200" w:rsidRDefault="00274339" w:rsidP="00722093">
      <w:pPr>
        <w:autoSpaceDE w:val="0"/>
        <w:autoSpaceDN w:val="0"/>
        <w:adjustRightInd w:val="0"/>
        <w:ind w:left="-567" w:right="-518"/>
        <w:rPr>
          <w:rFonts w:cs="Arial"/>
          <w:b/>
          <w:bCs/>
          <w:sz w:val="20"/>
          <w:szCs w:val="20"/>
        </w:rPr>
      </w:pPr>
    </w:p>
    <w:p w14:paraId="650C549B" w14:textId="2516B2AD" w:rsidR="0036416B" w:rsidRPr="00B17200" w:rsidRDefault="0036416B" w:rsidP="00722093">
      <w:pPr>
        <w:autoSpaceDE w:val="0"/>
        <w:autoSpaceDN w:val="0"/>
        <w:adjustRightInd w:val="0"/>
        <w:ind w:left="-567" w:right="-518"/>
        <w:rPr>
          <w:rFonts w:cs="Arial"/>
          <w:b/>
          <w:bCs/>
          <w:sz w:val="20"/>
          <w:szCs w:val="20"/>
        </w:rPr>
      </w:pPr>
    </w:p>
    <w:p w14:paraId="72D14DB1" w14:textId="77777777" w:rsidR="0036416B" w:rsidRPr="00B17200" w:rsidRDefault="0036416B" w:rsidP="00722093">
      <w:pPr>
        <w:autoSpaceDE w:val="0"/>
        <w:autoSpaceDN w:val="0"/>
        <w:adjustRightInd w:val="0"/>
        <w:ind w:left="-567" w:right="-518"/>
        <w:rPr>
          <w:rFonts w:cs="Arial"/>
          <w:b/>
          <w:bCs/>
          <w:sz w:val="20"/>
          <w:szCs w:val="20"/>
        </w:rPr>
      </w:pPr>
    </w:p>
    <w:p w14:paraId="7E2EEB1A" w14:textId="77777777" w:rsidR="00274339" w:rsidRPr="00B17200" w:rsidRDefault="00274339" w:rsidP="00722093">
      <w:pPr>
        <w:autoSpaceDE w:val="0"/>
        <w:autoSpaceDN w:val="0"/>
        <w:adjustRightInd w:val="0"/>
        <w:ind w:left="-567" w:right="-518"/>
        <w:jc w:val="center"/>
        <w:rPr>
          <w:rFonts w:cs="Arial"/>
          <w:bCs/>
          <w:sz w:val="20"/>
          <w:szCs w:val="20"/>
        </w:rPr>
      </w:pPr>
      <w:r w:rsidRPr="00B17200">
        <w:rPr>
          <w:rFonts w:cs="Arial"/>
          <w:bCs/>
          <w:sz w:val="20"/>
          <w:szCs w:val="20"/>
        </w:rPr>
        <w:lastRenderedPageBreak/>
        <w:t>Gráfica 4</w:t>
      </w:r>
    </w:p>
    <w:p w14:paraId="68FE4FA9" w14:textId="77777777" w:rsidR="00274339" w:rsidRPr="00B17200" w:rsidRDefault="00274339" w:rsidP="00722093">
      <w:pPr>
        <w:autoSpaceDE w:val="0"/>
        <w:autoSpaceDN w:val="0"/>
        <w:adjustRightInd w:val="0"/>
        <w:ind w:left="-567" w:right="-518"/>
        <w:jc w:val="center"/>
        <w:rPr>
          <w:rFonts w:cs="Arial"/>
          <w:b/>
          <w:bCs/>
          <w:smallCaps/>
          <w:szCs w:val="22"/>
        </w:rPr>
      </w:pPr>
      <w:r w:rsidRPr="00B17200">
        <w:rPr>
          <w:rFonts w:cs="Arial"/>
          <w:b/>
          <w:bCs/>
          <w:smallCaps/>
          <w:szCs w:val="22"/>
        </w:rPr>
        <w:t>Establecimientos mipymes según sexo del propietario, 2018</w:t>
      </w:r>
    </w:p>
    <w:p w14:paraId="7F42F31D" w14:textId="77777777" w:rsidR="00274339" w:rsidRPr="00B17200" w:rsidRDefault="00274339" w:rsidP="00722093">
      <w:pPr>
        <w:autoSpaceDE w:val="0"/>
        <w:autoSpaceDN w:val="0"/>
        <w:adjustRightInd w:val="0"/>
        <w:ind w:left="-567" w:right="-518"/>
        <w:jc w:val="center"/>
        <w:rPr>
          <w:rFonts w:cs="Arial"/>
          <w:bCs/>
          <w:sz w:val="18"/>
          <w:szCs w:val="18"/>
        </w:rPr>
      </w:pPr>
      <w:r w:rsidRPr="00B17200">
        <w:rPr>
          <w:rFonts w:cs="Arial"/>
          <w:bCs/>
          <w:sz w:val="18"/>
          <w:szCs w:val="18"/>
        </w:rPr>
        <w:t>(porcentajes)</w:t>
      </w:r>
    </w:p>
    <w:p w14:paraId="46758EE1" w14:textId="77777777" w:rsidR="00274339" w:rsidRPr="00B17200" w:rsidRDefault="00274339" w:rsidP="00274339">
      <w:pPr>
        <w:autoSpaceDE w:val="0"/>
        <w:autoSpaceDN w:val="0"/>
        <w:adjustRightInd w:val="0"/>
        <w:ind w:left="-851" w:right="-93" w:firstLine="993"/>
        <w:jc w:val="center"/>
        <w:rPr>
          <w:rFonts w:cs="Arial"/>
          <w:sz w:val="21"/>
          <w:szCs w:val="21"/>
        </w:rPr>
      </w:pPr>
      <w:r w:rsidRPr="00B17200">
        <w:rPr>
          <w:rFonts w:cs="Arial"/>
          <w:noProof/>
          <w:sz w:val="21"/>
          <w:szCs w:val="21"/>
        </w:rPr>
        <w:drawing>
          <wp:inline distT="0" distB="0" distL="0" distR="0" wp14:anchorId="6B1E864B" wp14:editId="0D12E323">
            <wp:extent cx="5381625" cy="22669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F72495" w14:textId="77777777" w:rsidR="00274339" w:rsidRPr="00B17200" w:rsidRDefault="00274339" w:rsidP="00274339">
      <w:pPr>
        <w:autoSpaceDE w:val="0"/>
        <w:autoSpaceDN w:val="0"/>
        <w:adjustRightInd w:val="0"/>
        <w:ind w:left="-851" w:right="-93"/>
        <w:jc w:val="center"/>
        <w:rPr>
          <w:rFonts w:cs="Arial"/>
          <w:sz w:val="21"/>
          <w:szCs w:val="21"/>
        </w:rPr>
      </w:pPr>
    </w:p>
    <w:p w14:paraId="72432F9C" w14:textId="77777777" w:rsidR="00274339" w:rsidRPr="00B17200" w:rsidRDefault="00274339" w:rsidP="00722093">
      <w:pPr>
        <w:autoSpaceDE w:val="0"/>
        <w:autoSpaceDN w:val="0"/>
        <w:adjustRightInd w:val="0"/>
        <w:ind w:left="-567" w:right="-518"/>
        <w:rPr>
          <w:rFonts w:cs="Arial"/>
        </w:rPr>
      </w:pPr>
      <w:r w:rsidRPr="00B17200">
        <w:rPr>
          <w:rFonts w:cs="Arial"/>
        </w:rPr>
        <w:t>El 89.7% de los establecimientos propiedad de una mujer no contó con equipo de cómputo, 91.3% no tenía servicio de internet para la operación del negocio y 59.1% no utilizó sistema contable para llevar un registro de sus gastos e ingresos.</w:t>
      </w:r>
    </w:p>
    <w:p w14:paraId="16865874" w14:textId="77777777" w:rsidR="00274339" w:rsidRPr="00B17200" w:rsidRDefault="00274339" w:rsidP="00722093">
      <w:pPr>
        <w:autoSpaceDE w:val="0"/>
        <w:autoSpaceDN w:val="0"/>
        <w:adjustRightInd w:val="0"/>
        <w:ind w:left="-567" w:right="-518"/>
        <w:rPr>
          <w:rFonts w:cs="Arial"/>
        </w:rPr>
      </w:pPr>
    </w:p>
    <w:p w14:paraId="3AFC1975" w14:textId="77777777" w:rsidR="00274339" w:rsidRPr="00B17200" w:rsidRDefault="00274339" w:rsidP="00722093">
      <w:pPr>
        <w:autoSpaceDE w:val="0"/>
        <w:autoSpaceDN w:val="0"/>
        <w:adjustRightInd w:val="0"/>
        <w:ind w:left="-567" w:right="-518"/>
        <w:rPr>
          <w:rFonts w:cs="Arial"/>
        </w:rPr>
      </w:pPr>
      <w:r w:rsidRPr="00B17200">
        <w:rPr>
          <w:rFonts w:cs="Arial"/>
        </w:rPr>
        <w:t>En cuanto al financiamiento, 13 de cada 100 establecimientos MIPYMES de mujeres propietarias obtuvieron un crédito o financiamiento. Las principales fuentes utilizadas fueron los bancos (33.4%) y las cajas de ahorro popular (25.8%). Los recursos  obtenidos por crédito o financiamiento, en su mayoría, se emplearon para el equipamiento o ampliación del negocio (58.9%) y adquisición de insumos en el mercado (47.9%).</w:t>
      </w:r>
    </w:p>
    <w:p w14:paraId="746963A2" w14:textId="77777777" w:rsidR="00274339" w:rsidRPr="00B17200" w:rsidRDefault="00274339" w:rsidP="00722093">
      <w:pPr>
        <w:ind w:left="-567" w:right="-518"/>
        <w:rPr>
          <w:rFonts w:cs="Arial"/>
          <w:b/>
          <w:bCs/>
        </w:rPr>
      </w:pPr>
    </w:p>
    <w:p w14:paraId="0A203EA8" w14:textId="77777777" w:rsidR="00274339" w:rsidRPr="00B17200" w:rsidRDefault="00274339" w:rsidP="00722093">
      <w:pPr>
        <w:ind w:left="-567" w:right="-518"/>
        <w:rPr>
          <w:rFonts w:cs="Arial"/>
          <w:b/>
          <w:bCs/>
          <w:smallCaps/>
        </w:rPr>
      </w:pPr>
      <w:r w:rsidRPr="00B17200">
        <w:rPr>
          <w:rFonts w:cs="Arial"/>
          <w:b/>
          <w:bCs/>
          <w:smallCaps/>
        </w:rPr>
        <w:t>Mujeres presidentas municipales, síndicas y regidoras</w:t>
      </w:r>
    </w:p>
    <w:p w14:paraId="12106FCD" w14:textId="77777777" w:rsidR="00274339" w:rsidRPr="00B17200" w:rsidRDefault="00274339" w:rsidP="00722093">
      <w:pPr>
        <w:ind w:left="-567" w:right="-518"/>
        <w:rPr>
          <w:rFonts w:cs="Arial"/>
          <w:b/>
          <w:bCs/>
          <w:smallCaps/>
        </w:rPr>
      </w:pPr>
    </w:p>
    <w:p w14:paraId="1B9DCADD" w14:textId="280748B9" w:rsidR="00274339" w:rsidRPr="00B17200" w:rsidRDefault="00274339" w:rsidP="00722093">
      <w:pPr>
        <w:ind w:left="-567" w:right="-518"/>
        <w:rPr>
          <w:rFonts w:cs="Arial"/>
        </w:rPr>
      </w:pPr>
      <w:bookmarkStart w:id="1" w:name="_Hlk96336592"/>
      <w:r w:rsidRPr="00B17200">
        <w:rPr>
          <w:rFonts w:cs="Arial"/>
        </w:rPr>
        <w:t>En 2020, a nivel nacional por cada 3 hombres hubo una mujer presidiendo las administraciones públicas municipales.</w:t>
      </w:r>
      <w:bookmarkEnd w:id="1"/>
      <w:r w:rsidRPr="00B17200">
        <w:rPr>
          <w:rFonts w:cs="Arial"/>
        </w:rPr>
        <w:t xml:space="preserve"> Baja California ocupó el primer lugar de representación de mujeres en las presidencias municipales, ya que 4 de los 5 municipios de esa entidad estaban gobernados por mujeres (80%), mientras que en Tlaxcala y Aguascalientes</w:t>
      </w:r>
      <w:r w:rsidR="00E42A6E" w:rsidRPr="00B17200">
        <w:rPr>
          <w:rFonts w:cs="Arial"/>
        </w:rPr>
        <w:t xml:space="preserve">, </w:t>
      </w:r>
      <w:r w:rsidRPr="00B17200">
        <w:rPr>
          <w:rFonts w:cs="Arial"/>
        </w:rPr>
        <w:t>las mujeres son mayoría como síndicas</w:t>
      </w:r>
      <w:r w:rsidR="00E42A6E" w:rsidRPr="00B17200">
        <w:rPr>
          <w:rFonts w:cs="Arial"/>
        </w:rPr>
        <w:t xml:space="preserve">, </w:t>
      </w:r>
      <w:r w:rsidRPr="00B17200">
        <w:rPr>
          <w:rFonts w:cs="Arial"/>
        </w:rPr>
        <w:t xml:space="preserve">y en Querétaro y Durango como regidoras. </w:t>
      </w:r>
    </w:p>
    <w:p w14:paraId="0F7C4D64" w14:textId="77777777" w:rsidR="00274339" w:rsidRPr="00B17200" w:rsidRDefault="00274339" w:rsidP="00722093">
      <w:pPr>
        <w:ind w:left="-567" w:right="-518"/>
        <w:rPr>
          <w:rFonts w:cs="Arial"/>
        </w:rPr>
      </w:pPr>
    </w:p>
    <w:p w14:paraId="2EB1A549" w14:textId="77777777" w:rsidR="00274339" w:rsidRPr="00B17200" w:rsidRDefault="00274339" w:rsidP="00722093">
      <w:pPr>
        <w:ind w:left="-567" w:right="-518"/>
        <w:rPr>
          <w:rFonts w:cs="Arial"/>
          <w:noProof/>
        </w:rPr>
      </w:pPr>
      <w:r w:rsidRPr="00B17200">
        <w:rPr>
          <w:rFonts w:cs="Arial"/>
        </w:rPr>
        <w:t>En el extremo opuesto están Tlaxcala con solo 10.2% de las 60 presidencias municipales de la entidad ocupadas por mujeres, Oaxaca con 22.6% de mujeres síndicas y Morelos con 28.2% de mujeres regidoras.</w:t>
      </w:r>
      <w:r w:rsidRPr="00B17200">
        <w:rPr>
          <w:rFonts w:cs="Arial"/>
          <w:noProof/>
        </w:rPr>
        <w:t xml:space="preserve"> </w:t>
      </w:r>
    </w:p>
    <w:p w14:paraId="701E9E95" w14:textId="77777777" w:rsidR="00274339" w:rsidRPr="00B17200" w:rsidRDefault="00274339" w:rsidP="00274339">
      <w:pPr>
        <w:rPr>
          <w:rFonts w:cs="Arial"/>
          <w:noProof/>
        </w:rPr>
      </w:pPr>
    </w:p>
    <w:p w14:paraId="61B6BBC1" w14:textId="77777777" w:rsidR="00274339" w:rsidRPr="00B17200" w:rsidRDefault="00274339" w:rsidP="00274339">
      <w:pPr>
        <w:autoSpaceDE w:val="0"/>
        <w:autoSpaceDN w:val="0"/>
        <w:adjustRightInd w:val="0"/>
        <w:ind w:right="51"/>
        <w:rPr>
          <w:rFonts w:cs="Arial"/>
          <w:szCs w:val="22"/>
        </w:rPr>
      </w:pPr>
    </w:p>
    <w:p w14:paraId="53883646" w14:textId="6F4C19AF" w:rsidR="00722093" w:rsidRPr="000E75B8" w:rsidRDefault="00274339" w:rsidP="000E75B8">
      <w:pPr>
        <w:autoSpaceDE w:val="0"/>
        <w:autoSpaceDN w:val="0"/>
        <w:adjustRightInd w:val="0"/>
        <w:ind w:right="-518"/>
        <w:jc w:val="center"/>
        <w:rPr>
          <w:rFonts w:cs="Arial"/>
          <w:szCs w:val="22"/>
        </w:rPr>
      </w:pPr>
      <w:r w:rsidRPr="00B17200">
        <w:rPr>
          <w:rFonts w:cs="Arial"/>
          <w:noProof/>
        </w:rPr>
        <w:lastRenderedPageBreak/>
        <w:drawing>
          <wp:inline distT="0" distB="0" distL="0" distR="0" wp14:anchorId="28A05ACE" wp14:editId="2AC8674E">
            <wp:extent cx="6032119" cy="559117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42298" cy="5600610"/>
                    </a:xfrm>
                    <a:prstGeom prst="rect">
                      <a:avLst/>
                    </a:prstGeom>
                  </pic:spPr>
                </pic:pic>
              </a:graphicData>
            </a:graphic>
          </wp:inline>
        </w:drawing>
      </w:r>
    </w:p>
    <w:p w14:paraId="2B970EE5" w14:textId="77777777" w:rsidR="00722093" w:rsidRPr="00B17200" w:rsidRDefault="00722093" w:rsidP="00722093">
      <w:pPr>
        <w:keepNext/>
        <w:ind w:left="-567" w:right="-518"/>
        <w:rPr>
          <w:rFonts w:cs="Arial"/>
          <w:b/>
          <w:bCs/>
          <w:smallCaps/>
        </w:rPr>
      </w:pPr>
    </w:p>
    <w:p w14:paraId="5D233D82" w14:textId="77777777" w:rsidR="00274339" w:rsidRPr="00B17200" w:rsidRDefault="00274339" w:rsidP="00722093">
      <w:pPr>
        <w:keepNext/>
        <w:ind w:left="-567" w:right="-518"/>
        <w:rPr>
          <w:rFonts w:cs="Arial"/>
          <w:b/>
          <w:bCs/>
          <w:smallCaps/>
        </w:rPr>
      </w:pPr>
      <w:r w:rsidRPr="00B17200">
        <w:rPr>
          <w:rFonts w:cs="Arial"/>
          <w:b/>
          <w:bCs/>
          <w:smallCaps/>
        </w:rPr>
        <w:t xml:space="preserve">La violencia contra las mujeres </w:t>
      </w:r>
    </w:p>
    <w:p w14:paraId="2BFB87A8" w14:textId="77777777" w:rsidR="00274339" w:rsidRPr="00B17200" w:rsidRDefault="00274339" w:rsidP="00722093">
      <w:pPr>
        <w:pStyle w:val="NormalWeb"/>
        <w:spacing w:before="0" w:beforeAutospacing="0" w:after="0" w:afterAutospacing="0"/>
        <w:ind w:left="-567" w:right="-518"/>
        <w:contextualSpacing/>
        <w:jc w:val="center"/>
        <w:rPr>
          <w:rFonts w:ascii="Arial" w:hAnsi="Arial" w:cs="Arial"/>
          <w:sz w:val="22"/>
          <w:szCs w:val="22"/>
        </w:rPr>
      </w:pPr>
    </w:p>
    <w:p w14:paraId="6B90134B" w14:textId="77777777" w:rsidR="00274339" w:rsidRPr="00B17200" w:rsidRDefault="00274339" w:rsidP="00722093">
      <w:pPr>
        <w:pStyle w:val="NormalWeb"/>
        <w:spacing w:before="0" w:beforeAutospacing="0" w:after="0" w:afterAutospacing="0"/>
        <w:ind w:left="-567" w:right="-518"/>
        <w:contextualSpacing/>
        <w:jc w:val="both"/>
        <w:rPr>
          <w:rFonts w:ascii="Arial" w:hAnsi="Arial" w:cs="Arial"/>
          <w:sz w:val="22"/>
          <w:szCs w:val="22"/>
        </w:rPr>
      </w:pPr>
      <w:r w:rsidRPr="00B17200">
        <w:rPr>
          <w:rFonts w:ascii="Arial" w:hAnsi="Arial" w:cs="Arial"/>
          <w:sz w:val="22"/>
          <w:szCs w:val="22"/>
        </w:rPr>
        <w:t>De acuerdo con el Censo Nacional de Procuración de Justicia Estatal (CNPJE) 2021, el delito de violencia familiar (al que se le considera una aproximación a la violencia contra las mujeres) registró la segunda mayor frecuencia en 2020, solo después del robo.</w:t>
      </w:r>
    </w:p>
    <w:p w14:paraId="1141073B" w14:textId="77777777" w:rsidR="00274339" w:rsidRPr="00B17200" w:rsidRDefault="00274339" w:rsidP="00722093">
      <w:pPr>
        <w:pStyle w:val="NormalWeb"/>
        <w:spacing w:before="0" w:beforeAutospacing="0" w:after="0" w:afterAutospacing="0"/>
        <w:ind w:left="-567" w:right="-518"/>
        <w:contextualSpacing/>
        <w:jc w:val="both"/>
        <w:rPr>
          <w:rFonts w:ascii="Arial" w:hAnsi="Arial" w:cs="Arial"/>
          <w:sz w:val="22"/>
          <w:szCs w:val="22"/>
        </w:rPr>
      </w:pPr>
    </w:p>
    <w:p w14:paraId="2F5E9940" w14:textId="77777777" w:rsidR="007F0F20" w:rsidRDefault="00274339" w:rsidP="007F0F20">
      <w:pPr>
        <w:pStyle w:val="NormalWeb"/>
        <w:spacing w:before="0" w:beforeAutospacing="0" w:after="0" w:afterAutospacing="0"/>
        <w:ind w:left="-567" w:right="-518"/>
        <w:contextualSpacing/>
        <w:jc w:val="both"/>
        <w:rPr>
          <w:rFonts w:ascii="Arial" w:hAnsi="Arial" w:cs="Arial"/>
          <w:sz w:val="22"/>
          <w:szCs w:val="22"/>
        </w:rPr>
      </w:pPr>
      <w:r w:rsidRPr="00B17200">
        <w:rPr>
          <w:rFonts w:ascii="Arial" w:hAnsi="Arial" w:cs="Arial"/>
          <w:sz w:val="22"/>
          <w:szCs w:val="22"/>
        </w:rPr>
        <w:t>Además, fue el único que presentó un aumento de 5.3% entre 2019 y 2020, mismo que podría atribuirse al periodo de confinamiento por COVID-19 durante 2020, ya que las mujeres, al permanecer más tiempo en sus hogares con otros miembros de su familia, se encontraron más expuestas a la violencia por parte de sus agresores.</w:t>
      </w:r>
    </w:p>
    <w:p w14:paraId="732D7512" w14:textId="77777777" w:rsidR="007F0F20" w:rsidRDefault="007F0F20" w:rsidP="007F0F20">
      <w:pPr>
        <w:pStyle w:val="NormalWeb"/>
        <w:spacing w:before="0" w:beforeAutospacing="0" w:after="0" w:afterAutospacing="0"/>
        <w:ind w:left="-567" w:right="-518"/>
        <w:contextualSpacing/>
        <w:jc w:val="both"/>
        <w:rPr>
          <w:rFonts w:ascii="Arial" w:hAnsi="Arial" w:cs="Arial"/>
          <w:sz w:val="22"/>
          <w:szCs w:val="22"/>
        </w:rPr>
      </w:pPr>
    </w:p>
    <w:p w14:paraId="119BF80A" w14:textId="5B29F1C8" w:rsidR="00274339" w:rsidRPr="00B17200" w:rsidRDefault="00722093" w:rsidP="007F0F20">
      <w:pPr>
        <w:pStyle w:val="NormalWeb"/>
        <w:spacing w:before="0" w:beforeAutospacing="0" w:after="0" w:afterAutospacing="0"/>
        <w:ind w:left="-567" w:right="-518"/>
        <w:contextualSpacing/>
        <w:jc w:val="both"/>
        <w:rPr>
          <w:rFonts w:ascii="Arial" w:hAnsi="Arial" w:cs="Arial"/>
          <w:sz w:val="22"/>
          <w:szCs w:val="22"/>
        </w:rPr>
      </w:pPr>
      <w:r w:rsidRPr="00B17200">
        <w:rPr>
          <w:rFonts w:ascii="Arial" w:hAnsi="Arial" w:cs="Arial"/>
          <w:sz w:val="22"/>
          <w:szCs w:val="22"/>
        </w:rPr>
        <w:lastRenderedPageBreak/>
        <w:t>Los delitos contra las mujeres</w:t>
      </w:r>
      <w:r w:rsidRPr="00B17200">
        <w:rPr>
          <w:rStyle w:val="Refdenotaalpie"/>
          <w:rFonts w:ascii="Arial" w:hAnsi="Arial" w:cs="Arial"/>
          <w:sz w:val="22"/>
          <w:szCs w:val="22"/>
        </w:rPr>
        <w:footnoteReference w:id="2"/>
      </w:r>
      <w:r w:rsidRPr="00B17200">
        <w:rPr>
          <w:rFonts w:ascii="Arial" w:hAnsi="Arial" w:cs="Arial"/>
          <w:sz w:val="22"/>
          <w:szCs w:val="22"/>
        </w:rPr>
        <w:t xml:space="preserve"> (273</w:t>
      </w:r>
      <w:r w:rsidR="000C264D" w:rsidRPr="00B17200">
        <w:rPr>
          <w:rFonts w:ascii="Arial" w:hAnsi="Arial" w:cs="Arial"/>
          <w:sz w:val="22"/>
          <w:szCs w:val="22"/>
        </w:rPr>
        <w:t>,</w:t>
      </w:r>
      <w:r w:rsidRPr="00B17200">
        <w:rPr>
          <w:rFonts w:ascii="Arial" w:hAnsi="Arial" w:cs="Arial"/>
          <w:sz w:val="22"/>
          <w:szCs w:val="22"/>
        </w:rPr>
        <w:t>903) registrados en las investigaciones y carpetas de investigación abiertas y averiguaciones previas iniciadas en 2020 representan 14.8% del total de delitos (1,856,805).</w:t>
      </w:r>
    </w:p>
    <w:p w14:paraId="27874830" w14:textId="77777777" w:rsidR="00722093" w:rsidRPr="00B17200" w:rsidRDefault="00722093" w:rsidP="00274339">
      <w:pPr>
        <w:pStyle w:val="NormalWeb"/>
        <w:spacing w:before="0" w:beforeAutospacing="0" w:after="0" w:afterAutospacing="0"/>
        <w:contextualSpacing/>
        <w:jc w:val="both"/>
        <w:rPr>
          <w:rFonts w:ascii="Arial" w:hAnsi="Arial" w:cs="Arial"/>
          <w:sz w:val="22"/>
          <w:szCs w:val="22"/>
        </w:rPr>
      </w:pPr>
    </w:p>
    <w:p w14:paraId="0BE927E4"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r w:rsidRPr="00B17200">
        <w:rPr>
          <w:rFonts w:ascii="Arial" w:hAnsi="Arial" w:cs="Arial"/>
          <w:sz w:val="22"/>
          <w:szCs w:val="22"/>
        </w:rPr>
        <w:t>De estos, resalta que 80.4% corresponden a delitos de violencia familiar, donde la víctima más frecuente es una mujer. En un porcentaje significativamente menor se encuentran los delitos sexuales: abuso sexual (8.4%), violación simple/equiparada (6.6%), acoso sexual (2.0%) y hostigamiento sexual (0.7%).</w:t>
      </w:r>
    </w:p>
    <w:p w14:paraId="0AAC1020"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05F35B3E"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6400152A"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7238DC93"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0A72D7F6"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72D3A2D9"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3C1B5EA9"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010B4EBE"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29D87E3B"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716F618B"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58FDFB1B"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229728BB"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1C025352"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20432BE9"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4BF8492F"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0F1C6B1E"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5046059C"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295215DA"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4D1D206A"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717162A3" w14:textId="77777777" w:rsidR="00722093" w:rsidRPr="00B17200" w:rsidRDefault="00722093" w:rsidP="00722093">
      <w:pPr>
        <w:pStyle w:val="NormalWeb"/>
        <w:spacing w:before="0" w:beforeAutospacing="0" w:after="0" w:afterAutospacing="0"/>
        <w:ind w:left="-567" w:right="-518"/>
        <w:contextualSpacing/>
        <w:jc w:val="both"/>
        <w:rPr>
          <w:rFonts w:ascii="Arial" w:hAnsi="Arial" w:cs="Arial"/>
          <w:sz w:val="22"/>
          <w:szCs w:val="22"/>
        </w:rPr>
      </w:pPr>
    </w:p>
    <w:p w14:paraId="25E20924" w14:textId="77777777" w:rsidR="00274339" w:rsidRPr="00B17200" w:rsidRDefault="00274339" w:rsidP="00274339">
      <w:pPr>
        <w:pStyle w:val="NormalWeb"/>
        <w:spacing w:before="0" w:beforeAutospacing="0" w:after="0" w:afterAutospacing="0"/>
        <w:contextualSpacing/>
        <w:jc w:val="center"/>
        <w:rPr>
          <w:rFonts w:ascii="Arial" w:hAnsi="Arial" w:cs="Arial"/>
          <w:sz w:val="22"/>
          <w:szCs w:val="22"/>
        </w:rPr>
      </w:pPr>
    </w:p>
    <w:p w14:paraId="6B8582B7" w14:textId="77777777" w:rsidR="00274339" w:rsidRPr="00B17200" w:rsidRDefault="00274339" w:rsidP="00274339">
      <w:pPr>
        <w:pStyle w:val="NormalWeb"/>
        <w:spacing w:before="0" w:beforeAutospacing="0" w:after="0" w:afterAutospacing="0"/>
        <w:contextualSpacing/>
        <w:jc w:val="center"/>
        <w:rPr>
          <w:rFonts w:ascii="Arial" w:hAnsi="Arial" w:cs="Arial"/>
          <w:sz w:val="22"/>
          <w:szCs w:val="22"/>
        </w:rPr>
      </w:pPr>
      <w:r w:rsidRPr="00B17200">
        <w:rPr>
          <w:rFonts w:ascii="Arial" w:hAnsi="Arial" w:cs="Arial"/>
          <w:sz w:val="22"/>
          <w:szCs w:val="22"/>
        </w:rPr>
        <w:t xml:space="preserve">Para consultas de medios y periodistas, contactar a: </w:t>
      </w:r>
      <w:hyperlink r:id="rId14" w:history="1">
        <w:r w:rsidRPr="00B17200">
          <w:rPr>
            <w:rStyle w:val="Hipervnculo"/>
            <w:rFonts w:ascii="Arial" w:hAnsi="Arial" w:cs="Arial"/>
            <w:sz w:val="22"/>
            <w:szCs w:val="22"/>
          </w:rPr>
          <w:t>comunicacionsocial@inegi.org.mx</w:t>
        </w:r>
      </w:hyperlink>
      <w:r w:rsidRPr="00B17200">
        <w:rPr>
          <w:rFonts w:ascii="Arial" w:hAnsi="Arial" w:cs="Arial"/>
          <w:sz w:val="22"/>
          <w:szCs w:val="22"/>
        </w:rPr>
        <w:t xml:space="preserve"> </w:t>
      </w:r>
    </w:p>
    <w:p w14:paraId="7BF4A21C" w14:textId="77777777" w:rsidR="00274339" w:rsidRPr="00B17200" w:rsidRDefault="00274339" w:rsidP="00274339">
      <w:pPr>
        <w:pStyle w:val="NormalWeb"/>
        <w:spacing w:before="0" w:beforeAutospacing="0" w:after="0" w:afterAutospacing="0"/>
        <w:contextualSpacing/>
        <w:jc w:val="center"/>
        <w:rPr>
          <w:rFonts w:ascii="Arial" w:hAnsi="Arial" w:cs="Arial"/>
          <w:sz w:val="22"/>
          <w:szCs w:val="22"/>
        </w:rPr>
      </w:pPr>
      <w:r w:rsidRPr="00B17200">
        <w:rPr>
          <w:rFonts w:ascii="Arial" w:hAnsi="Arial" w:cs="Arial"/>
          <w:sz w:val="22"/>
          <w:szCs w:val="22"/>
        </w:rPr>
        <w:t>o llamar al teléfono (55) 52-78-10-00, exts. 1134, 1260 y 1241.</w:t>
      </w:r>
    </w:p>
    <w:p w14:paraId="72FC0148" w14:textId="77777777" w:rsidR="00274339" w:rsidRPr="00B17200" w:rsidRDefault="00274339" w:rsidP="00274339">
      <w:pPr>
        <w:pStyle w:val="NormalWeb"/>
        <w:spacing w:before="0" w:beforeAutospacing="0" w:after="0" w:afterAutospacing="0"/>
        <w:contextualSpacing/>
        <w:jc w:val="center"/>
        <w:rPr>
          <w:rFonts w:ascii="Arial" w:hAnsi="Arial" w:cs="Arial"/>
          <w:sz w:val="22"/>
          <w:szCs w:val="22"/>
        </w:rPr>
      </w:pPr>
    </w:p>
    <w:p w14:paraId="48CA23C3" w14:textId="77777777" w:rsidR="00274339" w:rsidRPr="00B17200" w:rsidRDefault="00274339" w:rsidP="00274339">
      <w:pPr>
        <w:contextualSpacing/>
        <w:jc w:val="center"/>
        <w:rPr>
          <w:rFonts w:cs="Arial"/>
        </w:rPr>
      </w:pPr>
      <w:r w:rsidRPr="00B17200">
        <w:rPr>
          <w:rFonts w:cs="Arial"/>
        </w:rPr>
        <w:t>Dirección de Atención a Medios/Dirección General Adjunta de Comunicación</w:t>
      </w:r>
    </w:p>
    <w:p w14:paraId="0DCACC61" w14:textId="77777777" w:rsidR="00274339" w:rsidRPr="00B17200" w:rsidRDefault="00274339" w:rsidP="00274339">
      <w:pPr>
        <w:contextualSpacing/>
        <w:jc w:val="center"/>
        <w:rPr>
          <w:rFonts w:cs="Arial"/>
        </w:rPr>
      </w:pPr>
    </w:p>
    <w:p w14:paraId="380F653A" w14:textId="77777777" w:rsidR="00274339" w:rsidRPr="00B17200" w:rsidRDefault="00274339" w:rsidP="00274339">
      <w:pPr>
        <w:contextualSpacing/>
        <w:jc w:val="center"/>
        <w:rPr>
          <w:rFonts w:cs="Arial"/>
          <w:sz w:val="16"/>
        </w:rPr>
      </w:pPr>
    </w:p>
    <w:p w14:paraId="41AB408E" w14:textId="77777777" w:rsidR="00274339" w:rsidRPr="00810CE8" w:rsidRDefault="00274339" w:rsidP="00274339">
      <w:pPr>
        <w:ind w:left="-425" w:right="-516"/>
        <w:contextualSpacing/>
        <w:jc w:val="center"/>
        <w:rPr>
          <w:rFonts w:cs="Arial"/>
          <w:b/>
          <w:szCs w:val="22"/>
        </w:rPr>
      </w:pPr>
      <w:r w:rsidRPr="00B17200">
        <w:rPr>
          <w:rFonts w:cs="Arial"/>
          <w:noProof/>
          <w:lang w:eastAsia="es-MX"/>
        </w:rPr>
        <w:drawing>
          <wp:inline distT="0" distB="0" distL="0" distR="0" wp14:anchorId="652FE656" wp14:editId="79A46A9F">
            <wp:extent cx="266700" cy="278296"/>
            <wp:effectExtent l="0" t="0" r="0" b="7620"/>
            <wp:docPr id="83" name="Imagen 83"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314" cy="279980"/>
                    </a:xfrm>
                    <a:prstGeom prst="rect">
                      <a:avLst/>
                    </a:prstGeom>
                    <a:noFill/>
                    <a:ln>
                      <a:noFill/>
                    </a:ln>
                  </pic:spPr>
                </pic:pic>
              </a:graphicData>
            </a:graphic>
          </wp:inline>
        </w:drawing>
      </w:r>
      <w:r w:rsidRPr="00B17200">
        <w:rPr>
          <w:rFonts w:cs="Arial"/>
          <w:noProof/>
          <w:lang w:eastAsia="es-MX"/>
        </w:rPr>
        <w:t xml:space="preserve"> </w:t>
      </w:r>
      <w:r w:rsidRPr="00B17200">
        <w:rPr>
          <w:rFonts w:cs="Arial"/>
          <w:noProof/>
          <w:lang w:eastAsia="es-MX"/>
        </w:rPr>
        <w:drawing>
          <wp:inline distT="0" distB="0" distL="0" distR="0" wp14:anchorId="339B5FDB" wp14:editId="6AB92567">
            <wp:extent cx="285750" cy="285750"/>
            <wp:effectExtent l="0" t="0" r="0" b="0"/>
            <wp:docPr id="16" name="Imagen 16"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17200">
        <w:rPr>
          <w:rFonts w:cs="Arial"/>
          <w:noProof/>
          <w:lang w:eastAsia="es-MX"/>
        </w:rPr>
        <w:t xml:space="preserve"> </w:t>
      </w:r>
      <w:r w:rsidRPr="00B17200">
        <w:rPr>
          <w:rFonts w:cs="Arial"/>
          <w:noProof/>
          <w:lang w:eastAsia="es-MX"/>
        </w:rPr>
        <w:drawing>
          <wp:inline distT="0" distB="0" distL="0" distR="0" wp14:anchorId="5BDCE03F" wp14:editId="4393A615">
            <wp:extent cx="276225" cy="276225"/>
            <wp:effectExtent l="0" t="0" r="9525" b="9525"/>
            <wp:docPr id="84" name="Imagen 84"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17200">
        <w:rPr>
          <w:rFonts w:cs="Arial"/>
          <w:noProof/>
          <w:lang w:eastAsia="es-MX"/>
        </w:rPr>
        <w:t xml:space="preserve"> </w:t>
      </w:r>
      <w:r w:rsidRPr="00B17200">
        <w:rPr>
          <w:rFonts w:cs="Arial"/>
          <w:noProof/>
          <w:lang w:eastAsia="es-MX"/>
        </w:rPr>
        <w:drawing>
          <wp:inline distT="0" distB="0" distL="0" distR="0" wp14:anchorId="12573B43" wp14:editId="378945B1">
            <wp:extent cx="285750" cy="285750"/>
            <wp:effectExtent l="0" t="0" r="0" b="0"/>
            <wp:docPr id="85" name="Imagen 85"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17200">
        <w:rPr>
          <w:rFonts w:cs="Arial"/>
          <w:noProof/>
          <w:lang w:eastAsia="es-MX"/>
        </w:rPr>
        <w:t xml:space="preserve">  </w:t>
      </w:r>
      <w:r w:rsidRPr="00B17200">
        <w:rPr>
          <w:rFonts w:cs="Arial"/>
          <w:noProof/>
          <w:sz w:val="14"/>
          <w:szCs w:val="18"/>
          <w:lang w:eastAsia="es-MX"/>
        </w:rPr>
        <w:drawing>
          <wp:inline distT="0" distB="0" distL="0" distR="0" wp14:anchorId="284374AA" wp14:editId="3EDF5DAC">
            <wp:extent cx="2291293" cy="274955"/>
            <wp:effectExtent l="0" t="0" r="0" b="0"/>
            <wp:docPr id="86" name="Imagen 8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8128" cy="276975"/>
                    </a:xfrm>
                    <a:prstGeom prst="rect">
                      <a:avLst/>
                    </a:prstGeom>
                    <a:noFill/>
                    <a:ln>
                      <a:noFill/>
                    </a:ln>
                  </pic:spPr>
                </pic:pic>
              </a:graphicData>
            </a:graphic>
          </wp:inline>
        </w:drawing>
      </w:r>
    </w:p>
    <w:p w14:paraId="61D8634C" w14:textId="77777777" w:rsidR="00274339" w:rsidRPr="00810CE8" w:rsidRDefault="00274339" w:rsidP="00274339">
      <w:pPr>
        <w:rPr>
          <w:rFonts w:cs="Arial"/>
        </w:rPr>
      </w:pPr>
    </w:p>
    <w:sectPr w:rsidR="00274339" w:rsidRPr="00810CE8">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EF97" w14:textId="77777777" w:rsidR="00361279" w:rsidRDefault="00361279" w:rsidP="00274339">
      <w:r>
        <w:separator/>
      </w:r>
    </w:p>
  </w:endnote>
  <w:endnote w:type="continuationSeparator" w:id="0">
    <w:p w14:paraId="3E59EBA5" w14:textId="77777777" w:rsidR="00361279" w:rsidRDefault="00361279" w:rsidP="0027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14C4" w14:textId="77777777" w:rsidR="00722093" w:rsidRPr="00722093" w:rsidRDefault="00722093" w:rsidP="00722093">
    <w:pPr>
      <w:pStyle w:val="Piedepgina"/>
      <w:tabs>
        <w:tab w:val="clear" w:pos="4419"/>
        <w:tab w:val="clear" w:pos="8838"/>
      </w:tabs>
      <w:ind w:left="-567" w:right="-518"/>
      <w:jc w:val="center"/>
      <w:rPr>
        <w:b/>
        <w:color w:val="002060"/>
        <w:sz w:val="20"/>
        <w:szCs w:val="20"/>
      </w:rPr>
    </w:pPr>
    <w:r w:rsidRPr="00722093">
      <w:rPr>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12F7" w14:textId="77777777" w:rsidR="00361279" w:rsidRDefault="00361279" w:rsidP="00274339">
      <w:r>
        <w:separator/>
      </w:r>
    </w:p>
  </w:footnote>
  <w:footnote w:type="continuationSeparator" w:id="0">
    <w:p w14:paraId="78AE74C9" w14:textId="77777777" w:rsidR="00361279" w:rsidRDefault="00361279" w:rsidP="00274339">
      <w:r>
        <w:continuationSeparator/>
      </w:r>
    </w:p>
  </w:footnote>
  <w:footnote w:id="1">
    <w:p w14:paraId="6D2E4120" w14:textId="77777777" w:rsidR="00274339" w:rsidRPr="004B4FE7" w:rsidRDefault="00274339" w:rsidP="00722093">
      <w:pPr>
        <w:pStyle w:val="Textonotapie"/>
        <w:ind w:left="-567"/>
      </w:pPr>
      <w:r w:rsidRPr="004B4FE7">
        <w:rPr>
          <w:rStyle w:val="Refdenotaalpie"/>
          <w:rFonts w:cs="Arial"/>
          <w:sz w:val="16"/>
          <w:szCs w:val="16"/>
        </w:rPr>
        <w:footnoteRef/>
      </w:r>
      <w:r w:rsidRPr="004B4FE7">
        <w:rPr>
          <w:rFonts w:cs="Arial"/>
          <w:sz w:val="16"/>
          <w:szCs w:val="16"/>
        </w:rPr>
        <w:t xml:space="preserve"> Compuesta por las personas que, por alguna razón en particular, no trabajaron ni buscaron empleo durante la semana de referencia</w:t>
      </w:r>
      <w:r>
        <w:rPr>
          <w:rFonts w:cs="Arial"/>
          <w:sz w:val="16"/>
          <w:szCs w:val="16"/>
        </w:rPr>
        <w:t>.</w:t>
      </w:r>
      <w:r>
        <w:t xml:space="preserve"> </w:t>
      </w:r>
    </w:p>
  </w:footnote>
  <w:footnote w:id="2">
    <w:p w14:paraId="22854ADC" w14:textId="77777777" w:rsidR="00722093" w:rsidRPr="00966997" w:rsidRDefault="00722093" w:rsidP="00722093">
      <w:pPr>
        <w:pStyle w:val="Textonotapie"/>
        <w:ind w:left="-426" w:right="-518" w:hanging="141"/>
        <w:rPr>
          <w:rFonts w:cs="Arial"/>
          <w:sz w:val="16"/>
          <w:szCs w:val="16"/>
        </w:rPr>
      </w:pPr>
      <w:r w:rsidRPr="00966997">
        <w:rPr>
          <w:rStyle w:val="Refdenotaalpie"/>
          <w:sz w:val="16"/>
          <w:szCs w:val="16"/>
        </w:rPr>
        <w:footnoteRef/>
      </w:r>
      <w:r w:rsidRPr="00966997">
        <w:rPr>
          <w:sz w:val="16"/>
          <w:szCs w:val="16"/>
        </w:rPr>
        <w:t xml:space="preserve"> </w:t>
      </w:r>
      <w:r>
        <w:rPr>
          <w:sz w:val="16"/>
          <w:szCs w:val="16"/>
        </w:rPr>
        <w:t xml:space="preserve"> </w:t>
      </w:r>
      <w:r w:rsidRPr="00966997">
        <w:rPr>
          <w:rFonts w:cs="Arial"/>
          <w:sz w:val="16"/>
          <w:szCs w:val="16"/>
        </w:rPr>
        <w:t>Los delitos contra las mujeres se conforman por delitos de los cuales la mayoría de los casos se presentan en mujeres. Incluye los delitos de feminicidio, abuso sexual, acoso sexual, hostigamiento sexual, violación/violación equiparada, estupro, trata de personas y violencia de género en todas sus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7845" w14:textId="49B580B0" w:rsidR="00722093" w:rsidRPr="00FE1C98" w:rsidRDefault="00722093" w:rsidP="00722093">
    <w:pPr>
      <w:pStyle w:val="Encabezado"/>
      <w:tabs>
        <w:tab w:val="clear" w:pos="4419"/>
        <w:tab w:val="clear" w:pos="8838"/>
      </w:tabs>
      <w:ind w:left="-567" w:right="-518"/>
      <w:jc w:val="right"/>
      <w:rPr>
        <w:b/>
        <w:color w:val="002060"/>
        <w:sz w:val="26"/>
        <w:lang w:val="pt-BR"/>
      </w:rPr>
    </w:pPr>
    <w:r>
      <w:rPr>
        <w:noProof/>
        <w:lang w:eastAsia="es-MX"/>
      </w:rPr>
      <w:drawing>
        <wp:anchor distT="0" distB="0" distL="114300" distR="114300" simplePos="0" relativeHeight="251659264" behindDoc="0" locked="0" layoutInCell="1" allowOverlap="1" wp14:anchorId="39E5BC91" wp14:editId="3D7FDC2B">
          <wp:simplePos x="0" y="0"/>
          <wp:positionH relativeFrom="margin">
            <wp:posOffset>-255905</wp:posOffset>
          </wp:positionH>
          <wp:positionV relativeFrom="margin">
            <wp:posOffset>-835660</wp:posOffset>
          </wp:positionV>
          <wp:extent cx="827405" cy="827405"/>
          <wp:effectExtent l="0" t="0" r="0" b="0"/>
          <wp:wrapSquare wrapText="bothSides"/>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053" b="-2110"/>
                  <a:stretch/>
                </pic:blipFill>
                <pic:spPr bwMode="auto">
                  <a:xfrm>
                    <a:off x="0" y="0"/>
                    <a:ext cx="827405" cy="827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002060"/>
        <w:sz w:val="24"/>
      </w:rPr>
      <w:t>C</w:t>
    </w:r>
    <w:r w:rsidRPr="00FE1C98">
      <w:rPr>
        <w:b/>
        <w:color w:val="002060"/>
        <w:sz w:val="24"/>
      </w:rPr>
      <w:t>OMUNICADO DE PRENSA NÚM.</w:t>
    </w:r>
    <w:r>
      <w:rPr>
        <w:b/>
        <w:color w:val="002060"/>
        <w:sz w:val="24"/>
      </w:rPr>
      <w:t xml:space="preserve"> </w:t>
    </w:r>
    <w:r w:rsidR="00780143">
      <w:rPr>
        <w:b/>
        <w:color w:val="002060"/>
        <w:sz w:val="24"/>
      </w:rPr>
      <w:t>143</w:t>
    </w:r>
    <w:r>
      <w:rPr>
        <w:b/>
        <w:color w:val="002060"/>
        <w:sz w:val="24"/>
      </w:rPr>
      <w:t>/22</w:t>
    </w:r>
  </w:p>
  <w:p w14:paraId="6CE5B14D" w14:textId="77777777" w:rsidR="00722093" w:rsidRPr="00FE1C98" w:rsidRDefault="00722093" w:rsidP="00722093">
    <w:pPr>
      <w:pStyle w:val="Encabezado"/>
      <w:tabs>
        <w:tab w:val="clear" w:pos="4419"/>
        <w:tab w:val="clear" w:pos="8838"/>
      </w:tabs>
      <w:ind w:left="-567" w:right="-518"/>
      <w:jc w:val="right"/>
      <w:rPr>
        <w:b/>
        <w:color w:val="002060"/>
        <w:sz w:val="26"/>
        <w:lang w:val="pt-BR"/>
      </w:rPr>
    </w:pPr>
    <w:r>
      <w:rPr>
        <w:b/>
        <w:color w:val="002060"/>
        <w:sz w:val="24"/>
        <w:lang w:val="pt-BR"/>
      </w:rPr>
      <w:t>3 DE MARZO DE</w:t>
    </w:r>
    <w:r w:rsidRPr="00CE5330">
      <w:rPr>
        <w:b/>
        <w:color w:val="002060"/>
        <w:sz w:val="24"/>
        <w:lang w:val="pt-BR"/>
      </w:rPr>
      <w:t xml:space="preserve"> 202</w:t>
    </w:r>
    <w:r>
      <w:rPr>
        <w:b/>
        <w:color w:val="002060"/>
        <w:sz w:val="24"/>
        <w:lang w:val="pt-BR"/>
      </w:rPr>
      <w:t>2</w:t>
    </w:r>
  </w:p>
  <w:p w14:paraId="42CFC6B1" w14:textId="77777777" w:rsidR="00722093" w:rsidRDefault="00722093" w:rsidP="00722093">
    <w:pPr>
      <w:pStyle w:val="Encabezado"/>
      <w:tabs>
        <w:tab w:val="clear" w:pos="4419"/>
        <w:tab w:val="clear" w:pos="8838"/>
      </w:tabs>
      <w:ind w:left="-567" w:right="-518"/>
      <w:jc w:val="right"/>
      <w:rPr>
        <w:b/>
        <w:color w:val="002060"/>
        <w:sz w:val="24"/>
      </w:rPr>
    </w:pPr>
    <w:r w:rsidRPr="00FE1C98">
      <w:rPr>
        <w:b/>
        <w:color w:val="002060"/>
        <w:sz w:val="24"/>
      </w:rPr>
      <w:t xml:space="preserve">PÁGINA </w:t>
    </w:r>
    <w:r w:rsidRPr="00FE1C98">
      <w:rPr>
        <w:b/>
        <w:color w:val="002060"/>
        <w:sz w:val="24"/>
      </w:rPr>
      <w:fldChar w:fldCharType="begin"/>
    </w:r>
    <w:r w:rsidRPr="00FE1C98">
      <w:rPr>
        <w:b/>
        <w:color w:val="002060"/>
        <w:sz w:val="24"/>
      </w:rPr>
      <w:instrText xml:space="preserve"> PAGE  \* Arabic </w:instrText>
    </w:r>
    <w:r w:rsidRPr="00FE1C98">
      <w:rPr>
        <w:b/>
        <w:color w:val="002060"/>
        <w:sz w:val="24"/>
      </w:rPr>
      <w:fldChar w:fldCharType="separate"/>
    </w:r>
    <w:r>
      <w:rPr>
        <w:b/>
        <w:color w:val="002060"/>
        <w:sz w:val="24"/>
      </w:rPr>
      <w:t>6</w:t>
    </w:r>
    <w:r w:rsidRPr="00FE1C98">
      <w:rPr>
        <w:b/>
        <w:color w:val="002060"/>
        <w:sz w:val="24"/>
      </w:rPr>
      <w:fldChar w:fldCharType="end"/>
    </w:r>
    <w:r w:rsidRPr="00FE1C98">
      <w:rPr>
        <w:b/>
        <w:color w:val="002060"/>
        <w:sz w:val="24"/>
      </w:rPr>
      <w:t>/</w:t>
    </w:r>
    <w:r>
      <w:rPr>
        <w:b/>
        <w:color w:val="002060"/>
        <w:sz w:val="24"/>
      </w:rPr>
      <w:t>6</w:t>
    </w:r>
  </w:p>
  <w:p w14:paraId="3806478C" w14:textId="77777777" w:rsidR="00722093" w:rsidRDefault="007220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83217"/>
    <w:multiLevelType w:val="hybridMultilevel"/>
    <w:tmpl w:val="CCEE4924"/>
    <w:lvl w:ilvl="0" w:tplc="FCA019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048FA"/>
    <w:multiLevelType w:val="hybridMultilevel"/>
    <w:tmpl w:val="C458E6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39"/>
    <w:rsid w:val="00036415"/>
    <w:rsid w:val="00053C2A"/>
    <w:rsid w:val="000838B7"/>
    <w:rsid w:val="000B516E"/>
    <w:rsid w:val="000B6B2B"/>
    <w:rsid w:val="000C264D"/>
    <w:rsid w:val="000E75B8"/>
    <w:rsid w:val="001327AE"/>
    <w:rsid w:val="00145513"/>
    <w:rsid w:val="00156D60"/>
    <w:rsid w:val="00161A3F"/>
    <w:rsid w:val="001E0347"/>
    <w:rsid w:val="00254750"/>
    <w:rsid w:val="00263655"/>
    <w:rsid w:val="00274339"/>
    <w:rsid w:val="00297906"/>
    <w:rsid w:val="002A63B6"/>
    <w:rsid w:val="002B320D"/>
    <w:rsid w:val="003121CA"/>
    <w:rsid w:val="00361279"/>
    <w:rsid w:val="0036416B"/>
    <w:rsid w:val="003A0D31"/>
    <w:rsid w:val="00424BFD"/>
    <w:rsid w:val="004A57F6"/>
    <w:rsid w:val="004D2A84"/>
    <w:rsid w:val="00502A86"/>
    <w:rsid w:val="005111F8"/>
    <w:rsid w:val="00581CB1"/>
    <w:rsid w:val="00597C15"/>
    <w:rsid w:val="005B42D2"/>
    <w:rsid w:val="005D1400"/>
    <w:rsid w:val="00722093"/>
    <w:rsid w:val="00731E6D"/>
    <w:rsid w:val="00780143"/>
    <w:rsid w:val="007F0F20"/>
    <w:rsid w:val="00810CE8"/>
    <w:rsid w:val="00814042"/>
    <w:rsid w:val="00855BAA"/>
    <w:rsid w:val="008930E3"/>
    <w:rsid w:val="008935E5"/>
    <w:rsid w:val="008A6E58"/>
    <w:rsid w:val="008C7EED"/>
    <w:rsid w:val="00916D1C"/>
    <w:rsid w:val="00917255"/>
    <w:rsid w:val="0098727F"/>
    <w:rsid w:val="009A06F8"/>
    <w:rsid w:val="00A276AE"/>
    <w:rsid w:val="00A3264B"/>
    <w:rsid w:val="00A43D67"/>
    <w:rsid w:val="00AC6EC3"/>
    <w:rsid w:val="00B06810"/>
    <w:rsid w:val="00B12115"/>
    <w:rsid w:val="00B17200"/>
    <w:rsid w:val="00B34500"/>
    <w:rsid w:val="00B456EB"/>
    <w:rsid w:val="00BC2C13"/>
    <w:rsid w:val="00BF37A2"/>
    <w:rsid w:val="00C3084C"/>
    <w:rsid w:val="00CB09FF"/>
    <w:rsid w:val="00D3609D"/>
    <w:rsid w:val="00D4714A"/>
    <w:rsid w:val="00E42A6E"/>
    <w:rsid w:val="00E61940"/>
    <w:rsid w:val="00E6759C"/>
    <w:rsid w:val="00E84CD8"/>
    <w:rsid w:val="00ED76F6"/>
    <w:rsid w:val="00EF7F9F"/>
    <w:rsid w:val="00F62DBD"/>
    <w:rsid w:val="00FC72AF"/>
    <w:rsid w:val="00FE5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C0357"/>
  <w15:chartTrackingRefBased/>
  <w15:docId w15:val="{2C943025-1DBB-4BED-B2F1-F052C0FC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39"/>
    <w:pPr>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4339"/>
    <w:pPr>
      <w:ind w:left="720"/>
      <w:contextualSpacing/>
      <w:jc w:val="left"/>
    </w:pPr>
    <w:rPr>
      <w:rFonts w:ascii="Times New Roman" w:hAnsi="Times New Roman"/>
      <w:sz w:val="24"/>
    </w:rPr>
  </w:style>
  <w:style w:type="paragraph" w:customStyle="1" w:styleId="Default">
    <w:name w:val="Default"/>
    <w:rsid w:val="00274339"/>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274339"/>
    <w:rPr>
      <w:sz w:val="20"/>
      <w:szCs w:val="20"/>
    </w:rPr>
  </w:style>
  <w:style w:type="character" w:customStyle="1" w:styleId="TextonotapieCar">
    <w:name w:val="Texto nota pie Car"/>
    <w:basedOn w:val="Fuentedeprrafopredeter"/>
    <w:link w:val="Textonotapie"/>
    <w:uiPriority w:val="99"/>
    <w:semiHidden/>
    <w:rsid w:val="00274339"/>
    <w:rPr>
      <w:rFonts w:ascii="Arial" w:eastAsia="Times New Roman" w:hAnsi="Arial" w:cs="Times New Roman"/>
      <w:sz w:val="20"/>
      <w:szCs w:val="20"/>
      <w:lang w:eastAsia="es-ES"/>
    </w:rPr>
  </w:style>
  <w:style w:type="character" w:styleId="Refdenotaalpie">
    <w:name w:val="footnote reference"/>
    <w:basedOn w:val="Fuentedeprrafopredeter"/>
    <w:uiPriority w:val="99"/>
    <w:semiHidden/>
    <w:unhideWhenUsed/>
    <w:rsid w:val="00274339"/>
    <w:rPr>
      <w:vertAlign w:val="superscript"/>
    </w:rPr>
  </w:style>
  <w:style w:type="character" w:styleId="Hipervnculo">
    <w:name w:val="Hyperlink"/>
    <w:uiPriority w:val="99"/>
    <w:rsid w:val="00274339"/>
    <w:rPr>
      <w:color w:val="0000FF"/>
      <w:u w:val="single"/>
    </w:rPr>
  </w:style>
  <w:style w:type="paragraph" w:styleId="NormalWeb">
    <w:name w:val="Normal (Web)"/>
    <w:basedOn w:val="Normal"/>
    <w:uiPriority w:val="99"/>
    <w:rsid w:val="00274339"/>
    <w:pPr>
      <w:spacing w:before="100" w:beforeAutospacing="1" w:after="100" w:afterAutospacing="1"/>
      <w:jc w:val="left"/>
    </w:pPr>
    <w:rPr>
      <w:rFonts w:ascii="Times New Roman" w:hAnsi="Times New Roman"/>
      <w:sz w:val="24"/>
    </w:rPr>
  </w:style>
  <w:style w:type="paragraph" w:styleId="Encabezado">
    <w:name w:val="header"/>
    <w:basedOn w:val="Normal"/>
    <w:link w:val="EncabezadoCar"/>
    <w:uiPriority w:val="99"/>
    <w:unhideWhenUsed/>
    <w:rsid w:val="00722093"/>
    <w:pPr>
      <w:tabs>
        <w:tab w:val="center" w:pos="4419"/>
        <w:tab w:val="right" w:pos="8838"/>
      </w:tabs>
    </w:pPr>
  </w:style>
  <w:style w:type="character" w:customStyle="1" w:styleId="EncabezadoCar">
    <w:name w:val="Encabezado Car"/>
    <w:basedOn w:val="Fuentedeprrafopredeter"/>
    <w:link w:val="Encabezado"/>
    <w:uiPriority w:val="99"/>
    <w:rsid w:val="00722093"/>
    <w:rPr>
      <w:rFonts w:ascii="Arial" w:eastAsia="Times New Roman" w:hAnsi="Arial" w:cs="Times New Roman"/>
      <w:szCs w:val="24"/>
      <w:lang w:eastAsia="es-ES"/>
    </w:rPr>
  </w:style>
  <w:style w:type="paragraph" w:styleId="Piedepgina">
    <w:name w:val="footer"/>
    <w:basedOn w:val="Normal"/>
    <w:link w:val="PiedepginaCar"/>
    <w:uiPriority w:val="99"/>
    <w:unhideWhenUsed/>
    <w:rsid w:val="00722093"/>
    <w:pPr>
      <w:tabs>
        <w:tab w:val="center" w:pos="4419"/>
        <w:tab w:val="right" w:pos="8838"/>
      </w:tabs>
    </w:pPr>
  </w:style>
  <w:style w:type="character" w:customStyle="1" w:styleId="PiedepginaCar">
    <w:name w:val="Pie de página Car"/>
    <w:basedOn w:val="Fuentedeprrafopredeter"/>
    <w:link w:val="Piedepgina"/>
    <w:uiPriority w:val="99"/>
    <w:rsid w:val="00722093"/>
    <w:rPr>
      <w:rFonts w:ascii="Arial" w:eastAsia="Times New Roman" w:hAnsi="Arial" w:cs="Times New Roman"/>
      <w:szCs w:val="24"/>
      <w:lang w:eastAsia="es-ES"/>
    </w:rPr>
  </w:style>
  <w:style w:type="character" w:styleId="Refdecomentario">
    <w:name w:val="annotation reference"/>
    <w:basedOn w:val="Fuentedeprrafopredeter"/>
    <w:uiPriority w:val="99"/>
    <w:semiHidden/>
    <w:unhideWhenUsed/>
    <w:rsid w:val="00E61940"/>
    <w:rPr>
      <w:sz w:val="16"/>
      <w:szCs w:val="16"/>
    </w:rPr>
  </w:style>
  <w:style w:type="paragraph" w:styleId="Textocomentario">
    <w:name w:val="annotation text"/>
    <w:basedOn w:val="Normal"/>
    <w:link w:val="TextocomentarioCar"/>
    <w:uiPriority w:val="99"/>
    <w:semiHidden/>
    <w:unhideWhenUsed/>
    <w:rsid w:val="00E61940"/>
    <w:rPr>
      <w:sz w:val="20"/>
      <w:szCs w:val="20"/>
    </w:rPr>
  </w:style>
  <w:style w:type="character" w:customStyle="1" w:styleId="TextocomentarioCar">
    <w:name w:val="Texto comentario Car"/>
    <w:basedOn w:val="Fuentedeprrafopredeter"/>
    <w:link w:val="Textocomentario"/>
    <w:uiPriority w:val="99"/>
    <w:semiHidden/>
    <w:rsid w:val="00E61940"/>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61940"/>
    <w:rPr>
      <w:b/>
      <w:bCs/>
    </w:rPr>
  </w:style>
  <w:style w:type="character" w:customStyle="1" w:styleId="AsuntodelcomentarioCar">
    <w:name w:val="Asunto del comentario Car"/>
    <w:basedOn w:val="TextocomentarioCar"/>
    <w:link w:val="Asuntodelcomentario"/>
    <w:uiPriority w:val="99"/>
    <w:semiHidden/>
    <w:rsid w:val="00E61940"/>
    <w:rPr>
      <w:rFonts w:ascii="Arial" w:eastAsia="Times New Roman"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user/INEGIInforma" TargetMode="External"/><Relationship Id="rId7" Type="http://schemas.openxmlformats.org/officeDocument/2006/relationships/chart" Target="charts/chart1.xml"/><Relationship Id="rId12" Type="http://schemas.openxmlformats.org/officeDocument/2006/relationships/chart" Target="charts/chart3.xml"/><Relationship Id="rId17" Type="http://schemas.openxmlformats.org/officeDocument/2006/relationships/hyperlink" Target="https://www.instagram.com/inegi_inform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twitter.com/INEGI_INFORMA"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mailto:comunicacionsocial@inegi.org.mx" TargetMode="External"/><Relationship Id="rId22" Type="http://schemas.openxmlformats.org/officeDocument/2006/relationships/image" Target="media/image8.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orge.quevedo\Desktop\mujeres%20y%20hombres%202021\dia%20internacional%20de%20las%20mujeres\Gr&#225;fica_poblaci&#243;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'Estructura (2)'!$H$18</c:f>
              <c:strCache>
                <c:ptCount val="1"/>
                <c:pt idx="0">
                  <c:v>Hombres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'Estructura (2)'!$F$29:$F$32</c:f>
              <c:strCache>
                <c:ptCount val="4"/>
                <c:pt idx="0">
                  <c:v>0 a 14</c:v>
                </c:pt>
                <c:pt idx="1">
                  <c:v>15 a 29</c:v>
                </c:pt>
                <c:pt idx="2">
                  <c:v>30 a 59</c:v>
                </c:pt>
                <c:pt idx="3">
                  <c:v>60 o más</c:v>
                </c:pt>
              </c:strCache>
            </c:strRef>
          </c:cat>
          <c:val>
            <c:numRef>
              <c:f>'Estructura (2)'!$H$29:$H$32</c:f>
              <c:numCache>
                <c:formatCode>General</c:formatCode>
                <c:ptCount val="4"/>
                <c:pt idx="0">
                  <c:v>25</c:v>
                </c:pt>
                <c:pt idx="1">
                  <c:v>25</c:v>
                </c:pt>
                <c:pt idx="2">
                  <c:v>37</c:v>
                </c:pt>
                <c:pt idx="3">
                  <c:v>13</c:v>
                </c:pt>
              </c:numCache>
            </c:numRef>
          </c:val>
          <c:extLst>
            <c:ext xmlns:c16="http://schemas.microsoft.com/office/drawing/2014/chart" uri="{C3380CC4-5D6E-409C-BE32-E72D297353CC}">
              <c16:uniqueId val="{00000000-7ABB-4DF8-A2EC-CF6A405DBC86}"/>
            </c:ext>
          </c:extLst>
        </c:ser>
        <c:ser>
          <c:idx val="2"/>
          <c:order val="2"/>
          <c:tx>
            <c:strRef>
              <c:f>'Estructura (2)'!$I$18</c:f>
              <c:strCache>
                <c:ptCount val="1"/>
                <c:pt idx="0">
                  <c:v>Mujeres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'Estructura (2)'!$F$29:$F$32</c:f>
              <c:strCache>
                <c:ptCount val="4"/>
                <c:pt idx="0">
                  <c:v>0 a 14</c:v>
                </c:pt>
                <c:pt idx="1">
                  <c:v>15 a 29</c:v>
                </c:pt>
                <c:pt idx="2">
                  <c:v>30 a 59</c:v>
                </c:pt>
                <c:pt idx="3">
                  <c:v>60 o más</c:v>
                </c:pt>
              </c:strCache>
            </c:strRef>
          </c:cat>
          <c:val>
            <c:numRef>
              <c:f>'Estructura (2)'!$I$29:$I$32</c:f>
              <c:numCache>
                <c:formatCode>General</c:formatCode>
                <c:ptCount val="4"/>
                <c:pt idx="0">
                  <c:v>22</c:v>
                </c:pt>
                <c:pt idx="1">
                  <c:v>24</c:v>
                </c:pt>
                <c:pt idx="2">
                  <c:v>39</c:v>
                </c:pt>
                <c:pt idx="3">
                  <c:v>15</c:v>
                </c:pt>
              </c:numCache>
            </c:numRef>
          </c:val>
          <c:extLst>
            <c:ext xmlns:c16="http://schemas.microsoft.com/office/drawing/2014/chart" uri="{C3380CC4-5D6E-409C-BE32-E72D297353CC}">
              <c16:uniqueId val="{00000001-7ABB-4DF8-A2EC-CF6A405DBC86}"/>
            </c:ext>
          </c:extLst>
        </c:ser>
        <c:dLbls>
          <c:showLegendKey val="0"/>
          <c:showVal val="0"/>
          <c:showCatName val="0"/>
          <c:showSerName val="0"/>
          <c:showPercent val="0"/>
          <c:showBubbleSize val="0"/>
        </c:dLbls>
        <c:gapWidth val="80"/>
        <c:overlap val="-10"/>
        <c:axId val="438427832"/>
        <c:axId val="438431360"/>
        <c:extLst>
          <c:ext xmlns:c15="http://schemas.microsoft.com/office/drawing/2012/chart" uri="{02D57815-91ED-43cb-92C2-25804820EDAC}">
            <c15:filteredBarSeries>
              <c15:ser>
                <c:idx val="0"/>
                <c:order val="0"/>
                <c:tx>
                  <c:strRef>
                    <c:extLst>
                      <c:ext uri="{02D57815-91ED-43cb-92C2-25804820EDAC}">
                        <c15:formulaRef>
                          <c15:sqref>'Estructura (2)'!$G$18</c15:sqref>
                        </c15:formulaRef>
                      </c:ext>
                    </c:extLst>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'Estructura (2)'!$F$29:$F$32</c15:sqref>
                        </c15:formulaRef>
                      </c:ext>
                    </c:extLst>
                    <c:strCache>
                      <c:ptCount val="4"/>
                      <c:pt idx="0">
                        <c:v>0 a 14</c:v>
                      </c:pt>
                      <c:pt idx="1">
                        <c:v>15 a 29</c:v>
                      </c:pt>
                      <c:pt idx="2">
                        <c:v>30 a 59</c:v>
                      </c:pt>
                      <c:pt idx="3">
                        <c:v>60 o más</c:v>
                      </c:pt>
                    </c:strCache>
                  </c:strRef>
                </c:cat>
                <c:val>
                  <c:numRef>
                    <c:extLst>
                      <c:ext uri="{02D57815-91ED-43cb-92C2-25804820EDAC}">
                        <c15:formulaRef>
                          <c15:sqref>'Estructura (2)'!$G$29:$G$32</c15:sqref>
                        </c15:formulaRef>
                      </c:ext>
                    </c:extLst>
                    <c:numCache>
                      <c:formatCode>General</c:formatCode>
                      <c:ptCount val="4"/>
                      <c:pt idx="0">
                        <c:v>23</c:v>
                      </c:pt>
                      <c:pt idx="1">
                        <c:v>24</c:v>
                      </c:pt>
                      <c:pt idx="2">
                        <c:v>39</c:v>
                      </c:pt>
                      <c:pt idx="3">
                        <c:v>14</c:v>
                      </c:pt>
                    </c:numCache>
                  </c:numRef>
                </c:val>
                <c:extLst>
                  <c:ext xmlns:c16="http://schemas.microsoft.com/office/drawing/2014/chart" uri="{C3380CC4-5D6E-409C-BE32-E72D297353CC}">
                    <c16:uniqueId val="{00000002-7ABB-4DF8-A2EC-CF6A405DBC86}"/>
                  </c:ext>
                </c:extLst>
              </c15:ser>
            </c15:filteredBarSeries>
          </c:ext>
        </c:extLst>
      </c:barChart>
      <c:catAx>
        <c:axId val="43842783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38431360"/>
        <c:crosses val="autoZero"/>
        <c:auto val="1"/>
        <c:lblAlgn val="ctr"/>
        <c:lblOffset val="100"/>
        <c:noMultiLvlLbl val="0"/>
      </c:catAx>
      <c:valAx>
        <c:axId val="438431360"/>
        <c:scaling>
          <c:orientation val="minMax"/>
        </c:scaling>
        <c:delete val="1"/>
        <c:axPos val="l"/>
        <c:numFmt formatCode="General" sourceLinked="1"/>
        <c:majorTickMark val="none"/>
        <c:minorTickMark val="none"/>
        <c:tickLblPos val="nextTo"/>
        <c:crossAx val="438427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4.3650793650793648E-2"/>
          <c:w val="0.94907407407407407"/>
          <c:h val="0.67058108299802532"/>
        </c:manualLayout>
      </c:layout>
      <c:barChart>
        <c:barDir val="col"/>
        <c:grouping val="clustered"/>
        <c:varyColors val="0"/>
        <c:ser>
          <c:idx val="0"/>
          <c:order val="0"/>
          <c:tx>
            <c:strRef>
              <c:f>Hoja1!$B$1</c:f>
              <c:strCache>
                <c:ptCount val="1"/>
                <c:pt idx="0">
                  <c:v>CE 2009</c:v>
                </c:pt>
              </c:strCache>
            </c:strRef>
          </c:tx>
          <c:spPr>
            <a:solidFill>
              <a:schemeClr val="accent2">
                <a:lumMod val="60000"/>
                <a:lumOff val="40000"/>
              </a:schemeClr>
            </a:solidFill>
            <a:ln>
              <a:noFill/>
            </a:ln>
            <a:effectLst/>
          </c:spPr>
          <c:invertIfNegative val="0"/>
          <c:dLbls>
            <c:dLbl>
              <c:idx val="0"/>
              <c:layout>
                <c:manualLayout>
                  <c:x val="0"/>
                  <c:y val="1.472031403336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BE-48D7-8520-288B1F6FA48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BE-48D7-8520-288B1F6FA487}"/>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Establecimientos</c:v>
                </c:pt>
                <c:pt idx="1">
                  <c:v>Personal ocupado</c:v>
                </c:pt>
              </c:strCache>
            </c:strRef>
          </c:cat>
          <c:val>
            <c:numRef>
              <c:f>Hoja1!$B$2:$B$3</c:f>
              <c:numCache>
                <c:formatCode>###\ ###\ ###</c:formatCode>
                <c:ptCount val="2"/>
                <c:pt idx="0">
                  <c:v>1259167</c:v>
                </c:pt>
                <c:pt idx="1">
                  <c:v>2607484</c:v>
                </c:pt>
              </c:numCache>
            </c:numRef>
          </c:val>
          <c:extLst>
            <c:ext xmlns:c16="http://schemas.microsoft.com/office/drawing/2014/chart" uri="{C3380CC4-5D6E-409C-BE32-E72D297353CC}">
              <c16:uniqueId val="{00000002-64BE-48D7-8520-288B1F6FA487}"/>
            </c:ext>
          </c:extLst>
        </c:ser>
        <c:ser>
          <c:idx val="1"/>
          <c:order val="1"/>
          <c:tx>
            <c:strRef>
              <c:f>Hoja1!$C$1</c:f>
              <c:strCache>
                <c:ptCount val="1"/>
                <c:pt idx="0">
                  <c:v>CE 2014</c:v>
                </c:pt>
              </c:strCache>
            </c:strRef>
          </c:tx>
          <c:spPr>
            <a:solidFill>
              <a:schemeClr val="accent2"/>
            </a:solidFill>
            <a:ln>
              <a:noFill/>
            </a:ln>
            <a:effectLst/>
          </c:spPr>
          <c:invertIfNegative val="0"/>
          <c:dLbls>
            <c:dLbl>
              <c:idx val="0"/>
              <c:layout>
                <c:manualLayout>
                  <c:x val="0"/>
                  <c:y val="9.81354268891065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BE-48D7-8520-288B1F6FA487}"/>
                </c:ext>
              </c:extLst>
            </c:dLbl>
            <c:dLbl>
              <c:idx val="1"/>
              <c:layout>
                <c:manualLayout>
                  <c:x val="-8.4875562720133283E-17"/>
                  <c:y val="1.4720314033366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BE-48D7-8520-288B1F6FA487}"/>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Establecimientos</c:v>
                </c:pt>
                <c:pt idx="1">
                  <c:v>Personal ocupado</c:v>
                </c:pt>
              </c:strCache>
            </c:strRef>
          </c:cat>
          <c:val>
            <c:numRef>
              <c:f>Hoja1!$C$2:$C$3</c:f>
              <c:numCache>
                <c:formatCode>###\ ###\ ###</c:formatCode>
                <c:ptCount val="2"/>
                <c:pt idx="0">
                  <c:v>1505456</c:v>
                </c:pt>
                <c:pt idx="1">
                  <c:v>2591460</c:v>
                </c:pt>
              </c:numCache>
            </c:numRef>
          </c:val>
          <c:extLst>
            <c:ext xmlns:c16="http://schemas.microsoft.com/office/drawing/2014/chart" uri="{C3380CC4-5D6E-409C-BE32-E72D297353CC}">
              <c16:uniqueId val="{00000005-64BE-48D7-8520-288B1F6FA487}"/>
            </c:ext>
          </c:extLst>
        </c:ser>
        <c:ser>
          <c:idx val="2"/>
          <c:order val="2"/>
          <c:tx>
            <c:strRef>
              <c:f>Hoja1!$D$1</c:f>
              <c:strCache>
                <c:ptCount val="1"/>
                <c:pt idx="0">
                  <c:v>CE 2019</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Establecimientos</c:v>
                </c:pt>
                <c:pt idx="1">
                  <c:v>Personal ocupado</c:v>
                </c:pt>
              </c:strCache>
            </c:strRef>
          </c:cat>
          <c:val>
            <c:numRef>
              <c:f>Hoja1!$D$2:$D$3</c:f>
              <c:numCache>
                <c:formatCode>###\ ###\ ###</c:formatCode>
                <c:ptCount val="2"/>
                <c:pt idx="0">
                  <c:v>1642809</c:v>
                </c:pt>
                <c:pt idx="1">
                  <c:v>2904449</c:v>
                </c:pt>
              </c:numCache>
            </c:numRef>
          </c:val>
          <c:extLst>
            <c:ext xmlns:c16="http://schemas.microsoft.com/office/drawing/2014/chart" uri="{C3380CC4-5D6E-409C-BE32-E72D297353CC}">
              <c16:uniqueId val="{00000006-64BE-48D7-8520-288B1F6FA487}"/>
            </c:ext>
          </c:extLst>
        </c:ser>
        <c:dLbls>
          <c:showLegendKey val="0"/>
          <c:showVal val="0"/>
          <c:showCatName val="0"/>
          <c:showSerName val="0"/>
          <c:showPercent val="0"/>
          <c:showBubbleSize val="0"/>
        </c:dLbls>
        <c:gapWidth val="227"/>
        <c:overlap val="-27"/>
        <c:axId val="884409151"/>
        <c:axId val="884404159"/>
      </c:barChart>
      <c:catAx>
        <c:axId val="884409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MX"/>
          </a:p>
        </c:txPr>
        <c:crossAx val="884404159"/>
        <c:crosses val="autoZero"/>
        <c:auto val="1"/>
        <c:lblAlgn val="ctr"/>
        <c:lblOffset val="100"/>
        <c:noMultiLvlLbl val="0"/>
      </c:catAx>
      <c:valAx>
        <c:axId val="884404159"/>
        <c:scaling>
          <c:orientation val="minMax"/>
        </c:scaling>
        <c:delete val="1"/>
        <c:axPos val="l"/>
        <c:numFmt formatCode="###\ ###\ ###" sourceLinked="1"/>
        <c:majorTickMark val="none"/>
        <c:minorTickMark val="none"/>
        <c:tickLblPos val="nextTo"/>
        <c:crossAx val="884409151"/>
        <c:crosses val="autoZero"/>
        <c:crossBetween val="between"/>
      </c:valAx>
      <c:spPr>
        <a:noFill/>
        <a:ln>
          <a:noFill/>
        </a:ln>
        <a:effectLst/>
      </c:spPr>
    </c:plotArea>
    <c:legend>
      <c:legendPos val="b"/>
      <c:layout>
        <c:manualLayout>
          <c:xMode val="edge"/>
          <c:yMode val="edge"/>
          <c:x val="0.29723826188393115"/>
          <c:y val="0.84827039599746901"/>
          <c:w val="0.43733395304753575"/>
          <c:h val="0.1172636162830232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4.3650793650793648E-2"/>
          <c:w val="0.94907407407407407"/>
          <c:h val="0.70255390081810809"/>
        </c:manualLayout>
      </c:layout>
      <c:barChart>
        <c:barDir val="col"/>
        <c:grouping val="clustered"/>
        <c:varyColors val="0"/>
        <c:ser>
          <c:idx val="0"/>
          <c:order val="0"/>
          <c:tx>
            <c:strRef>
              <c:f>Hoja1!$B$1</c:f>
              <c:strCache>
                <c:ptCount val="1"/>
                <c:pt idx="0">
                  <c:v>Manufacturas</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De mujeres propietarias</c:v>
                </c:pt>
                <c:pt idx="1">
                  <c:v>De hombres propietarios</c:v>
                </c:pt>
              </c:strCache>
            </c:strRef>
          </c:cat>
          <c:val>
            <c:numRef>
              <c:f>Hoja1!$B$2:$B$3</c:f>
              <c:numCache>
                <c:formatCode>General</c:formatCode>
                <c:ptCount val="2"/>
                <c:pt idx="0">
                  <c:v>10.8</c:v>
                </c:pt>
                <c:pt idx="1">
                  <c:v>15.3</c:v>
                </c:pt>
              </c:numCache>
            </c:numRef>
          </c:val>
          <c:extLst>
            <c:ext xmlns:c16="http://schemas.microsoft.com/office/drawing/2014/chart" uri="{C3380CC4-5D6E-409C-BE32-E72D297353CC}">
              <c16:uniqueId val="{00000000-422E-4538-B3E4-4557578A1C41}"/>
            </c:ext>
          </c:extLst>
        </c:ser>
        <c:ser>
          <c:idx val="1"/>
          <c:order val="1"/>
          <c:tx>
            <c:strRef>
              <c:f>Hoja1!$C$1</c:f>
              <c:strCache>
                <c:ptCount val="1"/>
                <c:pt idx="0">
                  <c:v>Comercio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De mujeres propietarias</c:v>
                </c:pt>
                <c:pt idx="1">
                  <c:v>De hombres propietarios</c:v>
                </c:pt>
              </c:strCache>
            </c:strRef>
          </c:cat>
          <c:val>
            <c:numRef>
              <c:f>Hoja1!$C$2:$C$3</c:f>
              <c:numCache>
                <c:formatCode>General</c:formatCode>
                <c:ptCount val="2"/>
                <c:pt idx="0">
                  <c:v>52.2</c:v>
                </c:pt>
                <c:pt idx="1">
                  <c:v>38.4</c:v>
                </c:pt>
              </c:numCache>
            </c:numRef>
          </c:val>
          <c:extLst>
            <c:ext xmlns:c16="http://schemas.microsoft.com/office/drawing/2014/chart" uri="{C3380CC4-5D6E-409C-BE32-E72D297353CC}">
              <c16:uniqueId val="{00000001-422E-4538-B3E4-4557578A1C41}"/>
            </c:ext>
          </c:extLst>
        </c:ser>
        <c:ser>
          <c:idx val="2"/>
          <c:order val="2"/>
          <c:tx>
            <c:strRef>
              <c:f>Hoja1!$D$1</c:f>
              <c:strCache>
                <c:ptCount val="1"/>
                <c:pt idx="0">
                  <c:v>Servicios</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De mujeres propietarias</c:v>
                </c:pt>
                <c:pt idx="1">
                  <c:v>De hombres propietarios</c:v>
                </c:pt>
              </c:strCache>
            </c:strRef>
          </c:cat>
          <c:val>
            <c:numRef>
              <c:f>Hoja1!$D$2:$D$3</c:f>
              <c:numCache>
                <c:formatCode>General</c:formatCode>
                <c:ptCount val="2"/>
                <c:pt idx="0">
                  <c:v>36.9</c:v>
                </c:pt>
                <c:pt idx="1">
                  <c:v>45.8</c:v>
                </c:pt>
              </c:numCache>
            </c:numRef>
          </c:val>
          <c:extLst>
            <c:ext xmlns:c16="http://schemas.microsoft.com/office/drawing/2014/chart" uri="{C3380CC4-5D6E-409C-BE32-E72D297353CC}">
              <c16:uniqueId val="{00000002-422E-4538-B3E4-4557578A1C41}"/>
            </c:ext>
          </c:extLst>
        </c:ser>
        <c:ser>
          <c:idx val="3"/>
          <c:order val="3"/>
          <c:tx>
            <c:strRef>
              <c:f>Hoja1!$E$1</c:f>
              <c:strCache>
                <c:ptCount val="1"/>
                <c:pt idx="0">
                  <c:v>Resto de actividades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De mujeres propietarias</c:v>
                </c:pt>
                <c:pt idx="1">
                  <c:v>De hombres propietarios</c:v>
                </c:pt>
              </c:strCache>
            </c:strRef>
          </c:cat>
          <c:val>
            <c:numRef>
              <c:f>Hoja1!$E$2:$E$3</c:f>
              <c:numCache>
                <c:formatCode>General</c:formatCode>
                <c:ptCount val="2"/>
                <c:pt idx="0">
                  <c:v>0.1</c:v>
                </c:pt>
                <c:pt idx="1">
                  <c:v>0.5</c:v>
                </c:pt>
              </c:numCache>
            </c:numRef>
          </c:val>
          <c:extLst>
            <c:ext xmlns:c16="http://schemas.microsoft.com/office/drawing/2014/chart" uri="{C3380CC4-5D6E-409C-BE32-E72D297353CC}">
              <c16:uniqueId val="{00000003-422E-4538-B3E4-4557578A1C41}"/>
            </c:ext>
          </c:extLst>
        </c:ser>
        <c:dLbls>
          <c:showLegendKey val="0"/>
          <c:showVal val="0"/>
          <c:showCatName val="0"/>
          <c:showSerName val="0"/>
          <c:showPercent val="0"/>
          <c:showBubbleSize val="0"/>
        </c:dLbls>
        <c:gapWidth val="219"/>
        <c:overlap val="-27"/>
        <c:axId val="883597023"/>
        <c:axId val="883597439"/>
      </c:barChart>
      <c:catAx>
        <c:axId val="883597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MX"/>
          </a:p>
        </c:txPr>
        <c:crossAx val="883597439"/>
        <c:crosses val="autoZero"/>
        <c:auto val="1"/>
        <c:lblAlgn val="ctr"/>
        <c:lblOffset val="100"/>
        <c:noMultiLvlLbl val="0"/>
      </c:catAx>
      <c:valAx>
        <c:axId val="883597439"/>
        <c:scaling>
          <c:orientation val="minMax"/>
        </c:scaling>
        <c:delete val="1"/>
        <c:axPos val="l"/>
        <c:numFmt formatCode="General" sourceLinked="1"/>
        <c:majorTickMark val="none"/>
        <c:minorTickMark val="none"/>
        <c:tickLblPos val="nextTo"/>
        <c:crossAx val="883597023"/>
        <c:crosses val="autoZero"/>
        <c:crossBetween val="between"/>
      </c:valAx>
      <c:spPr>
        <a:noFill/>
        <a:ln>
          <a:noFill/>
        </a:ln>
        <a:effectLst/>
      </c:spPr>
    </c:plotArea>
    <c:legend>
      <c:legendPos val="b"/>
      <c:layout>
        <c:manualLayout>
          <c:xMode val="edge"/>
          <c:yMode val="edge"/>
          <c:x val="0"/>
          <c:y val="0.88458568057398479"/>
          <c:w val="1"/>
          <c:h val="8.5141867357397677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0.171</cdr:x>
      <cdr:y>0.17894</cdr:y>
    </cdr:from>
    <cdr:to>
      <cdr:x>0.24892</cdr:x>
      <cdr:y>0.2707</cdr:y>
    </cdr:to>
    <cdr:sp macro="" textlink="">
      <cdr:nvSpPr>
        <cdr:cNvPr id="2" name="Cuadro de texto 1"/>
        <cdr:cNvSpPr txBox="1"/>
      </cdr:nvSpPr>
      <cdr:spPr>
        <a:xfrm xmlns:a="http://schemas.openxmlformats.org/drawingml/2006/main">
          <a:off x="938152" y="463137"/>
          <a:ext cx="427512" cy="237507"/>
        </a:xfrm>
        <a:prstGeom xmlns:a="http://schemas.openxmlformats.org/drawingml/2006/main" prst="rect">
          <a:avLst/>
        </a:prstGeom>
        <a:solidFill xmlns:a="http://schemas.openxmlformats.org/drawingml/2006/main">
          <a:schemeClr val="bg2">
            <a:lumMod val="90000"/>
          </a:schemeClr>
        </a:solidFill>
      </cdr:spPr>
      <cdr:txBody>
        <a:bodyPr xmlns:a="http://schemas.openxmlformats.org/drawingml/2006/main" vertOverflow="clip" wrap="square" rtlCol="0"/>
        <a:lstStyle xmlns:a="http://schemas.openxmlformats.org/drawingml/2006/main"/>
        <a:p xmlns:a="http://schemas.openxmlformats.org/drawingml/2006/main">
          <a:pPr algn="ctr"/>
          <a:r>
            <a:rPr lang="es-MX" sz="900"/>
            <a:t>3.6</a:t>
          </a:r>
        </a:p>
      </cdr:txBody>
    </cdr:sp>
  </cdr:relSizeAnchor>
  <cdr:relSizeAnchor xmlns:cdr="http://schemas.openxmlformats.org/drawingml/2006/chartDrawing">
    <cdr:from>
      <cdr:x>0.27766</cdr:x>
      <cdr:y>0.17562</cdr:y>
    </cdr:from>
    <cdr:to>
      <cdr:x>0.35558</cdr:x>
      <cdr:y>0.26739</cdr:y>
    </cdr:to>
    <cdr:sp macro="" textlink="">
      <cdr:nvSpPr>
        <cdr:cNvPr id="3" name="Cuadro de texto 1"/>
        <cdr:cNvSpPr txBox="1"/>
      </cdr:nvSpPr>
      <cdr:spPr>
        <a:xfrm xmlns:a="http://schemas.openxmlformats.org/drawingml/2006/main">
          <a:off x="1523342" y="454560"/>
          <a:ext cx="427512" cy="237507"/>
        </a:xfrm>
        <a:prstGeom xmlns:a="http://schemas.openxmlformats.org/drawingml/2006/main" prst="rect">
          <a:avLst/>
        </a:prstGeom>
        <a:solidFill xmlns:a="http://schemas.openxmlformats.org/drawingml/2006/main">
          <a:schemeClr val="bg2">
            <a:lumMod val="9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900"/>
            <a:t>1.8</a:t>
          </a:r>
        </a:p>
      </cdr:txBody>
    </cdr:sp>
  </cdr:relSizeAnchor>
  <cdr:relSizeAnchor xmlns:cdr="http://schemas.openxmlformats.org/drawingml/2006/chartDrawing">
    <cdr:from>
      <cdr:x>0.64779</cdr:x>
      <cdr:y>0</cdr:y>
    </cdr:from>
    <cdr:to>
      <cdr:x>0.72571</cdr:x>
      <cdr:y>0.09176</cdr:y>
    </cdr:to>
    <cdr:sp macro="" textlink="">
      <cdr:nvSpPr>
        <cdr:cNvPr id="4" name="Cuadro de texto 1"/>
        <cdr:cNvSpPr txBox="1"/>
      </cdr:nvSpPr>
      <cdr:spPr>
        <a:xfrm xmlns:a="http://schemas.openxmlformats.org/drawingml/2006/main">
          <a:off x="3554022" y="0"/>
          <a:ext cx="427512" cy="237507"/>
        </a:xfrm>
        <a:prstGeom xmlns:a="http://schemas.openxmlformats.org/drawingml/2006/main" prst="rect">
          <a:avLst/>
        </a:prstGeom>
        <a:solidFill xmlns:a="http://schemas.openxmlformats.org/drawingml/2006/main">
          <a:schemeClr val="bg2">
            <a:lumMod val="9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900"/>
            <a:t>- 0.1</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1232</Words>
  <Characters>6777</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MORONES RUIZ FABIOLA CRISTINA</cp:lastModifiedBy>
  <cp:revision>2</cp:revision>
  <dcterms:created xsi:type="dcterms:W3CDTF">2022-03-03T15:06:00Z</dcterms:created>
  <dcterms:modified xsi:type="dcterms:W3CDTF">2022-03-03T15:06:00Z</dcterms:modified>
</cp:coreProperties>
</file>