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CDFE" w14:textId="77777777" w:rsidR="00FF28A6" w:rsidRDefault="00FF28A6" w:rsidP="00C40118">
      <w:pPr>
        <w:pStyle w:val="Ttulo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16291499"/>
    </w:p>
    <w:p w14:paraId="453F17D8" w14:textId="1888EA57" w:rsidR="00C40118" w:rsidRPr="00E24AC3" w:rsidRDefault="00C40118" w:rsidP="00C40118">
      <w:pPr>
        <w:pStyle w:val="Ttulo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24AC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ESTADÍSTICAS A PROPÓSITO DEL </w:t>
      </w:r>
    </w:p>
    <w:p w14:paraId="208299E7" w14:textId="4D64B98A" w:rsidR="00C40118" w:rsidRPr="00E24AC3" w:rsidRDefault="00C40118" w:rsidP="00C40118">
      <w:pPr>
        <w:pStyle w:val="Ttulo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24AC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</w:t>
      </w:r>
      <w:r w:rsidR="00CC4C17">
        <w:rPr>
          <w:rFonts w:ascii="Arial" w:hAnsi="Arial" w:cs="Arial"/>
          <w:b/>
          <w:bCs/>
          <w:color w:val="000000" w:themeColor="text1"/>
          <w:sz w:val="24"/>
          <w:szCs w:val="24"/>
        </w:rPr>
        <w:t>MUNDIAL</w:t>
      </w:r>
      <w:r w:rsidRPr="00E24AC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LA </w:t>
      </w:r>
      <w:r w:rsidR="001C5101">
        <w:rPr>
          <w:rFonts w:ascii="Arial" w:hAnsi="Arial" w:cs="Arial"/>
          <w:b/>
          <w:bCs/>
          <w:color w:val="000000" w:themeColor="text1"/>
          <w:sz w:val="24"/>
          <w:szCs w:val="24"/>
        </w:rPr>
        <w:t>PROPIEDAD INTELECTUAL</w:t>
      </w:r>
    </w:p>
    <w:bookmarkEnd w:id="0"/>
    <w:p w14:paraId="4D5703FD" w14:textId="77777777" w:rsidR="00C40118" w:rsidRPr="00832106" w:rsidRDefault="00C40118" w:rsidP="00C40118">
      <w:pPr>
        <w:pStyle w:val="Prrafodelista"/>
        <w:spacing w:after="0" w:line="276" w:lineRule="auto"/>
        <w:ind w:left="0" w:right="-234"/>
        <w:jc w:val="both"/>
        <w:rPr>
          <w:rFonts w:ascii="Arial" w:hAnsi="Arial" w:cs="Arial"/>
          <w:bCs/>
        </w:rPr>
      </w:pPr>
    </w:p>
    <w:p w14:paraId="765F5DAB" w14:textId="26FE0068" w:rsidR="000B0492" w:rsidRDefault="008C0A0C" w:rsidP="00FD0E31">
      <w:pPr>
        <w:pStyle w:val="Prrafodelista"/>
        <w:numPr>
          <w:ilvl w:val="0"/>
          <w:numId w:val="1"/>
        </w:numPr>
        <w:spacing w:line="27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8C0A0C">
        <w:rPr>
          <w:rFonts w:ascii="Arial" w:hAnsi="Arial" w:cs="Arial"/>
          <w:sz w:val="24"/>
          <w:szCs w:val="24"/>
        </w:rPr>
        <w:t>En México,</w:t>
      </w:r>
      <w:r w:rsidR="00EC2EED">
        <w:rPr>
          <w:rFonts w:ascii="Arial" w:hAnsi="Arial" w:cs="Arial"/>
          <w:sz w:val="24"/>
          <w:szCs w:val="24"/>
        </w:rPr>
        <w:t xml:space="preserve"> entre 2008 y 2021,</w:t>
      </w:r>
      <w:r w:rsidRPr="008C0A0C">
        <w:rPr>
          <w:rFonts w:ascii="Arial" w:hAnsi="Arial" w:cs="Arial"/>
          <w:sz w:val="24"/>
          <w:szCs w:val="24"/>
        </w:rPr>
        <w:t xml:space="preserve"> la inversión en propiedad intelectual </w:t>
      </w:r>
      <w:r w:rsidR="00151E5A">
        <w:rPr>
          <w:rFonts w:ascii="Arial" w:hAnsi="Arial" w:cs="Arial"/>
          <w:sz w:val="24"/>
          <w:szCs w:val="24"/>
        </w:rPr>
        <w:t xml:space="preserve">(IPP) </w:t>
      </w:r>
      <w:r w:rsidR="00EC2EED">
        <w:rPr>
          <w:rFonts w:ascii="Arial" w:hAnsi="Arial" w:cs="Arial"/>
          <w:sz w:val="24"/>
          <w:szCs w:val="24"/>
        </w:rPr>
        <w:t>registró</w:t>
      </w:r>
      <w:r w:rsidRPr="008C0A0C">
        <w:rPr>
          <w:rFonts w:ascii="Arial" w:hAnsi="Arial" w:cs="Arial"/>
          <w:sz w:val="24"/>
          <w:szCs w:val="24"/>
        </w:rPr>
        <w:t xml:space="preserve"> una tendencia al alza</w:t>
      </w:r>
      <w:r w:rsidR="00DD655E">
        <w:rPr>
          <w:rFonts w:ascii="Arial" w:hAnsi="Arial" w:cs="Arial"/>
          <w:sz w:val="24"/>
          <w:szCs w:val="24"/>
        </w:rPr>
        <w:t xml:space="preserve">: </w:t>
      </w:r>
      <w:r w:rsidR="00EC2EED">
        <w:rPr>
          <w:rFonts w:ascii="Arial" w:hAnsi="Arial" w:cs="Arial"/>
          <w:sz w:val="24"/>
          <w:szCs w:val="24"/>
        </w:rPr>
        <w:t xml:space="preserve">creció de </w:t>
      </w:r>
      <w:r w:rsidRPr="008C0A0C">
        <w:rPr>
          <w:rFonts w:ascii="Arial" w:hAnsi="Arial" w:cs="Arial"/>
          <w:sz w:val="24"/>
          <w:szCs w:val="24"/>
        </w:rPr>
        <w:t>1.6</w:t>
      </w:r>
      <w:r w:rsidR="000A3B71">
        <w:rPr>
          <w:rFonts w:ascii="Arial" w:hAnsi="Arial" w:cs="Arial"/>
          <w:sz w:val="24"/>
          <w:szCs w:val="24"/>
        </w:rPr>
        <w:t xml:space="preserve"> a</w:t>
      </w:r>
      <w:r w:rsidR="001F275A">
        <w:rPr>
          <w:rFonts w:ascii="Arial" w:hAnsi="Arial" w:cs="Arial"/>
          <w:sz w:val="24"/>
          <w:szCs w:val="24"/>
        </w:rPr>
        <w:t xml:space="preserve"> 3.8 % </w:t>
      </w:r>
      <w:r w:rsidRPr="008C0A0C">
        <w:rPr>
          <w:rFonts w:ascii="Arial" w:hAnsi="Arial" w:cs="Arial"/>
          <w:sz w:val="24"/>
          <w:szCs w:val="24"/>
        </w:rPr>
        <w:t>del Producto Interno Bruto (PIB)</w:t>
      </w:r>
      <w:r w:rsidR="00EC2EED">
        <w:rPr>
          <w:rFonts w:ascii="Arial" w:hAnsi="Arial" w:cs="Arial"/>
          <w:sz w:val="24"/>
          <w:szCs w:val="24"/>
        </w:rPr>
        <w:t>.</w:t>
      </w:r>
    </w:p>
    <w:p w14:paraId="76FCD90A" w14:textId="19E810D5" w:rsidR="008C0A0C" w:rsidRDefault="00596223" w:rsidP="00FD0E31">
      <w:pPr>
        <w:pStyle w:val="Prrafodelista"/>
        <w:numPr>
          <w:ilvl w:val="0"/>
          <w:numId w:val="1"/>
        </w:numPr>
        <w:spacing w:line="276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Quienes más invirtieron en </w:t>
      </w:r>
      <w:r w:rsidR="008C0A0C" w:rsidRPr="008C0A0C">
        <w:rPr>
          <w:rFonts w:ascii="Arial" w:hAnsi="Arial" w:cs="Arial"/>
          <w:sz w:val="24"/>
          <w:szCs w:val="24"/>
        </w:rPr>
        <w:t xml:space="preserve">propiedad intelectual </w:t>
      </w:r>
      <w:r w:rsidR="00EC2EED">
        <w:rPr>
          <w:rFonts w:ascii="Arial" w:hAnsi="Arial" w:cs="Arial"/>
          <w:sz w:val="24"/>
          <w:szCs w:val="24"/>
        </w:rPr>
        <w:t>fueron</w:t>
      </w:r>
      <w:r w:rsidR="008C0A0C" w:rsidRPr="008C0A0C">
        <w:rPr>
          <w:rFonts w:ascii="Arial" w:hAnsi="Arial" w:cs="Arial"/>
          <w:sz w:val="24"/>
          <w:szCs w:val="24"/>
        </w:rPr>
        <w:t xml:space="preserve"> empresas que buscan innovar y mejorar sus productos y servicios. En 2021, las </w:t>
      </w:r>
      <w:r w:rsidR="0043537C">
        <w:rPr>
          <w:rFonts w:ascii="Arial" w:hAnsi="Arial" w:cs="Arial"/>
          <w:sz w:val="24"/>
          <w:szCs w:val="24"/>
        </w:rPr>
        <w:t>empresas no financieras</w:t>
      </w:r>
      <w:r w:rsidR="008C0A0C" w:rsidRPr="008C0A0C">
        <w:rPr>
          <w:rFonts w:ascii="Arial" w:hAnsi="Arial" w:cs="Arial"/>
          <w:sz w:val="24"/>
          <w:szCs w:val="24"/>
        </w:rPr>
        <w:t xml:space="preserve"> poseían </w:t>
      </w:r>
      <w:r w:rsidR="008C0A0C">
        <w:rPr>
          <w:rFonts w:ascii="Arial" w:hAnsi="Arial" w:cs="Arial"/>
          <w:sz w:val="24"/>
          <w:szCs w:val="24"/>
        </w:rPr>
        <w:t>más de tres cuartas partes</w:t>
      </w:r>
      <w:r w:rsidR="008C0A0C" w:rsidRPr="008C0A0C">
        <w:rPr>
          <w:rFonts w:ascii="Arial" w:hAnsi="Arial" w:cs="Arial"/>
          <w:sz w:val="24"/>
          <w:szCs w:val="24"/>
        </w:rPr>
        <w:t xml:space="preserve"> del valor total </w:t>
      </w:r>
      <w:r w:rsidR="0043537C">
        <w:rPr>
          <w:rFonts w:ascii="Arial" w:hAnsi="Arial" w:cs="Arial"/>
          <w:sz w:val="24"/>
          <w:szCs w:val="24"/>
        </w:rPr>
        <w:t>de inversión acumulada</w:t>
      </w:r>
      <w:r w:rsidR="008C0A0C" w:rsidRPr="008C0A0C">
        <w:rPr>
          <w:rFonts w:ascii="Arial" w:hAnsi="Arial" w:cs="Arial"/>
          <w:sz w:val="24"/>
          <w:szCs w:val="24"/>
        </w:rPr>
        <w:t xml:space="preserve"> en</w:t>
      </w:r>
      <w:r w:rsidR="006F439A">
        <w:rPr>
          <w:rFonts w:ascii="Arial" w:hAnsi="Arial" w:cs="Arial"/>
          <w:sz w:val="24"/>
          <w:szCs w:val="24"/>
        </w:rPr>
        <w:t xml:space="preserve"> este rubro.</w:t>
      </w:r>
    </w:p>
    <w:p w14:paraId="0BAADDDA" w14:textId="686A162F" w:rsidR="00B274F5" w:rsidRDefault="000B0492" w:rsidP="00FD0E31">
      <w:pPr>
        <w:pStyle w:val="Prrafodelista"/>
        <w:numPr>
          <w:ilvl w:val="0"/>
          <w:numId w:val="1"/>
        </w:numPr>
        <w:spacing w:line="276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2021, l</w:t>
      </w:r>
      <w:r w:rsidRPr="000B0492">
        <w:rPr>
          <w:rFonts w:ascii="Arial" w:hAnsi="Arial" w:cs="Arial"/>
          <w:sz w:val="24"/>
          <w:szCs w:val="24"/>
        </w:rPr>
        <w:t>a inversión en los productos de la propiedad intelectual fue de 55 808 millones de pesos, lo que represent</w:t>
      </w:r>
      <w:r w:rsidR="00EC2EED">
        <w:rPr>
          <w:rFonts w:ascii="Arial" w:hAnsi="Arial" w:cs="Arial"/>
          <w:sz w:val="24"/>
          <w:szCs w:val="24"/>
        </w:rPr>
        <w:t>ó</w:t>
      </w:r>
      <w:r w:rsidRPr="000B0492">
        <w:rPr>
          <w:rFonts w:ascii="Arial" w:hAnsi="Arial" w:cs="Arial"/>
          <w:sz w:val="24"/>
          <w:szCs w:val="24"/>
        </w:rPr>
        <w:t xml:space="preserve"> un incremento de 19.4 %</w:t>
      </w:r>
      <w:r w:rsidR="00EC2EED">
        <w:rPr>
          <w:rFonts w:ascii="Arial" w:hAnsi="Arial" w:cs="Arial"/>
          <w:sz w:val="24"/>
          <w:szCs w:val="24"/>
        </w:rPr>
        <w:t xml:space="preserve"> </w:t>
      </w:r>
      <w:r w:rsidRPr="000B0492">
        <w:rPr>
          <w:rFonts w:ascii="Arial" w:hAnsi="Arial" w:cs="Arial"/>
          <w:sz w:val="24"/>
          <w:szCs w:val="24"/>
        </w:rPr>
        <w:t>respecto a</w:t>
      </w:r>
      <w:r w:rsidR="00EC2EED">
        <w:rPr>
          <w:rFonts w:ascii="Arial" w:hAnsi="Arial" w:cs="Arial"/>
          <w:sz w:val="24"/>
          <w:szCs w:val="24"/>
        </w:rPr>
        <w:t xml:space="preserve"> 2020. </w:t>
      </w:r>
      <w:r w:rsidR="00E13904">
        <w:rPr>
          <w:rFonts w:ascii="Arial" w:hAnsi="Arial" w:cs="Arial"/>
          <w:sz w:val="24"/>
          <w:szCs w:val="24"/>
        </w:rPr>
        <w:t xml:space="preserve">Se trató del </w:t>
      </w:r>
      <w:r>
        <w:rPr>
          <w:rFonts w:ascii="Arial" w:hAnsi="Arial" w:cs="Arial"/>
          <w:sz w:val="24"/>
          <w:szCs w:val="24"/>
        </w:rPr>
        <w:t xml:space="preserve">incremento </w:t>
      </w:r>
      <w:r w:rsidRPr="000B0492">
        <w:rPr>
          <w:rFonts w:ascii="Arial" w:hAnsi="Arial" w:cs="Arial"/>
          <w:sz w:val="24"/>
          <w:szCs w:val="24"/>
        </w:rPr>
        <w:t>más alto desde 2008.</w:t>
      </w:r>
    </w:p>
    <w:p w14:paraId="22D89162" w14:textId="59DE2774" w:rsidR="000B0492" w:rsidRDefault="008F2F6D" w:rsidP="000B0492">
      <w:pPr>
        <w:pStyle w:val="Prrafodelista"/>
        <w:numPr>
          <w:ilvl w:val="0"/>
          <w:numId w:val="1"/>
        </w:numPr>
        <w:spacing w:line="276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monto de inversión de 2021 se destinó </w:t>
      </w:r>
      <w:r w:rsidR="000B0492">
        <w:rPr>
          <w:rFonts w:ascii="Arial" w:hAnsi="Arial" w:cs="Arial"/>
          <w:sz w:val="24"/>
          <w:szCs w:val="24"/>
        </w:rPr>
        <w:t xml:space="preserve">a </w:t>
      </w:r>
      <w:r w:rsidR="000B0492" w:rsidRPr="006713D3">
        <w:rPr>
          <w:rFonts w:ascii="Arial" w:hAnsi="Arial" w:cs="Arial"/>
          <w:i/>
          <w:sz w:val="24"/>
          <w:szCs w:val="24"/>
        </w:rPr>
        <w:t>Exploración y evaluación minera</w:t>
      </w:r>
      <w:r w:rsidR="00052F6E">
        <w:rPr>
          <w:rFonts w:ascii="Arial" w:hAnsi="Arial" w:cs="Arial"/>
          <w:sz w:val="24"/>
          <w:szCs w:val="24"/>
        </w:rPr>
        <w:t xml:space="preserve"> </w:t>
      </w:r>
      <w:r w:rsidR="00EC2EED">
        <w:rPr>
          <w:rFonts w:ascii="Arial" w:hAnsi="Arial" w:cs="Arial"/>
          <w:sz w:val="24"/>
          <w:szCs w:val="24"/>
        </w:rPr>
        <w:t xml:space="preserve">     </w:t>
      </w:r>
      <w:r w:rsidR="00052F6E">
        <w:rPr>
          <w:rFonts w:ascii="Arial" w:hAnsi="Arial" w:cs="Arial"/>
          <w:sz w:val="24"/>
          <w:szCs w:val="24"/>
        </w:rPr>
        <w:t>(38.0 %)</w:t>
      </w:r>
      <w:r w:rsidR="000B0492">
        <w:rPr>
          <w:rFonts w:ascii="Arial" w:hAnsi="Arial" w:cs="Arial"/>
          <w:sz w:val="24"/>
          <w:szCs w:val="24"/>
        </w:rPr>
        <w:t xml:space="preserve">, a </w:t>
      </w:r>
      <w:r w:rsidR="000B0492" w:rsidRPr="006713D3">
        <w:rPr>
          <w:rFonts w:ascii="Arial" w:hAnsi="Arial" w:cs="Arial"/>
          <w:i/>
          <w:sz w:val="24"/>
          <w:szCs w:val="24"/>
        </w:rPr>
        <w:t>Programas informáticos y bases de datos</w:t>
      </w:r>
      <w:r w:rsidR="00052F6E">
        <w:rPr>
          <w:rFonts w:ascii="Arial" w:hAnsi="Arial" w:cs="Arial"/>
          <w:sz w:val="24"/>
          <w:szCs w:val="24"/>
        </w:rPr>
        <w:t xml:space="preserve"> (25.3 %)</w:t>
      </w:r>
      <w:r w:rsidR="000B0492">
        <w:rPr>
          <w:rFonts w:ascii="Arial" w:hAnsi="Arial" w:cs="Arial"/>
          <w:sz w:val="24"/>
          <w:szCs w:val="24"/>
        </w:rPr>
        <w:t xml:space="preserve">, a </w:t>
      </w:r>
      <w:r w:rsidR="000B0492" w:rsidRPr="006713D3">
        <w:rPr>
          <w:rFonts w:ascii="Arial" w:hAnsi="Arial" w:cs="Arial"/>
          <w:i/>
          <w:sz w:val="24"/>
          <w:szCs w:val="24"/>
        </w:rPr>
        <w:t xml:space="preserve">Investigación y </w:t>
      </w:r>
      <w:r w:rsidR="00EC2EED" w:rsidRPr="006713D3">
        <w:rPr>
          <w:rFonts w:ascii="Arial" w:hAnsi="Arial" w:cs="Arial"/>
          <w:i/>
          <w:sz w:val="24"/>
          <w:szCs w:val="24"/>
        </w:rPr>
        <w:t>d</w:t>
      </w:r>
      <w:r w:rsidR="000B0492" w:rsidRPr="006713D3">
        <w:rPr>
          <w:rFonts w:ascii="Arial" w:hAnsi="Arial" w:cs="Arial"/>
          <w:i/>
          <w:sz w:val="24"/>
          <w:szCs w:val="24"/>
        </w:rPr>
        <w:t>esarrollo</w:t>
      </w:r>
      <w:r w:rsidR="00052F6E">
        <w:rPr>
          <w:rFonts w:ascii="Arial" w:hAnsi="Arial" w:cs="Arial"/>
          <w:sz w:val="24"/>
          <w:szCs w:val="24"/>
        </w:rPr>
        <w:t xml:space="preserve"> (6.2 %)</w:t>
      </w:r>
      <w:r w:rsidR="000B0492">
        <w:rPr>
          <w:rFonts w:ascii="Arial" w:hAnsi="Arial" w:cs="Arial"/>
          <w:sz w:val="24"/>
          <w:szCs w:val="24"/>
        </w:rPr>
        <w:t xml:space="preserve">, a </w:t>
      </w:r>
      <w:r w:rsidR="000B0492" w:rsidRPr="006713D3">
        <w:rPr>
          <w:rFonts w:ascii="Arial" w:hAnsi="Arial" w:cs="Arial"/>
          <w:i/>
          <w:sz w:val="24"/>
          <w:szCs w:val="24"/>
        </w:rPr>
        <w:t>Originales de entretenimiento, literarios y artísticos</w:t>
      </w:r>
      <w:r w:rsidR="00052F6E">
        <w:rPr>
          <w:rFonts w:ascii="Arial" w:hAnsi="Arial" w:cs="Arial"/>
          <w:sz w:val="24"/>
          <w:szCs w:val="24"/>
        </w:rPr>
        <w:t xml:space="preserve"> (0.7 %)</w:t>
      </w:r>
      <w:r w:rsidR="00423118">
        <w:rPr>
          <w:rFonts w:ascii="Arial" w:hAnsi="Arial" w:cs="Arial"/>
          <w:sz w:val="24"/>
          <w:szCs w:val="24"/>
        </w:rPr>
        <w:t xml:space="preserve"> y</w:t>
      </w:r>
      <w:r w:rsidR="00EC2EED">
        <w:rPr>
          <w:rFonts w:ascii="Arial" w:hAnsi="Arial" w:cs="Arial"/>
          <w:sz w:val="24"/>
          <w:szCs w:val="24"/>
        </w:rPr>
        <w:t xml:space="preserve"> a </w:t>
      </w:r>
      <w:r w:rsidR="00EC2EED" w:rsidRPr="006713D3">
        <w:rPr>
          <w:rFonts w:ascii="Arial" w:hAnsi="Arial" w:cs="Arial"/>
          <w:i/>
          <w:sz w:val="24"/>
          <w:szCs w:val="24"/>
        </w:rPr>
        <w:t>O</w:t>
      </w:r>
      <w:r w:rsidR="00423118" w:rsidRPr="006713D3">
        <w:rPr>
          <w:rFonts w:ascii="Arial" w:hAnsi="Arial" w:cs="Arial"/>
          <w:i/>
          <w:sz w:val="24"/>
          <w:szCs w:val="24"/>
        </w:rPr>
        <w:t>tros productos de propiedad intelectual</w:t>
      </w:r>
      <w:r w:rsidR="00423118">
        <w:rPr>
          <w:rFonts w:ascii="Arial" w:hAnsi="Arial" w:cs="Arial"/>
          <w:sz w:val="24"/>
          <w:szCs w:val="24"/>
        </w:rPr>
        <w:t xml:space="preserve"> (29.9 %)</w:t>
      </w:r>
      <w:r w:rsidR="000B0492">
        <w:rPr>
          <w:rFonts w:ascii="Arial" w:hAnsi="Arial" w:cs="Arial"/>
          <w:sz w:val="24"/>
          <w:szCs w:val="24"/>
        </w:rPr>
        <w:t>.</w:t>
      </w:r>
      <w:r w:rsidR="00E13904">
        <w:rPr>
          <w:rStyle w:val="Refdenotaalpie"/>
          <w:rFonts w:ascii="Arial" w:hAnsi="Arial" w:cs="Arial"/>
          <w:sz w:val="24"/>
          <w:szCs w:val="24"/>
        </w:rPr>
        <w:footnoteReference w:id="2"/>
      </w:r>
    </w:p>
    <w:p w14:paraId="0010E2C7" w14:textId="77777777" w:rsidR="000B0492" w:rsidRPr="000B0492" w:rsidRDefault="000B0492" w:rsidP="000B0492">
      <w:pPr>
        <w:spacing w:line="276" w:lineRule="auto"/>
        <w:ind w:right="49"/>
        <w:jc w:val="both"/>
        <w:rPr>
          <w:rFonts w:ascii="Arial" w:hAnsi="Arial" w:cs="Arial"/>
          <w:sz w:val="24"/>
          <w:szCs w:val="24"/>
        </w:rPr>
      </w:pPr>
    </w:p>
    <w:p w14:paraId="3B70A8B4" w14:textId="167310D1" w:rsidR="00C40118" w:rsidRDefault="00EC2EED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</w:t>
      </w:r>
      <w:r w:rsidR="001003F8">
        <w:rPr>
          <w:rFonts w:ascii="Arial" w:hAnsi="Arial" w:cs="Arial"/>
          <w:sz w:val="24"/>
          <w:szCs w:val="24"/>
        </w:rPr>
        <w:t>2001</w:t>
      </w:r>
      <w:r>
        <w:rPr>
          <w:rFonts w:ascii="Arial" w:hAnsi="Arial" w:cs="Arial"/>
          <w:sz w:val="24"/>
          <w:szCs w:val="24"/>
        </w:rPr>
        <w:t xml:space="preserve">, cada </w:t>
      </w:r>
      <w:r w:rsidR="00A23D5E" w:rsidRPr="00A23D5E">
        <w:rPr>
          <w:rFonts w:ascii="Arial" w:hAnsi="Arial" w:cs="Arial"/>
          <w:sz w:val="24"/>
          <w:szCs w:val="24"/>
        </w:rPr>
        <w:t xml:space="preserve">26 de abril se celebra el Día Mundial de la Propiedad Intelectual. </w:t>
      </w:r>
      <w:r w:rsidR="00F737A4">
        <w:rPr>
          <w:rFonts w:ascii="Arial" w:hAnsi="Arial" w:cs="Arial"/>
          <w:sz w:val="24"/>
          <w:szCs w:val="24"/>
        </w:rPr>
        <w:t xml:space="preserve">Su objetivo es </w:t>
      </w:r>
      <w:r w:rsidR="00A23D5E" w:rsidRPr="00A23D5E">
        <w:rPr>
          <w:rFonts w:ascii="Arial" w:hAnsi="Arial" w:cs="Arial"/>
          <w:sz w:val="24"/>
          <w:szCs w:val="24"/>
        </w:rPr>
        <w:t xml:space="preserve">concientizar sobre </w:t>
      </w:r>
      <w:r w:rsidR="004E0625">
        <w:rPr>
          <w:rFonts w:ascii="Arial" w:hAnsi="Arial" w:cs="Arial"/>
          <w:sz w:val="24"/>
          <w:szCs w:val="24"/>
        </w:rPr>
        <w:t xml:space="preserve">su </w:t>
      </w:r>
      <w:r w:rsidR="00A23D5E" w:rsidRPr="00A23D5E">
        <w:rPr>
          <w:rFonts w:ascii="Arial" w:hAnsi="Arial" w:cs="Arial"/>
          <w:sz w:val="24"/>
          <w:szCs w:val="24"/>
        </w:rPr>
        <w:t xml:space="preserve">importancia </w:t>
      </w:r>
      <w:r w:rsidR="007C46D3">
        <w:rPr>
          <w:rFonts w:ascii="Arial" w:hAnsi="Arial" w:cs="Arial"/>
          <w:sz w:val="24"/>
          <w:szCs w:val="24"/>
        </w:rPr>
        <w:t xml:space="preserve">y utilidad </w:t>
      </w:r>
      <w:r w:rsidR="00A23D5E" w:rsidRPr="00A23D5E">
        <w:rPr>
          <w:rFonts w:ascii="Arial" w:hAnsi="Arial" w:cs="Arial"/>
          <w:sz w:val="24"/>
          <w:szCs w:val="24"/>
        </w:rPr>
        <w:t xml:space="preserve">para fomentar la innovación y la creatividad. En México, el Instituto Nacional de Estadística y Geografía (INEGI) ofrece estadísticas </w:t>
      </w:r>
      <w:r w:rsidR="00F737A4">
        <w:rPr>
          <w:rFonts w:ascii="Arial" w:hAnsi="Arial" w:cs="Arial"/>
          <w:sz w:val="24"/>
          <w:szCs w:val="24"/>
        </w:rPr>
        <w:t xml:space="preserve">al respecto. </w:t>
      </w:r>
    </w:p>
    <w:p w14:paraId="1069C2F9" w14:textId="77777777" w:rsidR="00C40118" w:rsidRPr="00813FD5" w:rsidRDefault="00C40118" w:rsidP="006713D3">
      <w:pPr>
        <w:spacing w:after="0" w:line="240" w:lineRule="auto"/>
        <w:ind w:right="-518"/>
        <w:jc w:val="both"/>
        <w:rPr>
          <w:rFonts w:ascii="Arial" w:hAnsi="Arial" w:cs="Arial"/>
          <w:smallCaps/>
          <w:sz w:val="24"/>
          <w:szCs w:val="24"/>
        </w:rPr>
      </w:pPr>
    </w:p>
    <w:p w14:paraId="633CB39D" w14:textId="14FC1BEB" w:rsidR="00AC58F2" w:rsidRDefault="00245078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245078">
        <w:rPr>
          <w:rFonts w:ascii="Arial" w:hAnsi="Arial" w:cs="Arial"/>
          <w:sz w:val="24"/>
          <w:szCs w:val="24"/>
        </w:rPr>
        <w:t xml:space="preserve">La propiedad intelectual es un conjunto de derechos que se otorgan a </w:t>
      </w:r>
      <w:r w:rsidR="00FF28A6">
        <w:rPr>
          <w:rFonts w:ascii="Arial" w:hAnsi="Arial" w:cs="Arial"/>
          <w:sz w:val="24"/>
          <w:szCs w:val="24"/>
        </w:rPr>
        <w:t xml:space="preserve">las y </w:t>
      </w:r>
      <w:r w:rsidRPr="00245078">
        <w:rPr>
          <w:rFonts w:ascii="Arial" w:hAnsi="Arial" w:cs="Arial"/>
          <w:sz w:val="24"/>
          <w:szCs w:val="24"/>
        </w:rPr>
        <w:t xml:space="preserve">los creadores de obras como invenciones, obras literarias y artísticas, marcas comerciales, diseños y símbolos, entre otros. Estos derechos </w:t>
      </w:r>
      <w:r w:rsidR="00636CBD">
        <w:rPr>
          <w:rFonts w:ascii="Arial" w:hAnsi="Arial" w:cs="Arial"/>
          <w:sz w:val="24"/>
          <w:szCs w:val="24"/>
        </w:rPr>
        <w:t xml:space="preserve">cuidan </w:t>
      </w:r>
      <w:r w:rsidR="001C5B91">
        <w:rPr>
          <w:rFonts w:ascii="Arial" w:hAnsi="Arial" w:cs="Arial"/>
          <w:sz w:val="24"/>
          <w:szCs w:val="24"/>
        </w:rPr>
        <w:t xml:space="preserve">y controlan el uso y la </w:t>
      </w:r>
      <w:r w:rsidRPr="00245078">
        <w:rPr>
          <w:rFonts w:ascii="Arial" w:hAnsi="Arial" w:cs="Arial"/>
          <w:sz w:val="24"/>
          <w:szCs w:val="24"/>
        </w:rPr>
        <w:t xml:space="preserve">explotación de </w:t>
      </w:r>
      <w:r w:rsidR="00B32A72">
        <w:rPr>
          <w:rFonts w:ascii="Arial" w:hAnsi="Arial" w:cs="Arial"/>
          <w:sz w:val="24"/>
          <w:szCs w:val="24"/>
        </w:rPr>
        <w:t>las</w:t>
      </w:r>
      <w:r w:rsidRPr="00245078">
        <w:rPr>
          <w:rFonts w:ascii="Arial" w:hAnsi="Arial" w:cs="Arial"/>
          <w:sz w:val="24"/>
          <w:szCs w:val="24"/>
        </w:rPr>
        <w:t xml:space="preserve"> creaciones,</w:t>
      </w:r>
      <w:r w:rsidR="00FF28A6">
        <w:rPr>
          <w:rFonts w:ascii="Arial" w:hAnsi="Arial" w:cs="Arial"/>
          <w:sz w:val="24"/>
          <w:szCs w:val="24"/>
        </w:rPr>
        <w:t xml:space="preserve"> les o</w:t>
      </w:r>
      <w:r w:rsidRPr="00245078">
        <w:rPr>
          <w:rFonts w:ascii="Arial" w:hAnsi="Arial" w:cs="Arial"/>
          <w:sz w:val="24"/>
          <w:szCs w:val="24"/>
        </w:rPr>
        <w:t>torg</w:t>
      </w:r>
      <w:r w:rsidR="00FF28A6">
        <w:rPr>
          <w:rFonts w:ascii="Arial" w:hAnsi="Arial" w:cs="Arial"/>
          <w:sz w:val="24"/>
          <w:szCs w:val="24"/>
        </w:rPr>
        <w:t>an</w:t>
      </w:r>
      <w:r w:rsidRPr="00245078">
        <w:rPr>
          <w:rFonts w:ascii="Arial" w:hAnsi="Arial" w:cs="Arial"/>
          <w:sz w:val="24"/>
          <w:szCs w:val="24"/>
        </w:rPr>
        <w:t xml:space="preserve"> un valor económico</w:t>
      </w:r>
      <w:r w:rsidR="00B32A72">
        <w:rPr>
          <w:rFonts w:ascii="Arial" w:hAnsi="Arial" w:cs="Arial"/>
          <w:sz w:val="24"/>
          <w:szCs w:val="24"/>
        </w:rPr>
        <w:t xml:space="preserve"> y </w:t>
      </w:r>
      <w:r w:rsidRPr="00245078">
        <w:rPr>
          <w:rFonts w:ascii="Arial" w:hAnsi="Arial" w:cs="Arial"/>
          <w:sz w:val="24"/>
          <w:szCs w:val="24"/>
        </w:rPr>
        <w:t xml:space="preserve">fomentan la innovación y la creatividad. La propiedad intelectual se protege </w:t>
      </w:r>
      <w:r w:rsidR="00921B34">
        <w:rPr>
          <w:rFonts w:ascii="Arial" w:hAnsi="Arial" w:cs="Arial"/>
          <w:sz w:val="24"/>
          <w:szCs w:val="24"/>
        </w:rPr>
        <w:t xml:space="preserve">mediante </w:t>
      </w:r>
      <w:r w:rsidRPr="00245078">
        <w:rPr>
          <w:rFonts w:ascii="Arial" w:hAnsi="Arial" w:cs="Arial"/>
          <w:sz w:val="24"/>
          <w:szCs w:val="24"/>
        </w:rPr>
        <w:t>leyes y tratados internacionales</w:t>
      </w:r>
      <w:r w:rsidR="007C46D3">
        <w:rPr>
          <w:rFonts w:ascii="Arial" w:hAnsi="Arial" w:cs="Arial"/>
          <w:sz w:val="24"/>
          <w:szCs w:val="24"/>
        </w:rPr>
        <w:t>. Algunas de las áreas que abarca son:</w:t>
      </w:r>
      <w:r w:rsidR="002058CF">
        <w:rPr>
          <w:rFonts w:ascii="Arial" w:hAnsi="Arial" w:cs="Arial"/>
          <w:sz w:val="24"/>
          <w:szCs w:val="24"/>
        </w:rPr>
        <w:t xml:space="preserve"> </w:t>
      </w:r>
      <w:r w:rsidRPr="00245078">
        <w:rPr>
          <w:rFonts w:ascii="Arial" w:hAnsi="Arial" w:cs="Arial"/>
          <w:sz w:val="24"/>
          <w:szCs w:val="24"/>
        </w:rPr>
        <w:t>derecho</w:t>
      </w:r>
      <w:r w:rsidR="002058CF">
        <w:rPr>
          <w:rFonts w:ascii="Arial" w:hAnsi="Arial" w:cs="Arial"/>
          <w:sz w:val="24"/>
          <w:szCs w:val="24"/>
        </w:rPr>
        <w:t>s</w:t>
      </w:r>
      <w:r w:rsidRPr="00245078">
        <w:rPr>
          <w:rFonts w:ascii="Arial" w:hAnsi="Arial" w:cs="Arial"/>
          <w:sz w:val="24"/>
          <w:szCs w:val="24"/>
        </w:rPr>
        <w:t xml:space="preserve"> de autor, patentes, marcas registradas y diseños industriales, entre otr</w:t>
      </w:r>
      <w:r w:rsidR="002058CF">
        <w:rPr>
          <w:rFonts w:ascii="Arial" w:hAnsi="Arial" w:cs="Arial"/>
          <w:sz w:val="24"/>
          <w:szCs w:val="24"/>
        </w:rPr>
        <w:t>a</w:t>
      </w:r>
      <w:r w:rsidRPr="00245078">
        <w:rPr>
          <w:rFonts w:ascii="Arial" w:hAnsi="Arial" w:cs="Arial"/>
          <w:sz w:val="24"/>
          <w:szCs w:val="24"/>
        </w:rPr>
        <w:t>s.</w:t>
      </w:r>
    </w:p>
    <w:p w14:paraId="2541D1E5" w14:textId="77777777" w:rsidR="00245078" w:rsidRDefault="00245078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A8253DA" w14:textId="3308ACDA" w:rsidR="00AC58F2" w:rsidRDefault="00245078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2058C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uentas </w:t>
      </w:r>
      <w:r w:rsidR="002058C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acionales</w:t>
      </w:r>
      <w:r w:rsidR="00CD2A5E">
        <w:rPr>
          <w:rFonts w:ascii="Arial" w:hAnsi="Arial" w:cs="Arial"/>
          <w:sz w:val="24"/>
          <w:szCs w:val="24"/>
        </w:rPr>
        <w:t xml:space="preserve"> hay </w:t>
      </w:r>
      <w:r w:rsidR="00A51CD8" w:rsidRPr="00A51CD8">
        <w:rPr>
          <w:rFonts w:ascii="Arial" w:hAnsi="Arial" w:cs="Arial"/>
          <w:sz w:val="24"/>
          <w:szCs w:val="24"/>
        </w:rPr>
        <w:t xml:space="preserve">cinco categorías de activos de propiedad intelectual: </w:t>
      </w:r>
      <w:r w:rsidR="00FF28A6" w:rsidRPr="006713D3">
        <w:rPr>
          <w:rFonts w:ascii="Arial" w:hAnsi="Arial" w:cs="Arial"/>
          <w:i/>
          <w:sz w:val="24"/>
          <w:szCs w:val="24"/>
        </w:rPr>
        <w:t>I</w:t>
      </w:r>
      <w:r w:rsidR="00A51CD8" w:rsidRPr="006713D3">
        <w:rPr>
          <w:rFonts w:ascii="Arial" w:hAnsi="Arial" w:cs="Arial"/>
          <w:i/>
          <w:sz w:val="24"/>
          <w:szCs w:val="24"/>
        </w:rPr>
        <w:t>nvestigación y desarrollo</w:t>
      </w:r>
      <w:r w:rsidR="00A51CD8" w:rsidRPr="00A51CD8">
        <w:rPr>
          <w:rFonts w:ascii="Arial" w:hAnsi="Arial" w:cs="Arial"/>
          <w:sz w:val="24"/>
          <w:szCs w:val="24"/>
        </w:rPr>
        <w:t xml:space="preserve">, </w:t>
      </w:r>
      <w:r w:rsidR="00FF28A6" w:rsidRPr="006713D3">
        <w:rPr>
          <w:rFonts w:ascii="Arial" w:hAnsi="Arial" w:cs="Arial"/>
          <w:i/>
          <w:sz w:val="24"/>
          <w:szCs w:val="24"/>
        </w:rPr>
        <w:t>E</w:t>
      </w:r>
      <w:r w:rsidR="00A51CD8" w:rsidRPr="006713D3">
        <w:rPr>
          <w:rFonts w:ascii="Arial" w:hAnsi="Arial" w:cs="Arial"/>
          <w:i/>
          <w:sz w:val="24"/>
          <w:szCs w:val="24"/>
        </w:rPr>
        <w:t>xploración y evaluación minera</w:t>
      </w:r>
      <w:r w:rsidR="00A51CD8" w:rsidRPr="00A51CD8">
        <w:rPr>
          <w:rFonts w:ascii="Arial" w:hAnsi="Arial" w:cs="Arial"/>
          <w:sz w:val="24"/>
          <w:szCs w:val="24"/>
        </w:rPr>
        <w:t xml:space="preserve">, </w:t>
      </w:r>
      <w:r w:rsidR="00FF28A6" w:rsidRPr="006713D3">
        <w:rPr>
          <w:rFonts w:ascii="Arial" w:hAnsi="Arial" w:cs="Arial"/>
          <w:i/>
          <w:sz w:val="24"/>
          <w:szCs w:val="24"/>
        </w:rPr>
        <w:t>P</w:t>
      </w:r>
      <w:r w:rsidR="00A51CD8" w:rsidRPr="006713D3">
        <w:rPr>
          <w:rFonts w:ascii="Arial" w:hAnsi="Arial" w:cs="Arial"/>
          <w:i/>
          <w:sz w:val="24"/>
          <w:szCs w:val="24"/>
        </w:rPr>
        <w:t>rogramas informáticos y bases de datos</w:t>
      </w:r>
      <w:r w:rsidR="00A51CD8" w:rsidRPr="00A51CD8">
        <w:rPr>
          <w:rFonts w:ascii="Arial" w:hAnsi="Arial" w:cs="Arial"/>
          <w:sz w:val="24"/>
          <w:szCs w:val="24"/>
        </w:rPr>
        <w:t xml:space="preserve">, </w:t>
      </w:r>
      <w:r w:rsidR="00FF28A6" w:rsidRPr="006713D3">
        <w:rPr>
          <w:rFonts w:ascii="Arial" w:hAnsi="Arial" w:cs="Arial"/>
          <w:i/>
          <w:sz w:val="24"/>
          <w:szCs w:val="24"/>
        </w:rPr>
        <w:t>O</w:t>
      </w:r>
      <w:r w:rsidR="00A51CD8" w:rsidRPr="006713D3">
        <w:rPr>
          <w:rFonts w:ascii="Arial" w:hAnsi="Arial" w:cs="Arial"/>
          <w:i/>
          <w:sz w:val="24"/>
          <w:szCs w:val="24"/>
        </w:rPr>
        <w:t>riginales de entretenimiento, literarios o artísticos</w:t>
      </w:r>
      <w:r w:rsidR="00A51CD8" w:rsidRPr="00A51CD8">
        <w:rPr>
          <w:rFonts w:ascii="Arial" w:hAnsi="Arial" w:cs="Arial"/>
          <w:sz w:val="24"/>
          <w:szCs w:val="24"/>
        </w:rPr>
        <w:t xml:space="preserve"> y </w:t>
      </w:r>
      <w:r w:rsidR="00FF28A6" w:rsidRPr="006713D3">
        <w:rPr>
          <w:rFonts w:ascii="Arial" w:hAnsi="Arial" w:cs="Arial"/>
          <w:i/>
          <w:sz w:val="24"/>
          <w:szCs w:val="24"/>
        </w:rPr>
        <w:t>O</w:t>
      </w:r>
      <w:r w:rsidR="00A51CD8" w:rsidRPr="006713D3">
        <w:rPr>
          <w:rFonts w:ascii="Arial" w:hAnsi="Arial" w:cs="Arial"/>
          <w:i/>
          <w:sz w:val="24"/>
          <w:szCs w:val="24"/>
        </w:rPr>
        <w:t>tros productos de propiedad intelectual</w:t>
      </w:r>
      <w:r w:rsidR="00FF28A6">
        <w:rPr>
          <w:rFonts w:ascii="Arial" w:hAnsi="Arial" w:cs="Arial"/>
          <w:sz w:val="24"/>
          <w:szCs w:val="24"/>
        </w:rPr>
        <w:t>.</w:t>
      </w:r>
      <w:r w:rsidR="00A51CD8">
        <w:rPr>
          <w:rStyle w:val="Refdenotaalpie"/>
          <w:rFonts w:ascii="Arial" w:hAnsi="Arial" w:cs="Arial"/>
          <w:sz w:val="24"/>
          <w:szCs w:val="24"/>
        </w:rPr>
        <w:footnoteReference w:id="3"/>
      </w:r>
    </w:p>
    <w:p w14:paraId="495EADC8" w14:textId="035F4924" w:rsidR="00AC58F2" w:rsidRDefault="00AC58F2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AA9037C" w14:textId="77777777" w:rsidR="003A098E" w:rsidRDefault="003A098E" w:rsidP="003A098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2AEE8A2" w14:textId="77777777" w:rsidR="003A098E" w:rsidRDefault="003A098E" w:rsidP="003A098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58C7BB7" w14:textId="77777777" w:rsidR="003A098E" w:rsidRDefault="003A098E" w:rsidP="003A098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71B13CFE" w14:textId="77777777" w:rsidR="003A098E" w:rsidRDefault="003A098E" w:rsidP="003A098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81F990A" w14:textId="77777777" w:rsidR="003A098E" w:rsidRDefault="003A098E" w:rsidP="003A098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C56F833" w14:textId="77777777" w:rsidR="003A098E" w:rsidRDefault="003A098E" w:rsidP="003A098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780225D" w14:textId="5E4A2F5A" w:rsidR="00FF28A6" w:rsidRDefault="00E00DCF" w:rsidP="00CD2A5E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bookmarkStart w:id="1" w:name="_Hlk115162630"/>
      <w:r w:rsidRPr="00E00DCF">
        <w:rPr>
          <w:rFonts w:ascii="Arial" w:hAnsi="Arial" w:cs="Arial"/>
          <w:sz w:val="24"/>
          <w:szCs w:val="24"/>
        </w:rPr>
        <w:t>L</w:t>
      </w:r>
      <w:r w:rsidR="00940CE6">
        <w:rPr>
          <w:rFonts w:ascii="Arial" w:hAnsi="Arial" w:cs="Arial"/>
          <w:sz w:val="24"/>
          <w:szCs w:val="24"/>
        </w:rPr>
        <w:t xml:space="preserve">as empresas </w:t>
      </w:r>
      <w:r w:rsidR="00940CE6" w:rsidRPr="00E00DCF">
        <w:rPr>
          <w:rFonts w:ascii="Arial" w:hAnsi="Arial" w:cs="Arial"/>
          <w:sz w:val="24"/>
          <w:szCs w:val="24"/>
        </w:rPr>
        <w:t xml:space="preserve">que se dedican a la investigación y </w:t>
      </w:r>
      <w:r w:rsidR="00940CE6">
        <w:rPr>
          <w:rFonts w:ascii="Arial" w:hAnsi="Arial" w:cs="Arial"/>
          <w:sz w:val="24"/>
          <w:szCs w:val="24"/>
        </w:rPr>
        <w:t>a</w:t>
      </w:r>
      <w:r w:rsidR="00940CE6" w:rsidRPr="00E00DCF">
        <w:rPr>
          <w:rFonts w:ascii="Arial" w:hAnsi="Arial" w:cs="Arial"/>
          <w:sz w:val="24"/>
          <w:szCs w:val="24"/>
        </w:rPr>
        <w:t>l desarrollo de tecnologías, productos y servicios innovadores</w:t>
      </w:r>
      <w:r w:rsidR="00940CE6">
        <w:rPr>
          <w:rFonts w:ascii="Arial" w:hAnsi="Arial" w:cs="Arial"/>
          <w:sz w:val="24"/>
          <w:szCs w:val="24"/>
        </w:rPr>
        <w:t xml:space="preserve"> suelen ser las </w:t>
      </w:r>
      <w:r w:rsidRPr="00E00DCF">
        <w:rPr>
          <w:rFonts w:ascii="Arial" w:hAnsi="Arial" w:cs="Arial"/>
          <w:sz w:val="24"/>
          <w:szCs w:val="24"/>
        </w:rPr>
        <w:t>principales productor</w:t>
      </w:r>
      <w:r w:rsidR="00940CE6">
        <w:rPr>
          <w:rFonts w:ascii="Arial" w:hAnsi="Arial" w:cs="Arial"/>
          <w:sz w:val="24"/>
          <w:szCs w:val="24"/>
        </w:rPr>
        <w:t>a</w:t>
      </w:r>
      <w:r w:rsidRPr="00E00DCF">
        <w:rPr>
          <w:rFonts w:ascii="Arial" w:hAnsi="Arial" w:cs="Arial"/>
          <w:sz w:val="24"/>
          <w:szCs w:val="24"/>
        </w:rPr>
        <w:t>s de propiedad intelectual</w:t>
      </w:r>
      <w:r w:rsidR="00940CE6">
        <w:rPr>
          <w:rFonts w:ascii="Arial" w:hAnsi="Arial" w:cs="Arial"/>
          <w:sz w:val="24"/>
          <w:szCs w:val="24"/>
        </w:rPr>
        <w:t xml:space="preserve">, así como </w:t>
      </w:r>
      <w:r w:rsidRPr="00E00DCF">
        <w:rPr>
          <w:rFonts w:ascii="Arial" w:hAnsi="Arial" w:cs="Arial"/>
          <w:sz w:val="24"/>
          <w:szCs w:val="24"/>
        </w:rPr>
        <w:t xml:space="preserve">artistas, </w:t>
      </w:r>
      <w:r w:rsidR="003041CA">
        <w:rPr>
          <w:rFonts w:ascii="Arial" w:hAnsi="Arial" w:cs="Arial"/>
          <w:sz w:val="24"/>
          <w:szCs w:val="24"/>
        </w:rPr>
        <w:t xml:space="preserve">escritoras, </w:t>
      </w:r>
      <w:r w:rsidRPr="00E00DCF">
        <w:rPr>
          <w:rFonts w:ascii="Arial" w:hAnsi="Arial" w:cs="Arial"/>
          <w:sz w:val="24"/>
          <w:szCs w:val="24"/>
        </w:rPr>
        <w:t xml:space="preserve">escritores y </w:t>
      </w:r>
      <w:r w:rsidR="003041CA">
        <w:rPr>
          <w:rFonts w:ascii="Arial" w:hAnsi="Arial" w:cs="Arial"/>
          <w:sz w:val="24"/>
          <w:szCs w:val="24"/>
        </w:rPr>
        <w:t xml:space="preserve">demás personas que crean </w:t>
      </w:r>
      <w:r w:rsidRPr="00E00DCF">
        <w:rPr>
          <w:rFonts w:ascii="Arial" w:hAnsi="Arial" w:cs="Arial"/>
          <w:sz w:val="24"/>
          <w:szCs w:val="24"/>
        </w:rPr>
        <w:t>obras intelectuales</w:t>
      </w:r>
      <w:r>
        <w:rPr>
          <w:rFonts w:ascii="Arial" w:hAnsi="Arial" w:cs="Arial"/>
          <w:sz w:val="24"/>
          <w:szCs w:val="24"/>
        </w:rPr>
        <w:t>.</w:t>
      </w:r>
      <w:r w:rsidR="0048063B">
        <w:rPr>
          <w:rFonts w:ascii="Arial" w:hAnsi="Arial" w:cs="Arial"/>
          <w:sz w:val="24"/>
          <w:szCs w:val="24"/>
        </w:rPr>
        <w:t xml:space="preserve"> </w:t>
      </w:r>
      <w:r w:rsidR="0048063B" w:rsidRPr="0048063B">
        <w:rPr>
          <w:rFonts w:ascii="Arial" w:hAnsi="Arial" w:cs="Arial"/>
          <w:sz w:val="24"/>
          <w:szCs w:val="24"/>
        </w:rPr>
        <w:t xml:space="preserve">Por otro lado, </w:t>
      </w:r>
      <w:r w:rsidR="00367850">
        <w:rPr>
          <w:rFonts w:ascii="Arial" w:hAnsi="Arial" w:cs="Arial"/>
          <w:sz w:val="24"/>
          <w:szCs w:val="24"/>
        </w:rPr>
        <w:t xml:space="preserve">quienes compran </w:t>
      </w:r>
      <w:r w:rsidR="0048063B" w:rsidRPr="0048063B">
        <w:rPr>
          <w:rFonts w:ascii="Arial" w:hAnsi="Arial" w:cs="Arial"/>
          <w:sz w:val="24"/>
          <w:szCs w:val="24"/>
        </w:rPr>
        <w:t xml:space="preserve">propiedad intelectual suelen ser </w:t>
      </w:r>
      <w:r w:rsidR="00367850">
        <w:rPr>
          <w:rFonts w:ascii="Arial" w:hAnsi="Arial" w:cs="Arial"/>
          <w:sz w:val="24"/>
          <w:szCs w:val="24"/>
        </w:rPr>
        <w:t xml:space="preserve">también </w:t>
      </w:r>
      <w:r w:rsidR="0048063B" w:rsidRPr="0048063B">
        <w:rPr>
          <w:rFonts w:ascii="Arial" w:hAnsi="Arial" w:cs="Arial"/>
          <w:sz w:val="24"/>
          <w:szCs w:val="24"/>
        </w:rPr>
        <w:t>empresas que buscan innovar y mejorar sus productos y servicios, así como aquellas que buscan proteger su marca y reputación.</w:t>
      </w:r>
      <w:r w:rsidR="0048063B">
        <w:rPr>
          <w:rFonts w:ascii="Arial" w:hAnsi="Arial" w:cs="Arial"/>
          <w:sz w:val="24"/>
          <w:szCs w:val="24"/>
        </w:rPr>
        <w:t xml:space="preserve"> </w:t>
      </w:r>
    </w:p>
    <w:p w14:paraId="28ACAB4A" w14:textId="77777777" w:rsidR="00FF28A6" w:rsidRDefault="00FF28A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22951938" w14:textId="53BB6419" w:rsidR="00C40118" w:rsidRDefault="0048063B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2021, l</w:t>
      </w:r>
      <w:r w:rsidR="00645E2F" w:rsidRPr="00645E2F">
        <w:rPr>
          <w:rFonts w:ascii="Arial" w:hAnsi="Arial" w:cs="Arial"/>
          <w:sz w:val="24"/>
          <w:szCs w:val="24"/>
        </w:rPr>
        <w:t xml:space="preserve">as sociedades </w:t>
      </w:r>
      <w:r w:rsidR="001E4EDF" w:rsidRPr="00645E2F">
        <w:rPr>
          <w:rFonts w:ascii="Arial" w:hAnsi="Arial" w:cs="Arial"/>
          <w:sz w:val="24"/>
          <w:szCs w:val="24"/>
        </w:rPr>
        <w:t xml:space="preserve">privadas </w:t>
      </w:r>
      <w:r w:rsidR="00645E2F" w:rsidRPr="00645E2F">
        <w:rPr>
          <w:rFonts w:ascii="Arial" w:hAnsi="Arial" w:cs="Arial"/>
          <w:sz w:val="24"/>
          <w:szCs w:val="24"/>
        </w:rPr>
        <w:t xml:space="preserve">no financieras </w:t>
      </w:r>
      <w:r w:rsidR="00FF28A6">
        <w:rPr>
          <w:rFonts w:ascii="Arial" w:hAnsi="Arial" w:cs="Arial"/>
          <w:sz w:val="24"/>
          <w:szCs w:val="24"/>
        </w:rPr>
        <w:t>pose</w:t>
      </w:r>
      <w:r w:rsidR="00516AA0">
        <w:rPr>
          <w:rFonts w:ascii="Arial" w:hAnsi="Arial" w:cs="Arial"/>
          <w:sz w:val="24"/>
          <w:szCs w:val="24"/>
        </w:rPr>
        <w:t>ían</w:t>
      </w:r>
      <w:r w:rsidR="00645E2F" w:rsidRPr="00645E2F">
        <w:rPr>
          <w:rFonts w:ascii="Arial" w:hAnsi="Arial" w:cs="Arial"/>
          <w:sz w:val="24"/>
          <w:szCs w:val="24"/>
        </w:rPr>
        <w:t xml:space="preserve"> 52.1</w:t>
      </w:r>
      <w:r w:rsidR="00645E2F">
        <w:rPr>
          <w:rFonts w:ascii="Arial" w:hAnsi="Arial" w:cs="Arial"/>
          <w:sz w:val="24"/>
          <w:szCs w:val="24"/>
        </w:rPr>
        <w:t xml:space="preserve"> </w:t>
      </w:r>
      <w:r w:rsidR="00645E2F" w:rsidRPr="00645E2F">
        <w:rPr>
          <w:rFonts w:ascii="Arial" w:hAnsi="Arial" w:cs="Arial"/>
          <w:sz w:val="24"/>
          <w:szCs w:val="24"/>
        </w:rPr>
        <w:t xml:space="preserve">% del valor total </w:t>
      </w:r>
      <w:r w:rsidR="00423118">
        <w:rPr>
          <w:rFonts w:ascii="Arial" w:hAnsi="Arial" w:cs="Arial"/>
          <w:sz w:val="24"/>
          <w:szCs w:val="24"/>
        </w:rPr>
        <w:t xml:space="preserve">de la </w:t>
      </w:r>
      <w:r w:rsidR="00064705">
        <w:rPr>
          <w:rFonts w:ascii="Arial" w:hAnsi="Arial" w:cs="Arial"/>
          <w:sz w:val="24"/>
          <w:szCs w:val="24"/>
        </w:rPr>
        <w:t xml:space="preserve">inversión acumulada </w:t>
      </w:r>
      <w:r>
        <w:rPr>
          <w:rFonts w:ascii="Arial" w:hAnsi="Arial" w:cs="Arial"/>
          <w:sz w:val="24"/>
          <w:szCs w:val="24"/>
        </w:rPr>
        <w:t>en productos de la propiedad intelectual</w:t>
      </w:r>
      <w:r w:rsidR="00881C5C">
        <w:rPr>
          <w:rFonts w:ascii="Arial" w:hAnsi="Arial" w:cs="Arial"/>
          <w:sz w:val="24"/>
          <w:szCs w:val="24"/>
        </w:rPr>
        <w:t xml:space="preserve"> (PPI)</w:t>
      </w:r>
      <w:r w:rsidR="00516AA0">
        <w:rPr>
          <w:rFonts w:ascii="Arial" w:hAnsi="Arial" w:cs="Arial"/>
          <w:sz w:val="24"/>
          <w:szCs w:val="24"/>
        </w:rPr>
        <w:t xml:space="preserve">, mientras que las públicas obtuvieron 26.4 </w:t>
      </w:r>
      <w:r w:rsidR="00FF28A6">
        <w:rPr>
          <w:rFonts w:ascii="Arial" w:hAnsi="Arial" w:cs="Arial"/>
          <w:sz w:val="24"/>
          <w:szCs w:val="24"/>
        </w:rPr>
        <w:t>por ciento. D</w:t>
      </w:r>
      <w:r w:rsidR="00516AA0">
        <w:rPr>
          <w:rFonts w:ascii="Arial" w:hAnsi="Arial" w:cs="Arial"/>
          <w:sz w:val="24"/>
          <w:szCs w:val="24"/>
        </w:rPr>
        <w:t xml:space="preserve">e esta forma, </w:t>
      </w:r>
      <w:r w:rsidR="00516AA0" w:rsidRPr="008C0A0C">
        <w:rPr>
          <w:rFonts w:ascii="Arial" w:hAnsi="Arial" w:cs="Arial"/>
          <w:sz w:val="24"/>
          <w:szCs w:val="24"/>
        </w:rPr>
        <w:t xml:space="preserve">las </w:t>
      </w:r>
      <w:r w:rsidR="00516AA0">
        <w:rPr>
          <w:rFonts w:ascii="Arial" w:hAnsi="Arial" w:cs="Arial"/>
          <w:sz w:val="24"/>
          <w:szCs w:val="24"/>
        </w:rPr>
        <w:t>empresas no financieras</w:t>
      </w:r>
      <w:r w:rsidR="00516AA0" w:rsidRPr="008C0A0C">
        <w:rPr>
          <w:rFonts w:ascii="Arial" w:hAnsi="Arial" w:cs="Arial"/>
          <w:sz w:val="24"/>
          <w:szCs w:val="24"/>
        </w:rPr>
        <w:t xml:space="preserve"> poseían </w:t>
      </w:r>
      <w:r w:rsidR="00516AA0">
        <w:rPr>
          <w:rFonts w:ascii="Arial" w:hAnsi="Arial" w:cs="Arial"/>
          <w:sz w:val="24"/>
          <w:szCs w:val="24"/>
        </w:rPr>
        <w:t>más de tres cuartas partes</w:t>
      </w:r>
      <w:r w:rsidR="00516AA0" w:rsidRPr="008C0A0C">
        <w:rPr>
          <w:rFonts w:ascii="Arial" w:hAnsi="Arial" w:cs="Arial"/>
          <w:sz w:val="24"/>
          <w:szCs w:val="24"/>
        </w:rPr>
        <w:t xml:space="preserve"> del valor total </w:t>
      </w:r>
      <w:r w:rsidR="00516AA0">
        <w:rPr>
          <w:rFonts w:ascii="Arial" w:hAnsi="Arial" w:cs="Arial"/>
          <w:sz w:val="24"/>
          <w:szCs w:val="24"/>
        </w:rPr>
        <w:t>de inversión acumulada</w:t>
      </w:r>
      <w:r w:rsidR="00516AA0" w:rsidRPr="008C0A0C">
        <w:rPr>
          <w:rFonts w:ascii="Arial" w:hAnsi="Arial" w:cs="Arial"/>
          <w:sz w:val="24"/>
          <w:szCs w:val="24"/>
        </w:rPr>
        <w:t xml:space="preserve"> en </w:t>
      </w:r>
      <w:r w:rsidR="00881C5C">
        <w:rPr>
          <w:rFonts w:ascii="Arial" w:hAnsi="Arial" w:cs="Arial"/>
          <w:sz w:val="24"/>
          <w:szCs w:val="24"/>
        </w:rPr>
        <w:t>PPI</w:t>
      </w:r>
      <w:r w:rsidR="00645E2F" w:rsidRPr="00645E2F">
        <w:rPr>
          <w:rFonts w:ascii="Arial" w:hAnsi="Arial" w:cs="Arial"/>
          <w:sz w:val="24"/>
          <w:szCs w:val="24"/>
        </w:rPr>
        <w:t>.</w:t>
      </w:r>
    </w:p>
    <w:p w14:paraId="219BE355" w14:textId="389C2D31" w:rsidR="00645E2F" w:rsidRDefault="00645E2F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5A7E94D4" w14:textId="04272D27" w:rsidR="00881C5C" w:rsidRPr="006713D3" w:rsidRDefault="00881C5C" w:rsidP="006713D3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6713D3">
        <w:rPr>
          <w:rFonts w:ascii="Arial" w:hAnsi="Arial" w:cs="Arial"/>
          <w:sz w:val="20"/>
          <w:szCs w:val="20"/>
        </w:rPr>
        <w:t>Gráfica 1</w:t>
      </w:r>
    </w:p>
    <w:p w14:paraId="5B0844E3" w14:textId="77777777" w:rsidR="00881C5C" w:rsidRDefault="00881C5C" w:rsidP="00881C5C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smallCaps/>
          <w:szCs w:val="24"/>
        </w:rPr>
      </w:pPr>
      <w:r w:rsidRPr="006713D3">
        <w:rPr>
          <w:rFonts w:ascii="Arial Negrita" w:hAnsi="Arial Negrita" w:cs="Arial"/>
          <w:b/>
          <w:smallCaps/>
          <w:szCs w:val="24"/>
        </w:rPr>
        <w:t xml:space="preserve">Inversión acumulada (acervos) de los productos de la propiedad intelectual </w:t>
      </w:r>
    </w:p>
    <w:p w14:paraId="6DFBE9F6" w14:textId="5DC49EAD" w:rsidR="00881C5C" w:rsidRPr="006713D3" w:rsidRDefault="00881C5C" w:rsidP="00881C5C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smallCaps/>
          <w:szCs w:val="24"/>
        </w:rPr>
      </w:pPr>
      <w:r w:rsidRPr="006713D3">
        <w:rPr>
          <w:rFonts w:ascii="Arial Negrita" w:hAnsi="Arial Negrita" w:cs="Arial"/>
          <w:b/>
          <w:smallCaps/>
          <w:szCs w:val="24"/>
        </w:rPr>
        <w:t>según sector institucional, 2021</w:t>
      </w:r>
    </w:p>
    <w:p w14:paraId="2412E7E6" w14:textId="3CD09F6D" w:rsidR="00881C5C" w:rsidRPr="006713D3" w:rsidRDefault="00881C5C" w:rsidP="006713D3">
      <w:pPr>
        <w:spacing w:after="0" w:line="240" w:lineRule="auto"/>
        <w:ind w:left="-567" w:right="-516"/>
        <w:jc w:val="center"/>
        <w:rPr>
          <w:rFonts w:ascii="Arial" w:hAnsi="Arial" w:cs="Arial"/>
          <w:sz w:val="18"/>
          <w:szCs w:val="18"/>
        </w:rPr>
      </w:pPr>
      <w:r w:rsidRPr="006713D3">
        <w:rPr>
          <w:rFonts w:ascii="Arial" w:hAnsi="Arial" w:cs="Arial"/>
          <w:sz w:val="18"/>
          <w:szCs w:val="18"/>
        </w:rPr>
        <w:t>(Distribución porcentual)</w:t>
      </w:r>
    </w:p>
    <w:p w14:paraId="790F548E" w14:textId="153D92A2" w:rsidR="00C40118" w:rsidRPr="001B13E7" w:rsidRDefault="00D35EA0" w:rsidP="00D35EA0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C2BB38E" wp14:editId="19BAF198">
            <wp:extent cx="4486275" cy="25146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BCC1D85-06AB-2293-A616-69A4FBA515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1"/>
    <w:p w14:paraId="16F0D93C" w14:textId="1B8CEDB5" w:rsidR="00C40118" w:rsidRDefault="00881C5C" w:rsidP="006713D3">
      <w:pPr>
        <w:spacing w:after="0" w:line="276" w:lineRule="auto"/>
        <w:ind w:left="-567" w:right="-518" w:firstLine="851"/>
        <w:jc w:val="both"/>
        <w:rPr>
          <w:rFonts w:ascii="Arial" w:hAnsi="Arial" w:cs="Arial"/>
          <w:sz w:val="16"/>
          <w:szCs w:val="16"/>
        </w:rPr>
      </w:pPr>
      <w:r w:rsidRPr="006713D3">
        <w:rPr>
          <w:rFonts w:ascii="Arial" w:hAnsi="Arial" w:cs="Arial"/>
          <w:sz w:val="16"/>
          <w:szCs w:val="16"/>
        </w:rPr>
        <w:t>Fuente: INEGI. Cuentas por Sectores Institucionales 2021</w:t>
      </w:r>
      <w:r w:rsidR="002D3415">
        <w:rPr>
          <w:rFonts w:ascii="Arial" w:hAnsi="Arial" w:cs="Arial"/>
          <w:sz w:val="16"/>
          <w:szCs w:val="16"/>
        </w:rPr>
        <w:t>,</w:t>
      </w:r>
      <w:r w:rsidRPr="006713D3">
        <w:rPr>
          <w:rFonts w:ascii="Arial" w:hAnsi="Arial" w:cs="Arial"/>
          <w:sz w:val="16"/>
          <w:szCs w:val="16"/>
        </w:rPr>
        <w:t xml:space="preserve"> preliminar</w:t>
      </w:r>
    </w:p>
    <w:p w14:paraId="2C6E5A53" w14:textId="7AB8F3A0" w:rsidR="00C50604" w:rsidRPr="006713D3" w:rsidRDefault="00C50604" w:rsidP="006713D3">
      <w:pPr>
        <w:spacing w:after="0" w:line="276" w:lineRule="auto"/>
        <w:ind w:left="-567" w:right="-518" w:firstLine="85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La suma de los porcentajes puede no coincidir con 100 %</w:t>
      </w:r>
      <w:r w:rsidR="004E3BB3">
        <w:rPr>
          <w:rFonts w:ascii="Arial" w:hAnsi="Arial" w:cs="Arial"/>
          <w:sz w:val="16"/>
          <w:szCs w:val="16"/>
        </w:rPr>
        <w:t xml:space="preserve"> debido al redondeo.</w:t>
      </w:r>
    </w:p>
    <w:p w14:paraId="00F9D792" w14:textId="77777777" w:rsidR="0025545A" w:rsidRPr="006713D3" w:rsidRDefault="0025545A" w:rsidP="006713D3">
      <w:pPr>
        <w:spacing w:after="0" w:line="240" w:lineRule="auto"/>
        <w:ind w:left="-567" w:right="-516" w:firstLine="851"/>
        <w:jc w:val="both"/>
        <w:rPr>
          <w:rFonts w:ascii="Arial" w:hAnsi="Arial" w:cs="Arial"/>
          <w:b/>
          <w:bCs/>
          <w:sz w:val="16"/>
          <w:szCs w:val="16"/>
        </w:rPr>
      </w:pPr>
    </w:p>
    <w:p w14:paraId="0C1C6A81" w14:textId="79B03CE3" w:rsidR="007323A2" w:rsidRDefault="0072175D" w:rsidP="007323A2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72175D">
        <w:rPr>
          <w:rFonts w:ascii="Arial" w:hAnsi="Arial" w:cs="Arial"/>
          <w:sz w:val="24"/>
          <w:szCs w:val="24"/>
        </w:rPr>
        <w:t xml:space="preserve">En México, la inversión en propiedad intelectual </w:t>
      </w:r>
      <w:r w:rsidR="00192BB2">
        <w:rPr>
          <w:rFonts w:ascii="Arial" w:hAnsi="Arial" w:cs="Arial"/>
          <w:sz w:val="24"/>
          <w:szCs w:val="24"/>
        </w:rPr>
        <w:t xml:space="preserve">ha tenido </w:t>
      </w:r>
      <w:r w:rsidRPr="0072175D">
        <w:rPr>
          <w:rFonts w:ascii="Arial" w:hAnsi="Arial" w:cs="Arial"/>
          <w:sz w:val="24"/>
          <w:szCs w:val="24"/>
        </w:rPr>
        <w:t>una tendencia al alza en los últimos años</w:t>
      </w:r>
      <w:r w:rsidR="005F4700">
        <w:rPr>
          <w:rFonts w:ascii="Arial" w:hAnsi="Arial" w:cs="Arial"/>
          <w:sz w:val="24"/>
          <w:szCs w:val="24"/>
        </w:rPr>
        <w:t>: e</w:t>
      </w:r>
      <w:r w:rsidR="004504AE">
        <w:rPr>
          <w:rFonts w:ascii="Arial" w:hAnsi="Arial" w:cs="Arial"/>
          <w:sz w:val="24"/>
          <w:szCs w:val="24"/>
        </w:rPr>
        <w:t xml:space="preserve">l </w:t>
      </w:r>
      <w:r w:rsidRPr="0072175D">
        <w:rPr>
          <w:rFonts w:ascii="Arial" w:hAnsi="Arial" w:cs="Arial"/>
          <w:sz w:val="24"/>
          <w:szCs w:val="24"/>
        </w:rPr>
        <w:t>valor de</w:t>
      </w:r>
      <w:r w:rsidR="00423118">
        <w:rPr>
          <w:rFonts w:ascii="Arial" w:hAnsi="Arial" w:cs="Arial"/>
          <w:sz w:val="24"/>
          <w:szCs w:val="24"/>
        </w:rPr>
        <w:t xml:space="preserve"> la inversión acumulada </w:t>
      </w:r>
      <w:r w:rsidR="00516AA0">
        <w:rPr>
          <w:rFonts w:ascii="Arial" w:hAnsi="Arial" w:cs="Arial"/>
          <w:sz w:val="24"/>
          <w:szCs w:val="24"/>
        </w:rPr>
        <w:t xml:space="preserve">(acervos) </w:t>
      </w:r>
      <w:r w:rsidRPr="0072175D">
        <w:rPr>
          <w:rFonts w:ascii="Arial" w:hAnsi="Arial" w:cs="Arial"/>
          <w:sz w:val="24"/>
          <w:szCs w:val="24"/>
        </w:rPr>
        <w:t xml:space="preserve">de los PPI </w:t>
      </w:r>
      <w:r w:rsidR="004E1F06">
        <w:rPr>
          <w:rFonts w:ascii="Arial" w:hAnsi="Arial" w:cs="Arial"/>
          <w:sz w:val="24"/>
          <w:szCs w:val="24"/>
        </w:rPr>
        <w:t xml:space="preserve">pasó </w:t>
      </w:r>
      <w:r w:rsidRPr="0072175D">
        <w:rPr>
          <w:rFonts w:ascii="Arial" w:hAnsi="Arial" w:cs="Arial"/>
          <w:sz w:val="24"/>
          <w:szCs w:val="24"/>
        </w:rPr>
        <w:t>de representar 1.6</w:t>
      </w:r>
      <w:r w:rsidR="004E1F06">
        <w:rPr>
          <w:rFonts w:ascii="Arial" w:hAnsi="Arial" w:cs="Arial"/>
          <w:sz w:val="24"/>
          <w:szCs w:val="24"/>
        </w:rPr>
        <w:t xml:space="preserve"> </w:t>
      </w:r>
      <w:r w:rsidRPr="0072175D">
        <w:rPr>
          <w:rFonts w:ascii="Arial" w:hAnsi="Arial" w:cs="Arial"/>
          <w:sz w:val="24"/>
          <w:szCs w:val="24"/>
        </w:rPr>
        <w:t>% del Producto Interno Bruto (PIB)</w:t>
      </w:r>
      <w:r w:rsidR="00FB40BB">
        <w:rPr>
          <w:rFonts w:ascii="Arial" w:hAnsi="Arial" w:cs="Arial"/>
          <w:sz w:val="24"/>
          <w:szCs w:val="24"/>
        </w:rPr>
        <w:t>,</w:t>
      </w:r>
      <w:r w:rsidRPr="0072175D">
        <w:rPr>
          <w:rFonts w:ascii="Arial" w:hAnsi="Arial" w:cs="Arial"/>
          <w:sz w:val="24"/>
          <w:szCs w:val="24"/>
        </w:rPr>
        <w:t xml:space="preserve"> en 2008</w:t>
      </w:r>
      <w:r w:rsidR="00FB40BB">
        <w:rPr>
          <w:rFonts w:ascii="Arial" w:hAnsi="Arial" w:cs="Arial"/>
          <w:sz w:val="24"/>
          <w:szCs w:val="24"/>
        </w:rPr>
        <w:t>,</w:t>
      </w:r>
      <w:r w:rsidRPr="0072175D">
        <w:rPr>
          <w:rFonts w:ascii="Arial" w:hAnsi="Arial" w:cs="Arial"/>
          <w:sz w:val="24"/>
          <w:szCs w:val="24"/>
        </w:rPr>
        <w:t xml:space="preserve"> a 3.8</w:t>
      </w:r>
      <w:r w:rsidR="004E1F06">
        <w:rPr>
          <w:rFonts w:ascii="Arial" w:hAnsi="Arial" w:cs="Arial"/>
          <w:sz w:val="24"/>
          <w:szCs w:val="24"/>
        </w:rPr>
        <w:t xml:space="preserve"> </w:t>
      </w:r>
      <w:r w:rsidRPr="0072175D">
        <w:rPr>
          <w:rFonts w:ascii="Arial" w:hAnsi="Arial" w:cs="Arial"/>
          <w:sz w:val="24"/>
          <w:szCs w:val="24"/>
        </w:rPr>
        <w:t>% del PIB</w:t>
      </w:r>
      <w:r w:rsidR="007323A2">
        <w:rPr>
          <w:rFonts w:ascii="Arial" w:hAnsi="Arial" w:cs="Arial"/>
          <w:sz w:val="24"/>
          <w:szCs w:val="24"/>
        </w:rPr>
        <w:t>,</w:t>
      </w:r>
      <w:r w:rsidRPr="0072175D">
        <w:rPr>
          <w:rFonts w:ascii="Arial" w:hAnsi="Arial" w:cs="Arial"/>
          <w:sz w:val="24"/>
          <w:szCs w:val="24"/>
        </w:rPr>
        <w:t xml:space="preserve"> en 2021.</w:t>
      </w:r>
      <w:r w:rsidR="007323A2" w:rsidRPr="007323A2">
        <w:rPr>
          <w:rFonts w:ascii="Arial" w:hAnsi="Arial" w:cs="Arial"/>
          <w:sz w:val="24"/>
          <w:szCs w:val="24"/>
        </w:rPr>
        <w:t xml:space="preserve"> </w:t>
      </w:r>
      <w:r w:rsidR="007323A2" w:rsidRPr="00E30DBD">
        <w:rPr>
          <w:rFonts w:ascii="Arial" w:hAnsi="Arial" w:cs="Arial"/>
          <w:sz w:val="24"/>
          <w:szCs w:val="24"/>
        </w:rPr>
        <w:t>Además, en</w:t>
      </w:r>
      <w:r w:rsidR="007323A2">
        <w:rPr>
          <w:rFonts w:ascii="Arial" w:hAnsi="Arial" w:cs="Arial"/>
          <w:sz w:val="24"/>
          <w:szCs w:val="24"/>
        </w:rPr>
        <w:t xml:space="preserve"> ese mismo año, </w:t>
      </w:r>
      <w:r w:rsidR="007323A2" w:rsidRPr="00E30DBD">
        <w:rPr>
          <w:rFonts w:ascii="Arial" w:hAnsi="Arial" w:cs="Arial"/>
          <w:sz w:val="24"/>
          <w:szCs w:val="24"/>
        </w:rPr>
        <w:t xml:space="preserve">el valor </w:t>
      </w:r>
      <w:r w:rsidR="007323A2">
        <w:rPr>
          <w:rFonts w:ascii="Arial" w:hAnsi="Arial" w:cs="Arial"/>
          <w:sz w:val="24"/>
          <w:szCs w:val="24"/>
        </w:rPr>
        <w:t>de dicha inversión acumulada</w:t>
      </w:r>
      <w:r w:rsidR="007323A2" w:rsidRPr="00E30DBD">
        <w:rPr>
          <w:rFonts w:ascii="Arial" w:hAnsi="Arial" w:cs="Arial"/>
          <w:sz w:val="24"/>
          <w:szCs w:val="24"/>
        </w:rPr>
        <w:t xml:space="preserve"> de los PPI incrementó 7.3</w:t>
      </w:r>
      <w:r w:rsidR="007323A2">
        <w:rPr>
          <w:rFonts w:ascii="Arial" w:hAnsi="Arial" w:cs="Arial"/>
          <w:sz w:val="24"/>
          <w:szCs w:val="24"/>
        </w:rPr>
        <w:t xml:space="preserve"> </w:t>
      </w:r>
      <w:r w:rsidR="007323A2" w:rsidRPr="00E30DBD">
        <w:rPr>
          <w:rFonts w:ascii="Arial" w:hAnsi="Arial" w:cs="Arial"/>
          <w:sz w:val="24"/>
          <w:szCs w:val="24"/>
        </w:rPr>
        <w:t>%</w:t>
      </w:r>
      <w:r w:rsidR="007323A2">
        <w:rPr>
          <w:rFonts w:ascii="Arial" w:hAnsi="Arial" w:cs="Arial"/>
          <w:sz w:val="24"/>
          <w:szCs w:val="24"/>
        </w:rPr>
        <w:t xml:space="preserve"> con base en </w:t>
      </w:r>
      <w:r w:rsidR="007323A2" w:rsidRPr="00E30DBD">
        <w:rPr>
          <w:rFonts w:ascii="Arial" w:hAnsi="Arial" w:cs="Arial"/>
          <w:sz w:val="24"/>
          <w:szCs w:val="24"/>
        </w:rPr>
        <w:t>el año anterior</w:t>
      </w:r>
      <w:r w:rsidR="007323A2">
        <w:rPr>
          <w:rFonts w:ascii="Arial" w:hAnsi="Arial" w:cs="Arial"/>
          <w:sz w:val="24"/>
          <w:szCs w:val="24"/>
        </w:rPr>
        <w:t>. Destacó la contribución de las sociedades no financieras, tanto privadas como públicas, con 2.8 y 2.6 %, respectivamente.</w:t>
      </w:r>
    </w:p>
    <w:p w14:paraId="20080753" w14:textId="392E955B" w:rsidR="004E1F06" w:rsidRDefault="004E1F06" w:rsidP="0027774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B026762" w14:textId="77777777" w:rsidR="004E1F06" w:rsidRDefault="004E1F06" w:rsidP="0027774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03855F7" w14:textId="77777777" w:rsidR="00277741" w:rsidRDefault="00277741" w:rsidP="0027774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36E9AB05" w14:textId="77777777" w:rsidR="0025545A" w:rsidRDefault="0025545A" w:rsidP="0027774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2E7DD960" w14:textId="77777777" w:rsidR="0025545A" w:rsidRDefault="0025545A" w:rsidP="0027774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4DC60480" w14:textId="5D940636" w:rsidR="0025545A" w:rsidRDefault="0025545A" w:rsidP="0027774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2BF3B55" w14:textId="4D53ED11" w:rsidR="006F62A5" w:rsidRDefault="006F62A5" w:rsidP="0027774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46DB4765" w14:textId="77777777" w:rsidR="002D3415" w:rsidRDefault="002D3415" w:rsidP="0027774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86B8129" w14:textId="77777777" w:rsidR="002D3415" w:rsidRDefault="002D3415" w:rsidP="0027774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499246E" w14:textId="77777777" w:rsidR="0025545A" w:rsidRDefault="0025545A" w:rsidP="0027774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39AF05EC" w14:textId="2FCC211E" w:rsidR="0025545A" w:rsidRPr="006713D3" w:rsidRDefault="006F62A5" w:rsidP="006713D3">
      <w:pPr>
        <w:spacing w:after="0" w:line="240" w:lineRule="auto"/>
        <w:ind w:left="-567" w:right="-5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6713D3">
        <w:rPr>
          <w:rFonts w:ascii="Arial" w:hAnsi="Arial" w:cs="Arial"/>
          <w:sz w:val="20"/>
          <w:szCs w:val="20"/>
        </w:rPr>
        <w:t xml:space="preserve">Gráfica 2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D33688">
        <w:rPr>
          <w:rFonts w:ascii="Arial" w:hAnsi="Arial" w:cs="Arial"/>
          <w:sz w:val="20"/>
          <w:szCs w:val="20"/>
        </w:rPr>
        <w:t xml:space="preserve">   </w:t>
      </w:r>
      <w:r w:rsidRPr="006713D3">
        <w:rPr>
          <w:rFonts w:ascii="Arial" w:hAnsi="Arial" w:cs="Arial"/>
          <w:sz w:val="20"/>
          <w:szCs w:val="20"/>
        </w:rPr>
        <w:t>Gráfica 3</w:t>
      </w:r>
    </w:p>
    <w:p w14:paraId="0C84E0C2" w14:textId="4F92D43E" w:rsidR="006F62A5" w:rsidRPr="006713D3" w:rsidRDefault="006F62A5" w:rsidP="006F62A5">
      <w:pPr>
        <w:spacing w:after="0" w:line="240" w:lineRule="auto"/>
        <w:ind w:right="-516"/>
        <w:rPr>
          <w:rFonts w:ascii="Arial Negrita" w:hAnsi="Arial Negrita" w:cs="Arial"/>
          <w:b/>
          <w:smallCaps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6713D3">
        <w:rPr>
          <w:rFonts w:ascii="Arial Negrita" w:hAnsi="Arial Negrita" w:cs="Arial"/>
          <w:b/>
          <w:smallCaps/>
          <w:szCs w:val="24"/>
        </w:rPr>
        <w:t>Inversión acumulada, 2021</w:t>
      </w:r>
      <w:r w:rsidRPr="006713D3">
        <w:rPr>
          <w:rFonts w:ascii="Arial Negrita" w:hAnsi="Arial Negrita" w:cs="Arial"/>
          <w:b/>
          <w:smallCaps/>
          <w:szCs w:val="24"/>
        </w:rPr>
        <w:tab/>
        <w:t xml:space="preserve">                        </w:t>
      </w:r>
      <w:r w:rsidR="00D33688">
        <w:rPr>
          <w:rFonts w:ascii="Arial Negrita" w:hAnsi="Arial Negrita" w:cs="Arial"/>
          <w:b/>
          <w:smallCaps/>
          <w:szCs w:val="24"/>
        </w:rPr>
        <w:t xml:space="preserve">         </w:t>
      </w:r>
      <w:r w:rsidRPr="006713D3">
        <w:rPr>
          <w:rFonts w:ascii="Arial Negrita" w:hAnsi="Arial Negrita" w:cs="Arial"/>
          <w:b/>
          <w:smallCaps/>
          <w:szCs w:val="24"/>
        </w:rPr>
        <w:t xml:space="preserve"> Inversión acumulada, 2021</w:t>
      </w:r>
    </w:p>
    <w:p w14:paraId="2013C679" w14:textId="1EE01F8E" w:rsidR="006F62A5" w:rsidRPr="006713D3" w:rsidRDefault="006F62A5" w:rsidP="006713D3">
      <w:pPr>
        <w:spacing w:after="0" w:line="240" w:lineRule="auto"/>
        <w:ind w:right="-516"/>
        <w:rPr>
          <w:rFonts w:ascii="Arial" w:hAnsi="Arial" w:cs="Arial"/>
          <w:sz w:val="18"/>
          <w:szCs w:val="18"/>
        </w:rPr>
      </w:pPr>
      <w:r w:rsidRPr="006713D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6713D3">
        <w:rPr>
          <w:rFonts w:ascii="Arial" w:hAnsi="Arial" w:cs="Arial"/>
          <w:sz w:val="18"/>
          <w:szCs w:val="18"/>
        </w:rPr>
        <w:t xml:space="preserve"> (Variación porcentual anual)</w:t>
      </w:r>
      <w:r w:rsidRPr="006713D3">
        <w:rPr>
          <w:rFonts w:ascii="Arial" w:hAnsi="Arial" w:cs="Arial"/>
          <w:sz w:val="18"/>
          <w:szCs w:val="18"/>
        </w:rPr>
        <w:tab/>
        <w:t xml:space="preserve">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6713D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Pr="006713D3">
        <w:rPr>
          <w:rFonts w:ascii="Arial" w:hAnsi="Arial" w:cs="Arial"/>
          <w:sz w:val="18"/>
          <w:szCs w:val="18"/>
        </w:rPr>
        <w:t>(Contribución porcentual)</w:t>
      </w:r>
    </w:p>
    <w:p w14:paraId="0148CBE6" w14:textId="681D88B5" w:rsidR="004B6751" w:rsidRDefault="004B6751" w:rsidP="006713D3">
      <w:pPr>
        <w:tabs>
          <w:tab w:val="center" w:pos="4536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  <w:r>
        <w:rPr>
          <w:noProof/>
        </w:rPr>
        <w:drawing>
          <wp:inline distT="0" distB="0" distL="0" distR="0" wp14:anchorId="02E0B2AB" wp14:editId="44EBE5E5">
            <wp:extent cx="3059430" cy="2787202"/>
            <wp:effectExtent l="0" t="0" r="7620" b="0"/>
            <wp:docPr id="39" name="Gráfico 39">
              <a:extLst xmlns:a="http://schemas.openxmlformats.org/drawingml/2006/main">
                <a:ext uri="{FF2B5EF4-FFF2-40B4-BE49-F238E27FC236}">
                  <a16:creationId xmlns:a16="http://schemas.microsoft.com/office/drawing/2014/main" id="{44B7CDB1-A84B-48FE-A750-DB5E04C8CA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C726F">
        <w:rPr>
          <w:noProof/>
        </w:rPr>
        <w:drawing>
          <wp:inline distT="0" distB="0" distL="0" distR="0" wp14:anchorId="7EFDB06A" wp14:editId="77421800">
            <wp:extent cx="3059430" cy="2810510"/>
            <wp:effectExtent l="0" t="0" r="0" b="8890"/>
            <wp:docPr id="40" name="Gráfico 40">
              <a:extLst xmlns:a="http://schemas.openxmlformats.org/drawingml/2006/main">
                <a:ext uri="{FF2B5EF4-FFF2-40B4-BE49-F238E27FC236}">
                  <a16:creationId xmlns:a16="http://schemas.microsoft.com/office/drawing/2014/main" id="{5EB599C5-C092-320A-50D2-B9570A4C78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DE1C14C" w14:textId="2C4FA519" w:rsidR="006F62A5" w:rsidRPr="006713D3" w:rsidRDefault="006F62A5" w:rsidP="002E2940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sz w:val="16"/>
          <w:szCs w:val="16"/>
        </w:rPr>
      </w:pPr>
      <w:r w:rsidRPr="006713D3">
        <w:rPr>
          <w:rFonts w:ascii="Arial" w:hAnsi="Arial" w:cs="Arial"/>
          <w:sz w:val="16"/>
          <w:szCs w:val="16"/>
        </w:rPr>
        <w:t>Fuente: INEGI. Cuentas por Sectores Institucionales 2021</w:t>
      </w:r>
      <w:r w:rsidR="004221E3">
        <w:rPr>
          <w:rFonts w:ascii="Arial" w:hAnsi="Arial" w:cs="Arial"/>
          <w:sz w:val="16"/>
          <w:szCs w:val="16"/>
        </w:rPr>
        <w:t>,</w:t>
      </w:r>
      <w:r w:rsidRPr="006713D3">
        <w:rPr>
          <w:rFonts w:ascii="Arial" w:hAnsi="Arial" w:cs="Arial"/>
          <w:sz w:val="16"/>
          <w:szCs w:val="16"/>
        </w:rPr>
        <w:t xml:space="preserve"> pre</w:t>
      </w:r>
      <w:r w:rsidR="002E2940">
        <w:rPr>
          <w:rFonts w:ascii="Arial" w:hAnsi="Arial" w:cs="Arial"/>
          <w:sz w:val="16"/>
          <w:szCs w:val="16"/>
        </w:rPr>
        <w:t>liminar</w:t>
      </w:r>
      <w:r w:rsidR="00ED6A72">
        <w:rPr>
          <w:rFonts w:ascii="Arial" w:hAnsi="Arial" w:cs="Arial"/>
          <w:sz w:val="16"/>
          <w:szCs w:val="16"/>
        </w:rPr>
        <w:t xml:space="preserve">        </w:t>
      </w:r>
    </w:p>
    <w:p w14:paraId="31E95773" w14:textId="3C0A9A1C" w:rsidR="004B6751" w:rsidRDefault="004B6751" w:rsidP="00C40118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DC6FADC" w14:textId="77777777" w:rsidR="00A033D3" w:rsidRDefault="00A033D3" w:rsidP="00C40118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7952FF3" w14:textId="6FC15EA0" w:rsidR="00F36F88" w:rsidRPr="00064705" w:rsidRDefault="00064705" w:rsidP="0006470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064705">
        <w:rPr>
          <w:rFonts w:ascii="Arial" w:hAnsi="Arial" w:cs="Arial"/>
          <w:sz w:val="24"/>
          <w:szCs w:val="24"/>
        </w:rPr>
        <w:t>En términos de inversión</w:t>
      </w:r>
      <w:r w:rsidR="00C12832">
        <w:rPr>
          <w:rFonts w:ascii="Arial" w:hAnsi="Arial" w:cs="Arial"/>
          <w:sz w:val="24"/>
          <w:szCs w:val="24"/>
        </w:rPr>
        <w:t xml:space="preserve"> anual</w:t>
      </w:r>
      <w:r w:rsidRPr="00064705">
        <w:rPr>
          <w:rFonts w:ascii="Arial" w:hAnsi="Arial" w:cs="Arial"/>
          <w:sz w:val="24"/>
          <w:szCs w:val="24"/>
        </w:rPr>
        <w:t xml:space="preserve">, en 2021 se registró un </w:t>
      </w:r>
      <w:r w:rsidR="00C12832">
        <w:rPr>
          <w:rFonts w:ascii="Arial" w:hAnsi="Arial" w:cs="Arial"/>
          <w:sz w:val="24"/>
          <w:szCs w:val="24"/>
        </w:rPr>
        <w:t>monto</w:t>
      </w:r>
      <w:r w:rsidRPr="00064705">
        <w:rPr>
          <w:rFonts w:ascii="Arial" w:hAnsi="Arial" w:cs="Arial"/>
          <w:sz w:val="24"/>
          <w:szCs w:val="24"/>
        </w:rPr>
        <w:t xml:space="preserve"> en PPI de</w:t>
      </w:r>
      <w:r w:rsidR="00A033D3">
        <w:rPr>
          <w:rFonts w:ascii="Arial" w:hAnsi="Arial" w:cs="Arial"/>
          <w:sz w:val="24"/>
          <w:szCs w:val="24"/>
        </w:rPr>
        <w:t xml:space="preserve"> </w:t>
      </w:r>
      <w:r w:rsidRPr="00064705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 </w:t>
      </w:r>
      <w:r w:rsidRPr="00064705">
        <w:rPr>
          <w:rFonts w:ascii="Arial" w:hAnsi="Arial" w:cs="Arial"/>
          <w:sz w:val="24"/>
          <w:szCs w:val="24"/>
        </w:rPr>
        <w:t>808 millones de pesos, lo que representó un incremento de</w:t>
      </w:r>
      <w:r w:rsidR="00A033D3">
        <w:rPr>
          <w:rFonts w:ascii="Arial" w:hAnsi="Arial" w:cs="Arial"/>
          <w:sz w:val="24"/>
          <w:szCs w:val="24"/>
        </w:rPr>
        <w:t xml:space="preserve"> </w:t>
      </w:r>
      <w:r w:rsidRPr="00064705">
        <w:rPr>
          <w:rFonts w:ascii="Arial" w:hAnsi="Arial" w:cs="Arial"/>
          <w:sz w:val="24"/>
          <w:szCs w:val="24"/>
        </w:rPr>
        <w:t>19.4</w:t>
      </w:r>
      <w:r>
        <w:rPr>
          <w:rFonts w:ascii="Arial" w:hAnsi="Arial" w:cs="Arial"/>
          <w:sz w:val="24"/>
          <w:szCs w:val="24"/>
        </w:rPr>
        <w:t xml:space="preserve"> </w:t>
      </w:r>
      <w:r w:rsidRPr="00064705">
        <w:rPr>
          <w:rFonts w:ascii="Arial" w:hAnsi="Arial" w:cs="Arial"/>
          <w:sz w:val="24"/>
          <w:szCs w:val="24"/>
        </w:rPr>
        <w:t>% respecto a</w:t>
      </w:r>
      <w:r w:rsidR="00A033D3">
        <w:rPr>
          <w:rFonts w:ascii="Arial" w:hAnsi="Arial" w:cs="Arial"/>
          <w:sz w:val="24"/>
          <w:szCs w:val="24"/>
        </w:rPr>
        <w:t xml:space="preserve"> 2020</w:t>
      </w:r>
      <w:r w:rsidRPr="00064705">
        <w:rPr>
          <w:rFonts w:ascii="Arial" w:hAnsi="Arial" w:cs="Arial"/>
          <w:sz w:val="24"/>
          <w:szCs w:val="24"/>
        </w:rPr>
        <w:t xml:space="preserve">. Este crecimiento </w:t>
      </w:r>
      <w:r w:rsidR="00224744">
        <w:rPr>
          <w:rFonts w:ascii="Arial" w:hAnsi="Arial" w:cs="Arial"/>
          <w:sz w:val="24"/>
          <w:szCs w:val="24"/>
        </w:rPr>
        <w:t>lo causó</w:t>
      </w:r>
      <w:r w:rsidR="00A033D3">
        <w:rPr>
          <w:rFonts w:ascii="Arial" w:hAnsi="Arial" w:cs="Arial"/>
          <w:sz w:val="24"/>
          <w:szCs w:val="24"/>
        </w:rPr>
        <w:t>,</w:t>
      </w:r>
      <w:r w:rsidRPr="00064705">
        <w:rPr>
          <w:rFonts w:ascii="Arial" w:hAnsi="Arial" w:cs="Arial"/>
          <w:sz w:val="24"/>
          <w:szCs w:val="24"/>
        </w:rPr>
        <w:t xml:space="preserve"> en gran </w:t>
      </w:r>
      <w:r w:rsidR="00F74C2B">
        <w:rPr>
          <w:rFonts w:ascii="Arial" w:hAnsi="Arial" w:cs="Arial"/>
          <w:sz w:val="24"/>
          <w:szCs w:val="24"/>
        </w:rPr>
        <w:t>medida</w:t>
      </w:r>
      <w:r w:rsidR="00A033D3">
        <w:rPr>
          <w:rFonts w:ascii="Arial" w:hAnsi="Arial" w:cs="Arial"/>
          <w:sz w:val="24"/>
          <w:szCs w:val="24"/>
        </w:rPr>
        <w:t>,</w:t>
      </w:r>
      <w:r w:rsidR="00224744">
        <w:rPr>
          <w:rFonts w:ascii="Arial" w:hAnsi="Arial" w:cs="Arial"/>
          <w:sz w:val="24"/>
          <w:szCs w:val="24"/>
        </w:rPr>
        <w:t xml:space="preserve"> </w:t>
      </w:r>
      <w:r w:rsidRPr="00064705">
        <w:rPr>
          <w:rFonts w:ascii="Arial" w:hAnsi="Arial" w:cs="Arial"/>
          <w:sz w:val="24"/>
          <w:szCs w:val="24"/>
        </w:rPr>
        <w:t xml:space="preserve">un </w:t>
      </w:r>
      <w:r w:rsidR="00AE5F6A">
        <w:rPr>
          <w:rFonts w:ascii="Arial" w:hAnsi="Arial" w:cs="Arial"/>
          <w:sz w:val="24"/>
          <w:szCs w:val="24"/>
        </w:rPr>
        <w:t>«</w:t>
      </w:r>
      <w:r w:rsidRPr="00064705">
        <w:rPr>
          <w:rFonts w:ascii="Arial" w:hAnsi="Arial" w:cs="Arial"/>
          <w:sz w:val="24"/>
          <w:szCs w:val="24"/>
        </w:rPr>
        <w:t>efecto rebote</w:t>
      </w:r>
      <w:r w:rsidR="00AE5F6A">
        <w:rPr>
          <w:rFonts w:ascii="Arial" w:hAnsi="Arial" w:cs="Arial"/>
          <w:sz w:val="24"/>
          <w:szCs w:val="24"/>
        </w:rPr>
        <w:t>»</w:t>
      </w:r>
      <w:r w:rsidRPr="00064705">
        <w:rPr>
          <w:rFonts w:ascii="Arial" w:hAnsi="Arial" w:cs="Arial"/>
          <w:sz w:val="24"/>
          <w:szCs w:val="24"/>
        </w:rPr>
        <w:t xml:space="preserve"> después de la caída de 0.3</w:t>
      </w:r>
      <w:r>
        <w:rPr>
          <w:rFonts w:ascii="Arial" w:hAnsi="Arial" w:cs="Arial"/>
          <w:sz w:val="24"/>
          <w:szCs w:val="24"/>
        </w:rPr>
        <w:t xml:space="preserve"> </w:t>
      </w:r>
      <w:r w:rsidRPr="00064705">
        <w:rPr>
          <w:rFonts w:ascii="Arial" w:hAnsi="Arial" w:cs="Arial"/>
          <w:sz w:val="24"/>
          <w:szCs w:val="24"/>
        </w:rPr>
        <w:t>% en 2020</w:t>
      </w:r>
      <w:r w:rsidR="002D3415">
        <w:rPr>
          <w:rFonts w:ascii="Arial" w:hAnsi="Arial" w:cs="Arial"/>
          <w:sz w:val="24"/>
          <w:szCs w:val="24"/>
        </w:rPr>
        <w:t>,</w:t>
      </w:r>
      <w:r w:rsidRPr="00064705">
        <w:rPr>
          <w:rFonts w:ascii="Arial" w:hAnsi="Arial" w:cs="Arial"/>
          <w:sz w:val="24"/>
          <w:szCs w:val="24"/>
        </w:rPr>
        <w:t xml:space="preserve"> debido a la pandemia </w:t>
      </w:r>
      <w:r w:rsidR="00A033D3">
        <w:rPr>
          <w:rFonts w:ascii="Arial" w:hAnsi="Arial" w:cs="Arial"/>
          <w:sz w:val="24"/>
          <w:szCs w:val="24"/>
        </w:rPr>
        <w:t>por la</w:t>
      </w:r>
      <w:r w:rsidRPr="00064705">
        <w:rPr>
          <w:rFonts w:ascii="Arial" w:hAnsi="Arial" w:cs="Arial"/>
          <w:sz w:val="24"/>
          <w:szCs w:val="24"/>
        </w:rPr>
        <w:t xml:space="preserve"> COVID-19.</w:t>
      </w:r>
    </w:p>
    <w:p w14:paraId="035FDD09" w14:textId="77777777" w:rsidR="00F36F88" w:rsidRPr="00064705" w:rsidRDefault="00F36F88" w:rsidP="0006470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44682B1" w14:textId="05D304CD" w:rsidR="00A033D3" w:rsidRPr="00BD4830" w:rsidRDefault="00A033D3" w:rsidP="006713D3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4</w:t>
      </w:r>
    </w:p>
    <w:p w14:paraId="5010B9FC" w14:textId="14EB3A01" w:rsidR="00A033D3" w:rsidRPr="00BD4830" w:rsidRDefault="00A033D3" w:rsidP="006713D3">
      <w:pPr>
        <w:spacing w:after="0" w:line="240" w:lineRule="auto"/>
        <w:ind w:right="-516"/>
        <w:jc w:val="center"/>
        <w:rPr>
          <w:rFonts w:ascii="Arial Negrita" w:hAnsi="Arial Negrita" w:cs="Arial"/>
          <w:b/>
          <w:smallCaps/>
          <w:szCs w:val="24"/>
        </w:rPr>
      </w:pPr>
      <w:r w:rsidRPr="00BD4830">
        <w:rPr>
          <w:rFonts w:ascii="Arial Negrita" w:hAnsi="Arial Negrita" w:cs="Arial"/>
          <w:b/>
          <w:smallCaps/>
          <w:szCs w:val="24"/>
        </w:rPr>
        <w:t xml:space="preserve">Inversión </w:t>
      </w:r>
      <w:r>
        <w:rPr>
          <w:rFonts w:ascii="Arial Negrita" w:hAnsi="Arial Negrita" w:cs="Arial"/>
          <w:b/>
          <w:smallCaps/>
          <w:szCs w:val="24"/>
        </w:rPr>
        <w:t>en productos de la propiedad intelectual</w:t>
      </w:r>
    </w:p>
    <w:p w14:paraId="6B234D7E" w14:textId="1C1D34EF" w:rsidR="00CC726F" w:rsidRDefault="00DA2963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13B5807" wp14:editId="4B204010">
            <wp:extent cx="6412020" cy="2336165"/>
            <wp:effectExtent l="0" t="0" r="8255" b="6985"/>
            <wp:docPr id="42" name="Gráfico 42">
              <a:extLst xmlns:a="http://schemas.openxmlformats.org/drawingml/2006/main">
                <a:ext uri="{FF2B5EF4-FFF2-40B4-BE49-F238E27FC236}">
                  <a16:creationId xmlns:a16="http://schemas.microsoft.com/office/drawing/2014/main" id="{F6B8547E-87DB-AF9E-80AC-8275EB26E1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4DE73D5" w14:textId="0DBAE1C2" w:rsidR="00C40118" w:rsidRDefault="00A033D3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BD4830">
        <w:rPr>
          <w:rFonts w:ascii="Arial" w:hAnsi="Arial" w:cs="Arial"/>
          <w:sz w:val="16"/>
          <w:szCs w:val="16"/>
        </w:rPr>
        <w:t>Fuente: INEGI. Cuentas por Sectores Institucionales, 2021 pre</w:t>
      </w:r>
      <w:r>
        <w:rPr>
          <w:rFonts w:ascii="Arial" w:hAnsi="Arial" w:cs="Arial"/>
          <w:sz w:val="16"/>
          <w:szCs w:val="16"/>
        </w:rPr>
        <w:t>liminar</w:t>
      </w:r>
    </w:p>
    <w:p w14:paraId="466EDFBE" w14:textId="77777777" w:rsidR="00DA2963" w:rsidRDefault="00DA2963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16"/>
          <w:szCs w:val="16"/>
        </w:rPr>
      </w:pPr>
    </w:p>
    <w:p w14:paraId="0F0CA0A8" w14:textId="77777777" w:rsidR="00A033D3" w:rsidRDefault="00A033D3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8DBFC08" w14:textId="77777777" w:rsidR="00A033D3" w:rsidRDefault="00A033D3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74470649" w14:textId="77777777" w:rsidR="00A033D3" w:rsidRDefault="00A033D3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62B3C00" w14:textId="77777777" w:rsidR="00202AF2" w:rsidRDefault="00202AF2" w:rsidP="006F3AE1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3B86B6B" w14:textId="3F7EFFE1" w:rsidR="009516D7" w:rsidRPr="006713D3" w:rsidRDefault="00575151" w:rsidP="006F3AE1">
      <w:pPr>
        <w:spacing w:after="0" w:line="276" w:lineRule="auto"/>
        <w:ind w:left="-567" w:right="-51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033D3">
        <w:rPr>
          <w:rFonts w:ascii="Arial" w:hAnsi="Arial" w:cs="Arial"/>
          <w:sz w:val="24"/>
          <w:szCs w:val="24"/>
        </w:rPr>
        <w:t>n</w:t>
      </w:r>
      <w:r w:rsidR="007F5E07" w:rsidRPr="007F5E07">
        <w:rPr>
          <w:rFonts w:ascii="Arial" w:hAnsi="Arial" w:cs="Arial"/>
          <w:sz w:val="24"/>
          <w:szCs w:val="24"/>
        </w:rPr>
        <w:t xml:space="preserve"> cuanto a la distribución de la inversión por categorías de activos de propiedad intelectual, </w:t>
      </w:r>
      <w:r>
        <w:rPr>
          <w:rFonts w:ascii="Arial" w:hAnsi="Arial" w:cs="Arial"/>
          <w:sz w:val="24"/>
          <w:szCs w:val="24"/>
        </w:rPr>
        <w:t>e</w:t>
      </w:r>
      <w:r w:rsidRPr="007F5E0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2021, </w:t>
      </w:r>
      <w:r w:rsidR="00A033D3">
        <w:rPr>
          <w:rFonts w:ascii="Arial" w:hAnsi="Arial" w:cs="Arial"/>
          <w:sz w:val="24"/>
          <w:szCs w:val="24"/>
        </w:rPr>
        <w:t>38.0 %</w:t>
      </w:r>
      <w:r w:rsidR="007F5E07" w:rsidRPr="007F5E07">
        <w:rPr>
          <w:rFonts w:ascii="Arial" w:hAnsi="Arial" w:cs="Arial"/>
          <w:sz w:val="24"/>
          <w:szCs w:val="24"/>
        </w:rPr>
        <w:t xml:space="preserve"> se destinó a </w:t>
      </w:r>
      <w:r w:rsidR="00A033D3" w:rsidRPr="006713D3">
        <w:rPr>
          <w:rFonts w:ascii="Arial" w:hAnsi="Arial" w:cs="Arial"/>
          <w:i/>
          <w:sz w:val="24"/>
          <w:szCs w:val="24"/>
        </w:rPr>
        <w:t>E</w:t>
      </w:r>
      <w:r w:rsidR="007F5E07" w:rsidRPr="006713D3">
        <w:rPr>
          <w:rFonts w:ascii="Arial" w:hAnsi="Arial" w:cs="Arial"/>
          <w:i/>
          <w:sz w:val="24"/>
          <w:szCs w:val="24"/>
        </w:rPr>
        <w:t>xploración y evaluación minera</w:t>
      </w:r>
      <w:r w:rsidR="00CC6200">
        <w:rPr>
          <w:rFonts w:ascii="Arial" w:hAnsi="Arial" w:cs="Arial"/>
          <w:sz w:val="24"/>
          <w:szCs w:val="24"/>
        </w:rPr>
        <w:t>;</w:t>
      </w:r>
      <w:r w:rsidR="007F5E07" w:rsidRPr="007F5E07">
        <w:rPr>
          <w:rFonts w:ascii="Arial" w:hAnsi="Arial" w:cs="Arial"/>
          <w:sz w:val="24"/>
          <w:szCs w:val="24"/>
        </w:rPr>
        <w:t xml:space="preserve"> </w:t>
      </w:r>
      <w:r w:rsidR="00A033D3" w:rsidRPr="007F5E07">
        <w:rPr>
          <w:rFonts w:ascii="Arial" w:hAnsi="Arial" w:cs="Arial"/>
          <w:sz w:val="24"/>
          <w:szCs w:val="24"/>
        </w:rPr>
        <w:t>25.3</w:t>
      </w:r>
      <w:r w:rsidR="00CC6200">
        <w:rPr>
          <w:rFonts w:ascii="Arial" w:hAnsi="Arial" w:cs="Arial"/>
          <w:sz w:val="24"/>
          <w:szCs w:val="24"/>
        </w:rPr>
        <w:t xml:space="preserve"> </w:t>
      </w:r>
      <w:r w:rsidR="00A033D3" w:rsidRPr="007F5E07">
        <w:rPr>
          <w:rFonts w:ascii="Arial" w:hAnsi="Arial" w:cs="Arial"/>
          <w:sz w:val="24"/>
          <w:szCs w:val="24"/>
        </w:rPr>
        <w:t>%</w:t>
      </w:r>
      <w:r w:rsidR="00CC6200">
        <w:rPr>
          <w:rFonts w:ascii="Arial" w:hAnsi="Arial" w:cs="Arial"/>
          <w:sz w:val="24"/>
          <w:szCs w:val="24"/>
        </w:rPr>
        <w:t>,</w:t>
      </w:r>
      <w:r w:rsidR="00996796">
        <w:rPr>
          <w:rFonts w:ascii="Arial" w:hAnsi="Arial" w:cs="Arial"/>
          <w:sz w:val="24"/>
          <w:szCs w:val="24"/>
        </w:rPr>
        <w:t xml:space="preserve"> a </w:t>
      </w:r>
      <w:r w:rsidR="00996796" w:rsidRPr="006713D3">
        <w:rPr>
          <w:rFonts w:ascii="Arial" w:hAnsi="Arial" w:cs="Arial"/>
          <w:i/>
          <w:sz w:val="24"/>
          <w:szCs w:val="24"/>
        </w:rPr>
        <w:t>P</w:t>
      </w:r>
      <w:r w:rsidR="007F5E07" w:rsidRPr="006713D3">
        <w:rPr>
          <w:rFonts w:ascii="Arial" w:hAnsi="Arial" w:cs="Arial"/>
          <w:i/>
          <w:sz w:val="24"/>
          <w:szCs w:val="24"/>
        </w:rPr>
        <w:t>rogramas informáticos y bases de datos</w:t>
      </w:r>
      <w:r w:rsidR="00CC6200">
        <w:rPr>
          <w:rFonts w:ascii="Arial" w:hAnsi="Arial" w:cs="Arial"/>
          <w:sz w:val="24"/>
          <w:szCs w:val="24"/>
        </w:rPr>
        <w:t>;</w:t>
      </w:r>
      <w:r w:rsidR="00996796">
        <w:rPr>
          <w:rFonts w:ascii="Arial" w:hAnsi="Arial" w:cs="Arial"/>
          <w:sz w:val="24"/>
          <w:szCs w:val="24"/>
        </w:rPr>
        <w:t xml:space="preserve"> </w:t>
      </w:r>
      <w:r w:rsidR="00996796" w:rsidRPr="007F5E07">
        <w:rPr>
          <w:rFonts w:ascii="Arial" w:hAnsi="Arial" w:cs="Arial"/>
          <w:sz w:val="24"/>
          <w:szCs w:val="24"/>
        </w:rPr>
        <w:t>6.2</w:t>
      </w:r>
      <w:r w:rsidR="00996796">
        <w:rPr>
          <w:rFonts w:ascii="Arial" w:hAnsi="Arial" w:cs="Arial"/>
          <w:sz w:val="24"/>
          <w:szCs w:val="24"/>
        </w:rPr>
        <w:t xml:space="preserve"> </w:t>
      </w:r>
      <w:r w:rsidR="00996796" w:rsidRPr="007F5E07">
        <w:rPr>
          <w:rFonts w:ascii="Arial" w:hAnsi="Arial" w:cs="Arial"/>
          <w:sz w:val="24"/>
          <w:szCs w:val="24"/>
        </w:rPr>
        <w:t>%</w:t>
      </w:r>
      <w:r w:rsidR="00CC6200">
        <w:rPr>
          <w:rFonts w:ascii="Arial" w:hAnsi="Arial" w:cs="Arial"/>
          <w:sz w:val="24"/>
          <w:szCs w:val="24"/>
        </w:rPr>
        <w:t>,</w:t>
      </w:r>
      <w:r w:rsidR="00996796">
        <w:rPr>
          <w:rFonts w:ascii="Arial" w:hAnsi="Arial" w:cs="Arial"/>
          <w:sz w:val="24"/>
          <w:szCs w:val="24"/>
        </w:rPr>
        <w:t xml:space="preserve"> a </w:t>
      </w:r>
      <w:r w:rsidR="00996796" w:rsidRPr="006713D3">
        <w:rPr>
          <w:rFonts w:ascii="Arial" w:hAnsi="Arial" w:cs="Arial"/>
          <w:i/>
          <w:sz w:val="24"/>
          <w:szCs w:val="24"/>
        </w:rPr>
        <w:t>I</w:t>
      </w:r>
      <w:r w:rsidR="007F5E07" w:rsidRPr="006713D3">
        <w:rPr>
          <w:rFonts w:ascii="Arial" w:hAnsi="Arial" w:cs="Arial"/>
          <w:i/>
          <w:sz w:val="24"/>
          <w:szCs w:val="24"/>
        </w:rPr>
        <w:t>nvestigación y desarrollo</w:t>
      </w:r>
      <w:r w:rsidR="00CC6200">
        <w:rPr>
          <w:rFonts w:ascii="Arial" w:hAnsi="Arial" w:cs="Arial"/>
          <w:sz w:val="24"/>
          <w:szCs w:val="24"/>
        </w:rPr>
        <w:t>;</w:t>
      </w:r>
      <w:r w:rsidR="007F5E07" w:rsidRPr="007F5E07">
        <w:rPr>
          <w:rFonts w:ascii="Arial" w:hAnsi="Arial" w:cs="Arial"/>
          <w:sz w:val="24"/>
          <w:szCs w:val="24"/>
        </w:rPr>
        <w:t xml:space="preserve"> </w:t>
      </w:r>
      <w:r w:rsidR="00940B96" w:rsidRPr="007F5E07">
        <w:rPr>
          <w:rFonts w:ascii="Arial" w:hAnsi="Arial" w:cs="Arial"/>
          <w:sz w:val="24"/>
          <w:szCs w:val="24"/>
        </w:rPr>
        <w:t>0.7</w:t>
      </w:r>
      <w:r w:rsidR="00940B96">
        <w:rPr>
          <w:rFonts w:ascii="Arial" w:hAnsi="Arial" w:cs="Arial"/>
          <w:sz w:val="24"/>
          <w:szCs w:val="24"/>
        </w:rPr>
        <w:t xml:space="preserve"> </w:t>
      </w:r>
      <w:r w:rsidR="00940B96" w:rsidRPr="007F5E07">
        <w:rPr>
          <w:rFonts w:ascii="Arial" w:hAnsi="Arial" w:cs="Arial"/>
          <w:sz w:val="24"/>
          <w:szCs w:val="24"/>
        </w:rPr>
        <w:t>%</w:t>
      </w:r>
      <w:r w:rsidR="00CC6200">
        <w:rPr>
          <w:rFonts w:ascii="Arial" w:hAnsi="Arial" w:cs="Arial"/>
          <w:sz w:val="24"/>
          <w:szCs w:val="24"/>
        </w:rPr>
        <w:t>,</w:t>
      </w:r>
      <w:r w:rsidR="00940B96">
        <w:rPr>
          <w:rFonts w:ascii="Arial" w:hAnsi="Arial" w:cs="Arial"/>
          <w:sz w:val="24"/>
          <w:szCs w:val="24"/>
        </w:rPr>
        <w:t xml:space="preserve"> a </w:t>
      </w:r>
      <w:r w:rsidR="00940B96" w:rsidRPr="006713D3">
        <w:rPr>
          <w:rFonts w:ascii="Arial" w:hAnsi="Arial" w:cs="Arial"/>
          <w:i/>
          <w:sz w:val="24"/>
          <w:szCs w:val="24"/>
        </w:rPr>
        <w:t>O</w:t>
      </w:r>
      <w:r w:rsidR="007F5E07" w:rsidRPr="006713D3">
        <w:rPr>
          <w:rFonts w:ascii="Arial" w:hAnsi="Arial" w:cs="Arial"/>
          <w:i/>
          <w:sz w:val="24"/>
          <w:szCs w:val="24"/>
        </w:rPr>
        <w:t>riginales de entretenimiento, literarios y artísticos</w:t>
      </w:r>
      <w:r w:rsidR="00C12832">
        <w:rPr>
          <w:rFonts w:ascii="Arial" w:hAnsi="Arial" w:cs="Arial"/>
          <w:sz w:val="24"/>
          <w:szCs w:val="24"/>
        </w:rPr>
        <w:t xml:space="preserve"> y</w:t>
      </w:r>
      <w:r w:rsidR="00C12832" w:rsidRPr="00C12832">
        <w:rPr>
          <w:rFonts w:ascii="Arial" w:hAnsi="Arial" w:cs="Arial"/>
          <w:sz w:val="24"/>
          <w:szCs w:val="24"/>
        </w:rPr>
        <w:t xml:space="preserve"> </w:t>
      </w:r>
      <w:r w:rsidR="00940B96" w:rsidRPr="007F5E07">
        <w:rPr>
          <w:rFonts w:ascii="Arial" w:hAnsi="Arial" w:cs="Arial"/>
          <w:sz w:val="24"/>
          <w:szCs w:val="24"/>
        </w:rPr>
        <w:t>29.9</w:t>
      </w:r>
      <w:r w:rsidR="00940B96">
        <w:rPr>
          <w:rFonts w:ascii="Arial" w:hAnsi="Arial" w:cs="Arial"/>
          <w:sz w:val="24"/>
          <w:szCs w:val="24"/>
        </w:rPr>
        <w:t xml:space="preserve"> </w:t>
      </w:r>
      <w:r w:rsidR="00940B96" w:rsidRPr="007F5E07">
        <w:rPr>
          <w:rFonts w:ascii="Arial" w:hAnsi="Arial" w:cs="Arial"/>
          <w:sz w:val="24"/>
          <w:szCs w:val="24"/>
        </w:rPr>
        <w:t>%</w:t>
      </w:r>
      <w:r w:rsidR="00CC6200">
        <w:rPr>
          <w:rFonts w:ascii="Arial" w:hAnsi="Arial" w:cs="Arial"/>
          <w:sz w:val="24"/>
          <w:szCs w:val="24"/>
        </w:rPr>
        <w:t>,</w:t>
      </w:r>
      <w:r w:rsidR="00940B96">
        <w:rPr>
          <w:rFonts w:ascii="Arial" w:hAnsi="Arial" w:cs="Arial"/>
          <w:sz w:val="24"/>
          <w:szCs w:val="24"/>
        </w:rPr>
        <w:t xml:space="preserve"> a </w:t>
      </w:r>
      <w:r w:rsidR="00940B96" w:rsidRPr="006713D3">
        <w:rPr>
          <w:rFonts w:ascii="Arial" w:hAnsi="Arial" w:cs="Arial"/>
          <w:i/>
          <w:sz w:val="24"/>
          <w:szCs w:val="24"/>
        </w:rPr>
        <w:t>O</w:t>
      </w:r>
      <w:r w:rsidR="00C12832" w:rsidRPr="006713D3">
        <w:rPr>
          <w:rFonts w:ascii="Arial" w:hAnsi="Arial" w:cs="Arial"/>
          <w:i/>
          <w:sz w:val="24"/>
          <w:szCs w:val="24"/>
        </w:rPr>
        <w:t>tros productos de propiedad intelectua</w:t>
      </w:r>
      <w:r w:rsidR="00940B96">
        <w:rPr>
          <w:rFonts w:ascii="Arial" w:hAnsi="Arial" w:cs="Arial"/>
          <w:i/>
          <w:sz w:val="24"/>
          <w:szCs w:val="24"/>
        </w:rPr>
        <w:t>l.</w:t>
      </w:r>
      <w:r w:rsidR="00C12832">
        <w:rPr>
          <w:rStyle w:val="Refdenotaalpie"/>
          <w:rFonts w:ascii="Arial" w:hAnsi="Arial" w:cs="Arial"/>
          <w:sz w:val="24"/>
          <w:szCs w:val="24"/>
        </w:rPr>
        <w:footnoteReference w:id="4"/>
      </w:r>
    </w:p>
    <w:p w14:paraId="3267C440" w14:textId="6903FD89" w:rsidR="007F5E07" w:rsidRDefault="007F5E07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7832715" w14:textId="44A0AE38" w:rsidR="00996796" w:rsidRPr="00BD4830" w:rsidRDefault="00996796" w:rsidP="006713D3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5</w:t>
      </w:r>
    </w:p>
    <w:p w14:paraId="1D7F1318" w14:textId="44C7A80B" w:rsidR="00996796" w:rsidRPr="00BD4830" w:rsidRDefault="00996796" w:rsidP="006713D3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smallCaps/>
          <w:szCs w:val="24"/>
        </w:rPr>
      </w:pPr>
      <w:r w:rsidRPr="00BD4830">
        <w:rPr>
          <w:rFonts w:ascii="Arial Negrita" w:hAnsi="Arial Negrita" w:cs="Arial"/>
          <w:b/>
          <w:smallCaps/>
          <w:szCs w:val="24"/>
        </w:rPr>
        <w:t xml:space="preserve">Inversión </w:t>
      </w:r>
      <w:r>
        <w:rPr>
          <w:rFonts w:ascii="Arial Negrita" w:hAnsi="Arial Negrita" w:cs="Arial"/>
          <w:b/>
          <w:smallCaps/>
          <w:szCs w:val="24"/>
        </w:rPr>
        <w:t xml:space="preserve">en </w:t>
      </w:r>
      <w:r w:rsidRPr="00BD4830">
        <w:rPr>
          <w:rFonts w:ascii="Arial Negrita" w:hAnsi="Arial Negrita" w:cs="Arial"/>
          <w:b/>
          <w:smallCaps/>
          <w:szCs w:val="24"/>
        </w:rPr>
        <w:t>los productos de la propiedad intelectua</w:t>
      </w:r>
      <w:r>
        <w:rPr>
          <w:rFonts w:ascii="Arial Negrita" w:hAnsi="Arial Negrita" w:cs="Arial"/>
          <w:b/>
          <w:smallCaps/>
          <w:szCs w:val="24"/>
        </w:rPr>
        <w:t>l según sector institucional, 2021</w:t>
      </w:r>
    </w:p>
    <w:p w14:paraId="592264D5" w14:textId="1AD262E3" w:rsidR="00996796" w:rsidRPr="009516D7" w:rsidRDefault="00996796" w:rsidP="006713D3">
      <w:pPr>
        <w:spacing w:after="0" w:line="276" w:lineRule="auto"/>
        <w:ind w:left="-567" w:right="-518"/>
        <w:jc w:val="center"/>
        <w:rPr>
          <w:rFonts w:ascii="Arial" w:hAnsi="Arial" w:cs="Arial"/>
          <w:sz w:val="24"/>
          <w:szCs w:val="24"/>
        </w:rPr>
      </w:pPr>
      <w:r w:rsidRPr="00BD4830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Distribución</w:t>
      </w:r>
      <w:r w:rsidRPr="00BD4830">
        <w:rPr>
          <w:rFonts w:ascii="Arial" w:hAnsi="Arial" w:cs="Arial"/>
          <w:sz w:val="18"/>
          <w:szCs w:val="18"/>
        </w:rPr>
        <w:t xml:space="preserve"> porcentual)</w:t>
      </w:r>
    </w:p>
    <w:p w14:paraId="1D1FFF10" w14:textId="3D897551" w:rsidR="00DA2963" w:rsidRDefault="00EE1513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D6674E6" wp14:editId="0CD81627">
            <wp:extent cx="6008113" cy="2741295"/>
            <wp:effectExtent l="0" t="0" r="0" b="1905"/>
            <wp:docPr id="45" name="Gráfico 45">
              <a:extLst xmlns:a="http://schemas.openxmlformats.org/drawingml/2006/main">
                <a:ext uri="{FF2B5EF4-FFF2-40B4-BE49-F238E27FC236}">
                  <a16:creationId xmlns:a16="http://schemas.microsoft.com/office/drawing/2014/main" id="{3CEFA5A2-9A2A-ADB9-0C01-79F46409AE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9080341" w14:textId="77777777" w:rsidR="00996796" w:rsidRDefault="00996796" w:rsidP="0099679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BD4830">
        <w:rPr>
          <w:rFonts w:ascii="Arial" w:hAnsi="Arial" w:cs="Arial"/>
          <w:sz w:val="16"/>
          <w:szCs w:val="16"/>
        </w:rPr>
        <w:t>Fuente: INEGI. Cuentas por Sectores Institucionales, 2021 pre</w:t>
      </w:r>
      <w:r>
        <w:rPr>
          <w:rFonts w:ascii="Arial" w:hAnsi="Arial" w:cs="Arial"/>
          <w:sz w:val="16"/>
          <w:szCs w:val="16"/>
        </w:rPr>
        <w:t>liminar</w:t>
      </w:r>
    </w:p>
    <w:p w14:paraId="2A85ED04" w14:textId="0492F6A3" w:rsidR="00EE1513" w:rsidRDefault="00EE1513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16"/>
          <w:szCs w:val="16"/>
        </w:rPr>
      </w:pPr>
    </w:p>
    <w:p w14:paraId="150C76E7" w14:textId="77777777" w:rsidR="00996796" w:rsidRDefault="00996796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16"/>
          <w:szCs w:val="16"/>
        </w:rPr>
      </w:pPr>
    </w:p>
    <w:p w14:paraId="070BAF1D" w14:textId="77777777" w:rsidR="008764FC" w:rsidRDefault="008764FC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B8ACE7E" w14:textId="0501CD58" w:rsidR="008764FC" w:rsidRDefault="00DD2467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señaló, e</w:t>
      </w:r>
      <w:r w:rsidR="009D4E82" w:rsidRPr="009D4E82">
        <w:rPr>
          <w:rFonts w:ascii="Arial" w:hAnsi="Arial" w:cs="Arial"/>
          <w:sz w:val="24"/>
          <w:szCs w:val="24"/>
        </w:rPr>
        <w:t xml:space="preserve">n 2021, los flujos de inversión en los PPI presentaron un incremento de 19.4 </w:t>
      </w:r>
      <w:r w:rsidR="0041253C">
        <w:rPr>
          <w:rFonts w:ascii="Arial" w:hAnsi="Arial" w:cs="Arial"/>
          <w:sz w:val="24"/>
          <w:szCs w:val="24"/>
        </w:rPr>
        <w:t>por ciento</w:t>
      </w:r>
      <w:r w:rsidR="009D4E82" w:rsidRPr="009D4E8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Por tipo de activo, destacaron las contribuciones de</w:t>
      </w:r>
      <w:r w:rsidR="009D4E82" w:rsidRPr="009D4E82">
        <w:rPr>
          <w:rFonts w:ascii="Arial" w:hAnsi="Arial" w:cs="Arial"/>
          <w:sz w:val="24"/>
          <w:szCs w:val="24"/>
        </w:rPr>
        <w:t xml:space="preserve"> </w:t>
      </w:r>
      <w:r w:rsidR="009D4E82" w:rsidRPr="009C700E">
        <w:rPr>
          <w:rFonts w:ascii="Arial" w:hAnsi="Arial" w:cs="Arial"/>
          <w:i/>
          <w:iCs/>
          <w:sz w:val="24"/>
          <w:szCs w:val="24"/>
        </w:rPr>
        <w:t>Exploración y evaluación minera</w:t>
      </w:r>
      <w:r w:rsidR="009D4E82" w:rsidRPr="009D4E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(9.0 %);</w:t>
      </w:r>
      <w:r w:rsidR="009D4E82" w:rsidRPr="009D4E82">
        <w:rPr>
          <w:rFonts w:ascii="Arial" w:hAnsi="Arial" w:cs="Arial"/>
          <w:sz w:val="24"/>
          <w:szCs w:val="24"/>
        </w:rPr>
        <w:t xml:space="preserve"> </w:t>
      </w:r>
      <w:r w:rsidR="009D4E82" w:rsidRPr="009C700E">
        <w:rPr>
          <w:rFonts w:ascii="Arial" w:hAnsi="Arial" w:cs="Arial"/>
          <w:i/>
          <w:iCs/>
          <w:sz w:val="24"/>
          <w:szCs w:val="24"/>
        </w:rPr>
        <w:t>Programas informáticos</w:t>
      </w:r>
      <w:r>
        <w:rPr>
          <w:rFonts w:ascii="Arial" w:hAnsi="Arial" w:cs="Arial"/>
          <w:sz w:val="24"/>
          <w:szCs w:val="24"/>
        </w:rPr>
        <w:t xml:space="preserve"> </w:t>
      </w:r>
      <w:r w:rsidRPr="009C700E">
        <w:rPr>
          <w:rFonts w:ascii="Arial" w:hAnsi="Arial" w:cs="Arial"/>
          <w:i/>
          <w:iCs/>
          <w:sz w:val="24"/>
          <w:szCs w:val="24"/>
        </w:rPr>
        <w:t>y bases de datos</w:t>
      </w:r>
      <w:r w:rsidR="009D4E82" w:rsidRPr="009D4E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9D4E82" w:rsidRPr="009D4E82">
        <w:rPr>
          <w:rFonts w:ascii="Arial" w:hAnsi="Arial" w:cs="Arial"/>
          <w:sz w:val="24"/>
          <w:szCs w:val="24"/>
        </w:rPr>
        <w:t>6.2 %</w:t>
      </w:r>
      <w:r>
        <w:rPr>
          <w:rFonts w:ascii="Arial" w:hAnsi="Arial" w:cs="Arial"/>
          <w:sz w:val="24"/>
          <w:szCs w:val="24"/>
        </w:rPr>
        <w:t>);</w:t>
      </w:r>
      <w:r w:rsidR="009D4E82" w:rsidRPr="009D4E82">
        <w:rPr>
          <w:rFonts w:ascii="Arial" w:hAnsi="Arial" w:cs="Arial"/>
          <w:sz w:val="24"/>
          <w:szCs w:val="24"/>
        </w:rPr>
        <w:t xml:space="preserve"> </w:t>
      </w:r>
      <w:r w:rsidR="009D4E82" w:rsidRPr="009C700E">
        <w:rPr>
          <w:rFonts w:ascii="Arial" w:hAnsi="Arial" w:cs="Arial"/>
          <w:i/>
          <w:iCs/>
          <w:sz w:val="24"/>
          <w:szCs w:val="24"/>
        </w:rPr>
        <w:t>Otros productos de la propiedad intelectual</w:t>
      </w:r>
      <w:r w:rsidR="009D4E82" w:rsidRPr="009D4E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9D4E82" w:rsidRPr="009D4E82">
        <w:rPr>
          <w:rFonts w:ascii="Arial" w:hAnsi="Arial" w:cs="Arial"/>
          <w:sz w:val="24"/>
          <w:szCs w:val="24"/>
        </w:rPr>
        <w:t>3.2 %</w:t>
      </w:r>
      <w:r>
        <w:rPr>
          <w:rFonts w:ascii="Arial" w:hAnsi="Arial" w:cs="Arial"/>
          <w:sz w:val="24"/>
          <w:szCs w:val="24"/>
        </w:rPr>
        <w:t>)</w:t>
      </w:r>
      <w:r w:rsidR="009D4E82" w:rsidRPr="009D4E82">
        <w:rPr>
          <w:rFonts w:ascii="Arial" w:hAnsi="Arial" w:cs="Arial"/>
          <w:sz w:val="24"/>
          <w:szCs w:val="24"/>
        </w:rPr>
        <w:t>,</w:t>
      </w:r>
      <w:r w:rsidR="0041253C" w:rsidRPr="0010195C">
        <w:rPr>
          <w:rStyle w:val="Refdenotaalpie"/>
          <w:rFonts w:ascii="Arial" w:hAnsi="Arial" w:cs="Arial"/>
          <w:sz w:val="24"/>
          <w:szCs w:val="24"/>
        </w:rPr>
        <w:footnoteReference w:id="5"/>
      </w:r>
      <w:r w:rsidR="009C700E">
        <w:rPr>
          <w:rFonts w:ascii="Arial" w:hAnsi="Arial" w:cs="Arial"/>
          <w:sz w:val="24"/>
          <w:szCs w:val="24"/>
        </w:rPr>
        <w:t xml:space="preserve"> e</w:t>
      </w:r>
      <w:r w:rsidR="009D4E82" w:rsidRPr="009D4E82">
        <w:rPr>
          <w:rFonts w:ascii="Arial" w:hAnsi="Arial" w:cs="Arial"/>
          <w:sz w:val="24"/>
          <w:szCs w:val="24"/>
        </w:rPr>
        <w:t xml:space="preserve"> </w:t>
      </w:r>
      <w:r w:rsidR="009D4E82" w:rsidRPr="009C700E">
        <w:rPr>
          <w:rFonts w:ascii="Arial" w:hAnsi="Arial" w:cs="Arial"/>
          <w:i/>
          <w:iCs/>
          <w:sz w:val="24"/>
          <w:szCs w:val="24"/>
        </w:rPr>
        <w:t>Investigación y Desarrollo</w:t>
      </w:r>
      <w:r w:rsidR="009D4E82" w:rsidRPr="009D4E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9D4E82" w:rsidRPr="009D4E82">
        <w:rPr>
          <w:rFonts w:ascii="Arial" w:hAnsi="Arial" w:cs="Arial"/>
          <w:sz w:val="24"/>
          <w:szCs w:val="24"/>
        </w:rPr>
        <w:t>1.0 %</w:t>
      </w:r>
      <w:r>
        <w:rPr>
          <w:rFonts w:ascii="Arial" w:hAnsi="Arial" w:cs="Arial"/>
          <w:sz w:val="24"/>
          <w:szCs w:val="24"/>
        </w:rPr>
        <w:t>)</w:t>
      </w:r>
      <w:r w:rsidR="009C700E">
        <w:rPr>
          <w:rFonts w:ascii="Arial" w:hAnsi="Arial" w:cs="Arial"/>
          <w:sz w:val="24"/>
          <w:szCs w:val="24"/>
        </w:rPr>
        <w:t>.</w:t>
      </w:r>
      <w:r w:rsidR="009D4E82" w:rsidRPr="009D4E82">
        <w:rPr>
          <w:rFonts w:ascii="Arial" w:hAnsi="Arial" w:cs="Arial"/>
          <w:sz w:val="24"/>
          <w:szCs w:val="24"/>
        </w:rPr>
        <w:t xml:space="preserve"> </w:t>
      </w:r>
      <w:r w:rsidR="009C700E">
        <w:rPr>
          <w:rFonts w:ascii="Arial" w:hAnsi="Arial" w:cs="Arial"/>
          <w:sz w:val="24"/>
          <w:szCs w:val="24"/>
        </w:rPr>
        <w:t xml:space="preserve">El sector </w:t>
      </w:r>
      <w:r w:rsidR="009D4E82" w:rsidRPr="009C700E">
        <w:rPr>
          <w:rFonts w:ascii="Arial" w:hAnsi="Arial" w:cs="Arial"/>
          <w:i/>
          <w:iCs/>
          <w:sz w:val="24"/>
          <w:szCs w:val="24"/>
        </w:rPr>
        <w:t>Originales de entretenimiento, literarios y artísticos</w:t>
      </w:r>
      <w:r w:rsidR="009C700E">
        <w:rPr>
          <w:rFonts w:ascii="Arial" w:hAnsi="Arial" w:cs="Arial"/>
          <w:sz w:val="24"/>
          <w:szCs w:val="24"/>
        </w:rPr>
        <w:t xml:space="preserve"> retrocedió</w:t>
      </w:r>
      <w:r>
        <w:rPr>
          <w:rFonts w:ascii="Arial" w:hAnsi="Arial" w:cs="Arial"/>
          <w:sz w:val="24"/>
          <w:szCs w:val="24"/>
        </w:rPr>
        <w:t xml:space="preserve"> </w:t>
      </w:r>
      <w:r w:rsidR="009D4E82" w:rsidRPr="009D4E82">
        <w:rPr>
          <w:rFonts w:ascii="Arial" w:hAnsi="Arial" w:cs="Arial"/>
          <w:sz w:val="24"/>
          <w:szCs w:val="24"/>
        </w:rPr>
        <w:t xml:space="preserve">0.1 </w:t>
      </w:r>
      <w:r w:rsidR="009C700E">
        <w:rPr>
          <w:rFonts w:ascii="Arial" w:hAnsi="Arial" w:cs="Arial"/>
          <w:sz w:val="24"/>
          <w:szCs w:val="24"/>
        </w:rPr>
        <w:t>por ciento</w:t>
      </w:r>
      <w:r w:rsidR="009D4E82" w:rsidRPr="009D4E82">
        <w:rPr>
          <w:rFonts w:ascii="Arial" w:hAnsi="Arial" w:cs="Arial"/>
          <w:sz w:val="24"/>
          <w:szCs w:val="24"/>
        </w:rPr>
        <w:t>.</w:t>
      </w:r>
    </w:p>
    <w:p w14:paraId="4BB3A003" w14:textId="1D5DDAD8" w:rsidR="0073108F" w:rsidRDefault="0073108F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4A140CC" w14:textId="293FB205" w:rsidR="00940B96" w:rsidRDefault="00940B96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B9D307A" w14:textId="285976D0" w:rsidR="00940B96" w:rsidRDefault="00940B96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B2FCFC6" w14:textId="444299F9" w:rsidR="00940B96" w:rsidRDefault="00940B96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4A19C464" w14:textId="59900F7C" w:rsidR="00940B96" w:rsidRDefault="00940B96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6AEFC1D" w14:textId="020AA5E0" w:rsidR="00940B96" w:rsidRDefault="00940B96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D8A44D5" w14:textId="6C7FA400" w:rsidR="00940B96" w:rsidRDefault="00940B96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77C3983F" w14:textId="25B499A8" w:rsidR="00940B96" w:rsidRDefault="00940B96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C7783BF" w14:textId="3005F554" w:rsidR="00940B96" w:rsidRDefault="00940B96" w:rsidP="00037A45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D199DAB" w14:textId="5C40A69B" w:rsidR="00940B96" w:rsidRPr="00BD4830" w:rsidRDefault="00940B96" w:rsidP="00940B96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BD4830">
        <w:rPr>
          <w:rFonts w:ascii="Arial" w:hAnsi="Arial" w:cs="Arial"/>
          <w:sz w:val="20"/>
          <w:szCs w:val="20"/>
        </w:rPr>
        <w:t xml:space="preserve">Gráfica </w:t>
      </w:r>
      <w:r>
        <w:rPr>
          <w:rFonts w:ascii="Arial" w:hAnsi="Arial" w:cs="Arial"/>
          <w:sz w:val="20"/>
          <w:szCs w:val="20"/>
        </w:rPr>
        <w:t>6</w:t>
      </w:r>
    </w:p>
    <w:p w14:paraId="1F68DD92" w14:textId="77777777" w:rsidR="00940B96" w:rsidRDefault="00940B96" w:rsidP="00940B96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smallCaps/>
          <w:szCs w:val="24"/>
        </w:rPr>
      </w:pPr>
      <w:r>
        <w:rPr>
          <w:rFonts w:ascii="Arial Negrita" w:hAnsi="Arial Negrita" w:cs="Arial"/>
          <w:b/>
          <w:smallCaps/>
          <w:szCs w:val="24"/>
        </w:rPr>
        <w:t>Evolución de la i</w:t>
      </w:r>
      <w:r w:rsidRPr="00BD4830">
        <w:rPr>
          <w:rFonts w:ascii="Arial Negrita" w:hAnsi="Arial Negrita" w:cs="Arial"/>
          <w:b/>
          <w:smallCaps/>
          <w:szCs w:val="24"/>
        </w:rPr>
        <w:t xml:space="preserve">nversión </w:t>
      </w:r>
      <w:r>
        <w:rPr>
          <w:rFonts w:ascii="Arial Negrita" w:hAnsi="Arial Negrita" w:cs="Arial"/>
          <w:b/>
          <w:smallCaps/>
          <w:szCs w:val="24"/>
        </w:rPr>
        <w:t xml:space="preserve">en </w:t>
      </w:r>
      <w:r w:rsidRPr="00BD4830">
        <w:rPr>
          <w:rFonts w:ascii="Arial Negrita" w:hAnsi="Arial Negrita" w:cs="Arial"/>
          <w:b/>
          <w:smallCaps/>
          <w:szCs w:val="24"/>
        </w:rPr>
        <w:t>los productos de la propiedad intelectua</w:t>
      </w:r>
      <w:r>
        <w:rPr>
          <w:rFonts w:ascii="Arial Negrita" w:hAnsi="Arial Negrita" w:cs="Arial"/>
          <w:b/>
          <w:smallCaps/>
          <w:szCs w:val="24"/>
        </w:rPr>
        <w:t xml:space="preserve">l </w:t>
      </w:r>
    </w:p>
    <w:p w14:paraId="0E869E53" w14:textId="76C8132E" w:rsidR="00940B96" w:rsidRPr="006713D3" w:rsidRDefault="00940B96" w:rsidP="006713D3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smallCaps/>
          <w:szCs w:val="24"/>
        </w:rPr>
      </w:pPr>
      <w:r>
        <w:rPr>
          <w:rFonts w:ascii="Arial Negrita" w:hAnsi="Arial Negrita" w:cs="Arial"/>
          <w:b/>
          <w:smallCaps/>
          <w:szCs w:val="24"/>
        </w:rPr>
        <w:t>según tipo de activo</w:t>
      </w:r>
    </w:p>
    <w:p w14:paraId="6BB1AD5B" w14:textId="06D29BF1" w:rsidR="008B6090" w:rsidRDefault="008B6090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8B529E0" wp14:editId="245F6FE4">
            <wp:extent cx="6408000" cy="2347595"/>
            <wp:effectExtent l="0" t="0" r="0" b="0"/>
            <wp:docPr id="48" name="Gráfico 48">
              <a:extLst xmlns:a="http://schemas.openxmlformats.org/drawingml/2006/main">
                <a:ext uri="{FF2B5EF4-FFF2-40B4-BE49-F238E27FC236}">
                  <a16:creationId xmlns:a16="http://schemas.microsoft.com/office/drawing/2014/main" id="{E7931960-C015-4552-B60C-DCF068F793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BE6C211" w14:textId="6287B140" w:rsidR="00940B96" w:rsidRDefault="00940B96" w:rsidP="006713D3">
      <w:pPr>
        <w:spacing w:after="0" w:line="240" w:lineRule="auto"/>
        <w:ind w:left="-567" w:right="-516" w:firstLine="283"/>
        <w:jc w:val="both"/>
        <w:rPr>
          <w:rFonts w:ascii="Arial" w:hAnsi="Arial" w:cs="Arial"/>
          <w:sz w:val="24"/>
          <w:szCs w:val="24"/>
        </w:rPr>
      </w:pPr>
      <w:r w:rsidRPr="00BD4830">
        <w:rPr>
          <w:rFonts w:ascii="Arial" w:hAnsi="Arial" w:cs="Arial"/>
          <w:sz w:val="16"/>
          <w:szCs w:val="16"/>
        </w:rPr>
        <w:t>Fuente: INEGI. Cuentas por Sectores Institucionales 2021</w:t>
      </w:r>
      <w:r w:rsidR="00FF23A3">
        <w:rPr>
          <w:rFonts w:ascii="Arial" w:hAnsi="Arial" w:cs="Arial"/>
          <w:sz w:val="16"/>
          <w:szCs w:val="16"/>
        </w:rPr>
        <w:t>,</w:t>
      </w:r>
      <w:r w:rsidRPr="00BD4830">
        <w:rPr>
          <w:rFonts w:ascii="Arial" w:hAnsi="Arial" w:cs="Arial"/>
          <w:sz w:val="16"/>
          <w:szCs w:val="16"/>
        </w:rPr>
        <w:t xml:space="preserve"> pre</w:t>
      </w:r>
      <w:r>
        <w:rPr>
          <w:rFonts w:ascii="Arial" w:hAnsi="Arial" w:cs="Arial"/>
          <w:sz w:val="16"/>
          <w:szCs w:val="16"/>
        </w:rPr>
        <w:t>liminar</w:t>
      </w:r>
    </w:p>
    <w:p w14:paraId="0826D5DE" w14:textId="77777777" w:rsidR="00D827B4" w:rsidRDefault="00D827B4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16"/>
          <w:szCs w:val="16"/>
        </w:rPr>
      </w:pPr>
    </w:p>
    <w:p w14:paraId="4AC68BCC" w14:textId="77777777" w:rsidR="00F62356" w:rsidRDefault="00F62356" w:rsidP="00B17D23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7608B3B3" w14:textId="77777777" w:rsidR="00F62356" w:rsidRDefault="00F62356" w:rsidP="00B17D23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48241B9" w14:textId="77777777" w:rsidR="00F62356" w:rsidRDefault="00F62356" w:rsidP="00B17D23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1EC78F6" w14:textId="77777777" w:rsidR="0073108F" w:rsidRDefault="0073108F" w:rsidP="00083AB1">
      <w:pPr>
        <w:spacing w:after="0" w:line="276" w:lineRule="auto"/>
        <w:ind w:left="-567" w:right="-518"/>
        <w:jc w:val="center"/>
        <w:rPr>
          <w:rFonts w:ascii="Arial" w:hAnsi="Arial" w:cs="Arial"/>
          <w:sz w:val="16"/>
          <w:szCs w:val="16"/>
        </w:rPr>
      </w:pPr>
    </w:p>
    <w:p w14:paraId="30A7EA71" w14:textId="77777777" w:rsidR="005B0D22" w:rsidRPr="003C3D0D" w:rsidRDefault="005B0D22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16"/>
          <w:szCs w:val="16"/>
        </w:rPr>
      </w:pPr>
    </w:p>
    <w:p w14:paraId="22ED97A3" w14:textId="77777777" w:rsidR="00C40118" w:rsidRPr="00DC5FC4" w:rsidRDefault="00C40118" w:rsidP="00C4011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DC5FC4">
        <w:rPr>
          <w:rFonts w:ascii="Arial" w:hAnsi="Arial" w:cs="Arial"/>
        </w:rPr>
        <w:t xml:space="preserve">Para consultas de medios y periodistas, escribir a: </w:t>
      </w:r>
      <w:hyperlink r:id="rId17" w:history="1">
        <w:r w:rsidRPr="00DC5FC4">
          <w:rPr>
            <w:rStyle w:val="Hipervnculo"/>
            <w:rFonts w:ascii="Arial" w:hAnsi="Arial" w:cs="Arial"/>
          </w:rPr>
          <w:t>comunicacionsocial@inegi.org.mx</w:t>
        </w:r>
      </w:hyperlink>
      <w:r w:rsidRPr="00DC5FC4">
        <w:rPr>
          <w:rFonts w:ascii="Arial" w:hAnsi="Arial" w:cs="Arial"/>
        </w:rPr>
        <w:t xml:space="preserve"> </w:t>
      </w:r>
    </w:p>
    <w:p w14:paraId="0FDF13F8" w14:textId="115DD796" w:rsidR="00C40118" w:rsidRPr="00DC5FC4" w:rsidRDefault="00C40118" w:rsidP="00C4011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DC5FC4">
        <w:rPr>
          <w:rFonts w:ascii="Arial" w:hAnsi="Arial" w:cs="Arial"/>
        </w:rPr>
        <w:t xml:space="preserve">o llamar al teléfono (55) 52-78-10-00, </w:t>
      </w:r>
      <w:proofErr w:type="spellStart"/>
      <w:r w:rsidR="00E67F28" w:rsidRPr="00DC5FC4">
        <w:rPr>
          <w:rFonts w:ascii="Arial" w:hAnsi="Arial" w:cs="Arial"/>
        </w:rPr>
        <w:t>e</w:t>
      </w:r>
      <w:r w:rsidR="00993187">
        <w:rPr>
          <w:rFonts w:ascii="Arial" w:hAnsi="Arial" w:cs="Arial"/>
        </w:rPr>
        <w:t>xts</w:t>
      </w:r>
      <w:proofErr w:type="spellEnd"/>
      <w:r w:rsidR="00993187">
        <w:rPr>
          <w:rFonts w:ascii="Arial" w:hAnsi="Arial" w:cs="Arial"/>
        </w:rPr>
        <w:t>.</w:t>
      </w:r>
      <w:r w:rsidRPr="00DC5FC4">
        <w:rPr>
          <w:rFonts w:ascii="Arial" w:hAnsi="Arial" w:cs="Arial"/>
        </w:rPr>
        <w:t xml:space="preserve"> 1134, 1260 y 1241.</w:t>
      </w:r>
    </w:p>
    <w:p w14:paraId="7C0DDD11" w14:textId="77777777" w:rsidR="00C40118" w:rsidRPr="00DC5FC4" w:rsidRDefault="00C40118" w:rsidP="00C4011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AE6DC6C" w14:textId="5824467F" w:rsidR="00C40118" w:rsidRPr="00177592" w:rsidRDefault="00C40118" w:rsidP="00C40118">
      <w:pPr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>Dirección de Atención a Medios/ Dirección General Adjunta de Comunicación</w:t>
      </w:r>
    </w:p>
    <w:p w14:paraId="45A2EFD4" w14:textId="77777777" w:rsidR="00C40118" w:rsidRPr="0055097C" w:rsidRDefault="00C40118" w:rsidP="00C40118">
      <w:pPr>
        <w:ind w:right="-518"/>
        <w:contextualSpacing/>
        <w:rPr>
          <w:rFonts w:cs="Arial"/>
          <w:sz w:val="20"/>
          <w:szCs w:val="20"/>
        </w:rPr>
      </w:pPr>
    </w:p>
    <w:p w14:paraId="16D774A1" w14:textId="77777777" w:rsidR="00C40118" w:rsidRPr="00FB07D0" w:rsidRDefault="00C40118" w:rsidP="00C40118">
      <w:pPr>
        <w:rPr>
          <w:rFonts w:cs="Arial"/>
          <w:sz w:val="24"/>
        </w:r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eastAsia="es-MX"/>
        </w:rPr>
        <w:drawing>
          <wp:inline distT="0" distB="0" distL="0" distR="0" wp14:anchorId="1CFEFDB8" wp14:editId="7D5830BD">
            <wp:extent cx="318472" cy="322419"/>
            <wp:effectExtent l="0" t="0" r="5715" b="1905"/>
            <wp:docPr id="3" name="Imagen 3" descr="C:\Users\saladeprensa\Desktop\NVOS LOGOS\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3B52CC01" wp14:editId="72691A40">
            <wp:extent cx="327704" cy="325467"/>
            <wp:effectExtent l="0" t="0" r="0" b="0"/>
            <wp:docPr id="10" name="Imagen 10" descr="C:\Users\saladeprensa\Desktop\NVOS LOGOS\I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45210BED" wp14:editId="1FD3548C">
            <wp:extent cx="321276" cy="324093"/>
            <wp:effectExtent l="0" t="0" r="3175" b="0"/>
            <wp:docPr id="13" name="Imagen 13" descr="C:\Users\saladeprensa\Desktop\NVOS LOGOS\T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095F4359" wp14:editId="26A7618F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7E567593" wp14:editId="55E9854F">
            <wp:extent cx="2323070" cy="319707"/>
            <wp:effectExtent l="0" t="0" r="1270" b="4445"/>
            <wp:docPr id="19" name="Imagen 19" descr="Icono&#10;&#10;Descripción generada automáticament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DEEC6" w14:textId="77777777" w:rsidR="00C40118" w:rsidRDefault="00C40118"/>
    <w:sectPr w:rsidR="00C40118" w:rsidSect="00881C5C">
      <w:headerReference w:type="default" r:id="rId28"/>
      <w:footerReference w:type="default" r:id="rId29"/>
      <w:footerReference w:type="first" r:id="rId30"/>
      <w:pgSz w:w="12240" w:h="15840"/>
      <w:pgMar w:top="1560" w:right="1701" w:bottom="1135" w:left="1701" w:header="426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369F" w14:textId="77777777" w:rsidR="00D27937" w:rsidRDefault="00D27937" w:rsidP="00C40118">
      <w:pPr>
        <w:spacing w:after="0" w:line="240" w:lineRule="auto"/>
      </w:pPr>
      <w:r>
        <w:separator/>
      </w:r>
    </w:p>
  </w:endnote>
  <w:endnote w:type="continuationSeparator" w:id="0">
    <w:p w14:paraId="313461B7" w14:textId="77777777" w:rsidR="00D27937" w:rsidRDefault="00D27937" w:rsidP="00C40118">
      <w:pPr>
        <w:spacing w:after="0" w:line="240" w:lineRule="auto"/>
      </w:pPr>
      <w:r>
        <w:continuationSeparator/>
      </w:r>
    </w:p>
  </w:endnote>
  <w:endnote w:type="continuationNotice" w:id="1">
    <w:p w14:paraId="20C767DC" w14:textId="77777777" w:rsidR="00D27937" w:rsidRDefault="00D279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46468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2060"/>
        <w:sz w:val="20"/>
        <w:szCs w:val="20"/>
      </w:rPr>
    </w:sdtEndPr>
    <w:sdtContent>
      <w:p w14:paraId="6AE16A35" w14:textId="77777777" w:rsidR="001155F4" w:rsidRPr="00E778B1" w:rsidRDefault="00953A7C">
        <w:pPr>
          <w:pStyle w:val="Piedepgina"/>
          <w:jc w:val="center"/>
          <w:rPr>
            <w:rFonts w:ascii="Arial" w:hAnsi="Arial" w:cs="Arial"/>
            <w:b/>
            <w:color w:val="002060"/>
            <w:sz w:val="20"/>
            <w:szCs w:val="20"/>
          </w:rPr>
        </w:pPr>
        <w:r w:rsidRPr="00E778B1">
          <w:rPr>
            <w:rFonts w:ascii="Arial" w:hAnsi="Arial" w:cs="Arial"/>
            <w:b/>
            <w:color w:val="002060"/>
            <w:sz w:val="20"/>
            <w:szCs w:val="20"/>
          </w:rPr>
          <w:t>COMUNICACIÓN SOCIAL</w:t>
        </w:r>
      </w:p>
    </w:sdtContent>
  </w:sdt>
  <w:p w14:paraId="64B46777" w14:textId="77777777" w:rsidR="001155F4" w:rsidRDefault="001155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461B" w14:textId="77777777" w:rsidR="001155F4" w:rsidRDefault="001155F4">
    <w:pPr>
      <w:pStyle w:val="Piedepgina"/>
      <w:jc w:val="right"/>
    </w:pPr>
  </w:p>
  <w:p w14:paraId="4BEA2E7C" w14:textId="77777777" w:rsidR="001155F4" w:rsidRDefault="001155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07E9" w14:textId="77777777" w:rsidR="00D27937" w:rsidRDefault="00D27937" w:rsidP="00C40118">
      <w:pPr>
        <w:spacing w:after="0" w:line="240" w:lineRule="auto"/>
      </w:pPr>
      <w:r>
        <w:separator/>
      </w:r>
    </w:p>
  </w:footnote>
  <w:footnote w:type="continuationSeparator" w:id="0">
    <w:p w14:paraId="36A5CF00" w14:textId="77777777" w:rsidR="00D27937" w:rsidRDefault="00D27937" w:rsidP="00C40118">
      <w:pPr>
        <w:spacing w:after="0" w:line="240" w:lineRule="auto"/>
      </w:pPr>
      <w:r>
        <w:continuationSeparator/>
      </w:r>
    </w:p>
  </w:footnote>
  <w:footnote w:type="continuationNotice" w:id="1">
    <w:p w14:paraId="1B7AA0F3" w14:textId="77777777" w:rsidR="00D27937" w:rsidRDefault="00D27937">
      <w:pPr>
        <w:spacing w:after="0" w:line="240" w:lineRule="auto"/>
      </w:pPr>
    </w:p>
  </w:footnote>
  <w:footnote w:id="2">
    <w:p w14:paraId="73B13760" w14:textId="63E9F0CE" w:rsidR="00E13904" w:rsidRPr="0038363C" w:rsidRDefault="00E13904" w:rsidP="00E13904">
      <w:pPr>
        <w:pStyle w:val="Textonotapie"/>
        <w:ind w:left="-336" w:right="-518" w:hanging="231"/>
        <w:jc w:val="both"/>
        <w:rPr>
          <w:rFonts w:ascii="Arial" w:hAnsi="Arial" w:cs="Arial"/>
          <w:sz w:val="16"/>
          <w:szCs w:val="16"/>
        </w:rPr>
      </w:pPr>
      <w:r w:rsidRPr="0038363C">
        <w:rPr>
          <w:rStyle w:val="Refdenotaalpie"/>
          <w:rFonts w:ascii="Arial" w:hAnsi="Arial" w:cs="Arial"/>
          <w:sz w:val="16"/>
          <w:szCs w:val="16"/>
        </w:rPr>
        <w:footnoteRef/>
      </w:r>
      <w:r w:rsidRPr="0038363C">
        <w:rPr>
          <w:rFonts w:ascii="Arial" w:hAnsi="Arial" w:cs="Arial"/>
          <w:sz w:val="16"/>
          <w:szCs w:val="16"/>
        </w:rPr>
        <w:t xml:space="preserve"> Incluye cual</w:t>
      </w:r>
      <w:r w:rsidR="00E6235A">
        <w:rPr>
          <w:rFonts w:ascii="Arial" w:hAnsi="Arial" w:cs="Arial"/>
          <w:sz w:val="16"/>
          <w:szCs w:val="16"/>
        </w:rPr>
        <w:t>es</w:t>
      </w:r>
      <w:r w:rsidRPr="0038363C">
        <w:rPr>
          <w:rFonts w:ascii="Arial" w:hAnsi="Arial" w:cs="Arial"/>
          <w:sz w:val="16"/>
          <w:szCs w:val="16"/>
        </w:rPr>
        <w:t>quiera de los productos que constituyan activos fijos, pero que no han sido recogidos en ninguna de las partidas específicas mencionadas anteriormente.</w:t>
      </w:r>
    </w:p>
  </w:footnote>
  <w:footnote w:id="3">
    <w:p w14:paraId="3A745B0E" w14:textId="66254933" w:rsidR="00A51CD8" w:rsidRDefault="00A51CD8" w:rsidP="006713D3">
      <w:pPr>
        <w:pStyle w:val="Textonotapie"/>
        <w:ind w:left="-284" w:right="-518" w:hanging="231"/>
        <w:jc w:val="both"/>
      </w:pPr>
      <w:r w:rsidRPr="00EC2EED">
        <w:rPr>
          <w:rStyle w:val="Refdenotaalpie"/>
          <w:rFonts w:ascii="Arial" w:hAnsi="Arial" w:cs="Arial"/>
          <w:sz w:val="16"/>
          <w:szCs w:val="16"/>
        </w:rPr>
        <w:footnoteRef/>
      </w:r>
      <w:r w:rsidRPr="00EC2EED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="00423118" w:rsidRPr="006713D3">
        <w:rPr>
          <w:rFonts w:ascii="Arial" w:hAnsi="Arial" w:cs="Arial"/>
          <w:sz w:val="16"/>
          <w:szCs w:val="16"/>
        </w:rPr>
        <w:t>Ídem</w:t>
      </w:r>
    </w:p>
  </w:footnote>
  <w:footnote w:id="4">
    <w:p w14:paraId="6E4F0E57" w14:textId="3F7611C1" w:rsidR="00C12832" w:rsidRPr="0010195C" w:rsidRDefault="00C12832" w:rsidP="00C12832">
      <w:pPr>
        <w:pStyle w:val="Textonotapie"/>
        <w:ind w:left="-336" w:hanging="90"/>
        <w:rPr>
          <w:rStyle w:val="Refdenotaalpie"/>
          <w:rFonts w:ascii="Arial" w:hAnsi="Arial" w:cs="Arial"/>
          <w:sz w:val="16"/>
          <w:szCs w:val="16"/>
        </w:rPr>
      </w:pPr>
      <w:r w:rsidRPr="0010195C">
        <w:rPr>
          <w:rStyle w:val="Refdenotaalpie"/>
          <w:rFonts w:ascii="Arial" w:hAnsi="Arial" w:cs="Arial"/>
          <w:sz w:val="16"/>
          <w:szCs w:val="16"/>
        </w:rPr>
        <w:footnoteRef/>
      </w:r>
      <w:r w:rsidRPr="0010195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10195C">
        <w:rPr>
          <w:rFonts w:ascii="Arial" w:hAnsi="Arial" w:cs="Arial"/>
          <w:sz w:val="16"/>
          <w:szCs w:val="16"/>
        </w:rPr>
        <w:t>Ídem</w:t>
      </w:r>
    </w:p>
  </w:footnote>
  <w:footnote w:id="5">
    <w:p w14:paraId="4FABF084" w14:textId="77777777" w:rsidR="0041253C" w:rsidRPr="00C472F1" w:rsidRDefault="0041253C" w:rsidP="0041253C">
      <w:pPr>
        <w:pStyle w:val="Textonotapie"/>
        <w:ind w:left="-426"/>
        <w:rPr>
          <w:rFonts w:ascii="Arial" w:hAnsi="Arial" w:cs="Arial"/>
        </w:rPr>
      </w:pPr>
      <w:r w:rsidRPr="0010195C">
        <w:rPr>
          <w:rStyle w:val="Refdenotaalpie"/>
          <w:rFonts w:ascii="Arial" w:hAnsi="Arial" w:cs="Arial"/>
          <w:sz w:val="16"/>
          <w:szCs w:val="16"/>
        </w:rPr>
        <w:footnoteRef/>
      </w:r>
      <w:r w:rsidRPr="0010195C">
        <w:rPr>
          <w:rFonts w:ascii="Arial" w:hAnsi="Arial" w:cs="Arial"/>
          <w:sz w:val="16"/>
          <w:szCs w:val="16"/>
        </w:rPr>
        <w:t xml:space="preserve"> Ídem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3088" w14:textId="01CA367F" w:rsidR="001155F4" w:rsidRPr="00FE1C98" w:rsidRDefault="00953A7C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9112959" wp14:editId="3105F97F">
          <wp:simplePos x="0" y="0"/>
          <wp:positionH relativeFrom="margin">
            <wp:posOffset>-297815</wp:posOffset>
          </wp:positionH>
          <wp:positionV relativeFrom="topMargin">
            <wp:posOffset>266700</wp:posOffset>
          </wp:positionV>
          <wp:extent cx="695325" cy="721995"/>
          <wp:effectExtent l="0" t="0" r="9525" b="190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C</w:t>
    </w:r>
    <w:r w:rsidRPr="00FE1C98">
      <w:rPr>
        <w:rFonts w:ascii="Arial" w:hAnsi="Arial"/>
        <w:b/>
        <w:color w:val="002060"/>
        <w:sz w:val="24"/>
      </w:rPr>
      <w:t>OMUNICADO DE PRENSA NÚM.</w:t>
    </w:r>
    <w:r>
      <w:rPr>
        <w:rFonts w:ascii="Arial" w:hAnsi="Arial"/>
        <w:b/>
        <w:color w:val="002060"/>
        <w:sz w:val="24"/>
      </w:rPr>
      <w:t xml:space="preserve"> </w:t>
    </w:r>
    <w:r w:rsidR="00AE5B9B">
      <w:rPr>
        <w:rFonts w:ascii="Arial" w:hAnsi="Arial"/>
        <w:b/>
        <w:color w:val="002060"/>
        <w:sz w:val="24"/>
      </w:rPr>
      <w:t>203</w:t>
    </w:r>
    <w:r w:rsidR="00D5500B" w:rsidRPr="00D5500B">
      <w:rPr>
        <w:rFonts w:ascii="Arial" w:hAnsi="Arial"/>
        <w:b/>
        <w:color w:val="002060"/>
        <w:sz w:val="24"/>
      </w:rPr>
      <w:t>/2</w:t>
    </w:r>
    <w:r w:rsidR="00382D2F">
      <w:rPr>
        <w:rFonts w:ascii="Arial" w:hAnsi="Arial"/>
        <w:b/>
        <w:color w:val="002060"/>
        <w:sz w:val="24"/>
      </w:rPr>
      <w:t>3</w:t>
    </w:r>
  </w:p>
  <w:p w14:paraId="7A24BC67" w14:textId="02B1480A" w:rsidR="001155F4" w:rsidRPr="00FE1C98" w:rsidRDefault="00953A7C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 xml:space="preserve"> </w:t>
    </w:r>
    <w:r w:rsidR="00382D2F">
      <w:rPr>
        <w:rFonts w:ascii="Arial" w:hAnsi="Arial"/>
        <w:b/>
        <w:color w:val="002060"/>
        <w:sz w:val="24"/>
        <w:lang w:val="pt-BR"/>
      </w:rPr>
      <w:t>2</w:t>
    </w:r>
    <w:r w:rsidR="00EC2EED">
      <w:rPr>
        <w:rFonts w:ascii="Arial" w:hAnsi="Arial"/>
        <w:b/>
        <w:color w:val="002060"/>
        <w:sz w:val="24"/>
        <w:lang w:val="pt-BR"/>
      </w:rPr>
      <w:t>4</w:t>
    </w:r>
    <w:r>
      <w:rPr>
        <w:rFonts w:ascii="Arial" w:hAnsi="Arial"/>
        <w:b/>
        <w:color w:val="002060"/>
        <w:sz w:val="24"/>
        <w:lang w:val="pt-BR"/>
      </w:rPr>
      <w:t xml:space="preserve"> DE </w:t>
    </w:r>
    <w:r w:rsidR="00382D2F">
      <w:rPr>
        <w:rFonts w:ascii="Arial" w:hAnsi="Arial"/>
        <w:b/>
        <w:color w:val="002060"/>
        <w:sz w:val="24"/>
        <w:lang w:val="pt-BR"/>
      </w:rPr>
      <w:t>ABRIL</w:t>
    </w:r>
    <w:r>
      <w:rPr>
        <w:rFonts w:ascii="Arial" w:hAnsi="Arial"/>
        <w:b/>
        <w:color w:val="002060"/>
        <w:sz w:val="24"/>
        <w:lang w:val="pt-BR"/>
      </w:rPr>
      <w:t xml:space="preserve"> DE 202</w:t>
    </w:r>
    <w:r w:rsidR="00382D2F">
      <w:rPr>
        <w:rFonts w:ascii="Arial" w:hAnsi="Arial"/>
        <w:b/>
        <w:color w:val="002060"/>
        <w:sz w:val="24"/>
        <w:lang w:val="pt-BR"/>
      </w:rPr>
      <w:t>3</w:t>
    </w:r>
  </w:p>
  <w:p w14:paraId="6E5CA3F1" w14:textId="795E4FDC" w:rsidR="001155F4" w:rsidRDefault="00953A7C">
    <w:pPr>
      <w:pStyle w:val="Encabezado"/>
      <w:ind w:right="-518"/>
      <w:jc w:val="right"/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 w:rsidR="00990C01">
      <w:rPr>
        <w:rFonts w:ascii="Arial" w:hAnsi="Arial"/>
        <w:b/>
        <w:color w:val="002060"/>
        <w:sz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5C37"/>
    <w:multiLevelType w:val="hybridMultilevel"/>
    <w:tmpl w:val="E8606B84"/>
    <w:lvl w:ilvl="0" w:tplc="08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5B1C07B0"/>
    <w:multiLevelType w:val="hybridMultilevel"/>
    <w:tmpl w:val="166ECB2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513808124">
    <w:abstractNumId w:val="1"/>
  </w:num>
  <w:num w:numId="2" w16cid:durableId="183363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0355C"/>
    <w:rsid w:val="000036D4"/>
    <w:rsid w:val="00005F54"/>
    <w:rsid w:val="000078CC"/>
    <w:rsid w:val="00011A60"/>
    <w:rsid w:val="0001731F"/>
    <w:rsid w:val="00021B66"/>
    <w:rsid w:val="00022136"/>
    <w:rsid w:val="00027D36"/>
    <w:rsid w:val="00030D26"/>
    <w:rsid w:val="00030FF0"/>
    <w:rsid w:val="00037A45"/>
    <w:rsid w:val="00041A65"/>
    <w:rsid w:val="000522BA"/>
    <w:rsid w:val="00052F6E"/>
    <w:rsid w:val="00054862"/>
    <w:rsid w:val="0005752C"/>
    <w:rsid w:val="00057AEC"/>
    <w:rsid w:val="00064705"/>
    <w:rsid w:val="00065C1E"/>
    <w:rsid w:val="000721CE"/>
    <w:rsid w:val="000756B0"/>
    <w:rsid w:val="0007777B"/>
    <w:rsid w:val="00077851"/>
    <w:rsid w:val="00083AB1"/>
    <w:rsid w:val="000854E1"/>
    <w:rsid w:val="00091D3D"/>
    <w:rsid w:val="00092887"/>
    <w:rsid w:val="00092D8D"/>
    <w:rsid w:val="000A1C66"/>
    <w:rsid w:val="000A3B71"/>
    <w:rsid w:val="000A44D3"/>
    <w:rsid w:val="000A78A6"/>
    <w:rsid w:val="000B0492"/>
    <w:rsid w:val="000B6FD3"/>
    <w:rsid w:val="000C49C6"/>
    <w:rsid w:val="000D2900"/>
    <w:rsid w:val="000D3970"/>
    <w:rsid w:val="000D3FD8"/>
    <w:rsid w:val="000D5294"/>
    <w:rsid w:val="000D58D9"/>
    <w:rsid w:val="000D7B32"/>
    <w:rsid w:val="000E3C97"/>
    <w:rsid w:val="000E551B"/>
    <w:rsid w:val="000E60AF"/>
    <w:rsid w:val="000E644E"/>
    <w:rsid w:val="000F0CCD"/>
    <w:rsid w:val="000F6642"/>
    <w:rsid w:val="000F6A33"/>
    <w:rsid w:val="001003F8"/>
    <w:rsid w:val="0010195C"/>
    <w:rsid w:val="00101F42"/>
    <w:rsid w:val="00112850"/>
    <w:rsid w:val="001155F4"/>
    <w:rsid w:val="0012356F"/>
    <w:rsid w:val="001261F8"/>
    <w:rsid w:val="001267D8"/>
    <w:rsid w:val="00127116"/>
    <w:rsid w:val="00133568"/>
    <w:rsid w:val="001363D7"/>
    <w:rsid w:val="00137350"/>
    <w:rsid w:val="00141BC2"/>
    <w:rsid w:val="0015131F"/>
    <w:rsid w:val="00151CA3"/>
    <w:rsid w:val="00151E5A"/>
    <w:rsid w:val="00152CFC"/>
    <w:rsid w:val="00153D71"/>
    <w:rsid w:val="0015644F"/>
    <w:rsid w:val="00156AD3"/>
    <w:rsid w:val="00156FF0"/>
    <w:rsid w:val="00157507"/>
    <w:rsid w:val="0015791B"/>
    <w:rsid w:val="00170CE4"/>
    <w:rsid w:val="00176A20"/>
    <w:rsid w:val="00177592"/>
    <w:rsid w:val="00181E36"/>
    <w:rsid w:val="0018587F"/>
    <w:rsid w:val="00192693"/>
    <w:rsid w:val="00192BB2"/>
    <w:rsid w:val="00194C88"/>
    <w:rsid w:val="001A142D"/>
    <w:rsid w:val="001A23CC"/>
    <w:rsid w:val="001B1512"/>
    <w:rsid w:val="001B5601"/>
    <w:rsid w:val="001B5D0A"/>
    <w:rsid w:val="001B6C4E"/>
    <w:rsid w:val="001C2045"/>
    <w:rsid w:val="001C373C"/>
    <w:rsid w:val="001C5101"/>
    <w:rsid w:val="001C5B91"/>
    <w:rsid w:val="001D55F3"/>
    <w:rsid w:val="001E4EDF"/>
    <w:rsid w:val="001F161A"/>
    <w:rsid w:val="001F275A"/>
    <w:rsid w:val="001F2AD2"/>
    <w:rsid w:val="001F6AE6"/>
    <w:rsid w:val="001F75BE"/>
    <w:rsid w:val="00202AF2"/>
    <w:rsid w:val="002058CF"/>
    <w:rsid w:val="00206CDC"/>
    <w:rsid w:val="00216EB8"/>
    <w:rsid w:val="002239C1"/>
    <w:rsid w:val="002246A9"/>
    <w:rsid w:val="00224744"/>
    <w:rsid w:val="00231EA4"/>
    <w:rsid w:val="00236114"/>
    <w:rsid w:val="002435CE"/>
    <w:rsid w:val="00245078"/>
    <w:rsid w:val="00245193"/>
    <w:rsid w:val="002453DE"/>
    <w:rsid w:val="0025052F"/>
    <w:rsid w:val="00252FDB"/>
    <w:rsid w:val="0025447E"/>
    <w:rsid w:val="0025545A"/>
    <w:rsid w:val="00257F1C"/>
    <w:rsid w:val="00263236"/>
    <w:rsid w:val="002634D7"/>
    <w:rsid w:val="00264139"/>
    <w:rsid w:val="0027312B"/>
    <w:rsid w:val="00275BEB"/>
    <w:rsid w:val="00277741"/>
    <w:rsid w:val="00284CD9"/>
    <w:rsid w:val="00286AE7"/>
    <w:rsid w:val="0029148D"/>
    <w:rsid w:val="0029152E"/>
    <w:rsid w:val="002932B9"/>
    <w:rsid w:val="002940F8"/>
    <w:rsid w:val="00294632"/>
    <w:rsid w:val="00294D5B"/>
    <w:rsid w:val="002A3F06"/>
    <w:rsid w:val="002A5548"/>
    <w:rsid w:val="002A5F2B"/>
    <w:rsid w:val="002B1B4B"/>
    <w:rsid w:val="002B4A78"/>
    <w:rsid w:val="002B6750"/>
    <w:rsid w:val="002D3415"/>
    <w:rsid w:val="002D5AED"/>
    <w:rsid w:val="002E2940"/>
    <w:rsid w:val="002F151A"/>
    <w:rsid w:val="00301E41"/>
    <w:rsid w:val="003041CA"/>
    <w:rsid w:val="00306261"/>
    <w:rsid w:val="00322BFC"/>
    <w:rsid w:val="0032311E"/>
    <w:rsid w:val="00324094"/>
    <w:rsid w:val="0032478A"/>
    <w:rsid w:val="00327638"/>
    <w:rsid w:val="00327CAF"/>
    <w:rsid w:val="00352D25"/>
    <w:rsid w:val="003549C5"/>
    <w:rsid w:val="003550A2"/>
    <w:rsid w:val="00367850"/>
    <w:rsid w:val="00372062"/>
    <w:rsid w:val="003776C3"/>
    <w:rsid w:val="00382D2F"/>
    <w:rsid w:val="0038534D"/>
    <w:rsid w:val="003A098E"/>
    <w:rsid w:val="003B52A1"/>
    <w:rsid w:val="003B6CD8"/>
    <w:rsid w:val="003C36DE"/>
    <w:rsid w:val="003D5D42"/>
    <w:rsid w:val="003D6D16"/>
    <w:rsid w:val="003D77E7"/>
    <w:rsid w:val="003E1764"/>
    <w:rsid w:val="003E41EE"/>
    <w:rsid w:val="003F1A81"/>
    <w:rsid w:val="003F29E7"/>
    <w:rsid w:val="003F5350"/>
    <w:rsid w:val="00404DBB"/>
    <w:rsid w:val="0040509A"/>
    <w:rsid w:val="0040576C"/>
    <w:rsid w:val="0041253C"/>
    <w:rsid w:val="00415C72"/>
    <w:rsid w:val="004221E3"/>
    <w:rsid w:val="00423118"/>
    <w:rsid w:val="00423697"/>
    <w:rsid w:val="00425CAB"/>
    <w:rsid w:val="00431B25"/>
    <w:rsid w:val="00432A2E"/>
    <w:rsid w:val="00434703"/>
    <w:rsid w:val="0043537C"/>
    <w:rsid w:val="004451EC"/>
    <w:rsid w:val="00446AF0"/>
    <w:rsid w:val="004504AE"/>
    <w:rsid w:val="00450EB0"/>
    <w:rsid w:val="00455938"/>
    <w:rsid w:val="0046042D"/>
    <w:rsid w:val="00462EE2"/>
    <w:rsid w:val="004647FB"/>
    <w:rsid w:val="00466BBD"/>
    <w:rsid w:val="0047316A"/>
    <w:rsid w:val="00475BD0"/>
    <w:rsid w:val="00476EC2"/>
    <w:rsid w:val="0048063B"/>
    <w:rsid w:val="00483EE5"/>
    <w:rsid w:val="00485C6C"/>
    <w:rsid w:val="00490831"/>
    <w:rsid w:val="004B3D6B"/>
    <w:rsid w:val="004B6751"/>
    <w:rsid w:val="004C06D4"/>
    <w:rsid w:val="004C25BB"/>
    <w:rsid w:val="004C727C"/>
    <w:rsid w:val="004C767E"/>
    <w:rsid w:val="004C7DE6"/>
    <w:rsid w:val="004D4814"/>
    <w:rsid w:val="004E0625"/>
    <w:rsid w:val="004E0FAA"/>
    <w:rsid w:val="004E17C2"/>
    <w:rsid w:val="004E1C40"/>
    <w:rsid w:val="004E1F06"/>
    <w:rsid w:val="004E3BB3"/>
    <w:rsid w:val="004E4A1D"/>
    <w:rsid w:val="004E4A9A"/>
    <w:rsid w:val="004E4BBA"/>
    <w:rsid w:val="004F7B3A"/>
    <w:rsid w:val="00500254"/>
    <w:rsid w:val="00501890"/>
    <w:rsid w:val="00504B27"/>
    <w:rsid w:val="00505577"/>
    <w:rsid w:val="00505817"/>
    <w:rsid w:val="00507759"/>
    <w:rsid w:val="00510883"/>
    <w:rsid w:val="005132A9"/>
    <w:rsid w:val="0051692A"/>
    <w:rsid w:val="00516AA0"/>
    <w:rsid w:val="00517542"/>
    <w:rsid w:val="00517975"/>
    <w:rsid w:val="00525CBF"/>
    <w:rsid w:val="005330AD"/>
    <w:rsid w:val="00544F82"/>
    <w:rsid w:val="005453D1"/>
    <w:rsid w:val="00560E62"/>
    <w:rsid w:val="00562CED"/>
    <w:rsid w:val="00565C9F"/>
    <w:rsid w:val="005666AD"/>
    <w:rsid w:val="0057289A"/>
    <w:rsid w:val="00575151"/>
    <w:rsid w:val="00577593"/>
    <w:rsid w:val="00584835"/>
    <w:rsid w:val="0059305C"/>
    <w:rsid w:val="00593EF8"/>
    <w:rsid w:val="00594BC1"/>
    <w:rsid w:val="00596223"/>
    <w:rsid w:val="005A2999"/>
    <w:rsid w:val="005A78BE"/>
    <w:rsid w:val="005B0D22"/>
    <w:rsid w:val="005B16DF"/>
    <w:rsid w:val="005B704C"/>
    <w:rsid w:val="005C00C2"/>
    <w:rsid w:val="005C30B0"/>
    <w:rsid w:val="005D1C36"/>
    <w:rsid w:val="005D5FF0"/>
    <w:rsid w:val="005E0F4A"/>
    <w:rsid w:val="005E7F2B"/>
    <w:rsid w:val="005F4700"/>
    <w:rsid w:val="0060073B"/>
    <w:rsid w:val="00602BA1"/>
    <w:rsid w:val="006034E3"/>
    <w:rsid w:val="00606C8F"/>
    <w:rsid w:val="006076AC"/>
    <w:rsid w:val="006155E8"/>
    <w:rsid w:val="00615AAB"/>
    <w:rsid w:val="0062548A"/>
    <w:rsid w:val="00636CBD"/>
    <w:rsid w:val="00642F53"/>
    <w:rsid w:val="00645C01"/>
    <w:rsid w:val="00645E2F"/>
    <w:rsid w:val="00647B6D"/>
    <w:rsid w:val="006532B4"/>
    <w:rsid w:val="00664CBF"/>
    <w:rsid w:val="006669CA"/>
    <w:rsid w:val="006713D3"/>
    <w:rsid w:val="006735AA"/>
    <w:rsid w:val="0068214B"/>
    <w:rsid w:val="00685B05"/>
    <w:rsid w:val="00694144"/>
    <w:rsid w:val="0069682C"/>
    <w:rsid w:val="006A0134"/>
    <w:rsid w:val="006A531D"/>
    <w:rsid w:val="006A6BDA"/>
    <w:rsid w:val="006B1E16"/>
    <w:rsid w:val="006B21B5"/>
    <w:rsid w:val="006C53F2"/>
    <w:rsid w:val="006D3456"/>
    <w:rsid w:val="006D4748"/>
    <w:rsid w:val="006D6915"/>
    <w:rsid w:val="006E358A"/>
    <w:rsid w:val="006E4A49"/>
    <w:rsid w:val="006E69EE"/>
    <w:rsid w:val="006F297E"/>
    <w:rsid w:val="006F3AE1"/>
    <w:rsid w:val="006F4095"/>
    <w:rsid w:val="006F439A"/>
    <w:rsid w:val="006F62A5"/>
    <w:rsid w:val="00703817"/>
    <w:rsid w:val="0071086E"/>
    <w:rsid w:val="00715E4A"/>
    <w:rsid w:val="0072175D"/>
    <w:rsid w:val="007242F2"/>
    <w:rsid w:val="00724B12"/>
    <w:rsid w:val="00725B5C"/>
    <w:rsid w:val="0073108F"/>
    <w:rsid w:val="007323A2"/>
    <w:rsid w:val="00733D7E"/>
    <w:rsid w:val="00734062"/>
    <w:rsid w:val="00734119"/>
    <w:rsid w:val="00740E5A"/>
    <w:rsid w:val="00741F16"/>
    <w:rsid w:val="00750684"/>
    <w:rsid w:val="00752C81"/>
    <w:rsid w:val="00753452"/>
    <w:rsid w:val="007629EA"/>
    <w:rsid w:val="00767231"/>
    <w:rsid w:val="00775254"/>
    <w:rsid w:val="00775CF4"/>
    <w:rsid w:val="0078255F"/>
    <w:rsid w:val="00793629"/>
    <w:rsid w:val="0079731B"/>
    <w:rsid w:val="007A5CEF"/>
    <w:rsid w:val="007A6E6C"/>
    <w:rsid w:val="007B6235"/>
    <w:rsid w:val="007C1E50"/>
    <w:rsid w:val="007C46D3"/>
    <w:rsid w:val="007E0E8C"/>
    <w:rsid w:val="007E228B"/>
    <w:rsid w:val="007E4A45"/>
    <w:rsid w:val="007E5498"/>
    <w:rsid w:val="007E5AA9"/>
    <w:rsid w:val="007F5E07"/>
    <w:rsid w:val="007F7271"/>
    <w:rsid w:val="00800945"/>
    <w:rsid w:val="00801AC4"/>
    <w:rsid w:val="0081554D"/>
    <w:rsid w:val="008229A9"/>
    <w:rsid w:val="008231A0"/>
    <w:rsid w:val="008232E4"/>
    <w:rsid w:val="00826EAB"/>
    <w:rsid w:val="00832C72"/>
    <w:rsid w:val="00840785"/>
    <w:rsid w:val="00840832"/>
    <w:rsid w:val="00840DF0"/>
    <w:rsid w:val="00850B8B"/>
    <w:rsid w:val="00851A9E"/>
    <w:rsid w:val="00860F4A"/>
    <w:rsid w:val="008618F6"/>
    <w:rsid w:val="008712DD"/>
    <w:rsid w:val="00874D15"/>
    <w:rsid w:val="008764FC"/>
    <w:rsid w:val="00881C5C"/>
    <w:rsid w:val="00887357"/>
    <w:rsid w:val="00890DF7"/>
    <w:rsid w:val="00891CF1"/>
    <w:rsid w:val="00892712"/>
    <w:rsid w:val="00895555"/>
    <w:rsid w:val="008A0BAC"/>
    <w:rsid w:val="008A2A8A"/>
    <w:rsid w:val="008A3893"/>
    <w:rsid w:val="008A445D"/>
    <w:rsid w:val="008A6092"/>
    <w:rsid w:val="008A61CA"/>
    <w:rsid w:val="008B0EC4"/>
    <w:rsid w:val="008B10F8"/>
    <w:rsid w:val="008B30B3"/>
    <w:rsid w:val="008B3605"/>
    <w:rsid w:val="008B364F"/>
    <w:rsid w:val="008B3CCB"/>
    <w:rsid w:val="008B4868"/>
    <w:rsid w:val="008B6090"/>
    <w:rsid w:val="008C0A0C"/>
    <w:rsid w:val="008C390A"/>
    <w:rsid w:val="008C7AB2"/>
    <w:rsid w:val="008D15C2"/>
    <w:rsid w:val="008E011A"/>
    <w:rsid w:val="008E54D6"/>
    <w:rsid w:val="008F2F6D"/>
    <w:rsid w:val="008F718D"/>
    <w:rsid w:val="00906769"/>
    <w:rsid w:val="00911CAC"/>
    <w:rsid w:val="009157B1"/>
    <w:rsid w:val="00915912"/>
    <w:rsid w:val="00915EC1"/>
    <w:rsid w:val="00916521"/>
    <w:rsid w:val="00921746"/>
    <w:rsid w:val="00921B34"/>
    <w:rsid w:val="009251FF"/>
    <w:rsid w:val="009261EB"/>
    <w:rsid w:val="00935206"/>
    <w:rsid w:val="00940B96"/>
    <w:rsid w:val="00940CE6"/>
    <w:rsid w:val="009516D7"/>
    <w:rsid w:val="00953A7C"/>
    <w:rsid w:val="00957D6C"/>
    <w:rsid w:val="00961352"/>
    <w:rsid w:val="00962DFB"/>
    <w:rsid w:val="00964177"/>
    <w:rsid w:val="0096511D"/>
    <w:rsid w:val="00966BC6"/>
    <w:rsid w:val="00967163"/>
    <w:rsid w:val="00980209"/>
    <w:rsid w:val="0098129E"/>
    <w:rsid w:val="00984203"/>
    <w:rsid w:val="00986519"/>
    <w:rsid w:val="00990C01"/>
    <w:rsid w:val="00993187"/>
    <w:rsid w:val="00996796"/>
    <w:rsid w:val="009A1D0F"/>
    <w:rsid w:val="009C292F"/>
    <w:rsid w:val="009C3E94"/>
    <w:rsid w:val="009C5ED1"/>
    <w:rsid w:val="009C700E"/>
    <w:rsid w:val="009D219E"/>
    <w:rsid w:val="009D36A1"/>
    <w:rsid w:val="009D3A34"/>
    <w:rsid w:val="009D4E82"/>
    <w:rsid w:val="009E379A"/>
    <w:rsid w:val="009F237C"/>
    <w:rsid w:val="009F59B6"/>
    <w:rsid w:val="00A01FAC"/>
    <w:rsid w:val="00A020AE"/>
    <w:rsid w:val="00A033D3"/>
    <w:rsid w:val="00A03915"/>
    <w:rsid w:val="00A048EA"/>
    <w:rsid w:val="00A049F7"/>
    <w:rsid w:val="00A06BB2"/>
    <w:rsid w:val="00A13013"/>
    <w:rsid w:val="00A14E1B"/>
    <w:rsid w:val="00A15CBB"/>
    <w:rsid w:val="00A17830"/>
    <w:rsid w:val="00A23D5E"/>
    <w:rsid w:val="00A26DD6"/>
    <w:rsid w:val="00A34D04"/>
    <w:rsid w:val="00A41DAB"/>
    <w:rsid w:val="00A45471"/>
    <w:rsid w:val="00A512B9"/>
    <w:rsid w:val="00A51CD8"/>
    <w:rsid w:val="00A57ADA"/>
    <w:rsid w:val="00A6150B"/>
    <w:rsid w:val="00A675BE"/>
    <w:rsid w:val="00A73489"/>
    <w:rsid w:val="00A7465C"/>
    <w:rsid w:val="00A755D8"/>
    <w:rsid w:val="00A8747D"/>
    <w:rsid w:val="00AB005E"/>
    <w:rsid w:val="00AB1F4E"/>
    <w:rsid w:val="00AB33E3"/>
    <w:rsid w:val="00AC1879"/>
    <w:rsid w:val="00AC1DDA"/>
    <w:rsid w:val="00AC32E5"/>
    <w:rsid w:val="00AC3E5D"/>
    <w:rsid w:val="00AC49E1"/>
    <w:rsid w:val="00AC58F2"/>
    <w:rsid w:val="00AC5A33"/>
    <w:rsid w:val="00AD0990"/>
    <w:rsid w:val="00AD0F28"/>
    <w:rsid w:val="00AD0F9E"/>
    <w:rsid w:val="00AD671E"/>
    <w:rsid w:val="00AE0E5E"/>
    <w:rsid w:val="00AE11C2"/>
    <w:rsid w:val="00AE5B9B"/>
    <w:rsid w:val="00AE5F6A"/>
    <w:rsid w:val="00AE7BC5"/>
    <w:rsid w:val="00AF2E4C"/>
    <w:rsid w:val="00AF37C6"/>
    <w:rsid w:val="00AF709D"/>
    <w:rsid w:val="00B03070"/>
    <w:rsid w:val="00B0324B"/>
    <w:rsid w:val="00B049A0"/>
    <w:rsid w:val="00B074DC"/>
    <w:rsid w:val="00B13820"/>
    <w:rsid w:val="00B16D87"/>
    <w:rsid w:val="00B17BD3"/>
    <w:rsid w:val="00B17D23"/>
    <w:rsid w:val="00B21AF1"/>
    <w:rsid w:val="00B22C5F"/>
    <w:rsid w:val="00B24D33"/>
    <w:rsid w:val="00B267DD"/>
    <w:rsid w:val="00B274F5"/>
    <w:rsid w:val="00B32A72"/>
    <w:rsid w:val="00B33F47"/>
    <w:rsid w:val="00B42CAA"/>
    <w:rsid w:val="00B46AF3"/>
    <w:rsid w:val="00B51648"/>
    <w:rsid w:val="00B5450C"/>
    <w:rsid w:val="00B62794"/>
    <w:rsid w:val="00B6295A"/>
    <w:rsid w:val="00B664FE"/>
    <w:rsid w:val="00B66A9C"/>
    <w:rsid w:val="00B71B55"/>
    <w:rsid w:val="00B85180"/>
    <w:rsid w:val="00B85ADE"/>
    <w:rsid w:val="00B870DB"/>
    <w:rsid w:val="00B958C2"/>
    <w:rsid w:val="00BA78DA"/>
    <w:rsid w:val="00BB1847"/>
    <w:rsid w:val="00BC1C7A"/>
    <w:rsid w:val="00BC1C7E"/>
    <w:rsid w:val="00BC2E0F"/>
    <w:rsid w:val="00BC3455"/>
    <w:rsid w:val="00BC5F4D"/>
    <w:rsid w:val="00BD49AF"/>
    <w:rsid w:val="00BD541A"/>
    <w:rsid w:val="00BD74B1"/>
    <w:rsid w:val="00BE670B"/>
    <w:rsid w:val="00BF3251"/>
    <w:rsid w:val="00C02EB6"/>
    <w:rsid w:val="00C03D01"/>
    <w:rsid w:val="00C1206E"/>
    <w:rsid w:val="00C12832"/>
    <w:rsid w:val="00C12881"/>
    <w:rsid w:val="00C1443E"/>
    <w:rsid w:val="00C168A1"/>
    <w:rsid w:val="00C25D72"/>
    <w:rsid w:val="00C27327"/>
    <w:rsid w:val="00C3043B"/>
    <w:rsid w:val="00C37F98"/>
    <w:rsid w:val="00C40118"/>
    <w:rsid w:val="00C41CAF"/>
    <w:rsid w:val="00C441EE"/>
    <w:rsid w:val="00C50604"/>
    <w:rsid w:val="00C555CD"/>
    <w:rsid w:val="00C55DE7"/>
    <w:rsid w:val="00C57E15"/>
    <w:rsid w:val="00C64B60"/>
    <w:rsid w:val="00C64C6A"/>
    <w:rsid w:val="00C70514"/>
    <w:rsid w:val="00C74C52"/>
    <w:rsid w:val="00C82C03"/>
    <w:rsid w:val="00C86E95"/>
    <w:rsid w:val="00CA10F6"/>
    <w:rsid w:val="00CA2477"/>
    <w:rsid w:val="00CB7A2E"/>
    <w:rsid w:val="00CC1126"/>
    <w:rsid w:val="00CC3934"/>
    <w:rsid w:val="00CC4C17"/>
    <w:rsid w:val="00CC4E03"/>
    <w:rsid w:val="00CC6200"/>
    <w:rsid w:val="00CC726F"/>
    <w:rsid w:val="00CD0F41"/>
    <w:rsid w:val="00CD1107"/>
    <w:rsid w:val="00CD23DF"/>
    <w:rsid w:val="00CD2A5E"/>
    <w:rsid w:val="00CE1C8D"/>
    <w:rsid w:val="00CE2375"/>
    <w:rsid w:val="00CE2FCB"/>
    <w:rsid w:val="00CE4907"/>
    <w:rsid w:val="00CE6C9A"/>
    <w:rsid w:val="00CF1BF0"/>
    <w:rsid w:val="00CF26B9"/>
    <w:rsid w:val="00D01265"/>
    <w:rsid w:val="00D1167D"/>
    <w:rsid w:val="00D16BCB"/>
    <w:rsid w:val="00D27937"/>
    <w:rsid w:val="00D33688"/>
    <w:rsid w:val="00D34D19"/>
    <w:rsid w:val="00D35EA0"/>
    <w:rsid w:val="00D41332"/>
    <w:rsid w:val="00D458DD"/>
    <w:rsid w:val="00D50FA1"/>
    <w:rsid w:val="00D54418"/>
    <w:rsid w:val="00D5500B"/>
    <w:rsid w:val="00D5707F"/>
    <w:rsid w:val="00D60F49"/>
    <w:rsid w:val="00D67183"/>
    <w:rsid w:val="00D728E0"/>
    <w:rsid w:val="00D7787B"/>
    <w:rsid w:val="00D811A9"/>
    <w:rsid w:val="00D827B4"/>
    <w:rsid w:val="00D83209"/>
    <w:rsid w:val="00D83F61"/>
    <w:rsid w:val="00D9127D"/>
    <w:rsid w:val="00D91AFB"/>
    <w:rsid w:val="00D93F74"/>
    <w:rsid w:val="00DA09DC"/>
    <w:rsid w:val="00DA0AE6"/>
    <w:rsid w:val="00DA2963"/>
    <w:rsid w:val="00DA3840"/>
    <w:rsid w:val="00DA71F7"/>
    <w:rsid w:val="00DB03AE"/>
    <w:rsid w:val="00DB262A"/>
    <w:rsid w:val="00DC23EC"/>
    <w:rsid w:val="00DC7875"/>
    <w:rsid w:val="00DD2467"/>
    <w:rsid w:val="00DD24FA"/>
    <w:rsid w:val="00DD29A1"/>
    <w:rsid w:val="00DD4F6D"/>
    <w:rsid w:val="00DD59FD"/>
    <w:rsid w:val="00DD655E"/>
    <w:rsid w:val="00DE2679"/>
    <w:rsid w:val="00DE29BE"/>
    <w:rsid w:val="00DE3689"/>
    <w:rsid w:val="00DE4176"/>
    <w:rsid w:val="00DE5596"/>
    <w:rsid w:val="00DF69F7"/>
    <w:rsid w:val="00E00DCF"/>
    <w:rsid w:val="00E010E1"/>
    <w:rsid w:val="00E115E3"/>
    <w:rsid w:val="00E119FE"/>
    <w:rsid w:val="00E13904"/>
    <w:rsid w:val="00E166F4"/>
    <w:rsid w:val="00E17F17"/>
    <w:rsid w:val="00E232BE"/>
    <w:rsid w:val="00E263F3"/>
    <w:rsid w:val="00E270AC"/>
    <w:rsid w:val="00E30B0B"/>
    <w:rsid w:val="00E30DBD"/>
    <w:rsid w:val="00E36BE1"/>
    <w:rsid w:val="00E36CD0"/>
    <w:rsid w:val="00E4434E"/>
    <w:rsid w:val="00E50F48"/>
    <w:rsid w:val="00E51B0C"/>
    <w:rsid w:val="00E53259"/>
    <w:rsid w:val="00E533DD"/>
    <w:rsid w:val="00E56ED4"/>
    <w:rsid w:val="00E6199E"/>
    <w:rsid w:val="00E6235A"/>
    <w:rsid w:val="00E62584"/>
    <w:rsid w:val="00E62FD1"/>
    <w:rsid w:val="00E67F28"/>
    <w:rsid w:val="00E70CF8"/>
    <w:rsid w:val="00E77F5D"/>
    <w:rsid w:val="00E81083"/>
    <w:rsid w:val="00E93CCC"/>
    <w:rsid w:val="00E96438"/>
    <w:rsid w:val="00EA29B9"/>
    <w:rsid w:val="00EA41F7"/>
    <w:rsid w:val="00EA52D7"/>
    <w:rsid w:val="00EA6BFA"/>
    <w:rsid w:val="00EA6C3A"/>
    <w:rsid w:val="00EB0D10"/>
    <w:rsid w:val="00EB36AF"/>
    <w:rsid w:val="00EC2EED"/>
    <w:rsid w:val="00EC5887"/>
    <w:rsid w:val="00EC594C"/>
    <w:rsid w:val="00EC7F13"/>
    <w:rsid w:val="00ED6A72"/>
    <w:rsid w:val="00ED6D8D"/>
    <w:rsid w:val="00ED7E16"/>
    <w:rsid w:val="00EE12CA"/>
    <w:rsid w:val="00EE1513"/>
    <w:rsid w:val="00EE715C"/>
    <w:rsid w:val="00EF2929"/>
    <w:rsid w:val="00F03AE5"/>
    <w:rsid w:val="00F04C92"/>
    <w:rsid w:val="00F102B4"/>
    <w:rsid w:val="00F14639"/>
    <w:rsid w:val="00F1518F"/>
    <w:rsid w:val="00F16D3D"/>
    <w:rsid w:val="00F205E9"/>
    <w:rsid w:val="00F2213B"/>
    <w:rsid w:val="00F31D16"/>
    <w:rsid w:val="00F31FC7"/>
    <w:rsid w:val="00F33B21"/>
    <w:rsid w:val="00F34FFB"/>
    <w:rsid w:val="00F35E88"/>
    <w:rsid w:val="00F36F88"/>
    <w:rsid w:val="00F37E12"/>
    <w:rsid w:val="00F42347"/>
    <w:rsid w:val="00F511FD"/>
    <w:rsid w:val="00F55317"/>
    <w:rsid w:val="00F610F2"/>
    <w:rsid w:val="00F62356"/>
    <w:rsid w:val="00F6538F"/>
    <w:rsid w:val="00F737A4"/>
    <w:rsid w:val="00F74C2B"/>
    <w:rsid w:val="00F76863"/>
    <w:rsid w:val="00F77D26"/>
    <w:rsid w:val="00F8039F"/>
    <w:rsid w:val="00F8173F"/>
    <w:rsid w:val="00F8376A"/>
    <w:rsid w:val="00F83D85"/>
    <w:rsid w:val="00F860C5"/>
    <w:rsid w:val="00F971B8"/>
    <w:rsid w:val="00FA0480"/>
    <w:rsid w:val="00FA2DB2"/>
    <w:rsid w:val="00FA3C5E"/>
    <w:rsid w:val="00FB1066"/>
    <w:rsid w:val="00FB11F7"/>
    <w:rsid w:val="00FB40BB"/>
    <w:rsid w:val="00FC0B2A"/>
    <w:rsid w:val="00FC2E33"/>
    <w:rsid w:val="00FC7D2F"/>
    <w:rsid w:val="00FD0E31"/>
    <w:rsid w:val="00FD1893"/>
    <w:rsid w:val="00FE0607"/>
    <w:rsid w:val="00FE2304"/>
    <w:rsid w:val="00FE2948"/>
    <w:rsid w:val="00FE60E4"/>
    <w:rsid w:val="00FF23A3"/>
    <w:rsid w:val="00FF28A6"/>
    <w:rsid w:val="00FF315B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A4EC7"/>
  <w15:chartTrackingRefBased/>
  <w15:docId w15:val="{27D47E8D-C169-457A-97AB-FE210CD0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B96"/>
  </w:style>
  <w:style w:type="paragraph" w:styleId="Ttulo1">
    <w:name w:val="heading 1"/>
    <w:basedOn w:val="Normal"/>
    <w:next w:val="Normal"/>
    <w:link w:val="Ttulo1Car"/>
    <w:uiPriority w:val="9"/>
    <w:qFormat/>
    <w:rsid w:val="00C401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0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C4011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40118"/>
    <w:pPr>
      <w:tabs>
        <w:tab w:val="center" w:pos="4419"/>
        <w:tab w:val="right" w:pos="8838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0118"/>
    <w:rPr>
      <w:rFonts w:eastAsiaTheme="minorEastAsia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4011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C401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118"/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C401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C401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0118"/>
    <w:rPr>
      <w:vertAlign w:val="superscript"/>
    </w:rPr>
  </w:style>
  <w:style w:type="character" w:customStyle="1" w:styleId="A7">
    <w:name w:val="A7"/>
    <w:uiPriority w:val="99"/>
    <w:rsid w:val="00C40118"/>
    <w:rPr>
      <w:rFonts w:cs="Century Gothic"/>
      <w:color w:val="000000"/>
      <w:sz w:val="22"/>
      <w:szCs w:val="22"/>
    </w:rPr>
  </w:style>
  <w:style w:type="paragraph" w:customStyle="1" w:styleId="Default">
    <w:name w:val="Default"/>
    <w:rsid w:val="00C40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customStyle="1" w:styleId="markedcontent">
    <w:name w:val="markedcontent"/>
    <w:basedOn w:val="Fuentedeprrafopredeter"/>
    <w:rsid w:val="00C40118"/>
  </w:style>
  <w:style w:type="paragraph" w:styleId="Revisin">
    <w:name w:val="Revision"/>
    <w:hidden/>
    <w:uiPriority w:val="99"/>
    <w:semiHidden/>
    <w:rsid w:val="00C4011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B03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03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03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3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03A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BB2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7340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340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comunicacionsocial@inegi.org.mx" TargetMode="External"/><Relationship Id="rId25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www.youtube.com/user/INEGIInform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image" Target="media/image3.jpe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5.png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roman_alcaraz_inegi_org_mx/Documents/Consultas%20internacionales/Dia%20Propiedad%20Intelectu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roman_alcaraz_inegi_org_mx/Documents/Consultas%20internacionales/Dia%20Propiedad%20Intelectu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roman_alcaraz_inegi_org_mx/Documents/Consultas%20internacionales/Dia%20Propiedad%20Intelectu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roman_alcaraz_inegi_org_mx/Documents/Consultas%20internacionales/Dia%20Propiedad%20Intelectua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roman_alcaraz_inegi_org_mx/Documents/Consultas%20internacionales/Dia%20Propiedad%20Intelectu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roman_alcaraz_inegi_org_mx/Documents/Consultas%20internacionales/Dia%20Propiedad%20Intelectua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E4-4864-86C7-92A4C12D461F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E4-4864-86C7-92A4C12D461F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E4-4864-86C7-92A4C12D461F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E4-4864-86C7-92A4C12D461F}"/>
              </c:ext>
            </c:extLst>
          </c:dPt>
          <c:dLbls>
            <c:dLbl>
              <c:idx val="0"/>
              <c:layout>
                <c:manualLayout>
                  <c:x val="4.4543472775571601E-2"/>
                  <c:y val="-8.243794012049864E-2"/>
                </c:manualLayout>
              </c:layout>
              <c:tx>
                <c:rich>
                  <a:bodyPr/>
                  <a:lstStyle/>
                  <a:p>
                    <a:fld id="{CD4DE27E-72A2-4F9B-9264-D05C270C998C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, </a:t>
                    </a:r>
                  </a:p>
                  <a:p>
                    <a:r>
                      <a:rPr lang="en-US" baseline="0"/>
                      <a:t>26.4 %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1E4-4864-86C7-92A4C12D461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AD4F344-09D1-4B23-A570-98A315AC2F0F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,</a:t>
                    </a:r>
                  </a:p>
                  <a:p>
                    <a:r>
                      <a:rPr lang="en-US" baseline="0"/>
                      <a:t>52.1 %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1E4-4864-86C7-92A4C12D461F}"/>
                </c:ext>
              </c:extLst>
            </c:dLbl>
            <c:dLbl>
              <c:idx val="2"/>
              <c:layout>
                <c:manualLayout>
                  <c:x val="7.5697111922339185E-4"/>
                  <c:y val="6.1260150700340542E-2"/>
                </c:manualLayout>
              </c:layout>
              <c:tx>
                <c:rich>
                  <a:bodyPr/>
                  <a:lstStyle/>
                  <a:p>
                    <a:fld id="{58586D9A-DA7A-4701-B67D-EED0DC82713E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, </a:t>
                    </a:r>
                  </a:p>
                  <a:p>
                    <a:r>
                      <a:rPr lang="en-US" baseline="0"/>
                      <a:t>9.2 %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1E4-4864-86C7-92A4C12D461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0C80C544-2581-4519-B962-C5EAC7620943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, </a:t>
                    </a:r>
                  </a:p>
                  <a:p>
                    <a:r>
                      <a:rPr lang="en-US" baseline="0"/>
                      <a:t>12.4 %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1E4-4864-86C7-92A4C12D461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Acervos!$B$50:$B$53</c:f>
              <c:strCache>
                <c:ptCount val="4"/>
                <c:pt idx="0">
                  <c:v>Sociedades no financieras públicas</c:v>
                </c:pt>
                <c:pt idx="1">
                  <c:v>Sociedades no financieras privadas</c:v>
                </c:pt>
                <c:pt idx="2">
                  <c:v>Sociedades financieras</c:v>
                </c:pt>
                <c:pt idx="3">
                  <c:v>Gobierno general</c:v>
                </c:pt>
              </c:strCache>
            </c:strRef>
          </c:cat>
          <c:val>
            <c:numRef>
              <c:f>Acervos!$P$50:$P$53</c:f>
              <c:numCache>
                <c:formatCode>#,##0.0</c:formatCode>
                <c:ptCount val="4"/>
                <c:pt idx="0">
                  <c:v>0.26383013287707158</c:v>
                </c:pt>
                <c:pt idx="1">
                  <c:v>0.52088679964272755</c:v>
                </c:pt>
                <c:pt idx="2">
                  <c:v>9.1604244904407106E-2</c:v>
                </c:pt>
                <c:pt idx="3">
                  <c:v>0.12365725007942195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E4-4864-86C7-92A4C12D46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9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197788476938517"/>
          <c:y val="0.16605420303169499"/>
          <c:w val="0.47990671464946083"/>
          <c:h val="0.74666972898484152"/>
        </c:manualLayout>
      </c:layout>
      <c:barChart>
        <c:barDir val="bar"/>
        <c:grouping val="clustered"/>
        <c:varyColors val="0"/>
        <c:ser>
          <c:idx val="0"/>
          <c:order val="0"/>
          <c:tx>
            <c:v>2021</c:v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28C-484F-A965-49673421F8BD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28C-484F-A965-49673421F8BD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28C-484F-A965-49673421F8BD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28C-484F-A965-49673421F8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(Acervos!$Y$34,Acervos!$Y$35,Acervos!$Y$36,Acervos!$Y$37,Acervos!$Y$38)</c:f>
              <c:strCache>
                <c:ptCount val="5"/>
                <c:pt idx="0">
                  <c:v>Gobierno general</c:v>
                </c:pt>
                <c:pt idx="1">
                  <c:v>Sociedades financieras</c:v>
                </c:pt>
                <c:pt idx="2">
                  <c:v>Sociedades no financieras públicas</c:v>
                </c:pt>
                <c:pt idx="3">
                  <c:v>Sociedades no financieras privadas</c:v>
                </c:pt>
                <c:pt idx="4">
                  <c:v>Productos de la propiedad intelectual</c:v>
                </c:pt>
              </c:strCache>
            </c:strRef>
          </c:cat>
          <c:val>
            <c:numRef>
              <c:f>(Acervos!$Z$34,Acervos!$Z$35,Acervos!$Z$36,Acervos!$Z$37,Acervos!$Z$38)</c:f>
              <c:numCache>
                <c:formatCode>#,##0.0</c:formatCode>
                <c:ptCount val="5"/>
                <c:pt idx="0">
                  <c:v>4.1387434855558514</c:v>
                </c:pt>
                <c:pt idx="1">
                  <c:v>15.537155168149042</c:v>
                </c:pt>
                <c:pt idx="2">
                  <c:v>10.221676962930726</c:v>
                </c:pt>
                <c:pt idx="3">
                  <c:v>5.2362455461709922</c:v>
                </c:pt>
                <c:pt idx="4">
                  <c:v>7.2521926647049817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28C-484F-A965-49673421F8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2093455520"/>
        <c:axId val="450851968"/>
      </c:barChart>
      <c:catAx>
        <c:axId val="2093455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0851968"/>
        <c:crosses val="autoZero"/>
        <c:auto val="1"/>
        <c:lblAlgn val="ctr"/>
        <c:lblOffset val="100"/>
        <c:noMultiLvlLbl val="0"/>
      </c:catAx>
      <c:valAx>
        <c:axId val="450851968"/>
        <c:scaling>
          <c:orientation val="minMax"/>
        </c:scaling>
        <c:delete val="1"/>
        <c:axPos val="b"/>
        <c:numFmt formatCode="#,##0.0" sourceLinked="1"/>
        <c:majorTickMark val="none"/>
        <c:minorTickMark val="none"/>
        <c:tickLblPos val="nextTo"/>
        <c:crossAx val="209345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858228493542915"/>
          <c:y val="0.30323172129268855"/>
          <c:w val="0.46745341452492783"/>
          <c:h val="0.60508824203529676"/>
        </c:manualLayout>
      </c:layout>
      <c:barChart>
        <c:barDir val="bar"/>
        <c:grouping val="clustered"/>
        <c:varyColors val="0"/>
        <c:ser>
          <c:idx val="0"/>
          <c:order val="0"/>
          <c:tx>
            <c:v>2021</c:v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5A4-4CBC-AB1A-AA4FB6C35529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5A4-4CBC-AB1A-AA4FB6C35529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5A4-4CBC-AB1A-AA4FB6C355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Acervos!$Y$64:$Y$67</c:f>
              <c:strCache>
                <c:ptCount val="4"/>
                <c:pt idx="0">
                  <c:v>Gobierno general</c:v>
                </c:pt>
                <c:pt idx="1">
                  <c:v>Sociedades financieras</c:v>
                </c:pt>
                <c:pt idx="2">
                  <c:v>Sociedades no financieras públicas</c:v>
                </c:pt>
                <c:pt idx="3">
                  <c:v>Sociedades no financieras privadas</c:v>
                </c:pt>
              </c:strCache>
            </c:strRef>
          </c:cat>
          <c:val>
            <c:numRef>
              <c:f>Acervos!$Z$64:$Z$67</c:f>
              <c:numCache>
                <c:formatCode>#,##0.0</c:formatCode>
                <c:ptCount val="4"/>
                <c:pt idx="0">
                  <c:v>0.52708655813311456</c:v>
                </c:pt>
                <c:pt idx="1">
                  <c:v>1.3212092694874507</c:v>
                </c:pt>
                <c:pt idx="2">
                  <c:v>2.6241322178267903</c:v>
                </c:pt>
                <c:pt idx="3">
                  <c:v>2.779740083972793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5A4-4CBC-AB1A-AA4FB6C355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2093455520"/>
        <c:axId val="450851968"/>
      </c:barChart>
      <c:catAx>
        <c:axId val="2093455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0851968"/>
        <c:crosses val="autoZero"/>
        <c:auto val="1"/>
        <c:lblAlgn val="ctr"/>
        <c:lblOffset val="100"/>
        <c:noMultiLvlLbl val="0"/>
      </c:catAx>
      <c:valAx>
        <c:axId val="450851968"/>
        <c:scaling>
          <c:orientation val="minMax"/>
        </c:scaling>
        <c:delete val="1"/>
        <c:axPos val="b"/>
        <c:numFmt formatCode="#,##0.0" sourceLinked="1"/>
        <c:majorTickMark val="none"/>
        <c:minorTickMark val="none"/>
        <c:tickLblPos val="nextTo"/>
        <c:crossAx val="209345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83264910489928"/>
          <c:y val="0.24952775167849875"/>
          <c:w val="0.61931222546618458"/>
          <c:h val="0.5006756800140400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Flujos!$B$7</c:f>
              <c:strCache>
                <c:ptCount val="1"/>
                <c:pt idx="0">
                  <c:v>Sociedades no financieras públicas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numRef>
              <c:f>Flujos!$AC$3:$AP$3</c:f>
              <c:numCache>
                <c:formatCode>General</c:formatCode>
                <c:ptCount val="1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</c:numCache>
            </c:numRef>
          </c:cat>
          <c:val>
            <c:numRef>
              <c:f>Flujos!$AC$7:$AP$7</c:f>
              <c:numCache>
                <c:formatCode>#,##0.0</c:formatCode>
                <c:ptCount val="14"/>
                <c:pt idx="0">
                  <c:v>4.3013560000000002</c:v>
                </c:pt>
                <c:pt idx="1">
                  <c:v>4.6352790000000006</c:v>
                </c:pt>
                <c:pt idx="2">
                  <c:v>6.8384989999999997</c:v>
                </c:pt>
                <c:pt idx="3">
                  <c:v>10.130550999999997</c:v>
                </c:pt>
                <c:pt idx="4">
                  <c:v>11.126684000000001</c:v>
                </c:pt>
                <c:pt idx="5">
                  <c:v>10.004508000000001</c:v>
                </c:pt>
                <c:pt idx="6">
                  <c:v>9.9333500000000026</c:v>
                </c:pt>
                <c:pt idx="7">
                  <c:v>10.638873</c:v>
                </c:pt>
                <c:pt idx="8">
                  <c:v>12.918244000000003</c:v>
                </c:pt>
                <c:pt idx="9">
                  <c:v>14.715597000000001</c:v>
                </c:pt>
                <c:pt idx="10">
                  <c:v>15.206925999999999</c:v>
                </c:pt>
                <c:pt idx="11">
                  <c:v>14.811304000000003</c:v>
                </c:pt>
                <c:pt idx="12">
                  <c:v>38.069732999999999</c:v>
                </c:pt>
                <c:pt idx="13">
                  <c:v>21.210936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8C-43F0-9D8C-98DD0E52F4CB}"/>
            </c:ext>
          </c:extLst>
        </c:ser>
        <c:ser>
          <c:idx val="1"/>
          <c:order val="1"/>
          <c:tx>
            <c:strRef>
              <c:f>Flujos!$B$8</c:f>
              <c:strCache>
                <c:ptCount val="1"/>
                <c:pt idx="0">
                  <c:v>Sociedades no financieras privadas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numRef>
              <c:f>Flujos!$AC$3:$AP$3</c:f>
              <c:numCache>
                <c:formatCode>General</c:formatCode>
                <c:ptCount val="1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</c:numCache>
            </c:numRef>
          </c:cat>
          <c:val>
            <c:numRef>
              <c:f>Flujos!$AC$8:$AP$8</c:f>
              <c:numCache>
                <c:formatCode>#,##0.0</c:formatCode>
                <c:ptCount val="14"/>
                <c:pt idx="0">
                  <c:v>11.297623999999999</c:v>
                </c:pt>
                <c:pt idx="1">
                  <c:v>11.509291999999995</c:v>
                </c:pt>
                <c:pt idx="2">
                  <c:v>10.449543000000006</c:v>
                </c:pt>
                <c:pt idx="3">
                  <c:v>11.998777000000004</c:v>
                </c:pt>
                <c:pt idx="4">
                  <c:v>10.052716000000004</c:v>
                </c:pt>
                <c:pt idx="5">
                  <c:v>9.5682470000000031</c:v>
                </c:pt>
                <c:pt idx="6">
                  <c:v>13.955833000000002</c:v>
                </c:pt>
                <c:pt idx="7">
                  <c:v>18.066352000000002</c:v>
                </c:pt>
                <c:pt idx="8">
                  <c:v>19.103450000000002</c:v>
                </c:pt>
                <c:pt idx="9">
                  <c:v>18.435808000000005</c:v>
                </c:pt>
                <c:pt idx="10">
                  <c:v>17.519795000000002</c:v>
                </c:pt>
                <c:pt idx="11">
                  <c:v>16.180077000000004</c:v>
                </c:pt>
                <c:pt idx="12">
                  <c:v>-6.0924749999999985</c:v>
                </c:pt>
                <c:pt idx="13">
                  <c:v>19.962837999999998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8C-43F0-9D8C-98DD0E52F4CB}"/>
            </c:ext>
          </c:extLst>
        </c:ser>
        <c:ser>
          <c:idx val="2"/>
          <c:order val="2"/>
          <c:tx>
            <c:strRef>
              <c:f>Flujos!$B$9</c:f>
              <c:strCache>
                <c:ptCount val="1"/>
                <c:pt idx="0">
                  <c:v>Sociedades financieras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Flujos!$AC$3:$AP$3</c:f>
              <c:numCache>
                <c:formatCode>General</c:formatCode>
                <c:ptCount val="1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</c:numCache>
            </c:numRef>
          </c:cat>
          <c:val>
            <c:numRef>
              <c:f>Flujos!$AC$9:$AP$9</c:f>
              <c:numCache>
                <c:formatCode>#,##0.0</c:formatCode>
                <c:ptCount val="14"/>
                <c:pt idx="0">
                  <c:v>0.87395199999999995</c:v>
                </c:pt>
                <c:pt idx="1">
                  <c:v>0.85539999999999994</c:v>
                </c:pt>
                <c:pt idx="2">
                  <c:v>2.249355</c:v>
                </c:pt>
                <c:pt idx="3">
                  <c:v>0.69712600000000002</c:v>
                </c:pt>
                <c:pt idx="4">
                  <c:v>0.98948899999999984</c:v>
                </c:pt>
                <c:pt idx="5">
                  <c:v>7.126036</c:v>
                </c:pt>
                <c:pt idx="6">
                  <c:v>5.0911119999999999</c:v>
                </c:pt>
                <c:pt idx="7">
                  <c:v>5.3280379999999994</c:v>
                </c:pt>
                <c:pt idx="8">
                  <c:v>6.0467560000000002</c:v>
                </c:pt>
                <c:pt idx="9">
                  <c:v>6.3253469999999998</c:v>
                </c:pt>
                <c:pt idx="10">
                  <c:v>6.7624049999999993</c:v>
                </c:pt>
                <c:pt idx="11">
                  <c:v>10.811328</c:v>
                </c:pt>
                <c:pt idx="12">
                  <c:v>11.109322000000001</c:v>
                </c:pt>
                <c:pt idx="13">
                  <c:v>11.107344999999999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8C-43F0-9D8C-98DD0E52F4CB}"/>
            </c:ext>
          </c:extLst>
        </c:ser>
        <c:ser>
          <c:idx val="3"/>
          <c:order val="3"/>
          <c:tx>
            <c:strRef>
              <c:f>Flujos!$B$10</c:f>
              <c:strCache>
                <c:ptCount val="1"/>
                <c:pt idx="0">
                  <c:v>Gobierno general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numRef>
              <c:f>Flujos!$AC$3:$AP$3</c:f>
              <c:numCache>
                <c:formatCode>General</c:formatCode>
                <c:ptCount val="1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</c:numCache>
            </c:numRef>
          </c:cat>
          <c:val>
            <c:numRef>
              <c:f>Flujos!$AC$10:$AP$10</c:f>
              <c:numCache>
                <c:formatCode>#,##0.0</c:formatCode>
                <c:ptCount val="14"/>
                <c:pt idx="0">
                  <c:v>3.88774</c:v>
                </c:pt>
                <c:pt idx="1">
                  <c:v>4.801749</c:v>
                </c:pt>
                <c:pt idx="2">
                  <c:v>5.426202</c:v>
                </c:pt>
                <c:pt idx="3">
                  <c:v>6.6777579999999999</c:v>
                </c:pt>
                <c:pt idx="4">
                  <c:v>10.422876</c:v>
                </c:pt>
                <c:pt idx="5">
                  <c:v>5.9266560000000004</c:v>
                </c:pt>
                <c:pt idx="6">
                  <c:v>4.9773829999999997</c:v>
                </c:pt>
                <c:pt idx="7">
                  <c:v>4.7589880000000004</c:v>
                </c:pt>
                <c:pt idx="8">
                  <c:v>5.0450030000000003</c:v>
                </c:pt>
                <c:pt idx="9">
                  <c:v>5.4384550000000003</c:v>
                </c:pt>
                <c:pt idx="10">
                  <c:v>6.5944409999999998</c:v>
                </c:pt>
                <c:pt idx="11">
                  <c:v>5.045312</c:v>
                </c:pt>
                <c:pt idx="12">
                  <c:v>3.642493</c:v>
                </c:pt>
                <c:pt idx="13">
                  <c:v>3.5269560000000002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8C-43F0-9D8C-98DD0E52F4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378649504"/>
        <c:axId val="348673440"/>
      </c:barChart>
      <c:lineChart>
        <c:grouping val="standard"/>
        <c:varyColors val="0"/>
        <c:ser>
          <c:idx val="4"/>
          <c:order val="4"/>
          <c:tx>
            <c:v>Total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layout>
                <c:manualLayout>
                  <c:x val="-3.0880615509869157E-2"/>
                  <c:y val="-8.5899326460245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8C-43F0-9D8C-98DD0E52F4CB}"/>
                </c:ext>
              </c:extLst>
            </c:dLbl>
            <c:dLbl>
              <c:idx val="13"/>
              <c:layout>
                <c:manualLayout>
                  <c:x val="-3.2767197553806811E-2"/>
                  <c:y val="-4.07312839632474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8C-43F0-9D8C-98DD0E52F4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Flujos!$AC$3:$AP$3</c:f>
              <c:numCache>
                <c:formatCode>General</c:formatCode>
                <c:ptCount val="1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</c:numCache>
            </c:numRef>
          </c:cat>
          <c:val>
            <c:numRef>
              <c:f>Flujos!$AC$5:$AP$5</c:f>
              <c:numCache>
                <c:formatCode>#,##0.0</c:formatCode>
                <c:ptCount val="14"/>
                <c:pt idx="0">
                  <c:v>20.360671999999997</c:v>
                </c:pt>
                <c:pt idx="1">
                  <c:v>21.80172</c:v>
                </c:pt>
                <c:pt idx="2">
                  <c:v>24.963599000000002</c:v>
                </c:pt>
                <c:pt idx="3">
                  <c:v>29.504211999999999</c:v>
                </c:pt>
                <c:pt idx="4">
                  <c:v>32.601337000000001</c:v>
                </c:pt>
                <c:pt idx="5">
                  <c:v>32.625447000000001</c:v>
                </c:pt>
                <c:pt idx="6">
                  <c:v>33.957678000000001</c:v>
                </c:pt>
                <c:pt idx="7">
                  <c:v>38.792250999999993</c:v>
                </c:pt>
                <c:pt idx="8">
                  <c:v>43.113453</c:v>
                </c:pt>
                <c:pt idx="9">
                  <c:v>44.915207000000002</c:v>
                </c:pt>
                <c:pt idx="10">
                  <c:v>46.083567000000002</c:v>
                </c:pt>
                <c:pt idx="11">
                  <c:v>46.848021000000017</c:v>
                </c:pt>
                <c:pt idx="12">
                  <c:v>46.729073</c:v>
                </c:pt>
                <c:pt idx="13">
                  <c:v>55.808074999999995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D8C-43F0-9D8C-98DD0E52F4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4386160"/>
        <c:axId val="321550336"/>
      </c:lineChart>
      <c:catAx>
        <c:axId val="37864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48673440"/>
        <c:crosses val="autoZero"/>
        <c:auto val="1"/>
        <c:lblAlgn val="ctr"/>
        <c:lblOffset val="100"/>
        <c:noMultiLvlLbl val="0"/>
      </c:catAx>
      <c:valAx>
        <c:axId val="3486734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Miles de millones de pesos</a:t>
                </a:r>
              </a:p>
            </c:rich>
          </c:tx>
          <c:layout>
            <c:manualLayout>
              <c:xMode val="edge"/>
              <c:yMode val="edge"/>
              <c:x val="1.8501324553406761E-2"/>
              <c:y val="0.200601412999509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,##0.0_ ;[Red]\-#,##0.0\ 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78649504"/>
        <c:crosses val="autoZero"/>
        <c:crossBetween val="between"/>
      </c:valAx>
      <c:valAx>
        <c:axId val="321550336"/>
        <c:scaling>
          <c:orientation val="minMax"/>
        </c:scaling>
        <c:delete val="1"/>
        <c:axPos val="r"/>
        <c:numFmt formatCode="#,##0.0" sourceLinked="1"/>
        <c:majorTickMark val="out"/>
        <c:minorTickMark val="none"/>
        <c:tickLblPos val="nextTo"/>
        <c:crossAx val="634386160"/>
        <c:crosses val="max"/>
        <c:crossBetween val="between"/>
      </c:valAx>
      <c:catAx>
        <c:axId val="6343861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15503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715247040162368"/>
          <c:y val="0.24604212459308311"/>
          <c:w val="0.25670648255231338"/>
          <c:h val="0.675159930912414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34D-4E18-8E9C-52303DF219EE}"/>
              </c:ext>
            </c:extLst>
          </c:dPt>
          <c:dPt>
            <c:idx val="1"/>
            <c:bubble3D val="0"/>
            <c:spPr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34D-4E18-8E9C-52303DF219EE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34D-4E18-8E9C-52303DF219E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34D-4E18-8E9C-52303DF219EE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34D-4E18-8E9C-52303DF219E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6.2 % 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34D-4E18-8E9C-52303DF219EE}"/>
                </c:ext>
              </c:extLst>
            </c:dLbl>
            <c:dLbl>
              <c:idx val="1"/>
              <c:layout>
                <c:manualLayout>
                  <c:x val="-0.12946093108623813"/>
                  <c:y val="-1.51399247435974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/>
                      <a:t>38.0</a:t>
                    </a:r>
                    <a:r>
                      <a:rPr lang="en-US" baseline="0"/>
                      <a:t> % </a:t>
                    </a:r>
                    <a:endParaRPr lang="en-US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34D-4E18-8E9C-52303DF219EE}"/>
                </c:ext>
              </c:extLst>
            </c:dLbl>
            <c:dLbl>
              <c:idx val="2"/>
              <c:layout>
                <c:manualLayout>
                  <c:x val="6.4131852323124364E-2"/>
                  <c:y val="-0.12419093895403459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25.3 %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34D-4E18-8E9C-52303DF219E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0.7 % 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34D-4E18-8E9C-52303DF219EE}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/>
                      <a:t>29.9 % 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F34D-4E18-8E9C-52303DF219E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Flujos!$B$87:$B$91</c:f>
              <c:strCache>
                <c:ptCount val="5"/>
                <c:pt idx="0">
                  <c:v>Investigación y desarrollo</c:v>
                </c:pt>
                <c:pt idx="1">
                  <c:v>Exploración y evaluación minera</c:v>
                </c:pt>
                <c:pt idx="2">
                  <c:v>Programas informáticos y bases de datos</c:v>
                </c:pt>
                <c:pt idx="3">
                  <c:v>Originales de entretenimiento, literarios o artísticos</c:v>
                </c:pt>
                <c:pt idx="4">
                  <c:v>Otros productos de la propiedad intelectual</c:v>
                </c:pt>
              </c:strCache>
            </c:strRef>
          </c:cat>
          <c:val>
            <c:numRef>
              <c:f>Flujos!$P$87:$P$91</c:f>
              <c:numCache>
                <c:formatCode>#,##0.0</c:formatCode>
                <c:ptCount val="5"/>
                <c:pt idx="0">
                  <c:v>6.1902995220673704E-2</c:v>
                </c:pt>
                <c:pt idx="1">
                  <c:v>0.38006750815182211</c:v>
                </c:pt>
                <c:pt idx="2">
                  <c:v>0.25261844276119538</c:v>
                </c:pt>
                <c:pt idx="3">
                  <c:v>6.76206803406138E-3</c:v>
                </c:pt>
                <c:pt idx="4">
                  <c:v>0.29864898583224742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34D-4E18-8E9C-52303DF219E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5615125368804119"/>
          <c:y val="0.24213227689832725"/>
          <c:w val="0.42718902119742319"/>
          <c:h val="0.71578140988109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83264910489928"/>
          <c:y val="0.20916768011518172"/>
          <c:w val="0.51144143303615341"/>
          <c:h val="0.5409391313237590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Flujos!$B$99</c:f>
              <c:strCache>
                <c:ptCount val="1"/>
                <c:pt idx="0">
                  <c:v>Investigación y desarrollo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Flujos!$D$96:$P$96</c:f>
              <c:numCache>
                <c:formatCode>General</c:formatCode>
                <c:ptCount val="1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</c:numCache>
            </c:numRef>
          </c:cat>
          <c:val>
            <c:numRef>
              <c:f>Flujos!$D$99:$P$99</c:f>
              <c:numCache>
                <c:formatCode>#,##0.0_ ;[Red]\-#,##0.0\ </c:formatCode>
                <c:ptCount val="13"/>
                <c:pt idx="0">
                  <c:v>3.3538087544458266</c:v>
                </c:pt>
                <c:pt idx="1">
                  <c:v>-1.1378276576343513</c:v>
                </c:pt>
                <c:pt idx="2">
                  <c:v>-6.2190551931233976E-2</c:v>
                </c:pt>
                <c:pt idx="3">
                  <c:v>0.69761564891141647</c:v>
                </c:pt>
                <c:pt idx="4">
                  <c:v>-1.9754619266074889</c:v>
                </c:pt>
                <c:pt idx="5">
                  <c:v>0.97515292280899502</c:v>
                </c:pt>
                <c:pt idx="6">
                  <c:v>1.2377583649859705</c:v>
                </c:pt>
                <c:pt idx="7">
                  <c:v>0.60862928526627602</c:v>
                </c:pt>
                <c:pt idx="8">
                  <c:v>-1.4100007252956917E-2</c:v>
                </c:pt>
                <c:pt idx="9">
                  <c:v>0.27848474571207049</c:v>
                </c:pt>
                <c:pt idx="10">
                  <c:v>-0.22491097531577905</c:v>
                </c:pt>
                <c:pt idx="11">
                  <c:v>0.48643890421753344</c:v>
                </c:pt>
                <c:pt idx="12">
                  <c:v>1.039566952248334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62-4442-92CA-1703EECE32F1}"/>
            </c:ext>
          </c:extLst>
        </c:ser>
        <c:ser>
          <c:idx val="1"/>
          <c:order val="1"/>
          <c:tx>
            <c:strRef>
              <c:f>Flujos!$B$100</c:f>
              <c:strCache>
                <c:ptCount val="1"/>
                <c:pt idx="0">
                  <c:v>Exploración y evaluación minera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numRef>
              <c:f>Flujos!$D$96:$P$96</c:f>
              <c:numCache>
                <c:formatCode>General</c:formatCode>
                <c:ptCount val="1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</c:numCache>
            </c:numRef>
          </c:cat>
          <c:val>
            <c:numRef>
              <c:f>Flujos!$D$100:$P$100</c:f>
              <c:numCache>
                <c:formatCode>#,##0.0_ ;[Red]\-#,##0.0\ </c:formatCode>
                <c:ptCount val="13"/>
                <c:pt idx="0">
                  <c:v>1.6400391892762687</c:v>
                </c:pt>
                <c:pt idx="1">
                  <c:v>10.105716429712883</c:v>
                </c:pt>
                <c:pt idx="2">
                  <c:v>13.187409395576324</c:v>
                </c:pt>
                <c:pt idx="3">
                  <c:v>3.3084293184986771</c:v>
                </c:pt>
                <c:pt idx="4">
                  <c:v>-3.4099981850437597</c:v>
                </c:pt>
                <c:pt idx="5">
                  <c:v>-0.37218800404481883</c:v>
                </c:pt>
                <c:pt idx="6">
                  <c:v>2.1823311947300903</c:v>
                </c:pt>
                <c:pt idx="7">
                  <c:v>5.7275407915874794</c:v>
                </c:pt>
                <c:pt idx="8">
                  <c:v>4.251120874034374</c:v>
                </c:pt>
                <c:pt idx="9">
                  <c:v>1.1819449034265805</c:v>
                </c:pt>
                <c:pt idx="10">
                  <c:v>-1.300901902840979</c:v>
                </c:pt>
                <c:pt idx="11">
                  <c:v>5.1338646727467845</c:v>
                </c:pt>
                <c:pt idx="12">
                  <c:v>8.9988752826318645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62-4442-92CA-1703EECE32F1}"/>
            </c:ext>
          </c:extLst>
        </c:ser>
        <c:ser>
          <c:idx val="2"/>
          <c:order val="2"/>
          <c:tx>
            <c:strRef>
              <c:f>Flujos!$B$101</c:f>
              <c:strCache>
                <c:ptCount val="1"/>
                <c:pt idx="0">
                  <c:v>Programas informáticos y bases de datos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Flujos!$D$96:$P$96</c:f>
              <c:numCache>
                <c:formatCode>General</c:formatCode>
                <c:ptCount val="1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</c:numCache>
            </c:numRef>
          </c:cat>
          <c:val>
            <c:numRef>
              <c:f>Flujos!$D$101:$P$101</c:f>
              <c:numCache>
                <c:formatCode>#,##0.0_ ;[Red]\-#,##0.0\ </c:formatCode>
                <c:ptCount val="13"/>
                <c:pt idx="0">
                  <c:v>0.52845996438623677</c:v>
                </c:pt>
                <c:pt idx="1">
                  <c:v>1.12807154664862</c:v>
                </c:pt>
                <c:pt idx="2">
                  <c:v>1.831835225361532</c:v>
                </c:pt>
                <c:pt idx="3">
                  <c:v>1.4978234294140795</c:v>
                </c:pt>
                <c:pt idx="4">
                  <c:v>1.5441268559016432</c:v>
                </c:pt>
                <c:pt idx="5">
                  <c:v>2.419743091949063</c:v>
                </c:pt>
                <c:pt idx="6">
                  <c:v>2.0939770970205869</c:v>
                </c:pt>
                <c:pt idx="7">
                  <c:v>2.2371375149124564</c:v>
                </c:pt>
                <c:pt idx="8">
                  <c:v>1.7531859487107129</c:v>
                </c:pt>
                <c:pt idx="9">
                  <c:v>0.19944915315653161</c:v>
                </c:pt>
                <c:pt idx="10">
                  <c:v>1.6644892093530901</c:v>
                </c:pt>
                <c:pt idx="11">
                  <c:v>3.4539239128158621</c:v>
                </c:pt>
                <c:pt idx="12">
                  <c:v>6.2065322802358995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62-4442-92CA-1703EECE32F1}"/>
            </c:ext>
          </c:extLst>
        </c:ser>
        <c:ser>
          <c:idx val="3"/>
          <c:order val="3"/>
          <c:tx>
            <c:strRef>
              <c:f>Flujos!$B$102</c:f>
              <c:strCache>
                <c:ptCount val="1"/>
                <c:pt idx="0">
                  <c:v>Originales de entretenimiento, literarios o artísticos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Flujos!$D$96:$P$96</c:f>
              <c:numCache>
                <c:formatCode>General</c:formatCode>
                <c:ptCount val="1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</c:numCache>
            </c:numRef>
          </c:cat>
          <c:val>
            <c:numRef>
              <c:f>Flujos!$D$102:$P$102</c:f>
              <c:numCache>
                <c:formatCode>#,##0.0_ ;[Red]\-#,##0.0\ </c:formatCode>
                <c:ptCount val="13"/>
                <c:pt idx="0">
                  <c:v>0.4737761111224621</c:v>
                </c:pt>
                <c:pt idx="1">
                  <c:v>-6.9856873677856812E-2</c:v>
                </c:pt>
                <c:pt idx="2">
                  <c:v>-7.8434203337427483E-2</c:v>
                </c:pt>
                <c:pt idx="3">
                  <c:v>0.33321344084702254</c:v>
                </c:pt>
                <c:pt idx="4">
                  <c:v>0.31833663754342323</c:v>
                </c:pt>
                <c:pt idx="5">
                  <c:v>0.16195946679289963</c:v>
                </c:pt>
                <c:pt idx="6">
                  <c:v>0.19374999668705239</c:v>
                </c:pt>
                <c:pt idx="7">
                  <c:v>0.26628256246331239</c:v>
                </c:pt>
                <c:pt idx="8">
                  <c:v>9.2592908297092505E-2</c:v>
                </c:pt>
                <c:pt idx="9">
                  <c:v>0.10090346461054951</c:v>
                </c:pt>
                <c:pt idx="10">
                  <c:v>0.28036892196300678</c:v>
                </c:pt>
                <c:pt idx="11">
                  <c:v>-0.81114845811736602</c:v>
                </c:pt>
                <c:pt idx="12">
                  <c:v>-6.1574086864509457E-2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62-4442-92CA-1703EECE32F1}"/>
            </c:ext>
          </c:extLst>
        </c:ser>
        <c:ser>
          <c:idx val="4"/>
          <c:order val="4"/>
          <c:tx>
            <c:strRef>
              <c:f>Flujos!$B$103</c:f>
              <c:strCache>
                <c:ptCount val="1"/>
                <c:pt idx="0">
                  <c:v>Otros productos de la propiedad intelectual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numRef>
              <c:f>Flujos!$D$96:$P$96</c:f>
              <c:numCache>
                <c:formatCode>General</c:formatCode>
                <c:ptCount val="1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</c:numCache>
            </c:numRef>
          </c:cat>
          <c:val>
            <c:numRef>
              <c:f>Flujos!$D$103:$P$103</c:f>
              <c:numCache>
                <c:formatCode>#,##0.0_ ;[Red]\-#,##0.0\ </c:formatCode>
                <c:ptCount val="13"/>
                <c:pt idx="0">
                  <c:v>1.0815212778831547</c:v>
                </c:pt>
                <c:pt idx="1">
                  <c:v>4.4767844004968627</c:v>
                </c:pt>
                <c:pt idx="2">
                  <c:v>3.3103159524393826</c:v>
                </c:pt>
                <c:pt idx="3">
                  <c:v>4.6601481849438988</c:v>
                </c:pt>
                <c:pt idx="4">
                  <c:v>3.5969506403985876</c:v>
                </c:pt>
                <c:pt idx="5">
                  <c:v>0.89874324174009057</c:v>
                </c:pt>
                <c:pt idx="6">
                  <c:v>8.5292374820210171</c:v>
                </c:pt>
                <c:pt idx="7">
                  <c:v>2.2997531130637272</c:v>
                </c:pt>
                <c:pt idx="8">
                  <c:v>-1.903700452849362</c:v>
                </c:pt>
                <c:pt idx="9">
                  <c:v>0.84047480845406719</c:v>
                </c:pt>
                <c:pt idx="10">
                  <c:v>1.2397976918757314</c:v>
                </c:pt>
                <c:pt idx="11">
                  <c:v>-8.5169808987235633</c:v>
                </c:pt>
                <c:pt idx="12">
                  <c:v>3.2456218423164622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62-4442-92CA-1703EECE32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378649504"/>
        <c:axId val="348673440"/>
      </c:barChart>
      <c:lineChart>
        <c:grouping val="stacked"/>
        <c:varyColors val="0"/>
        <c:ser>
          <c:idx val="5"/>
          <c:order val="5"/>
          <c:tx>
            <c:v>Var % PPI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5282221926415063E-2"/>
                  <c:y val="-2.4177435725937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62-4442-92CA-1703EECE32F1}"/>
                </c:ext>
              </c:extLst>
            </c:dLbl>
            <c:dLbl>
              <c:idx val="1"/>
              <c:layout>
                <c:manualLayout>
                  <c:x val="-3.1228107684636752E-2"/>
                  <c:y val="-3.4885915159982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762-4442-92CA-1703EECE32F1}"/>
                </c:ext>
              </c:extLst>
            </c:dLbl>
            <c:dLbl>
              <c:idx val="2"/>
              <c:layout>
                <c:manualLayout>
                  <c:x val="-3.0338666311698109E-2"/>
                  <c:y val="-3.6266153588905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762-4442-92CA-1703EECE32F1}"/>
                </c:ext>
              </c:extLst>
            </c:dLbl>
            <c:dLbl>
              <c:idx val="3"/>
              <c:layout>
                <c:manualLayout>
                  <c:x val="-2.6967703388176098E-2"/>
                  <c:y val="-2.0147863104947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762-4442-92CA-1703EECE32F1}"/>
                </c:ext>
              </c:extLst>
            </c:dLbl>
            <c:dLbl>
              <c:idx val="4"/>
              <c:layout>
                <c:manualLayout>
                  <c:x val="-2.5282221926415094E-2"/>
                  <c:y val="0.120887178629685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762-4442-92CA-1703EECE32F1}"/>
                </c:ext>
              </c:extLst>
            </c:dLbl>
            <c:dLbl>
              <c:idx val="5"/>
              <c:layout>
                <c:manualLayout>
                  <c:x val="-2.1911259002893056E-2"/>
                  <c:y val="-2.8207008346926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762-4442-92CA-1703EECE32F1}"/>
                </c:ext>
              </c:extLst>
            </c:dLbl>
            <c:dLbl>
              <c:idx val="6"/>
              <c:layout>
                <c:manualLayout>
                  <c:x val="-3.2024147773459084E-2"/>
                  <c:y val="-2.0147863104947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762-4442-92CA-1703EECE32F1}"/>
                </c:ext>
              </c:extLst>
            </c:dLbl>
            <c:dLbl>
              <c:idx val="7"/>
              <c:layout>
                <c:manualLayout>
                  <c:x val="-2.696770338817607E-2"/>
                  <c:y val="-2.8207008346926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762-4442-92CA-1703EECE32F1}"/>
                </c:ext>
              </c:extLst>
            </c:dLbl>
            <c:dLbl>
              <c:idx val="8"/>
              <c:layout>
                <c:manualLayout>
                  <c:x val="-2.3596740464654122E-2"/>
                  <c:y val="-5.238444407286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762-4442-92CA-1703EECE32F1}"/>
                </c:ext>
              </c:extLst>
            </c:dLbl>
            <c:dLbl>
              <c:idx val="9"/>
              <c:layout>
                <c:manualLayout>
                  <c:x val="-2.3596740464653997E-2"/>
                  <c:y val="-2.0147863104947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762-4442-92CA-1703EECE32F1}"/>
                </c:ext>
              </c:extLst>
            </c:dLbl>
            <c:dLbl>
              <c:idx val="10"/>
              <c:layout>
                <c:manualLayout>
                  <c:x val="-2.359674046465406E-2"/>
                  <c:y val="-4.0295726209895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762-4442-92CA-1703EECE32F1}"/>
                </c:ext>
              </c:extLst>
            </c:dLbl>
            <c:dLbl>
              <c:idx val="11"/>
              <c:layout>
                <c:manualLayout>
                  <c:x val="-3.1228107684636734E-2"/>
                  <c:y val="0.152790408907839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762-4442-92CA-1703EECE32F1}"/>
                </c:ext>
              </c:extLst>
            </c:dLbl>
            <c:dLbl>
              <c:idx val="12"/>
              <c:layout>
                <c:manualLayout>
                  <c:x val="-2.696770338817607E-2"/>
                  <c:y val="-3.2236580967916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762-4442-92CA-1703EECE32F1}"/>
                </c:ext>
              </c:extLst>
            </c:dLbl>
            <c:numFmt formatCode="#,##0.0_ ;[Red]\-#,##0.0\ 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Flujos!$D$96:$P$96</c:f>
              <c:numCache>
                <c:formatCode>General</c:formatCode>
                <c:ptCount val="1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</c:numCache>
            </c:numRef>
          </c:cat>
          <c:val>
            <c:numRef>
              <c:f>Flujos!$D$98:$P$98</c:f>
              <c:numCache>
                <c:formatCode>#,##0.0</c:formatCode>
                <c:ptCount val="13"/>
                <c:pt idx="0">
                  <c:v>7.0776052971139869</c:v>
                </c:pt>
                <c:pt idx="1">
                  <c:v>14.502887845546141</c:v>
                </c:pt>
                <c:pt idx="2">
                  <c:v>18.188935818108586</c:v>
                </c:pt>
                <c:pt idx="3">
                  <c:v>10.497230022615067</c:v>
                </c:pt>
                <c:pt idx="4">
                  <c:v>7.3954022192412872E-2</c:v>
                </c:pt>
                <c:pt idx="5">
                  <c:v>4.0834107192462277</c:v>
                </c:pt>
                <c:pt idx="6">
                  <c:v>14.237054135444716</c:v>
                </c:pt>
                <c:pt idx="7">
                  <c:v>11.139343267293267</c:v>
                </c:pt>
                <c:pt idx="8">
                  <c:v>4.1790992709398678</c:v>
                </c:pt>
                <c:pt idx="9">
                  <c:v>2.6012570753598085</c:v>
                </c:pt>
                <c:pt idx="10">
                  <c:v>1.6588429450350661</c:v>
                </c:pt>
                <c:pt idx="11">
                  <c:v>-0.25390186706076845</c:v>
                </c:pt>
                <c:pt idx="12">
                  <c:v>19.429022270568041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8762-4442-92CA-1703EECE32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0512944"/>
        <c:axId val="659122320"/>
      </c:lineChart>
      <c:catAx>
        <c:axId val="37864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48673440"/>
        <c:crosses val="autoZero"/>
        <c:auto val="1"/>
        <c:lblAlgn val="ctr"/>
        <c:lblOffset val="100"/>
        <c:noMultiLvlLbl val="0"/>
      </c:catAx>
      <c:valAx>
        <c:axId val="3486734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,##0.0_ ;[Red]\-#,##0.0\ 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8649504"/>
        <c:crosses val="autoZero"/>
        <c:crossBetween val="between"/>
      </c:valAx>
      <c:valAx>
        <c:axId val="659122320"/>
        <c:scaling>
          <c:orientation val="minMax"/>
          <c:min val="-15"/>
        </c:scaling>
        <c:delete val="1"/>
        <c:axPos val="r"/>
        <c:numFmt formatCode="#,##0.0_ ;[Red]\-#,##0.0\ " sourceLinked="0"/>
        <c:majorTickMark val="out"/>
        <c:minorTickMark val="none"/>
        <c:tickLblPos val="nextTo"/>
        <c:crossAx val="320512944"/>
        <c:crosses val="max"/>
        <c:crossBetween val="between"/>
      </c:valAx>
      <c:catAx>
        <c:axId val="3205129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591223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969423911694912"/>
          <c:y val="0.18884645775783301"/>
          <c:w val="0.35030576088305088"/>
          <c:h val="0.796257446450516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B93D7DFA49943A5F01E28EAC33D22" ma:contentTypeVersion="5" ma:contentTypeDescription="Crear nuevo documento." ma:contentTypeScope="" ma:versionID="faba4be7665fc774c60c05e2ac0bd7cb">
  <xsd:schema xmlns:xsd="http://www.w3.org/2001/XMLSchema" xmlns:xs="http://www.w3.org/2001/XMLSchema" xmlns:p="http://schemas.microsoft.com/office/2006/metadata/properties" xmlns:ns2="0c15ca62-94a4-4e3f-9187-23a1b55915ab" targetNamespace="http://schemas.microsoft.com/office/2006/metadata/properties" ma:root="true" ma:fieldsID="b061363080b7fac9e3e577c19d377838" ns2:_="">
    <xsd:import namespace="0c15ca62-94a4-4e3f-9187-23a1b5591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ca62-94a4-4e3f-9187-23a1b5591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C0426-551A-46B4-9110-2923A4BC8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9800A5-F41F-4F97-83D6-7BEDE3059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2C8D1-8190-4807-AF1C-1958C2E5FC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2DAAA-63C6-43C1-BF5A-F762A07C7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5ca62-94a4-4e3f-9187-23a1b5591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Estadísticas a propósito del Día Internacional de la Niña</vt:lpstr>
    </vt:vector>
  </TitlesOfParts>
  <Manager>INEGI.</Manager>
  <Company/>
  <LinksUpToDate>false</LinksUpToDate>
  <CharactersWithSpaces>6080</CharactersWithSpaces>
  <SharedDoc>false</SharedDoc>
  <HLinks>
    <vt:vector size="18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2687090</vt:i4>
      </vt:variant>
      <vt:variant>
        <vt:i4>3</vt:i4>
      </vt:variant>
      <vt:variant>
        <vt:i4>0</vt:i4>
      </vt:variant>
      <vt:variant>
        <vt:i4>5</vt:i4>
      </vt:variant>
      <vt:variant>
        <vt:lpwstr>https://www.unicef.org/lac/informes/perfil-del-matrimonio-infantil-y-las-uniones-tempranas</vt:lpwstr>
      </vt:variant>
      <vt:variant>
        <vt:lpwstr/>
      </vt:variant>
      <vt:variant>
        <vt:i4>5636104</vt:i4>
      </vt:variant>
      <vt:variant>
        <vt:i4>0</vt:i4>
      </vt:variant>
      <vt:variant>
        <vt:i4>0</vt:i4>
      </vt:variant>
      <vt:variant>
        <vt:i4>5</vt:i4>
      </vt:variant>
      <vt:variant>
        <vt:lpwstr>https://www.gob.mx/sep/acciones-y-programas/estandares-nacionales-de-habilidad-lectora-estandares-de-lectura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Estadísticas a propósito del Día Internacional de la Niña</dc:title>
  <dc:subject/>
  <dc:creator>INEGI</dc:creator>
  <cp:keywords/>
  <dc:description/>
  <cp:lastModifiedBy>GONZALEZ HERNANDEZ MADELEINE</cp:lastModifiedBy>
  <cp:revision>3</cp:revision>
  <cp:lastPrinted>2023-04-24T15:55:00Z</cp:lastPrinted>
  <dcterms:created xsi:type="dcterms:W3CDTF">2023-04-18T01:37:00Z</dcterms:created>
  <dcterms:modified xsi:type="dcterms:W3CDTF">2023-04-24T15:55:00Z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0x010100723B93D7DFA49943A5F01E28EAC33D22</vt:lpwstr>
  </property>
</Properties>
</file>