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B81" w:rsidRPr="005A3525" w:rsidRDefault="005A3525" w:rsidP="000F0FBB">
      <w:pPr>
        <w:pStyle w:val="Textoindependiente"/>
        <w:spacing w:line="241" w:lineRule="auto"/>
        <w:ind w:right="197"/>
        <w:jc w:val="center"/>
        <w:rPr>
          <w:b/>
        </w:rPr>
      </w:pPr>
      <w:r>
        <w:rPr>
          <w:b/>
        </w:rPr>
        <w:t>ESTADÍSTICAS</w:t>
      </w:r>
      <w:r w:rsidR="008807A7" w:rsidRPr="005A3525">
        <w:rPr>
          <w:b/>
        </w:rPr>
        <w:t xml:space="preserve"> SOBRE </w:t>
      </w:r>
      <w:r w:rsidR="00AD1F0E" w:rsidRPr="005A3525">
        <w:rPr>
          <w:b/>
        </w:rPr>
        <w:t>LAS AFECTACI</w:t>
      </w:r>
      <w:r w:rsidR="002E1460">
        <w:rPr>
          <w:b/>
        </w:rPr>
        <w:t>O</w:t>
      </w:r>
      <w:r w:rsidR="00AD1F0E" w:rsidRPr="005A3525">
        <w:rPr>
          <w:b/>
        </w:rPr>
        <w:t>NES DE LOS</w:t>
      </w:r>
      <w:r w:rsidR="000F0FBB" w:rsidRPr="005A3525">
        <w:rPr>
          <w:b/>
        </w:rPr>
        <w:t xml:space="preserve"> SISMOS </w:t>
      </w:r>
      <w:r w:rsidR="00AD1F0E" w:rsidRPr="005A3525">
        <w:rPr>
          <w:b/>
        </w:rPr>
        <w:t>DE SEPTIEMBRE DE 2017 EN LAS ACTIVIDADES ECONÓMICAS</w:t>
      </w:r>
    </w:p>
    <w:p w:rsidR="00C56B81" w:rsidRDefault="00C56B81" w:rsidP="00A00F80">
      <w:pPr>
        <w:ind w:right="8627"/>
        <w:jc w:val="both"/>
        <w:rPr>
          <w:rFonts w:ascii="Arial" w:eastAsia="Arial" w:hAnsi="Arial" w:cs="Arial"/>
          <w:b/>
          <w:bCs/>
          <w:color w:val="001F5F"/>
          <w:spacing w:val="-6"/>
          <w:sz w:val="24"/>
          <w:szCs w:val="24"/>
        </w:rPr>
      </w:pPr>
    </w:p>
    <w:p w:rsidR="00A00F80" w:rsidRPr="00F23DAD" w:rsidRDefault="00A00F80" w:rsidP="005124C3">
      <w:pPr>
        <w:pStyle w:val="Textoindependiente"/>
        <w:widowControl/>
        <w:numPr>
          <w:ilvl w:val="0"/>
          <w:numId w:val="9"/>
        </w:numPr>
        <w:ind w:left="1134" w:right="1166" w:hanging="283"/>
        <w:jc w:val="both"/>
        <w:rPr>
          <w:b/>
        </w:rPr>
      </w:pPr>
      <w:r w:rsidRPr="00A00F80">
        <w:rPr>
          <w:b/>
        </w:rPr>
        <w:t xml:space="preserve">El Instituto Nacional de Estadística y Geografía (INEGI), </w:t>
      </w:r>
      <w:r>
        <w:rPr>
          <w:b/>
        </w:rPr>
        <w:t>presenta</w:t>
      </w:r>
      <w:r w:rsidRPr="00A00F80">
        <w:rPr>
          <w:b/>
        </w:rPr>
        <w:t xml:space="preserve"> </w:t>
      </w:r>
      <w:r w:rsidR="003D7797">
        <w:rPr>
          <w:b/>
        </w:rPr>
        <w:t xml:space="preserve">los resultados de </w:t>
      </w:r>
      <w:r w:rsidRPr="00A00F80">
        <w:rPr>
          <w:b/>
        </w:rPr>
        <w:t xml:space="preserve">la Encuesta sobre las Afectaciones de los Sismos de Septiembre de 2017, </w:t>
      </w:r>
      <w:r>
        <w:rPr>
          <w:b/>
        </w:rPr>
        <w:t>que</w:t>
      </w:r>
      <w:r w:rsidRPr="00A00F80">
        <w:rPr>
          <w:b/>
        </w:rPr>
        <w:t xml:space="preserve"> ofrece información cualitativa generada con base en las opiniones de los empresarios, </w:t>
      </w:r>
      <w:r w:rsidR="00F23DAD" w:rsidRPr="00F23DAD">
        <w:rPr>
          <w:b/>
        </w:rPr>
        <w:t>con la finalidad de coadyuvar en la toma de decisiones a favor de los establecimientos que vieron afectada su actividad.</w:t>
      </w:r>
    </w:p>
    <w:p w:rsidR="00A00F80" w:rsidRPr="00A00F80" w:rsidRDefault="00A00F80" w:rsidP="005124C3">
      <w:pPr>
        <w:pStyle w:val="Textoindependiente"/>
        <w:widowControl/>
        <w:ind w:left="1134" w:right="1166" w:hanging="283"/>
        <w:jc w:val="both"/>
        <w:rPr>
          <w:b/>
        </w:rPr>
      </w:pPr>
    </w:p>
    <w:p w:rsidR="002B2AA9" w:rsidRDefault="00A00F80" w:rsidP="005124C3">
      <w:pPr>
        <w:pStyle w:val="Textoindependiente"/>
        <w:widowControl/>
        <w:numPr>
          <w:ilvl w:val="0"/>
          <w:numId w:val="9"/>
        </w:numPr>
        <w:ind w:left="1134" w:right="1166" w:hanging="283"/>
        <w:jc w:val="both"/>
        <w:rPr>
          <w:b/>
        </w:rPr>
      </w:pPr>
      <w:r>
        <w:rPr>
          <w:b/>
        </w:rPr>
        <w:t xml:space="preserve">Esta </w:t>
      </w:r>
      <w:r w:rsidRPr="00A00F80">
        <w:rPr>
          <w:b/>
        </w:rPr>
        <w:t>encuesta</w:t>
      </w:r>
      <w:r w:rsidR="00750EED">
        <w:rPr>
          <w:b/>
        </w:rPr>
        <w:t xml:space="preserve"> es la primera que se realiza por</w:t>
      </w:r>
      <w:r w:rsidRPr="00A00F80">
        <w:rPr>
          <w:b/>
        </w:rPr>
        <w:t xml:space="preserve"> el INEGI para atender una emergencia originada por desastres naturales. Asimismo, se convierte en la encuesta en unidades económicas más oportuna ya que está siendo difundida a 10 días de acontecido el sismo del 19 de septiembre de 2017.</w:t>
      </w:r>
    </w:p>
    <w:p w:rsidR="001D0DB8" w:rsidRDefault="001D0DB8" w:rsidP="005124C3">
      <w:pPr>
        <w:pStyle w:val="Prrafodelista"/>
        <w:ind w:right="1166"/>
        <w:rPr>
          <w:b/>
        </w:rPr>
      </w:pPr>
    </w:p>
    <w:p w:rsidR="001D0DB8" w:rsidRDefault="001D0DB8" w:rsidP="005124C3">
      <w:pPr>
        <w:pStyle w:val="Textoindependiente"/>
        <w:widowControl/>
        <w:numPr>
          <w:ilvl w:val="0"/>
          <w:numId w:val="9"/>
        </w:numPr>
        <w:ind w:left="1134" w:right="1166" w:hanging="283"/>
        <w:jc w:val="both"/>
        <w:rPr>
          <w:b/>
        </w:rPr>
      </w:pPr>
      <w:r>
        <w:rPr>
          <w:b/>
        </w:rPr>
        <w:t>La encuesta se centra en ocho entidades federativas que resultaron mayormente afectadas por los sismos del 7 y 19 de septiembre de 2017, siendo é</w:t>
      </w:r>
      <w:r w:rsidR="00170D99">
        <w:rPr>
          <w:b/>
        </w:rPr>
        <w:t xml:space="preserve">stas: </w:t>
      </w:r>
      <w:r>
        <w:rPr>
          <w:b/>
        </w:rPr>
        <w:t>Chiapas, Ciudad de México, Guerrero, México, Morelos, Oaxaca, Puebla y Tlaxcala.</w:t>
      </w:r>
    </w:p>
    <w:p w:rsidR="002B2AA9" w:rsidRDefault="002B2AA9" w:rsidP="005124C3">
      <w:pPr>
        <w:pStyle w:val="Textoindependiente"/>
        <w:widowControl/>
        <w:ind w:left="1134" w:right="1166" w:hanging="283"/>
        <w:jc w:val="both"/>
        <w:rPr>
          <w:b/>
        </w:rPr>
      </w:pPr>
    </w:p>
    <w:p w:rsidR="002B2AA9" w:rsidRDefault="002B2AA9" w:rsidP="005124C3">
      <w:pPr>
        <w:pStyle w:val="Textoindependiente"/>
        <w:widowControl/>
        <w:numPr>
          <w:ilvl w:val="0"/>
          <w:numId w:val="9"/>
        </w:numPr>
        <w:ind w:left="1134" w:right="1166" w:hanging="283"/>
        <w:jc w:val="both"/>
        <w:rPr>
          <w:b/>
        </w:rPr>
      </w:pPr>
      <w:r w:rsidRPr="002B2AA9">
        <w:rPr>
          <w:b/>
        </w:rPr>
        <w:t>Del total de establecimientos, 83.9% declara no haber sufrido daños en su infraestructura productiva</w:t>
      </w:r>
      <w:r w:rsidR="00FB1138">
        <w:rPr>
          <w:b/>
        </w:rPr>
        <w:t xml:space="preserve"> ni afectaciones en los servicios que brinda</w:t>
      </w:r>
      <w:r w:rsidRPr="002B2AA9">
        <w:rPr>
          <w:b/>
        </w:rPr>
        <w:t xml:space="preserve">, en tanto que 16.1% sufrió </w:t>
      </w:r>
      <w:r w:rsidR="00FB1138">
        <w:rPr>
          <w:b/>
        </w:rPr>
        <w:t xml:space="preserve">alguna </w:t>
      </w:r>
      <w:r w:rsidR="00416432">
        <w:rPr>
          <w:b/>
        </w:rPr>
        <w:t xml:space="preserve">afectación </w:t>
      </w:r>
      <w:r w:rsidRPr="002B2AA9">
        <w:rPr>
          <w:b/>
        </w:rPr>
        <w:t xml:space="preserve">derivada de los sismos acontecidos durante el mes de septiembre de 2017. </w:t>
      </w:r>
    </w:p>
    <w:p w:rsidR="002B2AA9" w:rsidRDefault="002B2AA9" w:rsidP="005124C3">
      <w:pPr>
        <w:pStyle w:val="Textoindependiente"/>
        <w:widowControl/>
        <w:ind w:left="1134" w:right="1166" w:hanging="283"/>
        <w:jc w:val="both"/>
        <w:rPr>
          <w:b/>
        </w:rPr>
      </w:pPr>
    </w:p>
    <w:p w:rsidR="00B75DCA" w:rsidRDefault="002B2AA9" w:rsidP="005124C3">
      <w:pPr>
        <w:pStyle w:val="Textoindependiente"/>
        <w:widowControl/>
        <w:numPr>
          <w:ilvl w:val="0"/>
          <w:numId w:val="9"/>
        </w:numPr>
        <w:ind w:left="1134" w:right="1166" w:hanging="283"/>
        <w:jc w:val="both"/>
        <w:rPr>
          <w:b/>
        </w:rPr>
      </w:pPr>
      <w:r w:rsidRPr="002B2AA9">
        <w:rPr>
          <w:b/>
        </w:rPr>
        <w:t>A nivel de los sectores económicos un mayor porcentaje reporta que hasta el momento no han recibido</w:t>
      </w:r>
      <w:r w:rsidR="00F23DAD">
        <w:rPr>
          <w:b/>
        </w:rPr>
        <w:t xml:space="preserve"> apoyos o ayudas para atender las afectaciones presentada</w:t>
      </w:r>
      <w:r w:rsidRPr="002B2AA9">
        <w:rPr>
          <w:b/>
        </w:rPr>
        <w:t>s, tal situación alcanza 100.0% en las Industrias manufactureras, mientras que dicha situación acontece en 87.2% del Comercio y 90.8% de los Servicios privados no financieros.</w:t>
      </w:r>
      <w:r w:rsidR="00B75DCA">
        <w:rPr>
          <w:b/>
        </w:rPr>
        <w:t xml:space="preserve"> </w:t>
      </w:r>
    </w:p>
    <w:p w:rsidR="00B75DCA" w:rsidRDefault="00B75DCA" w:rsidP="005124C3">
      <w:pPr>
        <w:pStyle w:val="Textoindependiente"/>
        <w:widowControl/>
        <w:ind w:left="1134" w:right="1166" w:hanging="283"/>
        <w:jc w:val="both"/>
        <w:rPr>
          <w:b/>
        </w:rPr>
      </w:pPr>
    </w:p>
    <w:p w:rsidR="002B2AA9" w:rsidRPr="00B75DCA" w:rsidRDefault="00B75DCA" w:rsidP="005124C3">
      <w:pPr>
        <w:pStyle w:val="Textoindependiente"/>
        <w:widowControl/>
        <w:numPr>
          <w:ilvl w:val="0"/>
          <w:numId w:val="9"/>
        </w:numPr>
        <w:ind w:left="1134" w:right="1166" w:hanging="283"/>
        <w:jc w:val="both"/>
        <w:rPr>
          <w:b/>
        </w:rPr>
      </w:pPr>
      <w:r w:rsidRPr="00B75DCA">
        <w:rPr>
          <w:rFonts w:cs="Arial"/>
          <w:b/>
          <w:lang w:val="es-ES"/>
        </w:rPr>
        <w:t xml:space="preserve">En </w:t>
      </w:r>
      <w:r w:rsidR="00FB1138">
        <w:rPr>
          <w:rFonts w:cs="Arial"/>
          <w:b/>
          <w:lang w:val="es-ES"/>
        </w:rPr>
        <w:t>las</w:t>
      </w:r>
      <w:r w:rsidRPr="00B75DCA">
        <w:rPr>
          <w:rFonts w:cs="Arial"/>
          <w:b/>
          <w:lang w:val="es-ES"/>
        </w:rPr>
        <w:t xml:space="preserve"> entidades federativas </w:t>
      </w:r>
      <w:r w:rsidR="003D7797">
        <w:rPr>
          <w:rFonts w:cs="Arial"/>
          <w:b/>
          <w:lang w:val="es-ES"/>
        </w:rPr>
        <w:t xml:space="preserve">afectadas por los sismos </w:t>
      </w:r>
      <w:r w:rsidRPr="00B75DCA">
        <w:rPr>
          <w:rFonts w:cs="Arial"/>
          <w:b/>
          <w:lang w:val="es-ES"/>
        </w:rPr>
        <w:t>sobresalen las unidades económicas que suspendieron actividades productivas un solo día, tal situación fue reportada por 49.4% de los establecimientos de Morelos, 48.5% en Puebla, 47.9% en Ciudad de México, 46.9% en Tlaxcala, 42.0% en Chiapas, 38.1% en México, 35.3% Oaxaca y 31.3% en Guerrero.</w:t>
      </w:r>
    </w:p>
    <w:p w:rsidR="002B2AA9" w:rsidRPr="002B2AA9" w:rsidRDefault="002B2AA9" w:rsidP="002B2AA9">
      <w:pPr>
        <w:pStyle w:val="Textoindependiente"/>
        <w:widowControl/>
        <w:ind w:left="1134" w:right="1591"/>
        <w:jc w:val="both"/>
        <w:rPr>
          <w:b/>
        </w:rPr>
      </w:pPr>
    </w:p>
    <w:p w:rsidR="00C56B81" w:rsidRPr="006840E3" w:rsidRDefault="00965F6D" w:rsidP="00965F6D">
      <w:pPr>
        <w:ind w:right="32"/>
        <w:jc w:val="both"/>
        <w:rPr>
          <w:rFonts w:ascii="Arial" w:eastAsia="Arial" w:hAnsi="Arial" w:cs="Arial"/>
          <w:sz w:val="24"/>
          <w:szCs w:val="24"/>
        </w:rPr>
      </w:pPr>
      <w:r>
        <w:rPr>
          <w:rFonts w:ascii="Arial" w:eastAsia="Arial" w:hAnsi="Arial" w:cs="Arial"/>
          <w:b/>
          <w:bCs/>
          <w:spacing w:val="-6"/>
          <w:sz w:val="24"/>
          <w:szCs w:val="24"/>
        </w:rPr>
        <w:t>Participación económica de las entidades federativas</w:t>
      </w:r>
      <w:r w:rsidR="003D7797">
        <w:rPr>
          <w:rFonts w:ascii="Arial" w:eastAsia="Arial" w:hAnsi="Arial" w:cs="Arial"/>
          <w:b/>
          <w:bCs/>
          <w:spacing w:val="-6"/>
          <w:sz w:val="24"/>
          <w:szCs w:val="24"/>
        </w:rPr>
        <w:t xml:space="preserve"> afectadas</w:t>
      </w:r>
    </w:p>
    <w:p w:rsidR="00C56B81" w:rsidRPr="005B6EF9" w:rsidRDefault="00C56B81" w:rsidP="006840E3">
      <w:pPr>
        <w:pStyle w:val="Textoindependiente"/>
        <w:spacing w:line="241" w:lineRule="auto"/>
        <w:ind w:left="0" w:right="197"/>
        <w:jc w:val="both"/>
      </w:pPr>
    </w:p>
    <w:p w:rsidR="00E56A92" w:rsidRDefault="00C723B1" w:rsidP="00A04814">
      <w:pPr>
        <w:pStyle w:val="Textoindependiente"/>
        <w:spacing w:line="241" w:lineRule="auto"/>
        <w:ind w:left="0" w:right="197"/>
        <w:jc w:val="both"/>
      </w:pPr>
      <w:r>
        <w:t xml:space="preserve">Los sismos acontecidos en el país los días </w:t>
      </w:r>
      <w:r w:rsidR="00A04814">
        <w:t xml:space="preserve">7 y 19 de </w:t>
      </w:r>
      <w:r w:rsidR="000F0FBB">
        <w:t>septiembre de 2017</w:t>
      </w:r>
      <w:r>
        <w:t xml:space="preserve">, </w:t>
      </w:r>
      <w:r w:rsidR="00A04814" w:rsidRPr="000920F8">
        <w:t>provoca</w:t>
      </w:r>
      <w:r w:rsidR="00A04814">
        <w:t xml:space="preserve">ron </w:t>
      </w:r>
      <w:r w:rsidR="00A04814" w:rsidRPr="000920F8">
        <w:t xml:space="preserve">afectaciones </w:t>
      </w:r>
      <w:r>
        <w:t xml:space="preserve">a </w:t>
      </w:r>
      <w:r w:rsidR="00A04814">
        <w:t xml:space="preserve">la infraestructura </w:t>
      </w:r>
      <w:r>
        <w:t xml:space="preserve">pública así como a la </w:t>
      </w:r>
      <w:r w:rsidR="00E56A92">
        <w:t>de</w:t>
      </w:r>
      <w:r w:rsidR="00AD1F0E">
        <w:t xml:space="preserve"> </w:t>
      </w:r>
      <w:r w:rsidR="00E56A92">
        <w:t xml:space="preserve">las familias y </w:t>
      </w:r>
      <w:r w:rsidR="00A04814">
        <w:t>las e</w:t>
      </w:r>
      <w:r>
        <w:t xml:space="preserve">mpresas. </w:t>
      </w:r>
      <w:r w:rsidR="00965F6D">
        <w:t>Este</w:t>
      </w:r>
      <w:r>
        <w:t xml:space="preserve"> desastre natural originó mayores </w:t>
      </w:r>
      <w:r w:rsidR="00AD1F0E">
        <w:t xml:space="preserve">afectaciones en las entidades </w:t>
      </w:r>
      <w:r w:rsidR="00E56A92">
        <w:t xml:space="preserve">federativas </w:t>
      </w:r>
      <w:r w:rsidR="004F3934">
        <w:t xml:space="preserve">localizadas en </w:t>
      </w:r>
      <w:r>
        <w:t xml:space="preserve">la región </w:t>
      </w:r>
      <w:r w:rsidR="00A04814" w:rsidRPr="000920F8">
        <w:t xml:space="preserve">centro y sur </w:t>
      </w:r>
      <w:r w:rsidR="005C0506">
        <w:t>del país, las cuales son</w:t>
      </w:r>
      <w:r w:rsidR="004F3934">
        <w:t xml:space="preserve"> Chiapas, Ciudad de </w:t>
      </w:r>
      <w:r w:rsidR="005A3525">
        <w:t xml:space="preserve">México, Guerrero, </w:t>
      </w:r>
      <w:r w:rsidR="004F3934">
        <w:t>México, Morelos, Oaxaca, Puebla y Tlaxcala.</w:t>
      </w:r>
    </w:p>
    <w:p w:rsidR="00460460" w:rsidRDefault="00EA3C4C" w:rsidP="00A04814">
      <w:pPr>
        <w:pStyle w:val="Textoindependiente"/>
        <w:spacing w:line="241" w:lineRule="auto"/>
        <w:ind w:left="0" w:right="197"/>
        <w:jc w:val="both"/>
      </w:pPr>
      <w:r>
        <w:lastRenderedPageBreak/>
        <w:t>E</w:t>
      </w:r>
      <w:r w:rsidR="004F3934">
        <w:t>n las ocho entidades federativas a</w:t>
      </w:r>
      <w:r w:rsidR="007671CD">
        <w:t xml:space="preserve">ntes </w:t>
      </w:r>
      <w:r w:rsidR="00FC2B95">
        <w:t>mencionadas se localizan 2.</w:t>
      </w:r>
      <w:r w:rsidR="00313989">
        <w:t>3</w:t>
      </w:r>
      <w:r w:rsidR="00FC2B95">
        <w:t xml:space="preserve"> millones </w:t>
      </w:r>
      <w:r w:rsidR="004F3934">
        <w:t>de establecimientos económicos</w:t>
      </w:r>
      <w:r w:rsidR="004F3934">
        <w:rPr>
          <w:rStyle w:val="Refdenotaalpie"/>
        </w:rPr>
        <w:footnoteReference w:id="1"/>
      </w:r>
      <w:r w:rsidR="004F3934">
        <w:t xml:space="preserve">, lo que representa </w:t>
      </w:r>
      <w:r w:rsidR="007671CD">
        <w:t>41.4</w:t>
      </w:r>
      <w:r w:rsidR="004F3934">
        <w:t>% del tot</w:t>
      </w:r>
      <w:r w:rsidR="00CC6D81">
        <w:t xml:space="preserve">al </w:t>
      </w:r>
      <w:r>
        <w:t>d</w:t>
      </w:r>
      <w:r w:rsidR="007671CD">
        <w:t>el país.</w:t>
      </w:r>
    </w:p>
    <w:p w:rsidR="00FC2B95" w:rsidRDefault="00FC2B95" w:rsidP="00A04814">
      <w:pPr>
        <w:pStyle w:val="Textoindependiente"/>
        <w:spacing w:line="241" w:lineRule="auto"/>
        <w:ind w:left="0" w:right="197"/>
        <w:jc w:val="both"/>
      </w:pPr>
    </w:p>
    <w:p w:rsidR="00AC5BA7" w:rsidRPr="007F6050" w:rsidRDefault="00AC5BA7" w:rsidP="00AC5BA7">
      <w:pPr>
        <w:pStyle w:val="Textoindependiente"/>
        <w:spacing w:line="241" w:lineRule="auto"/>
        <w:ind w:left="0" w:right="197"/>
        <w:jc w:val="center"/>
      </w:pPr>
      <w:r w:rsidRPr="007F6050">
        <w:t>Cuadro 1</w:t>
      </w:r>
    </w:p>
    <w:p w:rsidR="00AC5BA7" w:rsidRDefault="00AC5BA7" w:rsidP="00AC5BA7">
      <w:pPr>
        <w:pStyle w:val="Textoindependiente"/>
        <w:spacing w:line="241" w:lineRule="auto"/>
        <w:ind w:left="0" w:right="197"/>
        <w:jc w:val="center"/>
        <w:rPr>
          <w:b/>
        </w:rPr>
      </w:pPr>
      <w:r w:rsidRPr="00AC5BA7">
        <w:rPr>
          <w:b/>
        </w:rPr>
        <w:t xml:space="preserve">Número de establecimientos a nivel nacional y </w:t>
      </w:r>
      <w:r w:rsidR="00965F6D">
        <w:rPr>
          <w:b/>
        </w:rPr>
        <w:t>de las</w:t>
      </w:r>
    </w:p>
    <w:p w:rsidR="00AC5BA7" w:rsidRPr="00AC5BA7" w:rsidRDefault="00AC5BA7" w:rsidP="00AC5BA7">
      <w:pPr>
        <w:pStyle w:val="Textoindependiente"/>
        <w:spacing w:line="241" w:lineRule="auto"/>
        <w:ind w:left="0" w:right="197"/>
        <w:jc w:val="center"/>
        <w:rPr>
          <w:b/>
        </w:rPr>
      </w:pPr>
      <w:proofErr w:type="gramStart"/>
      <w:r w:rsidRPr="00AC5BA7">
        <w:rPr>
          <w:b/>
        </w:rPr>
        <w:t>entidad</w:t>
      </w:r>
      <w:r w:rsidR="001951F6">
        <w:rPr>
          <w:b/>
        </w:rPr>
        <w:t>es</w:t>
      </w:r>
      <w:proofErr w:type="gramEnd"/>
      <w:r w:rsidRPr="00AC5BA7">
        <w:rPr>
          <w:b/>
        </w:rPr>
        <w:t xml:space="preserve"> federativa</w:t>
      </w:r>
      <w:r w:rsidR="001951F6">
        <w:rPr>
          <w:b/>
        </w:rPr>
        <w:t>s</w:t>
      </w:r>
      <w:r w:rsidRPr="00AC5BA7">
        <w:rPr>
          <w:b/>
        </w:rPr>
        <w:t xml:space="preserve"> </w:t>
      </w:r>
      <w:r w:rsidR="001951F6">
        <w:rPr>
          <w:b/>
        </w:rPr>
        <w:t>afectadas por los sismos</w:t>
      </w:r>
    </w:p>
    <w:tbl>
      <w:tblPr>
        <w:tblStyle w:val="Tablaconcuadrcula"/>
        <w:tblW w:w="0" w:type="auto"/>
        <w:jc w:val="center"/>
        <w:tblLayout w:type="fixed"/>
        <w:tblLook w:val="04A0" w:firstRow="1" w:lastRow="0" w:firstColumn="1" w:lastColumn="0" w:noHBand="0" w:noVBand="1"/>
      </w:tblPr>
      <w:tblGrid>
        <w:gridCol w:w="4103"/>
        <w:gridCol w:w="1984"/>
        <w:gridCol w:w="2127"/>
      </w:tblGrid>
      <w:tr w:rsidR="005A3525" w:rsidTr="007671CD">
        <w:trPr>
          <w:jc w:val="center"/>
        </w:trPr>
        <w:tc>
          <w:tcPr>
            <w:tcW w:w="4103" w:type="dxa"/>
            <w:shd w:val="clear" w:color="auto" w:fill="B6DDE8" w:themeFill="accent5" w:themeFillTint="66"/>
            <w:vAlign w:val="center"/>
          </w:tcPr>
          <w:p w:rsidR="007928E0" w:rsidRPr="007671CD" w:rsidRDefault="007928E0" w:rsidP="007928E0">
            <w:pPr>
              <w:pStyle w:val="Textoindependiente"/>
              <w:spacing w:line="241" w:lineRule="auto"/>
              <w:ind w:left="0" w:right="197"/>
              <w:jc w:val="center"/>
              <w:rPr>
                <w:b/>
                <w:sz w:val="20"/>
              </w:rPr>
            </w:pPr>
            <w:r w:rsidRPr="007671CD">
              <w:rPr>
                <w:b/>
                <w:sz w:val="20"/>
              </w:rPr>
              <w:t xml:space="preserve">Entidades </w:t>
            </w:r>
          </w:p>
          <w:p w:rsidR="005A3525" w:rsidRPr="007671CD" w:rsidRDefault="007928E0" w:rsidP="007928E0">
            <w:pPr>
              <w:pStyle w:val="Textoindependiente"/>
              <w:spacing w:line="241" w:lineRule="auto"/>
              <w:ind w:left="0" w:right="197"/>
              <w:jc w:val="center"/>
              <w:rPr>
                <w:sz w:val="20"/>
              </w:rPr>
            </w:pPr>
            <w:r w:rsidRPr="007671CD">
              <w:rPr>
                <w:b/>
                <w:sz w:val="20"/>
              </w:rPr>
              <w:t>Federativas</w:t>
            </w:r>
          </w:p>
        </w:tc>
        <w:tc>
          <w:tcPr>
            <w:tcW w:w="1984" w:type="dxa"/>
            <w:shd w:val="clear" w:color="auto" w:fill="B6DDE8" w:themeFill="accent5" w:themeFillTint="66"/>
            <w:vAlign w:val="center"/>
          </w:tcPr>
          <w:p w:rsidR="005A3525" w:rsidRPr="007671CD" w:rsidRDefault="007928E0" w:rsidP="007928E0">
            <w:pPr>
              <w:pStyle w:val="Textoindependiente"/>
              <w:spacing w:line="241" w:lineRule="auto"/>
              <w:ind w:left="0" w:right="57"/>
              <w:jc w:val="center"/>
              <w:rPr>
                <w:b/>
                <w:sz w:val="20"/>
              </w:rPr>
            </w:pPr>
            <w:r w:rsidRPr="007671CD">
              <w:rPr>
                <w:b/>
                <w:sz w:val="20"/>
              </w:rPr>
              <w:t>Establecimientos</w:t>
            </w:r>
          </w:p>
        </w:tc>
        <w:tc>
          <w:tcPr>
            <w:tcW w:w="2127" w:type="dxa"/>
            <w:shd w:val="clear" w:color="auto" w:fill="B6DDE8" w:themeFill="accent5" w:themeFillTint="66"/>
          </w:tcPr>
          <w:p w:rsidR="005A3525" w:rsidRPr="007671CD" w:rsidRDefault="005A3525" w:rsidP="005A3525">
            <w:pPr>
              <w:pStyle w:val="Textoindependiente"/>
              <w:spacing w:line="241" w:lineRule="auto"/>
              <w:ind w:left="0" w:right="197"/>
              <w:jc w:val="center"/>
              <w:rPr>
                <w:b/>
                <w:sz w:val="20"/>
              </w:rPr>
            </w:pPr>
            <w:r w:rsidRPr="007671CD">
              <w:rPr>
                <w:b/>
                <w:sz w:val="20"/>
              </w:rPr>
              <w:t>Participación en el Total</w:t>
            </w:r>
            <w:r w:rsidR="000109BB" w:rsidRPr="007671CD">
              <w:rPr>
                <w:b/>
                <w:sz w:val="20"/>
              </w:rPr>
              <w:t xml:space="preserve"> Nacional</w:t>
            </w:r>
          </w:p>
          <w:p w:rsidR="007928E0" w:rsidRPr="007671CD" w:rsidRDefault="00FC2B95" w:rsidP="005A3525">
            <w:pPr>
              <w:pStyle w:val="Textoindependiente"/>
              <w:spacing w:line="241" w:lineRule="auto"/>
              <w:ind w:left="0" w:right="197"/>
              <w:jc w:val="center"/>
              <w:rPr>
                <w:b/>
                <w:sz w:val="20"/>
              </w:rPr>
            </w:pPr>
            <w:r>
              <w:rPr>
                <w:b/>
                <w:sz w:val="20"/>
              </w:rPr>
              <w:t>(P</w:t>
            </w:r>
            <w:r w:rsidR="007928E0" w:rsidRPr="007671CD">
              <w:rPr>
                <w:b/>
                <w:sz w:val="20"/>
              </w:rPr>
              <w:t>orcentaje)</w:t>
            </w:r>
          </w:p>
        </w:tc>
      </w:tr>
      <w:tr w:rsidR="005A3525" w:rsidTr="007671CD">
        <w:trPr>
          <w:jc w:val="center"/>
        </w:trPr>
        <w:tc>
          <w:tcPr>
            <w:tcW w:w="4103" w:type="dxa"/>
            <w:vAlign w:val="center"/>
          </w:tcPr>
          <w:p w:rsidR="005A3525" w:rsidRPr="00BF1096" w:rsidRDefault="005A3525" w:rsidP="00A04814">
            <w:pPr>
              <w:pStyle w:val="Textoindependiente"/>
              <w:spacing w:line="241" w:lineRule="auto"/>
              <w:ind w:left="0" w:right="197"/>
              <w:jc w:val="both"/>
              <w:rPr>
                <w:b/>
                <w:sz w:val="20"/>
              </w:rPr>
            </w:pPr>
            <w:r w:rsidRPr="00BF1096">
              <w:rPr>
                <w:b/>
                <w:sz w:val="20"/>
              </w:rPr>
              <w:t>Total Nacional</w:t>
            </w:r>
          </w:p>
        </w:tc>
        <w:tc>
          <w:tcPr>
            <w:tcW w:w="1984" w:type="dxa"/>
            <w:vAlign w:val="center"/>
          </w:tcPr>
          <w:p w:rsidR="005A3525" w:rsidRPr="007671CD" w:rsidRDefault="003A757D" w:rsidP="007671CD">
            <w:pPr>
              <w:pStyle w:val="Textoindependiente"/>
              <w:spacing w:line="241" w:lineRule="auto"/>
              <w:ind w:left="0" w:right="197"/>
              <w:jc w:val="right"/>
              <w:rPr>
                <w:b/>
                <w:sz w:val="20"/>
              </w:rPr>
            </w:pPr>
            <w:r>
              <w:rPr>
                <w:b/>
                <w:sz w:val="20"/>
              </w:rPr>
              <w:t>5,65</w:t>
            </w:r>
            <w:r w:rsidR="005124C3">
              <w:rPr>
                <w:b/>
                <w:sz w:val="20"/>
              </w:rPr>
              <w:t>4,014</w:t>
            </w:r>
          </w:p>
        </w:tc>
        <w:tc>
          <w:tcPr>
            <w:tcW w:w="2127" w:type="dxa"/>
            <w:vAlign w:val="center"/>
          </w:tcPr>
          <w:p w:rsidR="005A3525" w:rsidRPr="007671CD" w:rsidRDefault="007928E0" w:rsidP="007928E0">
            <w:pPr>
              <w:pStyle w:val="Textoindependiente"/>
              <w:spacing w:line="241" w:lineRule="auto"/>
              <w:ind w:left="0" w:right="197"/>
              <w:jc w:val="right"/>
              <w:rPr>
                <w:b/>
                <w:sz w:val="20"/>
              </w:rPr>
            </w:pPr>
            <w:r w:rsidRPr="007671CD">
              <w:rPr>
                <w:b/>
                <w:sz w:val="20"/>
              </w:rPr>
              <w:t>100.0</w:t>
            </w:r>
          </w:p>
        </w:tc>
      </w:tr>
      <w:tr w:rsidR="005A3525" w:rsidTr="007671CD">
        <w:trPr>
          <w:jc w:val="center"/>
        </w:trPr>
        <w:tc>
          <w:tcPr>
            <w:tcW w:w="4103" w:type="dxa"/>
            <w:vAlign w:val="center"/>
          </w:tcPr>
          <w:p w:rsidR="005A3525" w:rsidRPr="00BF1096" w:rsidRDefault="0037232D" w:rsidP="005A3525">
            <w:pPr>
              <w:pStyle w:val="Textoindependiente"/>
              <w:spacing w:line="241" w:lineRule="auto"/>
              <w:ind w:left="0" w:right="197"/>
              <w:jc w:val="both"/>
              <w:rPr>
                <w:b/>
                <w:sz w:val="20"/>
              </w:rPr>
            </w:pPr>
            <w:r>
              <w:rPr>
                <w:b/>
                <w:sz w:val="20"/>
              </w:rPr>
              <w:t>Entidades Federativas</w:t>
            </w:r>
            <w:r w:rsidR="00BF1096" w:rsidRPr="00BF1096">
              <w:rPr>
                <w:b/>
                <w:sz w:val="20"/>
              </w:rPr>
              <w:t xml:space="preserve"> </w:t>
            </w:r>
            <w:r>
              <w:rPr>
                <w:b/>
                <w:sz w:val="20"/>
              </w:rPr>
              <w:t>Afectadas</w:t>
            </w:r>
          </w:p>
        </w:tc>
        <w:tc>
          <w:tcPr>
            <w:tcW w:w="1984" w:type="dxa"/>
            <w:vAlign w:val="center"/>
          </w:tcPr>
          <w:p w:rsidR="005A3525" w:rsidRPr="007671CD" w:rsidRDefault="005124C3" w:rsidP="007671CD">
            <w:pPr>
              <w:pStyle w:val="Textoindependiente"/>
              <w:spacing w:line="241" w:lineRule="auto"/>
              <w:ind w:left="0" w:right="197"/>
              <w:jc w:val="right"/>
              <w:rPr>
                <w:b/>
                <w:sz w:val="20"/>
              </w:rPr>
            </w:pPr>
            <w:r>
              <w:rPr>
                <w:b/>
                <w:sz w:val="20"/>
              </w:rPr>
              <w:t>2,339,058</w:t>
            </w:r>
          </w:p>
        </w:tc>
        <w:tc>
          <w:tcPr>
            <w:tcW w:w="2127" w:type="dxa"/>
            <w:vAlign w:val="center"/>
          </w:tcPr>
          <w:p w:rsidR="005A3525" w:rsidRPr="007671CD" w:rsidRDefault="007928E0" w:rsidP="007928E0">
            <w:pPr>
              <w:pStyle w:val="Textoindependiente"/>
              <w:spacing w:line="241" w:lineRule="auto"/>
              <w:ind w:left="0" w:right="197"/>
              <w:jc w:val="right"/>
              <w:rPr>
                <w:b/>
                <w:sz w:val="20"/>
              </w:rPr>
            </w:pPr>
            <w:r w:rsidRPr="007671CD">
              <w:rPr>
                <w:b/>
                <w:sz w:val="20"/>
              </w:rPr>
              <w:t>41.4</w:t>
            </w:r>
          </w:p>
        </w:tc>
      </w:tr>
      <w:tr w:rsidR="005069FC" w:rsidTr="007671CD">
        <w:trPr>
          <w:jc w:val="center"/>
        </w:trPr>
        <w:tc>
          <w:tcPr>
            <w:tcW w:w="4103" w:type="dxa"/>
            <w:vAlign w:val="center"/>
          </w:tcPr>
          <w:p w:rsidR="005069FC" w:rsidRPr="00BF1096" w:rsidRDefault="00BF1096" w:rsidP="005069FC">
            <w:pPr>
              <w:pStyle w:val="Textoindependiente"/>
              <w:spacing w:line="241" w:lineRule="auto"/>
              <w:ind w:left="0" w:right="197"/>
              <w:jc w:val="both"/>
              <w:rPr>
                <w:sz w:val="20"/>
              </w:rPr>
            </w:pPr>
            <w:r w:rsidRPr="00BF1096">
              <w:rPr>
                <w:sz w:val="20"/>
              </w:rPr>
              <w:t xml:space="preserve">  </w:t>
            </w:r>
            <w:r w:rsidR="005069FC" w:rsidRPr="00BF1096">
              <w:rPr>
                <w:sz w:val="20"/>
              </w:rPr>
              <w:t>Chiapas</w:t>
            </w:r>
          </w:p>
        </w:tc>
        <w:tc>
          <w:tcPr>
            <w:tcW w:w="1984" w:type="dxa"/>
            <w:vAlign w:val="center"/>
          </w:tcPr>
          <w:p w:rsidR="005069FC" w:rsidRPr="007671CD" w:rsidRDefault="005124C3" w:rsidP="007671CD">
            <w:pPr>
              <w:pStyle w:val="Textoindependiente"/>
              <w:spacing w:line="241" w:lineRule="auto"/>
              <w:ind w:left="0" w:right="197"/>
              <w:jc w:val="right"/>
              <w:rPr>
                <w:sz w:val="20"/>
              </w:rPr>
            </w:pPr>
            <w:r>
              <w:rPr>
                <w:sz w:val="20"/>
              </w:rPr>
              <w:t>238,333</w:t>
            </w:r>
          </w:p>
        </w:tc>
        <w:tc>
          <w:tcPr>
            <w:tcW w:w="2127" w:type="dxa"/>
            <w:vAlign w:val="center"/>
          </w:tcPr>
          <w:p w:rsidR="005069FC" w:rsidRPr="007671CD" w:rsidRDefault="007671CD" w:rsidP="007928E0">
            <w:pPr>
              <w:pStyle w:val="Textoindependiente"/>
              <w:spacing w:line="241" w:lineRule="auto"/>
              <w:ind w:left="0" w:right="197"/>
              <w:jc w:val="right"/>
              <w:rPr>
                <w:sz w:val="20"/>
              </w:rPr>
            </w:pPr>
            <w:r>
              <w:rPr>
                <w:sz w:val="20"/>
              </w:rPr>
              <w:t>4.2</w:t>
            </w:r>
          </w:p>
        </w:tc>
      </w:tr>
      <w:tr w:rsidR="005069FC" w:rsidTr="007671CD">
        <w:trPr>
          <w:jc w:val="center"/>
        </w:trPr>
        <w:tc>
          <w:tcPr>
            <w:tcW w:w="4103" w:type="dxa"/>
            <w:vAlign w:val="center"/>
          </w:tcPr>
          <w:p w:rsidR="005069FC" w:rsidRPr="00BF1096" w:rsidRDefault="00BF1096" w:rsidP="005069FC">
            <w:pPr>
              <w:pStyle w:val="Textoindependiente"/>
              <w:spacing w:line="241" w:lineRule="auto"/>
              <w:ind w:left="0" w:right="197"/>
              <w:jc w:val="both"/>
              <w:rPr>
                <w:sz w:val="20"/>
              </w:rPr>
            </w:pPr>
            <w:r w:rsidRPr="00BF1096">
              <w:rPr>
                <w:sz w:val="20"/>
              </w:rPr>
              <w:t xml:space="preserve">  </w:t>
            </w:r>
            <w:r w:rsidR="005069FC" w:rsidRPr="00BF1096">
              <w:rPr>
                <w:sz w:val="20"/>
              </w:rPr>
              <w:t>Ciudad de México</w:t>
            </w:r>
          </w:p>
        </w:tc>
        <w:tc>
          <w:tcPr>
            <w:tcW w:w="1984" w:type="dxa"/>
            <w:vAlign w:val="center"/>
          </w:tcPr>
          <w:p w:rsidR="005069FC" w:rsidRPr="007671CD" w:rsidRDefault="005124C3" w:rsidP="007671CD">
            <w:pPr>
              <w:pStyle w:val="Textoindependiente"/>
              <w:spacing w:line="241" w:lineRule="auto"/>
              <w:ind w:left="0" w:right="197"/>
              <w:jc w:val="right"/>
              <w:rPr>
                <w:sz w:val="20"/>
              </w:rPr>
            </w:pPr>
            <w:r>
              <w:rPr>
                <w:sz w:val="20"/>
              </w:rPr>
              <w:t>452,939</w:t>
            </w:r>
          </w:p>
        </w:tc>
        <w:tc>
          <w:tcPr>
            <w:tcW w:w="2127" w:type="dxa"/>
            <w:vAlign w:val="center"/>
          </w:tcPr>
          <w:p w:rsidR="005069FC" w:rsidRPr="007671CD" w:rsidRDefault="007671CD" w:rsidP="007928E0">
            <w:pPr>
              <w:pStyle w:val="Textoindependiente"/>
              <w:spacing w:line="241" w:lineRule="auto"/>
              <w:ind w:left="0" w:right="197"/>
              <w:jc w:val="right"/>
              <w:rPr>
                <w:sz w:val="20"/>
              </w:rPr>
            </w:pPr>
            <w:r>
              <w:rPr>
                <w:sz w:val="20"/>
              </w:rPr>
              <w:t>8.0</w:t>
            </w:r>
          </w:p>
        </w:tc>
      </w:tr>
      <w:tr w:rsidR="005069FC" w:rsidTr="007671CD">
        <w:trPr>
          <w:jc w:val="center"/>
        </w:trPr>
        <w:tc>
          <w:tcPr>
            <w:tcW w:w="4103" w:type="dxa"/>
            <w:vAlign w:val="center"/>
          </w:tcPr>
          <w:p w:rsidR="005069FC" w:rsidRPr="00BF1096" w:rsidRDefault="00BF1096" w:rsidP="005069FC">
            <w:pPr>
              <w:pStyle w:val="Textoindependiente"/>
              <w:spacing w:line="241" w:lineRule="auto"/>
              <w:ind w:left="0" w:right="197"/>
              <w:jc w:val="both"/>
              <w:rPr>
                <w:sz w:val="20"/>
              </w:rPr>
            </w:pPr>
            <w:r w:rsidRPr="00BF1096">
              <w:rPr>
                <w:sz w:val="20"/>
              </w:rPr>
              <w:t xml:space="preserve">  </w:t>
            </w:r>
            <w:r w:rsidR="005069FC" w:rsidRPr="00BF1096">
              <w:rPr>
                <w:sz w:val="20"/>
              </w:rPr>
              <w:t>Guerrero</w:t>
            </w:r>
          </w:p>
        </w:tc>
        <w:tc>
          <w:tcPr>
            <w:tcW w:w="1984" w:type="dxa"/>
            <w:vAlign w:val="center"/>
          </w:tcPr>
          <w:p w:rsidR="005069FC" w:rsidRPr="007671CD" w:rsidRDefault="005124C3" w:rsidP="007671CD">
            <w:pPr>
              <w:pStyle w:val="Textoindependiente"/>
              <w:spacing w:line="241" w:lineRule="auto"/>
              <w:ind w:left="0" w:right="197"/>
              <w:jc w:val="right"/>
              <w:rPr>
                <w:sz w:val="20"/>
              </w:rPr>
            </w:pPr>
            <w:r>
              <w:rPr>
                <w:sz w:val="20"/>
              </w:rPr>
              <w:t>202,092</w:t>
            </w:r>
          </w:p>
        </w:tc>
        <w:tc>
          <w:tcPr>
            <w:tcW w:w="2127" w:type="dxa"/>
            <w:vAlign w:val="center"/>
          </w:tcPr>
          <w:p w:rsidR="005069FC" w:rsidRPr="007671CD" w:rsidRDefault="007671CD" w:rsidP="007928E0">
            <w:pPr>
              <w:pStyle w:val="Textoindependiente"/>
              <w:spacing w:line="241" w:lineRule="auto"/>
              <w:ind w:left="0" w:right="197"/>
              <w:jc w:val="right"/>
              <w:rPr>
                <w:sz w:val="20"/>
              </w:rPr>
            </w:pPr>
            <w:r>
              <w:rPr>
                <w:sz w:val="20"/>
              </w:rPr>
              <w:t>3.6</w:t>
            </w:r>
          </w:p>
        </w:tc>
      </w:tr>
      <w:tr w:rsidR="005069FC" w:rsidTr="007671CD">
        <w:trPr>
          <w:jc w:val="center"/>
        </w:trPr>
        <w:tc>
          <w:tcPr>
            <w:tcW w:w="4103" w:type="dxa"/>
            <w:vAlign w:val="center"/>
          </w:tcPr>
          <w:p w:rsidR="005069FC" w:rsidRPr="00BF1096" w:rsidRDefault="00BF1096" w:rsidP="005069FC">
            <w:pPr>
              <w:pStyle w:val="Textoindependiente"/>
              <w:spacing w:line="241" w:lineRule="auto"/>
              <w:ind w:left="0" w:right="197"/>
              <w:jc w:val="both"/>
              <w:rPr>
                <w:sz w:val="20"/>
              </w:rPr>
            </w:pPr>
            <w:r w:rsidRPr="00BF1096">
              <w:rPr>
                <w:sz w:val="20"/>
              </w:rPr>
              <w:t xml:space="preserve">  </w:t>
            </w:r>
            <w:r w:rsidR="005069FC" w:rsidRPr="00BF1096">
              <w:rPr>
                <w:sz w:val="20"/>
              </w:rPr>
              <w:t>México</w:t>
            </w:r>
          </w:p>
        </w:tc>
        <w:tc>
          <w:tcPr>
            <w:tcW w:w="1984" w:type="dxa"/>
            <w:vAlign w:val="center"/>
          </w:tcPr>
          <w:p w:rsidR="005069FC" w:rsidRPr="007671CD" w:rsidRDefault="005124C3" w:rsidP="007671CD">
            <w:pPr>
              <w:pStyle w:val="Textoindependiente"/>
              <w:spacing w:line="241" w:lineRule="auto"/>
              <w:ind w:left="0" w:right="197"/>
              <w:jc w:val="right"/>
              <w:rPr>
                <w:sz w:val="20"/>
              </w:rPr>
            </w:pPr>
            <w:r>
              <w:rPr>
                <w:sz w:val="20"/>
              </w:rPr>
              <w:t>664,785</w:t>
            </w:r>
          </w:p>
        </w:tc>
        <w:tc>
          <w:tcPr>
            <w:tcW w:w="2127" w:type="dxa"/>
            <w:vAlign w:val="center"/>
          </w:tcPr>
          <w:p w:rsidR="005069FC" w:rsidRPr="007671CD" w:rsidRDefault="007671CD" w:rsidP="007928E0">
            <w:pPr>
              <w:pStyle w:val="Textoindependiente"/>
              <w:spacing w:line="241" w:lineRule="auto"/>
              <w:ind w:left="0" w:right="197"/>
              <w:jc w:val="right"/>
              <w:rPr>
                <w:sz w:val="20"/>
              </w:rPr>
            </w:pPr>
            <w:r>
              <w:rPr>
                <w:sz w:val="20"/>
              </w:rPr>
              <w:t>11.8</w:t>
            </w:r>
          </w:p>
        </w:tc>
      </w:tr>
      <w:tr w:rsidR="005069FC" w:rsidTr="007671CD">
        <w:trPr>
          <w:jc w:val="center"/>
        </w:trPr>
        <w:tc>
          <w:tcPr>
            <w:tcW w:w="4103" w:type="dxa"/>
            <w:vAlign w:val="center"/>
          </w:tcPr>
          <w:p w:rsidR="005069FC" w:rsidRPr="00BF1096" w:rsidRDefault="00BF1096" w:rsidP="005069FC">
            <w:pPr>
              <w:pStyle w:val="Textoindependiente"/>
              <w:spacing w:line="241" w:lineRule="auto"/>
              <w:ind w:left="0" w:right="197"/>
              <w:jc w:val="both"/>
              <w:rPr>
                <w:sz w:val="20"/>
              </w:rPr>
            </w:pPr>
            <w:r w:rsidRPr="00BF1096">
              <w:rPr>
                <w:sz w:val="20"/>
              </w:rPr>
              <w:t xml:space="preserve">  </w:t>
            </w:r>
            <w:r w:rsidR="005069FC" w:rsidRPr="00BF1096">
              <w:rPr>
                <w:sz w:val="20"/>
              </w:rPr>
              <w:t>Morelos</w:t>
            </w:r>
          </w:p>
        </w:tc>
        <w:tc>
          <w:tcPr>
            <w:tcW w:w="1984" w:type="dxa"/>
            <w:vAlign w:val="center"/>
          </w:tcPr>
          <w:p w:rsidR="005069FC" w:rsidRPr="007671CD" w:rsidRDefault="005124C3" w:rsidP="007671CD">
            <w:pPr>
              <w:pStyle w:val="Textoindependiente"/>
              <w:spacing w:line="241" w:lineRule="auto"/>
              <w:ind w:left="0" w:right="197"/>
              <w:jc w:val="right"/>
              <w:rPr>
                <w:sz w:val="20"/>
              </w:rPr>
            </w:pPr>
            <w:r>
              <w:rPr>
                <w:sz w:val="20"/>
              </w:rPr>
              <w:t>109,852</w:t>
            </w:r>
          </w:p>
        </w:tc>
        <w:tc>
          <w:tcPr>
            <w:tcW w:w="2127" w:type="dxa"/>
            <w:vAlign w:val="center"/>
          </w:tcPr>
          <w:p w:rsidR="005069FC" w:rsidRPr="007671CD" w:rsidRDefault="007671CD" w:rsidP="007928E0">
            <w:pPr>
              <w:pStyle w:val="Textoindependiente"/>
              <w:spacing w:line="241" w:lineRule="auto"/>
              <w:ind w:left="0" w:right="197"/>
              <w:jc w:val="right"/>
              <w:rPr>
                <w:sz w:val="20"/>
              </w:rPr>
            </w:pPr>
            <w:r>
              <w:rPr>
                <w:sz w:val="20"/>
              </w:rPr>
              <w:t>1.9</w:t>
            </w:r>
          </w:p>
        </w:tc>
      </w:tr>
      <w:tr w:rsidR="005069FC" w:rsidTr="007671CD">
        <w:trPr>
          <w:jc w:val="center"/>
        </w:trPr>
        <w:tc>
          <w:tcPr>
            <w:tcW w:w="4103" w:type="dxa"/>
            <w:vAlign w:val="center"/>
          </w:tcPr>
          <w:p w:rsidR="005069FC" w:rsidRPr="00BF1096" w:rsidRDefault="00BF1096" w:rsidP="005069FC">
            <w:pPr>
              <w:pStyle w:val="Textoindependiente"/>
              <w:spacing w:line="241" w:lineRule="auto"/>
              <w:ind w:left="0" w:right="197"/>
              <w:jc w:val="both"/>
              <w:rPr>
                <w:sz w:val="20"/>
              </w:rPr>
            </w:pPr>
            <w:r w:rsidRPr="00BF1096">
              <w:rPr>
                <w:sz w:val="20"/>
              </w:rPr>
              <w:t xml:space="preserve">  </w:t>
            </w:r>
            <w:r w:rsidR="005069FC" w:rsidRPr="00BF1096">
              <w:rPr>
                <w:sz w:val="20"/>
              </w:rPr>
              <w:t>Oaxaca</w:t>
            </w:r>
          </w:p>
        </w:tc>
        <w:tc>
          <w:tcPr>
            <w:tcW w:w="1984" w:type="dxa"/>
            <w:vAlign w:val="center"/>
          </w:tcPr>
          <w:p w:rsidR="005069FC" w:rsidRPr="007671CD" w:rsidRDefault="005124C3" w:rsidP="007671CD">
            <w:pPr>
              <w:pStyle w:val="Textoindependiente"/>
              <w:spacing w:line="241" w:lineRule="auto"/>
              <w:ind w:left="0" w:right="197"/>
              <w:jc w:val="right"/>
              <w:rPr>
                <w:sz w:val="20"/>
              </w:rPr>
            </w:pPr>
            <w:r>
              <w:rPr>
                <w:sz w:val="20"/>
              </w:rPr>
              <w:t>251,847</w:t>
            </w:r>
          </w:p>
        </w:tc>
        <w:tc>
          <w:tcPr>
            <w:tcW w:w="2127" w:type="dxa"/>
            <w:vAlign w:val="center"/>
          </w:tcPr>
          <w:p w:rsidR="005069FC" w:rsidRPr="007671CD" w:rsidRDefault="007671CD" w:rsidP="007928E0">
            <w:pPr>
              <w:pStyle w:val="Textoindependiente"/>
              <w:spacing w:line="241" w:lineRule="auto"/>
              <w:ind w:left="0" w:right="197"/>
              <w:jc w:val="right"/>
              <w:rPr>
                <w:sz w:val="20"/>
              </w:rPr>
            </w:pPr>
            <w:r>
              <w:rPr>
                <w:sz w:val="20"/>
              </w:rPr>
              <w:t>4.5</w:t>
            </w:r>
          </w:p>
        </w:tc>
      </w:tr>
      <w:tr w:rsidR="005069FC" w:rsidTr="007671CD">
        <w:trPr>
          <w:jc w:val="center"/>
        </w:trPr>
        <w:tc>
          <w:tcPr>
            <w:tcW w:w="4103" w:type="dxa"/>
            <w:vAlign w:val="center"/>
          </w:tcPr>
          <w:p w:rsidR="005069FC" w:rsidRPr="00BF1096" w:rsidRDefault="00BF1096" w:rsidP="005069FC">
            <w:pPr>
              <w:pStyle w:val="Textoindependiente"/>
              <w:spacing w:line="241" w:lineRule="auto"/>
              <w:ind w:left="0" w:right="197"/>
              <w:jc w:val="both"/>
              <w:rPr>
                <w:sz w:val="20"/>
              </w:rPr>
            </w:pPr>
            <w:r w:rsidRPr="00BF1096">
              <w:rPr>
                <w:sz w:val="20"/>
              </w:rPr>
              <w:t xml:space="preserve">  </w:t>
            </w:r>
            <w:r w:rsidR="005069FC" w:rsidRPr="00BF1096">
              <w:rPr>
                <w:sz w:val="20"/>
              </w:rPr>
              <w:t>Puebla</w:t>
            </w:r>
          </w:p>
        </w:tc>
        <w:tc>
          <w:tcPr>
            <w:tcW w:w="1984" w:type="dxa"/>
            <w:vAlign w:val="center"/>
          </w:tcPr>
          <w:p w:rsidR="005069FC" w:rsidRPr="007671CD" w:rsidRDefault="005124C3" w:rsidP="007671CD">
            <w:pPr>
              <w:pStyle w:val="Textoindependiente"/>
              <w:spacing w:line="241" w:lineRule="auto"/>
              <w:ind w:left="0" w:right="197"/>
              <w:jc w:val="right"/>
              <w:rPr>
                <w:sz w:val="20"/>
              </w:rPr>
            </w:pPr>
            <w:r>
              <w:rPr>
                <w:sz w:val="20"/>
              </w:rPr>
              <w:t>339,601</w:t>
            </w:r>
          </w:p>
        </w:tc>
        <w:tc>
          <w:tcPr>
            <w:tcW w:w="2127" w:type="dxa"/>
            <w:vAlign w:val="center"/>
          </w:tcPr>
          <w:p w:rsidR="005069FC" w:rsidRPr="007671CD" w:rsidRDefault="007671CD" w:rsidP="007928E0">
            <w:pPr>
              <w:pStyle w:val="Textoindependiente"/>
              <w:spacing w:line="241" w:lineRule="auto"/>
              <w:ind w:left="0" w:right="197"/>
              <w:jc w:val="right"/>
              <w:rPr>
                <w:sz w:val="20"/>
              </w:rPr>
            </w:pPr>
            <w:r>
              <w:rPr>
                <w:sz w:val="20"/>
              </w:rPr>
              <w:t>6.0</w:t>
            </w:r>
          </w:p>
        </w:tc>
      </w:tr>
      <w:tr w:rsidR="005069FC" w:rsidTr="007671CD">
        <w:trPr>
          <w:jc w:val="center"/>
        </w:trPr>
        <w:tc>
          <w:tcPr>
            <w:tcW w:w="4103" w:type="dxa"/>
            <w:vAlign w:val="center"/>
          </w:tcPr>
          <w:p w:rsidR="005069FC" w:rsidRPr="00BF1096" w:rsidRDefault="00BF1096" w:rsidP="005069FC">
            <w:pPr>
              <w:pStyle w:val="Textoindependiente"/>
              <w:spacing w:line="241" w:lineRule="auto"/>
              <w:ind w:left="0" w:right="197"/>
              <w:jc w:val="both"/>
              <w:rPr>
                <w:sz w:val="20"/>
              </w:rPr>
            </w:pPr>
            <w:r w:rsidRPr="00BF1096">
              <w:rPr>
                <w:sz w:val="20"/>
              </w:rPr>
              <w:t xml:space="preserve">  </w:t>
            </w:r>
            <w:r w:rsidR="005069FC" w:rsidRPr="00BF1096">
              <w:rPr>
                <w:sz w:val="20"/>
              </w:rPr>
              <w:t>Tlaxcala</w:t>
            </w:r>
          </w:p>
        </w:tc>
        <w:tc>
          <w:tcPr>
            <w:tcW w:w="1984" w:type="dxa"/>
            <w:vAlign w:val="center"/>
          </w:tcPr>
          <w:p w:rsidR="005069FC" w:rsidRPr="007671CD" w:rsidRDefault="005124C3" w:rsidP="007671CD">
            <w:pPr>
              <w:pStyle w:val="Textoindependiente"/>
              <w:spacing w:line="241" w:lineRule="auto"/>
              <w:ind w:left="0" w:right="197"/>
              <w:jc w:val="right"/>
              <w:rPr>
                <w:sz w:val="20"/>
              </w:rPr>
            </w:pPr>
            <w:r>
              <w:rPr>
                <w:sz w:val="20"/>
              </w:rPr>
              <w:t>79,609</w:t>
            </w:r>
          </w:p>
        </w:tc>
        <w:tc>
          <w:tcPr>
            <w:tcW w:w="2127" w:type="dxa"/>
            <w:vAlign w:val="center"/>
          </w:tcPr>
          <w:p w:rsidR="005069FC" w:rsidRPr="007671CD" w:rsidRDefault="007671CD" w:rsidP="007928E0">
            <w:pPr>
              <w:pStyle w:val="Textoindependiente"/>
              <w:spacing w:line="241" w:lineRule="auto"/>
              <w:ind w:left="0" w:right="197"/>
              <w:jc w:val="right"/>
              <w:rPr>
                <w:sz w:val="20"/>
              </w:rPr>
            </w:pPr>
            <w:r>
              <w:rPr>
                <w:sz w:val="20"/>
              </w:rPr>
              <w:t>1.4</w:t>
            </w:r>
          </w:p>
        </w:tc>
      </w:tr>
      <w:tr w:rsidR="00BF1096" w:rsidTr="007671CD">
        <w:trPr>
          <w:jc w:val="center"/>
        </w:trPr>
        <w:tc>
          <w:tcPr>
            <w:tcW w:w="4103" w:type="dxa"/>
            <w:vAlign w:val="center"/>
          </w:tcPr>
          <w:p w:rsidR="00BF1096" w:rsidRPr="00BF1096" w:rsidRDefault="00BF1096" w:rsidP="005069FC">
            <w:pPr>
              <w:pStyle w:val="Textoindependiente"/>
              <w:spacing w:line="241" w:lineRule="auto"/>
              <w:ind w:left="0" w:right="197"/>
              <w:jc w:val="both"/>
              <w:rPr>
                <w:b/>
                <w:sz w:val="20"/>
              </w:rPr>
            </w:pPr>
            <w:r w:rsidRPr="00BF1096">
              <w:rPr>
                <w:b/>
                <w:sz w:val="20"/>
              </w:rPr>
              <w:t>Resto de Entidades Federativas</w:t>
            </w:r>
          </w:p>
        </w:tc>
        <w:tc>
          <w:tcPr>
            <w:tcW w:w="1984" w:type="dxa"/>
            <w:vAlign w:val="center"/>
          </w:tcPr>
          <w:p w:rsidR="00BF1096" w:rsidRPr="007671CD" w:rsidRDefault="005124C3" w:rsidP="007671CD">
            <w:pPr>
              <w:pStyle w:val="Textoindependiente"/>
              <w:spacing w:line="241" w:lineRule="auto"/>
              <w:ind w:left="0" w:right="197"/>
              <w:jc w:val="right"/>
              <w:rPr>
                <w:b/>
                <w:sz w:val="20"/>
              </w:rPr>
            </w:pPr>
            <w:r>
              <w:rPr>
                <w:b/>
                <w:sz w:val="20"/>
              </w:rPr>
              <w:t>3,314,956</w:t>
            </w:r>
          </w:p>
        </w:tc>
        <w:tc>
          <w:tcPr>
            <w:tcW w:w="2127" w:type="dxa"/>
            <w:vAlign w:val="center"/>
          </w:tcPr>
          <w:p w:rsidR="00BF1096" w:rsidRPr="007671CD" w:rsidRDefault="007671CD" w:rsidP="007928E0">
            <w:pPr>
              <w:pStyle w:val="Textoindependiente"/>
              <w:spacing w:line="241" w:lineRule="auto"/>
              <w:ind w:left="0" w:right="197"/>
              <w:jc w:val="right"/>
              <w:rPr>
                <w:b/>
                <w:sz w:val="20"/>
              </w:rPr>
            </w:pPr>
            <w:r>
              <w:rPr>
                <w:b/>
                <w:sz w:val="20"/>
              </w:rPr>
              <w:t>58.6</w:t>
            </w:r>
          </w:p>
        </w:tc>
      </w:tr>
    </w:tbl>
    <w:p w:rsidR="00460460" w:rsidRPr="005124C3" w:rsidRDefault="005124C3" w:rsidP="005124C3">
      <w:pPr>
        <w:pStyle w:val="Textoindependiente"/>
        <w:spacing w:line="241" w:lineRule="auto"/>
        <w:ind w:left="1134" w:right="197"/>
        <w:jc w:val="both"/>
        <w:rPr>
          <w:sz w:val="20"/>
        </w:rPr>
      </w:pPr>
      <w:r w:rsidRPr="005124C3">
        <w:rPr>
          <w:sz w:val="20"/>
        </w:rPr>
        <w:t>Fuente: INEGI.</w:t>
      </w:r>
    </w:p>
    <w:p w:rsidR="005124C3" w:rsidRDefault="005124C3" w:rsidP="00CC6D81">
      <w:pPr>
        <w:pStyle w:val="Textoindependiente"/>
        <w:spacing w:line="241" w:lineRule="auto"/>
        <w:ind w:left="0" w:right="197"/>
        <w:jc w:val="both"/>
      </w:pPr>
    </w:p>
    <w:p w:rsidR="00CC6D81" w:rsidRDefault="00E86C71" w:rsidP="00CC6D81">
      <w:pPr>
        <w:pStyle w:val="Textoindependiente"/>
        <w:spacing w:line="241" w:lineRule="auto"/>
        <w:ind w:left="0" w:right="197"/>
        <w:jc w:val="both"/>
      </w:pPr>
      <w:r>
        <w:t>Por</w:t>
      </w:r>
      <w:r w:rsidR="007671CD">
        <w:t xml:space="preserve"> el número de establecimientos, d</w:t>
      </w:r>
      <w:r w:rsidR="00CC6D81">
        <w:t>estaca</w:t>
      </w:r>
      <w:r w:rsidR="008A2F31">
        <w:t>n</w:t>
      </w:r>
      <w:r w:rsidR="00CC6D81">
        <w:t xml:space="preserve"> con un </w:t>
      </w:r>
      <w:r>
        <w:t>mayor porcentaje</w:t>
      </w:r>
      <w:r w:rsidR="007671CD">
        <w:t xml:space="preserve"> México (11.8%), </w:t>
      </w:r>
      <w:r w:rsidR="00CC6D81">
        <w:t xml:space="preserve">Ciudad de México </w:t>
      </w:r>
      <w:r w:rsidR="008A2F31">
        <w:t>(8</w:t>
      </w:r>
      <w:r w:rsidR="007671CD">
        <w:t>.0</w:t>
      </w:r>
      <w:r w:rsidR="008A2F31">
        <w:t xml:space="preserve">%), </w:t>
      </w:r>
      <w:r w:rsidR="007671CD">
        <w:t xml:space="preserve">Puebla </w:t>
      </w:r>
      <w:r w:rsidR="008A2F31">
        <w:t>(</w:t>
      </w:r>
      <w:r w:rsidR="007671CD">
        <w:t>6.0</w:t>
      </w:r>
      <w:r w:rsidR="008A2F31">
        <w:t xml:space="preserve">%) y </w:t>
      </w:r>
      <w:r w:rsidR="007671CD">
        <w:t xml:space="preserve">Oaxaca </w:t>
      </w:r>
      <w:r w:rsidR="008A2F31">
        <w:t>(</w:t>
      </w:r>
      <w:r w:rsidR="007671CD">
        <w:t>4.5</w:t>
      </w:r>
      <w:r w:rsidR="008A2F31">
        <w:t>%)</w:t>
      </w:r>
      <w:r w:rsidR="00CC6D81">
        <w:t>.</w:t>
      </w:r>
    </w:p>
    <w:p w:rsidR="00CC6D81" w:rsidRDefault="00CC6D81" w:rsidP="00A04814">
      <w:pPr>
        <w:pStyle w:val="Textoindependiente"/>
        <w:spacing w:line="241" w:lineRule="auto"/>
        <w:ind w:left="0" w:right="197"/>
        <w:jc w:val="both"/>
      </w:pPr>
    </w:p>
    <w:p w:rsidR="004F3934" w:rsidRDefault="0058514A" w:rsidP="00A04814">
      <w:pPr>
        <w:pStyle w:val="Textoindependiente"/>
        <w:spacing w:line="241" w:lineRule="auto"/>
        <w:ind w:left="0" w:right="197"/>
        <w:jc w:val="both"/>
      </w:pPr>
      <w:r>
        <w:t xml:space="preserve">Las </w:t>
      </w:r>
      <w:r w:rsidR="007671CD">
        <w:t xml:space="preserve">mismas </w:t>
      </w:r>
      <w:r w:rsidR="00BF1096">
        <w:t xml:space="preserve">ocho entidades federativas </w:t>
      </w:r>
      <w:r w:rsidR="00CC6D81">
        <w:t xml:space="preserve">representan 35.3% del </w:t>
      </w:r>
      <w:r>
        <w:t>Producto Interno Bruto (PIB)</w:t>
      </w:r>
      <w:r w:rsidR="00CC6D81">
        <w:t xml:space="preserve"> Nacional</w:t>
      </w:r>
      <w:r w:rsidR="00CC6D81">
        <w:rPr>
          <w:rStyle w:val="Refdenotaalpie"/>
        </w:rPr>
        <w:footnoteReference w:id="2"/>
      </w:r>
      <w:r w:rsidR="001951F6">
        <w:t xml:space="preserve">. En este rubro </w:t>
      </w:r>
      <w:r w:rsidR="00E86C71">
        <w:t>sobresale</w:t>
      </w:r>
      <w:r w:rsidR="001951F6">
        <w:t xml:space="preserve"> la Ciudad de México, México, Puebla</w:t>
      </w:r>
      <w:r w:rsidR="009A3159">
        <w:t xml:space="preserve">, </w:t>
      </w:r>
      <w:r w:rsidR="007671CD">
        <w:t>Chiapas y Oaxaca</w:t>
      </w:r>
      <w:r w:rsidR="001951F6">
        <w:t xml:space="preserve"> con </w:t>
      </w:r>
      <w:r>
        <w:t xml:space="preserve">una participación en el PIB del país </w:t>
      </w:r>
      <w:r w:rsidR="001951F6">
        <w:t>de 1</w:t>
      </w:r>
      <w:r w:rsidR="007671CD">
        <w:t>6</w:t>
      </w:r>
      <w:r w:rsidR="001951F6">
        <w:t>.</w:t>
      </w:r>
      <w:r w:rsidR="007671CD">
        <w:t>8</w:t>
      </w:r>
      <w:r w:rsidR="001951F6">
        <w:t xml:space="preserve">%, </w:t>
      </w:r>
      <w:r w:rsidR="007671CD">
        <w:t>8.9</w:t>
      </w:r>
      <w:r w:rsidR="001951F6">
        <w:t xml:space="preserve">%, </w:t>
      </w:r>
      <w:r w:rsidR="007671CD">
        <w:t>3.2%,</w:t>
      </w:r>
      <w:r w:rsidR="001951F6">
        <w:t xml:space="preserve"> </w:t>
      </w:r>
      <w:r w:rsidR="007671CD">
        <w:t>1.6</w:t>
      </w:r>
      <w:r w:rsidR="001951F6">
        <w:t>%</w:t>
      </w:r>
      <w:r w:rsidR="007671CD">
        <w:t xml:space="preserve"> y 1.6%</w:t>
      </w:r>
      <w:r w:rsidR="001951F6">
        <w:t>, en forma respectiva.</w:t>
      </w:r>
    </w:p>
    <w:p w:rsidR="00EA3C4C" w:rsidRDefault="00EA3C4C" w:rsidP="001951F6">
      <w:pPr>
        <w:pStyle w:val="Textoindependiente"/>
        <w:spacing w:line="241" w:lineRule="auto"/>
        <w:ind w:left="0" w:right="197"/>
        <w:jc w:val="center"/>
        <w:rPr>
          <w:b/>
        </w:rPr>
      </w:pPr>
    </w:p>
    <w:p w:rsidR="001951F6" w:rsidRPr="007F6050" w:rsidRDefault="001951F6" w:rsidP="001951F6">
      <w:pPr>
        <w:pStyle w:val="Textoindependiente"/>
        <w:spacing w:line="241" w:lineRule="auto"/>
        <w:ind w:left="0" w:right="197"/>
        <w:jc w:val="center"/>
      </w:pPr>
      <w:r w:rsidRPr="007F6050">
        <w:t>Cuadro 2</w:t>
      </w:r>
    </w:p>
    <w:p w:rsidR="00965F6D" w:rsidRDefault="001951F6" w:rsidP="001951F6">
      <w:pPr>
        <w:pStyle w:val="Textoindependiente"/>
        <w:spacing w:line="241" w:lineRule="auto"/>
        <w:ind w:left="0" w:right="197"/>
        <w:jc w:val="center"/>
        <w:rPr>
          <w:b/>
        </w:rPr>
      </w:pPr>
      <w:r>
        <w:rPr>
          <w:b/>
        </w:rPr>
        <w:t>Producto Interno Bruto N</w:t>
      </w:r>
      <w:r w:rsidRPr="00AC5BA7">
        <w:rPr>
          <w:b/>
        </w:rPr>
        <w:t xml:space="preserve">acional y </w:t>
      </w:r>
      <w:r w:rsidR="00965F6D">
        <w:rPr>
          <w:b/>
        </w:rPr>
        <w:t xml:space="preserve">de las </w:t>
      </w:r>
      <w:r w:rsidRPr="00AC5BA7">
        <w:rPr>
          <w:b/>
        </w:rPr>
        <w:t>entidad</w:t>
      </w:r>
      <w:r>
        <w:rPr>
          <w:b/>
        </w:rPr>
        <w:t>es</w:t>
      </w:r>
      <w:r w:rsidRPr="00AC5BA7">
        <w:rPr>
          <w:b/>
        </w:rPr>
        <w:t xml:space="preserve"> </w:t>
      </w:r>
    </w:p>
    <w:p w:rsidR="001951F6" w:rsidRDefault="001951F6" w:rsidP="001951F6">
      <w:pPr>
        <w:pStyle w:val="Textoindependiente"/>
        <w:spacing w:line="241" w:lineRule="auto"/>
        <w:ind w:left="0" w:right="197"/>
        <w:jc w:val="center"/>
        <w:rPr>
          <w:b/>
        </w:rPr>
      </w:pPr>
      <w:proofErr w:type="gramStart"/>
      <w:r w:rsidRPr="00AC5BA7">
        <w:rPr>
          <w:b/>
        </w:rPr>
        <w:t>federativa</w:t>
      </w:r>
      <w:r>
        <w:rPr>
          <w:b/>
        </w:rPr>
        <w:t>s</w:t>
      </w:r>
      <w:proofErr w:type="gramEnd"/>
      <w:r w:rsidRPr="00AC5BA7">
        <w:rPr>
          <w:b/>
        </w:rPr>
        <w:t xml:space="preserve"> </w:t>
      </w:r>
      <w:r>
        <w:rPr>
          <w:b/>
        </w:rPr>
        <w:t>afectadas por los sismos</w:t>
      </w:r>
    </w:p>
    <w:tbl>
      <w:tblPr>
        <w:tblStyle w:val="Tablaconcuadrcula"/>
        <w:tblW w:w="0" w:type="auto"/>
        <w:jc w:val="center"/>
        <w:tblLayout w:type="fixed"/>
        <w:tblLook w:val="04A0" w:firstRow="1" w:lastRow="0" w:firstColumn="1" w:lastColumn="0" w:noHBand="0" w:noVBand="1"/>
      </w:tblPr>
      <w:tblGrid>
        <w:gridCol w:w="4103"/>
        <w:gridCol w:w="2127"/>
      </w:tblGrid>
      <w:tr w:rsidR="007671CD" w:rsidTr="008A44B7">
        <w:trPr>
          <w:jc w:val="center"/>
        </w:trPr>
        <w:tc>
          <w:tcPr>
            <w:tcW w:w="4103" w:type="dxa"/>
            <w:shd w:val="clear" w:color="auto" w:fill="B6DDE8" w:themeFill="accent5" w:themeFillTint="66"/>
            <w:vAlign w:val="center"/>
          </w:tcPr>
          <w:p w:rsidR="007671CD" w:rsidRPr="007671CD" w:rsidRDefault="007671CD" w:rsidP="008A44B7">
            <w:pPr>
              <w:pStyle w:val="Textoindependiente"/>
              <w:spacing w:line="241" w:lineRule="auto"/>
              <w:ind w:left="0" w:right="197"/>
              <w:jc w:val="center"/>
              <w:rPr>
                <w:b/>
                <w:sz w:val="20"/>
              </w:rPr>
            </w:pPr>
            <w:r w:rsidRPr="007671CD">
              <w:rPr>
                <w:b/>
                <w:sz w:val="20"/>
              </w:rPr>
              <w:t xml:space="preserve">Entidades </w:t>
            </w:r>
          </w:p>
          <w:p w:rsidR="007671CD" w:rsidRPr="007671CD" w:rsidRDefault="00CF5FAF" w:rsidP="008A44B7">
            <w:pPr>
              <w:pStyle w:val="Textoindependiente"/>
              <w:spacing w:line="241" w:lineRule="auto"/>
              <w:ind w:left="0" w:right="197"/>
              <w:jc w:val="center"/>
              <w:rPr>
                <w:sz w:val="20"/>
              </w:rPr>
            </w:pPr>
            <w:r>
              <w:rPr>
                <w:b/>
                <w:sz w:val="20"/>
              </w:rPr>
              <w:t>F</w:t>
            </w:r>
            <w:r w:rsidR="007671CD" w:rsidRPr="007671CD">
              <w:rPr>
                <w:b/>
                <w:sz w:val="20"/>
              </w:rPr>
              <w:t>ederativas</w:t>
            </w:r>
          </w:p>
        </w:tc>
        <w:tc>
          <w:tcPr>
            <w:tcW w:w="2127" w:type="dxa"/>
            <w:shd w:val="clear" w:color="auto" w:fill="B6DDE8" w:themeFill="accent5" w:themeFillTint="66"/>
          </w:tcPr>
          <w:p w:rsidR="007671CD" w:rsidRPr="007671CD" w:rsidRDefault="007671CD" w:rsidP="008A44B7">
            <w:pPr>
              <w:pStyle w:val="Textoindependiente"/>
              <w:spacing w:line="241" w:lineRule="auto"/>
              <w:ind w:left="0" w:right="197"/>
              <w:jc w:val="center"/>
              <w:rPr>
                <w:b/>
                <w:sz w:val="20"/>
              </w:rPr>
            </w:pPr>
            <w:r w:rsidRPr="007671CD">
              <w:rPr>
                <w:b/>
                <w:sz w:val="20"/>
              </w:rPr>
              <w:t xml:space="preserve">Participación en el </w:t>
            </w:r>
            <w:r>
              <w:rPr>
                <w:b/>
                <w:sz w:val="20"/>
              </w:rPr>
              <w:t>PIB Nacional</w:t>
            </w:r>
          </w:p>
          <w:p w:rsidR="007671CD" w:rsidRPr="007671CD" w:rsidRDefault="007671CD" w:rsidP="008A44B7">
            <w:pPr>
              <w:pStyle w:val="Textoindependiente"/>
              <w:spacing w:line="241" w:lineRule="auto"/>
              <w:ind w:left="0" w:right="197"/>
              <w:jc w:val="center"/>
              <w:rPr>
                <w:b/>
                <w:sz w:val="20"/>
              </w:rPr>
            </w:pPr>
            <w:r w:rsidRPr="007671CD">
              <w:rPr>
                <w:b/>
                <w:sz w:val="20"/>
              </w:rPr>
              <w:t>(Porcentaje)</w:t>
            </w:r>
          </w:p>
        </w:tc>
      </w:tr>
      <w:tr w:rsidR="007671CD" w:rsidTr="008A44B7">
        <w:trPr>
          <w:jc w:val="center"/>
        </w:trPr>
        <w:tc>
          <w:tcPr>
            <w:tcW w:w="4103" w:type="dxa"/>
            <w:vAlign w:val="center"/>
          </w:tcPr>
          <w:p w:rsidR="007671CD" w:rsidRPr="00BF1096" w:rsidRDefault="007671CD" w:rsidP="008A44B7">
            <w:pPr>
              <w:pStyle w:val="Textoindependiente"/>
              <w:spacing w:line="241" w:lineRule="auto"/>
              <w:ind w:left="0" w:right="197"/>
              <w:jc w:val="both"/>
              <w:rPr>
                <w:b/>
                <w:sz w:val="20"/>
              </w:rPr>
            </w:pPr>
            <w:r w:rsidRPr="00BF1096">
              <w:rPr>
                <w:b/>
                <w:sz w:val="20"/>
              </w:rPr>
              <w:t>Total Nacional</w:t>
            </w:r>
          </w:p>
        </w:tc>
        <w:tc>
          <w:tcPr>
            <w:tcW w:w="2127" w:type="dxa"/>
            <w:vAlign w:val="center"/>
          </w:tcPr>
          <w:p w:rsidR="007671CD" w:rsidRPr="007671CD" w:rsidRDefault="007671CD" w:rsidP="008A44B7">
            <w:pPr>
              <w:pStyle w:val="Textoindependiente"/>
              <w:spacing w:line="241" w:lineRule="auto"/>
              <w:ind w:left="0" w:right="197"/>
              <w:jc w:val="right"/>
              <w:rPr>
                <w:b/>
                <w:sz w:val="20"/>
              </w:rPr>
            </w:pPr>
            <w:r w:rsidRPr="007671CD">
              <w:rPr>
                <w:b/>
                <w:sz w:val="20"/>
              </w:rPr>
              <w:t>100.0</w:t>
            </w:r>
          </w:p>
        </w:tc>
      </w:tr>
      <w:tr w:rsidR="007671CD" w:rsidTr="008A44B7">
        <w:trPr>
          <w:jc w:val="center"/>
        </w:trPr>
        <w:tc>
          <w:tcPr>
            <w:tcW w:w="4103" w:type="dxa"/>
            <w:vAlign w:val="center"/>
          </w:tcPr>
          <w:p w:rsidR="007671CD" w:rsidRPr="00BF1096" w:rsidRDefault="007671CD" w:rsidP="008A44B7">
            <w:pPr>
              <w:pStyle w:val="Textoindependiente"/>
              <w:spacing w:line="241" w:lineRule="auto"/>
              <w:ind w:left="0" w:right="197"/>
              <w:jc w:val="both"/>
              <w:rPr>
                <w:b/>
                <w:sz w:val="20"/>
              </w:rPr>
            </w:pPr>
            <w:r w:rsidRPr="00BF1096">
              <w:rPr>
                <w:b/>
                <w:sz w:val="20"/>
              </w:rPr>
              <w:t xml:space="preserve">Subtotal (Ocho Entidades Federativas) </w:t>
            </w:r>
          </w:p>
        </w:tc>
        <w:tc>
          <w:tcPr>
            <w:tcW w:w="2127" w:type="dxa"/>
            <w:vAlign w:val="center"/>
          </w:tcPr>
          <w:p w:rsidR="007671CD" w:rsidRPr="007671CD" w:rsidRDefault="007671CD" w:rsidP="008A44B7">
            <w:pPr>
              <w:pStyle w:val="Textoindependiente"/>
              <w:spacing w:line="241" w:lineRule="auto"/>
              <w:ind w:left="0" w:right="197"/>
              <w:jc w:val="right"/>
              <w:rPr>
                <w:b/>
                <w:sz w:val="20"/>
              </w:rPr>
            </w:pPr>
            <w:r>
              <w:rPr>
                <w:b/>
                <w:sz w:val="20"/>
              </w:rPr>
              <w:t>35.3</w:t>
            </w:r>
          </w:p>
        </w:tc>
      </w:tr>
      <w:tr w:rsidR="007671CD" w:rsidTr="008A44B7">
        <w:trPr>
          <w:jc w:val="center"/>
        </w:trPr>
        <w:tc>
          <w:tcPr>
            <w:tcW w:w="4103" w:type="dxa"/>
            <w:vAlign w:val="center"/>
          </w:tcPr>
          <w:p w:rsidR="007671CD" w:rsidRPr="00BF1096" w:rsidRDefault="007671CD" w:rsidP="008A44B7">
            <w:pPr>
              <w:pStyle w:val="Textoindependiente"/>
              <w:spacing w:line="241" w:lineRule="auto"/>
              <w:ind w:left="0" w:right="197"/>
              <w:jc w:val="both"/>
              <w:rPr>
                <w:sz w:val="20"/>
              </w:rPr>
            </w:pPr>
            <w:r w:rsidRPr="00BF1096">
              <w:rPr>
                <w:sz w:val="20"/>
              </w:rPr>
              <w:t xml:space="preserve">  Chiapas</w:t>
            </w:r>
          </w:p>
        </w:tc>
        <w:tc>
          <w:tcPr>
            <w:tcW w:w="2127" w:type="dxa"/>
            <w:vAlign w:val="center"/>
          </w:tcPr>
          <w:p w:rsidR="007671CD" w:rsidRPr="002D08E9" w:rsidRDefault="007671CD" w:rsidP="008A44B7">
            <w:pPr>
              <w:pStyle w:val="Textoindependiente"/>
              <w:spacing w:line="241" w:lineRule="auto"/>
              <w:ind w:left="0" w:right="197"/>
              <w:jc w:val="right"/>
              <w:rPr>
                <w:sz w:val="20"/>
              </w:rPr>
            </w:pPr>
            <w:r w:rsidRPr="002D08E9">
              <w:rPr>
                <w:sz w:val="20"/>
              </w:rPr>
              <w:t>1.6</w:t>
            </w:r>
          </w:p>
        </w:tc>
      </w:tr>
      <w:tr w:rsidR="007671CD" w:rsidTr="008A44B7">
        <w:trPr>
          <w:jc w:val="center"/>
        </w:trPr>
        <w:tc>
          <w:tcPr>
            <w:tcW w:w="4103" w:type="dxa"/>
            <w:vAlign w:val="center"/>
          </w:tcPr>
          <w:p w:rsidR="007671CD" w:rsidRPr="00BF1096" w:rsidRDefault="007671CD" w:rsidP="008A44B7">
            <w:pPr>
              <w:pStyle w:val="Textoindependiente"/>
              <w:spacing w:line="241" w:lineRule="auto"/>
              <w:ind w:left="0" w:right="197"/>
              <w:jc w:val="both"/>
              <w:rPr>
                <w:sz w:val="20"/>
              </w:rPr>
            </w:pPr>
            <w:r w:rsidRPr="00BF1096">
              <w:rPr>
                <w:sz w:val="20"/>
              </w:rPr>
              <w:t xml:space="preserve">  Ciudad de México</w:t>
            </w:r>
          </w:p>
        </w:tc>
        <w:tc>
          <w:tcPr>
            <w:tcW w:w="2127" w:type="dxa"/>
            <w:vAlign w:val="center"/>
          </w:tcPr>
          <w:p w:rsidR="007671CD" w:rsidRPr="002D08E9" w:rsidRDefault="007671CD" w:rsidP="008A44B7">
            <w:pPr>
              <w:pStyle w:val="Textoindependiente"/>
              <w:spacing w:line="241" w:lineRule="auto"/>
              <w:ind w:left="0" w:right="197"/>
              <w:jc w:val="right"/>
              <w:rPr>
                <w:sz w:val="20"/>
              </w:rPr>
            </w:pPr>
            <w:r w:rsidRPr="002D08E9">
              <w:rPr>
                <w:sz w:val="20"/>
              </w:rPr>
              <w:t>16.8</w:t>
            </w:r>
          </w:p>
        </w:tc>
      </w:tr>
      <w:tr w:rsidR="007671CD" w:rsidTr="008A44B7">
        <w:trPr>
          <w:jc w:val="center"/>
        </w:trPr>
        <w:tc>
          <w:tcPr>
            <w:tcW w:w="4103" w:type="dxa"/>
            <w:vAlign w:val="center"/>
          </w:tcPr>
          <w:p w:rsidR="007671CD" w:rsidRPr="00BF1096" w:rsidRDefault="007671CD" w:rsidP="008A44B7">
            <w:pPr>
              <w:pStyle w:val="Textoindependiente"/>
              <w:spacing w:line="241" w:lineRule="auto"/>
              <w:ind w:left="0" w:right="197"/>
              <w:jc w:val="both"/>
              <w:rPr>
                <w:sz w:val="20"/>
              </w:rPr>
            </w:pPr>
            <w:r w:rsidRPr="00BF1096">
              <w:rPr>
                <w:sz w:val="20"/>
              </w:rPr>
              <w:t xml:space="preserve">  Guerrero</w:t>
            </w:r>
          </w:p>
        </w:tc>
        <w:tc>
          <w:tcPr>
            <w:tcW w:w="2127" w:type="dxa"/>
            <w:vAlign w:val="center"/>
          </w:tcPr>
          <w:p w:rsidR="007671CD" w:rsidRPr="002D08E9" w:rsidRDefault="007671CD" w:rsidP="008A44B7">
            <w:pPr>
              <w:pStyle w:val="Textoindependiente"/>
              <w:spacing w:line="241" w:lineRule="auto"/>
              <w:ind w:left="0" w:right="197"/>
              <w:jc w:val="right"/>
              <w:rPr>
                <w:sz w:val="20"/>
              </w:rPr>
            </w:pPr>
            <w:r w:rsidRPr="002D08E9">
              <w:rPr>
                <w:sz w:val="20"/>
              </w:rPr>
              <w:t>1.4</w:t>
            </w:r>
          </w:p>
        </w:tc>
      </w:tr>
      <w:tr w:rsidR="007671CD" w:rsidTr="008A44B7">
        <w:trPr>
          <w:jc w:val="center"/>
        </w:trPr>
        <w:tc>
          <w:tcPr>
            <w:tcW w:w="4103" w:type="dxa"/>
            <w:vAlign w:val="center"/>
          </w:tcPr>
          <w:p w:rsidR="007671CD" w:rsidRPr="00BF1096" w:rsidRDefault="007671CD" w:rsidP="008A44B7">
            <w:pPr>
              <w:pStyle w:val="Textoindependiente"/>
              <w:spacing w:line="241" w:lineRule="auto"/>
              <w:ind w:left="0" w:right="197"/>
              <w:jc w:val="both"/>
              <w:rPr>
                <w:sz w:val="20"/>
              </w:rPr>
            </w:pPr>
            <w:r w:rsidRPr="00BF1096">
              <w:rPr>
                <w:sz w:val="20"/>
              </w:rPr>
              <w:t xml:space="preserve">  México</w:t>
            </w:r>
          </w:p>
        </w:tc>
        <w:tc>
          <w:tcPr>
            <w:tcW w:w="2127" w:type="dxa"/>
            <w:vAlign w:val="center"/>
          </w:tcPr>
          <w:p w:rsidR="007671CD" w:rsidRPr="002D08E9" w:rsidRDefault="007671CD" w:rsidP="008A44B7">
            <w:pPr>
              <w:pStyle w:val="Textoindependiente"/>
              <w:spacing w:line="241" w:lineRule="auto"/>
              <w:ind w:left="0" w:right="197"/>
              <w:jc w:val="right"/>
              <w:rPr>
                <w:sz w:val="20"/>
              </w:rPr>
            </w:pPr>
            <w:r w:rsidRPr="002D08E9">
              <w:rPr>
                <w:sz w:val="20"/>
              </w:rPr>
              <w:t>8.9</w:t>
            </w:r>
          </w:p>
        </w:tc>
      </w:tr>
      <w:tr w:rsidR="007671CD" w:rsidTr="008A44B7">
        <w:trPr>
          <w:jc w:val="center"/>
        </w:trPr>
        <w:tc>
          <w:tcPr>
            <w:tcW w:w="4103" w:type="dxa"/>
            <w:vAlign w:val="center"/>
          </w:tcPr>
          <w:p w:rsidR="007671CD" w:rsidRPr="00BF1096" w:rsidRDefault="007671CD" w:rsidP="008A44B7">
            <w:pPr>
              <w:pStyle w:val="Textoindependiente"/>
              <w:spacing w:line="241" w:lineRule="auto"/>
              <w:ind w:left="0" w:right="197"/>
              <w:jc w:val="both"/>
              <w:rPr>
                <w:sz w:val="20"/>
              </w:rPr>
            </w:pPr>
            <w:r w:rsidRPr="00BF1096">
              <w:rPr>
                <w:sz w:val="20"/>
              </w:rPr>
              <w:t xml:space="preserve">  Morelos</w:t>
            </w:r>
          </w:p>
        </w:tc>
        <w:tc>
          <w:tcPr>
            <w:tcW w:w="2127" w:type="dxa"/>
            <w:vAlign w:val="center"/>
          </w:tcPr>
          <w:p w:rsidR="007671CD" w:rsidRPr="002D08E9" w:rsidRDefault="007671CD" w:rsidP="008A44B7">
            <w:pPr>
              <w:pStyle w:val="Textoindependiente"/>
              <w:spacing w:line="241" w:lineRule="auto"/>
              <w:ind w:left="0" w:right="197"/>
              <w:jc w:val="right"/>
              <w:rPr>
                <w:sz w:val="20"/>
              </w:rPr>
            </w:pPr>
            <w:r w:rsidRPr="002D08E9">
              <w:rPr>
                <w:sz w:val="20"/>
              </w:rPr>
              <w:t>1.2</w:t>
            </w:r>
          </w:p>
        </w:tc>
      </w:tr>
      <w:tr w:rsidR="007671CD" w:rsidTr="008A44B7">
        <w:trPr>
          <w:jc w:val="center"/>
        </w:trPr>
        <w:tc>
          <w:tcPr>
            <w:tcW w:w="4103" w:type="dxa"/>
            <w:vAlign w:val="center"/>
          </w:tcPr>
          <w:p w:rsidR="007671CD" w:rsidRPr="00BF1096" w:rsidRDefault="007671CD" w:rsidP="008A44B7">
            <w:pPr>
              <w:pStyle w:val="Textoindependiente"/>
              <w:spacing w:line="241" w:lineRule="auto"/>
              <w:ind w:left="0" w:right="197"/>
              <w:jc w:val="both"/>
              <w:rPr>
                <w:sz w:val="20"/>
              </w:rPr>
            </w:pPr>
            <w:r w:rsidRPr="00BF1096">
              <w:rPr>
                <w:sz w:val="20"/>
              </w:rPr>
              <w:t xml:space="preserve">  Oaxaca</w:t>
            </w:r>
          </w:p>
        </w:tc>
        <w:tc>
          <w:tcPr>
            <w:tcW w:w="2127" w:type="dxa"/>
            <w:vAlign w:val="center"/>
          </w:tcPr>
          <w:p w:rsidR="007671CD" w:rsidRPr="002D08E9" w:rsidRDefault="007671CD" w:rsidP="008A44B7">
            <w:pPr>
              <w:pStyle w:val="Textoindependiente"/>
              <w:spacing w:line="241" w:lineRule="auto"/>
              <w:ind w:left="0" w:right="197"/>
              <w:jc w:val="right"/>
              <w:rPr>
                <w:sz w:val="20"/>
              </w:rPr>
            </w:pPr>
            <w:r w:rsidRPr="002D08E9">
              <w:rPr>
                <w:sz w:val="20"/>
              </w:rPr>
              <w:t>1.6</w:t>
            </w:r>
          </w:p>
        </w:tc>
      </w:tr>
      <w:tr w:rsidR="007671CD" w:rsidTr="008A44B7">
        <w:trPr>
          <w:jc w:val="center"/>
        </w:trPr>
        <w:tc>
          <w:tcPr>
            <w:tcW w:w="4103" w:type="dxa"/>
            <w:vAlign w:val="center"/>
          </w:tcPr>
          <w:p w:rsidR="007671CD" w:rsidRPr="00BF1096" w:rsidRDefault="007671CD" w:rsidP="008A44B7">
            <w:pPr>
              <w:pStyle w:val="Textoindependiente"/>
              <w:spacing w:line="241" w:lineRule="auto"/>
              <w:ind w:left="0" w:right="197"/>
              <w:jc w:val="both"/>
              <w:rPr>
                <w:sz w:val="20"/>
              </w:rPr>
            </w:pPr>
            <w:r w:rsidRPr="00BF1096">
              <w:rPr>
                <w:sz w:val="20"/>
              </w:rPr>
              <w:t xml:space="preserve">  Puebla</w:t>
            </w:r>
          </w:p>
        </w:tc>
        <w:tc>
          <w:tcPr>
            <w:tcW w:w="2127" w:type="dxa"/>
            <w:vAlign w:val="center"/>
          </w:tcPr>
          <w:p w:rsidR="007671CD" w:rsidRPr="002D08E9" w:rsidRDefault="007671CD" w:rsidP="008A44B7">
            <w:pPr>
              <w:pStyle w:val="Textoindependiente"/>
              <w:spacing w:line="241" w:lineRule="auto"/>
              <w:ind w:left="0" w:right="197"/>
              <w:jc w:val="right"/>
              <w:rPr>
                <w:sz w:val="20"/>
              </w:rPr>
            </w:pPr>
            <w:r w:rsidRPr="002D08E9">
              <w:rPr>
                <w:sz w:val="20"/>
              </w:rPr>
              <w:t>3.2</w:t>
            </w:r>
          </w:p>
        </w:tc>
      </w:tr>
      <w:tr w:rsidR="007671CD" w:rsidTr="008A44B7">
        <w:trPr>
          <w:jc w:val="center"/>
        </w:trPr>
        <w:tc>
          <w:tcPr>
            <w:tcW w:w="4103" w:type="dxa"/>
            <w:vAlign w:val="center"/>
          </w:tcPr>
          <w:p w:rsidR="007671CD" w:rsidRPr="00BF1096" w:rsidRDefault="007671CD" w:rsidP="008A44B7">
            <w:pPr>
              <w:pStyle w:val="Textoindependiente"/>
              <w:spacing w:line="241" w:lineRule="auto"/>
              <w:ind w:left="0" w:right="197"/>
              <w:jc w:val="both"/>
              <w:rPr>
                <w:sz w:val="20"/>
              </w:rPr>
            </w:pPr>
            <w:r w:rsidRPr="00BF1096">
              <w:rPr>
                <w:sz w:val="20"/>
              </w:rPr>
              <w:t xml:space="preserve">  Tlaxcala</w:t>
            </w:r>
          </w:p>
        </w:tc>
        <w:tc>
          <w:tcPr>
            <w:tcW w:w="2127" w:type="dxa"/>
            <w:vAlign w:val="center"/>
          </w:tcPr>
          <w:p w:rsidR="007671CD" w:rsidRPr="002D08E9" w:rsidRDefault="002D08E9" w:rsidP="008A44B7">
            <w:pPr>
              <w:pStyle w:val="Textoindependiente"/>
              <w:spacing w:line="241" w:lineRule="auto"/>
              <w:ind w:left="0" w:right="197"/>
              <w:jc w:val="right"/>
              <w:rPr>
                <w:sz w:val="20"/>
              </w:rPr>
            </w:pPr>
            <w:r w:rsidRPr="002D08E9">
              <w:rPr>
                <w:sz w:val="20"/>
              </w:rPr>
              <w:t>0.6</w:t>
            </w:r>
          </w:p>
        </w:tc>
      </w:tr>
      <w:tr w:rsidR="007671CD" w:rsidTr="008A44B7">
        <w:trPr>
          <w:jc w:val="center"/>
        </w:trPr>
        <w:tc>
          <w:tcPr>
            <w:tcW w:w="4103" w:type="dxa"/>
            <w:vAlign w:val="center"/>
          </w:tcPr>
          <w:p w:rsidR="007671CD" w:rsidRPr="00BF1096" w:rsidRDefault="007671CD" w:rsidP="008A44B7">
            <w:pPr>
              <w:pStyle w:val="Textoindependiente"/>
              <w:spacing w:line="241" w:lineRule="auto"/>
              <w:ind w:left="0" w:right="197"/>
              <w:jc w:val="both"/>
              <w:rPr>
                <w:b/>
                <w:sz w:val="20"/>
              </w:rPr>
            </w:pPr>
            <w:r w:rsidRPr="00BF1096">
              <w:rPr>
                <w:b/>
                <w:sz w:val="20"/>
              </w:rPr>
              <w:t>Resto de Entidades Federativas</w:t>
            </w:r>
          </w:p>
        </w:tc>
        <w:tc>
          <w:tcPr>
            <w:tcW w:w="2127" w:type="dxa"/>
            <w:vAlign w:val="center"/>
          </w:tcPr>
          <w:p w:rsidR="007671CD" w:rsidRPr="007671CD" w:rsidRDefault="007671CD" w:rsidP="008A44B7">
            <w:pPr>
              <w:pStyle w:val="Textoindependiente"/>
              <w:spacing w:line="241" w:lineRule="auto"/>
              <w:ind w:left="0" w:right="197"/>
              <w:jc w:val="right"/>
              <w:rPr>
                <w:b/>
                <w:sz w:val="20"/>
              </w:rPr>
            </w:pPr>
            <w:r>
              <w:rPr>
                <w:b/>
                <w:sz w:val="20"/>
              </w:rPr>
              <w:t>64.7</w:t>
            </w:r>
          </w:p>
        </w:tc>
      </w:tr>
    </w:tbl>
    <w:p w:rsidR="005124C3" w:rsidRPr="005124C3" w:rsidRDefault="005124C3" w:rsidP="005124C3">
      <w:pPr>
        <w:pStyle w:val="Textoindependiente"/>
        <w:spacing w:line="241" w:lineRule="auto"/>
        <w:ind w:left="2127" w:right="197"/>
        <w:jc w:val="both"/>
        <w:rPr>
          <w:sz w:val="20"/>
        </w:rPr>
      </w:pPr>
      <w:r w:rsidRPr="005124C3">
        <w:rPr>
          <w:sz w:val="20"/>
        </w:rPr>
        <w:t>Fuente: INEGI.</w:t>
      </w:r>
    </w:p>
    <w:p w:rsidR="00657AB7" w:rsidRDefault="00657AB7" w:rsidP="004F49F9">
      <w:pPr>
        <w:pStyle w:val="Textoindependiente"/>
        <w:widowControl/>
        <w:ind w:left="0"/>
        <w:jc w:val="both"/>
      </w:pPr>
    </w:p>
    <w:p w:rsidR="00657AB7" w:rsidRDefault="00657AB7" w:rsidP="004F49F9">
      <w:pPr>
        <w:pStyle w:val="Textoindependiente"/>
        <w:widowControl/>
        <w:ind w:left="0"/>
        <w:jc w:val="both"/>
      </w:pPr>
    </w:p>
    <w:p w:rsidR="00C723B1" w:rsidRDefault="00C723B1" w:rsidP="004F49F9">
      <w:pPr>
        <w:pStyle w:val="Textoindependiente"/>
        <w:widowControl/>
        <w:ind w:left="0"/>
        <w:jc w:val="both"/>
      </w:pPr>
      <w:r>
        <w:t>En este contexto</w:t>
      </w:r>
      <w:r w:rsidR="007928E0">
        <w:t>,</w:t>
      </w:r>
      <w:r>
        <w:t xml:space="preserve"> </w:t>
      </w:r>
      <w:r w:rsidRPr="00FF4BEA">
        <w:t>el I</w:t>
      </w:r>
      <w:r w:rsidR="007928E0" w:rsidRPr="00FF4BEA">
        <w:t xml:space="preserve">nstituto Nacional de Estadística y Geografía (INEGI), </w:t>
      </w:r>
      <w:r w:rsidR="00A00F80">
        <w:t>realizó</w:t>
      </w:r>
      <w:r w:rsidR="007928E0" w:rsidRPr="00FF4BEA">
        <w:t xml:space="preserve"> la Encuesta sobre las Afectaciones de los Sismos de Septiembre de 2017,</w:t>
      </w:r>
      <w:r w:rsidR="007928E0">
        <w:t xml:space="preserve"> </w:t>
      </w:r>
      <w:r w:rsidR="00A00F80">
        <w:t>que</w:t>
      </w:r>
      <w:r w:rsidR="007928E0">
        <w:t xml:space="preserve"> ofrece </w:t>
      </w:r>
      <w:r>
        <w:t xml:space="preserve">información </w:t>
      </w:r>
      <w:r w:rsidR="00265D7D">
        <w:t>cualitativa, generada con base en las opiniones de los empresarios, con la finalidad de coadyuvar en la</w:t>
      </w:r>
      <w:r w:rsidR="00F23DAD">
        <w:t xml:space="preserve"> toma de decisiones a favor de los establecimientos que vieron afectada su actividad.</w:t>
      </w:r>
    </w:p>
    <w:p w:rsidR="00FF4BEA" w:rsidRDefault="00FF4BEA" w:rsidP="004F49F9">
      <w:pPr>
        <w:pStyle w:val="Textoindependiente"/>
        <w:widowControl/>
        <w:ind w:left="0"/>
        <w:jc w:val="both"/>
      </w:pPr>
    </w:p>
    <w:p w:rsidR="008A44B7" w:rsidRDefault="00FF4BEA" w:rsidP="004F49F9">
      <w:pPr>
        <w:pStyle w:val="Textoindependiente"/>
        <w:widowControl/>
        <w:ind w:left="0"/>
        <w:jc w:val="both"/>
      </w:pPr>
      <w:r>
        <w:t>Es importante mencionar, que esta</w:t>
      </w:r>
      <w:r w:rsidR="005D3E7A">
        <w:t xml:space="preserve"> encuesta </w:t>
      </w:r>
      <w:r w:rsidR="00750EED">
        <w:t>es la primera que se realiza por</w:t>
      </w:r>
      <w:r w:rsidR="00BC6DC8">
        <w:t xml:space="preserve"> el INEGI para atender</w:t>
      </w:r>
      <w:r w:rsidR="004F49F9">
        <w:t xml:space="preserve"> una</w:t>
      </w:r>
      <w:r w:rsidR="00BC6DC8">
        <w:t xml:space="preserve"> emergencia originada</w:t>
      </w:r>
      <w:r w:rsidR="004F49F9">
        <w:t xml:space="preserve"> </w:t>
      </w:r>
      <w:r w:rsidR="00965F6D">
        <w:t xml:space="preserve">por </w:t>
      </w:r>
      <w:r w:rsidR="00BC6DC8">
        <w:t>desastre</w:t>
      </w:r>
      <w:r w:rsidR="00965F6D">
        <w:t>s</w:t>
      </w:r>
      <w:r w:rsidR="00BC6DC8">
        <w:t xml:space="preserve"> natural</w:t>
      </w:r>
      <w:r w:rsidR="00965F6D">
        <w:t>es</w:t>
      </w:r>
      <w:r w:rsidR="00BC6DC8">
        <w:t xml:space="preserve">. </w:t>
      </w:r>
      <w:r w:rsidR="004F49F9">
        <w:t>Asimismo, s</w:t>
      </w:r>
      <w:r w:rsidR="009A3159">
        <w:t xml:space="preserve">e convierte en </w:t>
      </w:r>
      <w:r w:rsidR="00D90695">
        <w:t xml:space="preserve">la encuesta </w:t>
      </w:r>
      <w:r w:rsidR="009A3159">
        <w:t xml:space="preserve">en unidades económicas </w:t>
      </w:r>
      <w:r w:rsidR="00D90695">
        <w:t xml:space="preserve">más oportuna </w:t>
      </w:r>
      <w:r>
        <w:t xml:space="preserve">ya que </w:t>
      </w:r>
      <w:r w:rsidR="00793733">
        <w:t xml:space="preserve">está siendo </w:t>
      </w:r>
      <w:r w:rsidRPr="00BC6DC8">
        <w:t>difund</w:t>
      </w:r>
      <w:r w:rsidR="00793733" w:rsidRPr="00BC6DC8">
        <w:t>ida</w:t>
      </w:r>
      <w:r w:rsidR="00793733" w:rsidRPr="004F49F9">
        <w:t xml:space="preserve"> </w:t>
      </w:r>
      <w:r w:rsidR="00793733">
        <w:t xml:space="preserve">únicamente </w:t>
      </w:r>
      <w:r>
        <w:t>a los 10 días de acontecido el sismo del 19 de septiembre de 2017.</w:t>
      </w:r>
    </w:p>
    <w:p w:rsidR="001652AF" w:rsidRDefault="001652AF" w:rsidP="004F49F9">
      <w:pPr>
        <w:pStyle w:val="Textoindependiente"/>
        <w:widowControl/>
        <w:ind w:left="0"/>
        <w:jc w:val="both"/>
      </w:pPr>
    </w:p>
    <w:p w:rsidR="001652AF" w:rsidRDefault="001652AF" w:rsidP="004F49F9">
      <w:pPr>
        <w:pStyle w:val="Textoindependiente"/>
        <w:widowControl/>
        <w:ind w:left="0"/>
        <w:jc w:val="both"/>
      </w:pPr>
      <w:r>
        <w:t>La encuesta centra su medición en establecimientos u</w:t>
      </w:r>
      <w:r w:rsidR="00F11DC2">
        <w:t xml:space="preserve">bicados en localidades urbanas (de </w:t>
      </w:r>
      <w:r>
        <w:t>2,500 habitantes y m</w:t>
      </w:r>
      <w:r w:rsidR="00F11DC2">
        <w:t>ás)</w:t>
      </w:r>
      <w:r>
        <w:t xml:space="preserve">, asimismo se enfoca en unidades económicas que sufrieron </w:t>
      </w:r>
      <w:r w:rsidR="00CB4F49">
        <w:t>afectaciones parciales en la actividad económica que realizan</w:t>
      </w:r>
      <w:r>
        <w:t>.</w:t>
      </w:r>
    </w:p>
    <w:p w:rsidR="001652AF" w:rsidRDefault="001652AF" w:rsidP="004F49F9">
      <w:pPr>
        <w:pStyle w:val="Textoindependiente"/>
        <w:widowControl/>
        <w:ind w:left="0"/>
        <w:jc w:val="both"/>
      </w:pPr>
    </w:p>
    <w:p w:rsidR="001652AF" w:rsidRDefault="001652AF" w:rsidP="001652AF">
      <w:pPr>
        <w:jc w:val="both"/>
        <w:rPr>
          <w:rFonts w:ascii="Arial" w:hAnsi="Arial" w:cs="Arial"/>
          <w:sz w:val="24"/>
          <w:szCs w:val="24"/>
          <w:lang w:val="es-ES"/>
        </w:rPr>
      </w:pPr>
      <w:r>
        <w:rPr>
          <w:rFonts w:ascii="Arial" w:hAnsi="Arial" w:cs="Arial"/>
          <w:sz w:val="24"/>
          <w:szCs w:val="24"/>
          <w:lang w:val="es-ES"/>
        </w:rPr>
        <w:t>El Instituto Nacional de Estadística y Geografía refrenda su solidaridad con la población afectada por los sismos de septiembre de 2017, colaborando con la generación de estadísticas que apoyan la toma de decisiones de los sectores público y privado del país.</w:t>
      </w:r>
    </w:p>
    <w:p w:rsidR="008A44B7" w:rsidRDefault="008A44B7" w:rsidP="00A04814">
      <w:pPr>
        <w:pStyle w:val="Textoindependiente"/>
        <w:spacing w:line="241" w:lineRule="auto"/>
        <w:ind w:left="0" w:right="197"/>
        <w:jc w:val="both"/>
      </w:pPr>
    </w:p>
    <w:p w:rsidR="000F0FBB" w:rsidRDefault="004F49F9" w:rsidP="006A7832">
      <w:pPr>
        <w:pStyle w:val="Ttulo11"/>
        <w:ind w:left="0" w:right="32"/>
        <w:jc w:val="both"/>
      </w:pPr>
      <w:r>
        <w:t>R</w:t>
      </w:r>
      <w:r w:rsidR="00507CA3" w:rsidRPr="00732348">
        <w:rPr>
          <w:spacing w:val="1"/>
        </w:rPr>
        <w:t>e</w:t>
      </w:r>
      <w:r w:rsidR="00507CA3" w:rsidRPr="00732348">
        <w:t>s</w:t>
      </w:r>
      <w:r w:rsidR="00507CA3" w:rsidRPr="00732348">
        <w:rPr>
          <w:spacing w:val="-3"/>
        </w:rPr>
        <w:t>u</w:t>
      </w:r>
      <w:r w:rsidR="00556F3A">
        <w:t xml:space="preserve">ltados </w:t>
      </w:r>
      <w:r w:rsidR="0069001F">
        <w:t>por sector económico</w:t>
      </w:r>
    </w:p>
    <w:p w:rsidR="004F49F9" w:rsidRDefault="004F49F9" w:rsidP="006A7832">
      <w:pPr>
        <w:pStyle w:val="Ttulo11"/>
        <w:ind w:left="0" w:right="32"/>
        <w:jc w:val="both"/>
      </w:pPr>
    </w:p>
    <w:p w:rsidR="00173D68" w:rsidRDefault="00173D68" w:rsidP="006A7832">
      <w:pPr>
        <w:pStyle w:val="Ttulo11"/>
        <w:ind w:left="0" w:right="32"/>
        <w:jc w:val="both"/>
        <w:rPr>
          <w:b w:val="0"/>
        </w:rPr>
      </w:pPr>
      <w:r w:rsidRPr="00173D68">
        <w:rPr>
          <w:b w:val="0"/>
        </w:rPr>
        <w:t>L</w:t>
      </w:r>
      <w:r>
        <w:rPr>
          <w:b w:val="0"/>
        </w:rPr>
        <w:t>os resultados de l</w:t>
      </w:r>
      <w:r w:rsidRPr="00173D68">
        <w:rPr>
          <w:b w:val="0"/>
        </w:rPr>
        <w:t>a Encuesta sobre las Afectaciones de los Sismos de Septiembre de 2017</w:t>
      </w:r>
      <w:r>
        <w:rPr>
          <w:b w:val="0"/>
        </w:rPr>
        <w:t xml:space="preserve"> </w:t>
      </w:r>
      <w:r w:rsidR="001652AF">
        <w:rPr>
          <w:b w:val="0"/>
        </w:rPr>
        <w:t xml:space="preserve">se refieren a un total de </w:t>
      </w:r>
      <w:r>
        <w:rPr>
          <w:b w:val="0"/>
        </w:rPr>
        <w:t>poco más de 2 millones de establecimientos económicos</w:t>
      </w:r>
      <w:r w:rsidR="00A1432A">
        <w:rPr>
          <w:b w:val="0"/>
        </w:rPr>
        <w:t xml:space="preserve">, de los cuales </w:t>
      </w:r>
      <w:r>
        <w:rPr>
          <w:b w:val="0"/>
        </w:rPr>
        <w:t>las Industrias manufactureras</w:t>
      </w:r>
      <w:r w:rsidR="00A1432A">
        <w:rPr>
          <w:b w:val="0"/>
        </w:rPr>
        <w:t xml:space="preserve"> representan 11.</w:t>
      </w:r>
      <w:r w:rsidR="00096F2E">
        <w:rPr>
          <w:b w:val="0"/>
        </w:rPr>
        <w:t>6</w:t>
      </w:r>
      <w:r w:rsidR="00A1432A">
        <w:rPr>
          <w:b w:val="0"/>
        </w:rPr>
        <w:t>%</w:t>
      </w:r>
      <w:r>
        <w:rPr>
          <w:b w:val="0"/>
        </w:rPr>
        <w:t>, Comercio</w:t>
      </w:r>
      <w:r w:rsidR="00A1432A">
        <w:rPr>
          <w:b w:val="0"/>
        </w:rPr>
        <w:t xml:space="preserve"> 49.1%</w:t>
      </w:r>
      <w:r>
        <w:rPr>
          <w:b w:val="0"/>
        </w:rPr>
        <w:t xml:space="preserve"> y </w:t>
      </w:r>
      <w:r w:rsidR="009D5272">
        <w:rPr>
          <w:b w:val="0"/>
        </w:rPr>
        <w:t xml:space="preserve">los </w:t>
      </w:r>
      <w:r>
        <w:rPr>
          <w:b w:val="0"/>
        </w:rPr>
        <w:t>Servicios privados no financieros</w:t>
      </w:r>
      <w:r w:rsidR="00096F2E">
        <w:rPr>
          <w:b w:val="0"/>
        </w:rPr>
        <w:t xml:space="preserve"> 39.3</w:t>
      </w:r>
      <w:r w:rsidR="00A1432A">
        <w:rPr>
          <w:b w:val="0"/>
        </w:rPr>
        <w:t xml:space="preserve"> por ciento</w:t>
      </w:r>
      <w:r>
        <w:rPr>
          <w:b w:val="0"/>
        </w:rPr>
        <w:t>.</w:t>
      </w:r>
    </w:p>
    <w:p w:rsidR="00173D68" w:rsidRDefault="00173D68" w:rsidP="006A7832">
      <w:pPr>
        <w:pStyle w:val="Ttulo11"/>
        <w:ind w:left="0" w:right="32"/>
        <w:jc w:val="both"/>
        <w:rPr>
          <w:b w:val="0"/>
        </w:rPr>
      </w:pPr>
    </w:p>
    <w:p w:rsidR="00173D68" w:rsidRPr="007F6050" w:rsidRDefault="00173D68" w:rsidP="00173D68">
      <w:pPr>
        <w:pStyle w:val="Textoindependiente"/>
        <w:spacing w:line="241" w:lineRule="auto"/>
        <w:ind w:left="0" w:right="197"/>
        <w:jc w:val="center"/>
      </w:pPr>
      <w:r>
        <w:rPr>
          <w:b/>
        </w:rPr>
        <w:t xml:space="preserve"> </w:t>
      </w:r>
      <w:r w:rsidR="006921FD">
        <w:t>Cuadro 3</w:t>
      </w:r>
    </w:p>
    <w:p w:rsidR="00634BB6" w:rsidRDefault="00173D68" w:rsidP="00173D68">
      <w:pPr>
        <w:pStyle w:val="Textoindependiente"/>
        <w:spacing w:line="241" w:lineRule="auto"/>
        <w:ind w:left="0" w:right="197"/>
        <w:jc w:val="center"/>
        <w:rPr>
          <w:b/>
        </w:rPr>
      </w:pPr>
      <w:r>
        <w:rPr>
          <w:b/>
        </w:rPr>
        <w:t xml:space="preserve">Universo de </w:t>
      </w:r>
      <w:r w:rsidR="008B7C80">
        <w:rPr>
          <w:b/>
        </w:rPr>
        <w:t xml:space="preserve">Estudio de la Encuesta </w:t>
      </w:r>
      <w:r w:rsidR="008B7C80" w:rsidRPr="00173D68">
        <w:rPr>
          <w:b/>
        </w:rPr>
        <w:t>sobre</w:t>
      </w:r>
      <w:r w:rsidR="007F6050">
        <w:rPr>
          <w:b/>
        </w:rPr>
        <w:t xml:space="preserve"> </w:t>
      </w:r>
      <w:r w:rsidR="008B7C80" w:rsidRPr="00173D68">
        <w:rPr>
          <w:b/>
        </w:rPr>
        <w:t>las Afectaciones</w:t>
      </w:r>
      <w:r w:rsidR="00634BB6">
        <w:rPr>
          <w:b/>
        </w:rPr>
        <w:t xml:space="preserve"> </w:t>
      </w:r>
      <w:r w:rsidR="008B7C80" w:rsidRPr="00173D68">
        <w:rPr>
          <w:b/>
        </w:rPr>
        <w:t xml:space="preserve">de los </w:t>
      </w:r>
    </w:p>
    <w:p w:rsidR="00173D68" w:rsidRDefault="008B7C80" w:rsidP="00173D68">
      <w:pPr>
        <w:pStyle w:val="Textoindependiente"/>
        <w:spacing w:line="241" w:lineRule="auto"/>
        <w:ind w:left="0" w:right="197"/>
        <w:jc w:val="center"/>
        <w:rPr>
          <w:b/>
        </w:rPr>
      </w:pPr>
      <w:r w:rsidRPr="00173D68">
        <w:rPr>
          <w:b/>
        </w:rPr>
        <w:t>Sismos de Septiembre de 2017</w:t>
      </w:r>
      <w:r w:rsidR="007A067A">
        <w:rPr>
          <w:b/>
        </w:rPr>
        <w:t xml:space="preserve"> por sector </w:t>
      </w:r>
      <w:r w:rsidR="001A61DC">
        <w:rPr>
          <w:b/>
        </w:rPr>
        <w:t>de actividad</w:t>
      </w:r>
    </w:p>
    <w:tbl>
      <w:tblPr>
        <w:tblStyle w:val="Tablaconcuadrcula"/>
        <w:tblW w:w="0" w:type="auto"/>
        <w:jc w:val="center"/>
        <w:tblLayout w:type="fixed"/>
        <w:tblLook w:val="04A0" w:firstRow="1" w:lastRow="0" w:firstColumn="1" w:lastColumn="0" w:noHBand="0" w:noVBand="1"/>
      </w:tblPr>
      <w:tblGrid>
        <w:gridCol w:w="3543"/>
        <w:gridCol w:w="3119"/>
        <w:gridCol w:w="1697"/>
      </w:tblGrid>
      <w:tr w:rsidR="00173D68" w:rsidTr="00A51E19">
        <w:trPr>
          <w:trHeight w:val="232"/>
          <w:jc w:val="center"/>
        </w:trPr>
        <w:tc>
          <w:tcPr>
            <w:tcW w:w="3543" w:type="dxa"/>
            <w:shd w:val="clear" w:color="auto" w:fill="B6DDE8" w:themeFill="accent5" w:themeFillTint="66"/>
            <w:vAlign w:val="center"/>
          </w:tcPr>
          <w:p w:rsidR="00173D68" w:rsidRDefault="00A51E19" w:rsidP="00D96B66">
            <w:pPr>
              <w:pStyle w:val="Textoindependiente"/>
              <w:spacing w:line="241" w:lineRule="auto"/>
              <w:ind w:left="0" w:right="197"/>
              <w:jc w:val="center"/>
              <w:rPr>
                <w:b/>
                <w:sz w:val="20"/>
              </w:rPr>
            </w:pPr>
            <w:r>
              <w:rPr>
                <w:b/>
                <w:sz w:val="20"/>
              </w:rPr>
              <w:t>Sector de Actividad</w:t>
            </w:r>
          </w:p>
        </w:tc>
        <w:tc>
          <w:tcPr>
            <w:tcW w:w="3119" w:type="dxa"/>
            <w:shd w:val="clear" w:color="auto" w:fill="B6DDE8" w:themeFill="accent5" w:themeFillTint="66"/>
            <w:vAlign w:val="center"/>
          </w:tcPr>
          <w:p w:rsidR="00173D68" w:rsidRPr="007671CD" w:rsidRDefault="00A51E19" w:rsidP="00A51E19">
            <w:pPr>
              <w:pStyle w:val="Textoindependiente"/>
              <w:spacing w:line="241" w:lineRule="auto"/>
              <w:ind w:left="0" w:right="38"/>
              <w:jc w:val="center"/>
              <w:rPr>
                <w:b/>
                <w:sz w:val="20"/>
              </w:rPr>
            </w:pPr>
            <w:r>
              <w:rPr>
                <w:b/>
                <w:sz w:val="20"/>
              </w:rPr>
              <w:t>Establecimientos</w:t>
            </w:r>
          </w:p>
        </w:tc>
        <w:tc>
          <w:tcPr>
            <w:tcW w:w="1697" w:type="dxa"/>
            <w:shd w:val="clear" w:color="auto" w:fill="B6DDE8" w:themeFill="accent5" w:themeFillTint="66"/>
            <w:vAlign w:val="center"/>
          </w:tcPr>
          <w:p w:rsidR="00173D68" w:rsidRPr="007671CD" w:rsidRDefault="00173D68" w:rsidP="00D96B66">
            <w:pPr>
              <w:pStyle w:val="Textoindependiente"/>
              <w:spacing w:line="241" w:lineRule="auto"/>
              <w:ind w:left="0" w:right="34"/>
              <w:jc w:val="center"/>
              <w:rPr>
                <w:b/>
                <w:sz w:val="20"/>
              </w:rPr>
            </w:pPr>
            <w:r>
              <w:rPr>
                <w:b/>
                <w:sz w:val="20"/>
              </w:rPr>
              <w:t>Participación Porcentual</w:t>
            </w:r>
          </w:p>
        </w:tc>
      </w:tr>
      <w:tr w:rsidR="00173D68" w:rsidTr="00A51E19">
        <w:trPr>
          <w:jc w:val="center"/>
        </w:trPr>
        <w:tc>
          <w:tcPr>
            <w:tcW w:w="3543" w:type="dxa"/>
            <w:vAlign w:val="center"/>
          </w:tcPr>
          <w:p w:rsidR="00173D68" w:rsidRPr="00173D68" w:rsidRDefault="00173D68" w:rsidP="00D96B66">
            <w:pPr>
              <w:pStyle w:val="Textoindependiente"/>
              <w:spacing w:line="241" w:lineRule="auto"/>
              <w:ind w:left="0" w:right="197"/>
              <w:jc w:val="both"/>
              <w:rPr>
                <w:b/>
                <w:sz w:val="20"/>
              </w:rPr>
            </w:pPr>
            <w:r w:rsidRPr="00173D68">
              <w:rPr>
                <w:b/>
                <w:sz w:val="20"/>
              </w:rPr>
              <w:t>Total</w:t>
            </w:r>
          </w:p>
        </w:tc>
        <w:tc>
          <w:tcPr>
            <w:tcW w:w="3119" w:type="dxa"/>
            <w:vAlign w:val="center"/>
          </w:tcPr>
          <w:p w:rsidR="00173D68" w:rsidRPr="00173D68" w:rsidRDefault="008F1B67" w:rsidP="00173D68">
            <w:pPr>
              <w:pStyle w:val="Textoindependiente"/>
              <w:spacing w:line="241" w:lineRule="auto"/>
              <w:ind w:left="0" w:right="197"/>
              <w:jc w:val="right"/>
              <w:rPr>
                <w:b/>
                <w:sz w:val="20"/>
              </w:rPr>
            </w:pPr>
            <w:r>
              <w:rPr>
                <w:b/>
                <w:sz w:val="20"/>
              </w:rPr>
              <w:t>2,041,380</w:t>
            </w:r>
          </w:p>
        </w:tc>
        <w:tc>
          <w:tcPr>
            <w:tcW w:w="1697" w:type="dxa"/>
            <w:vAlign w:val="center"/>
          </w:tcPr>
          <w:p w:rsidR="00173D68" w:rsidRPr="00173D68" w:rsidRDefault="00173D68" w:rsidP="00173D68">
            <w:pPr>
              <w:pStyle w:val="Textoindependiente"/>
              <w:spacing w:line="241" w:lineRule="auto"/>
              <w:ind w:left="0" w:right="34"/>
              <w:jc w:val="right"/>
              <w:rPr>
                <w:b/>
                <w:sz w:val="20"/>
              </w:rPr>
            </w:pPr>
            <w:r>
              <w:rPr>
                <w:b/>
                <w:sz w:val="20"/>
              </w:rPr>
              <w:t>100.0</w:t>
            </w:r>
          </w:p>
        </w:tc>
      </w:tr>
      <w:tr w:rsidR="00173D68" w:rsidTr="00A51E19">
        <w:trPr>
          <w:jc w:val="center"/>
        </w:trPr>
        <w:tc>
          <w:tcPr>
            <w:tcW w:w="3543" w:type="dxa"/>
            <w:vAlign w:val="center"/>
          </w:tcPr>
          <w:p w:rsidR="00173D68" w:rsidRPr="00CA020E" w:rsidRDefault="00974B0B" w:rsidP="00D96B66">
            <w:pPr>
              <w:pStyle w:val="Textoindependiente"/>
              <w:spacing w:line="241" w:lineRule="auto"/>
              <w:ind w:left="0" w:right="197"/>
              <w:jc w:val="both"/>
              <w:rPr>
                <w:sz w:val="20"/>
              </w:rPr>
            </w:pPr>
            <w:r>
              <w:rPr>
                <w:sz w:val="20"/>
              </w:rPr>
              <w:t xml:space="preserve">  </w:t>
            </w:r>
            <w:r w:rsidR="00CF5FAF">
              <w:rPr>
                <w:sz w:val="20"/>
              </w:rPr>
              <w:t>Industrias m</w:t>
            </w:r>
            <w:r w:rsidR="00173D68">
              <w:rPr>
                <w:sz w:val="20"/>
              </w:rPr>
              <w:t>anufactureras</w:t>
            </w:r>
          </w:p>
        </w:tc>
        <w:tc>
          <w:tcPr>
            <w:tcW w:w="3119" w:type="dxa"/>
            <w:vAlign w:val="center"/>
          </w:tcPr>
          <w:p w:rsidR="00173D68" w:rsidRPr="00CA020E" w:rsidRDefault="008F1B67" w:rsidP="00173D68">
            <w:pPr>
              <w:pStyle w:val="Textoindependiente"/>
              <w:spacing w:line="241" w:lineRule="auto"/>
              <w:ind w:left="0" w:right="197"/>
              <w:jc w:val="right"/>
              <w:rPr>
                <w:sz w:val="20"/>
              </w:rPr>
            </w:pPr>
            <w:r>
              <w:rPr>
                <w:sz w:val="20"/>
              </w:rPr>
              <w:t>237,802</w:t>
            </w:r>
          </w:p>
        </w:tc>
        <w:tc>
          <w:tcPr>
            <w:tcW w:w="1697" w:type="dxa"/>
            <w:vAlign w:val="center"/>
          </w:tcPr>
          <w:p w:rsidR="00173D68" w:rsidRPr="00CA020E" w:rsidRDefault="00A9404D" w:rsidP="00173D68">
            <w:pPr>
              <w:pStyle w:val="Textoindependiente"/>
              <w:spacing w:line="241" w:lineRule="auto"/>
              <w:ind w:left="0" w:right="34"/>
              <w:jc w:val="right"/>
              <w:rPr>
                <w:sz w:val="20"/>
              </w:rPr>
            </w:pPr>
            <w:r>
              <w:rPr>
                <w:sz w:val="20"/>
              </w:rPr>
              <w:t>11.6</w:t>
            </w:r>
          </w:p>
        </w:tc>
      </w:tr>
      <w:tr w:rsidR="00173D68" w:rsidTr="00A51E19">
        <w:trPr>
          <w:jc w:val="center"/>
        </w:trPr>
        <w:tc>
          <w:tcPr>
            <w:tcW w:w="3543" w:type="dxa"/>
            <w:vAlign w:val="center"/>
          </w:tcPr>
          <w:p w:rsidR="00173D68" w:rsidRPr="00CA020E" w:rsidRDefault="00974B0B" w:rsidP="00D96B66">
            <w:pPr>
              <w:pStyle w:val="Textoindependiente"/>
              <w:spacing w:line="241" w:lineRule="auto"/>
              <w:ind w:left="0" w:right="197"/>
              <w:jc w:val="both"/>
              <w:rPr>
                <w:sz w:val="20"/>
              </w:rPr>
            </w:pPr>
            <w:r>
              <w:rPr>
                <w:sz w:val="20"/>
              </w:rPr>
              <w:t xml:space="preserve">  </w:t>
            </w:r>
            <w:r w:rsidR="00173D68">
              <w:rPr>
                <w:sz w:val="20"/>
              </w:rPr>
              <w:t>Comercio</w:t>
            </w:r>
          </w:p>
        </w:tc>
        <w:tc>
          <w:tcPr>
            <w:tcW w:w="3119" w:type="dxa"/>
            <w:vAlign w:val="center"/>
          </w:tcPr>
          <w:p w:rsidR="00173D68" w:rsidRPr="00CA020E" w:rsidRDefault="008F1B67" w:rsidP="00173D68">
            <w:pPr>
              <w:pStyle w:val="Textoindependiente"/>
              <w:spacing w:line="241" w:lineRule="auto"/>
              <w:ind w:left="0" w:right="197"/>
              <w:jc w:val="right"/>
              <w:rPr>
                <w:sz w:val="20"/>
              </w:rPr>
            </w:pPr>
            <w:r>
              <w:rPr>
                <w:sz w:val="20"/>
              </w:rPr>
              <w:t>1,002,222</w:t>
            </w:r>
          </w:p>
        </w:tc>
        <w:tc>
          <w:tcPr>
            <w:tcW w:w="1697" w:type="dxa"/>
            <w:vAlign w:val="center"/>
          </w:tcPr>
          <w:p w:rsidR="00173D68" w:rsidRPr="00CA020E" w:rsidRDefault="00A1432A" w:rsidP="00173D68">
            <w:pPr>
              <w:pStyle w:val="Textoindependiente"/>
              <w:spacing w:line="241" w:lineRule="auto"/>
              <w:ind w:left="0" w:right="34"/>
              <w:jc w:val="right"/>
              <w:rPr>
                <w:sz w:val="20"/>
              </w:rPr>
            </w:pPr>
            <w:r>
              <w:rPr>
                <w:sz w:val="20"/>
              </w:rPr>
              <w:t>49.1</w:t>
            </w:r>
          </w:p>
        </w:tc>
      </w:tr>
      <w:tr w:rsidR="00173D68" w:rsidTr="00A51E19">
        <w:trPr>
          <w:jc w:val="center"/>
        </w:trPr>
        <w:tc>
          <w:tcPr>
            <w:tcW w:w="3543" w:type="dxa"/>
            <w:vAlign w:val="center"/>
          </w:tcPr>
          <w:p w:rsidR="00173D68" w:rsidRPr="00CA020E" w:rsidRDefault="00974B0B" w:rsidP="00D96B66">
            <w:pPr>
              <w:pStyle w:val="Textoindependiente"/>
              <w:spacing w:line="241" w:lineRule="auto"/>
              <w:ind w:left="0" w:right="197"/>
              <w:jc w:val="both"/>
              <w:rPr>
                <w:sz w:val="20"/>
              </w:rPr>
            </w:pPr>
            <w:r>
              <w:rPr>
                <w:sz w:val="20"/>
              </w:rPr>
              <w:t xml:space="preserve">  </w:t>
            </w:r>
            <w:r w:rsidR="00173D68">
              <w:rPr>
                <w:sz w:val="20"/>
              </w:rPr>
              <w:t>Servicios privados no financieros</w:t>
            </w:r>
          </w:p>
        </w:tc>
        <w:tc>
          <w:tcPr>
            <w:tcW w:w="3119" w:type="dxa"/>
            <w:vAlign w:val="center"/>
          </w:tcPr>
          <w:p w:rsidR="00173D68" w:rsidRPr="00CA020E" w:rsidRDefault="008F1B67" w:rsidP="00173D68">
            <w:pPr>
              <w:pStyle w:val="Textoindependiente"/>
              <w:spacing w:line="241" w:lineRule="auto"/>
              <w:ind w:left="0" w:right="197"/>
              <w:jc w:val="right"/>
              <w:rPr>
                <w:sz w:val="20"/>
              </w:rPr>
            </w:pPr>
            <w:r>
              <w:rPr>
                <w:sz w:val="20"/>
              </w:rPr>
              <w:t>801,356</w:t>
            </w:r>
          </w:p>
        </w:tc>
        <w:tc>
          <w:tcPr>
            <w:tcW w:w="1697" w:type="dxa"/>
            <w:vAlign w:val="center"/>
          </w:tcPr>
          <w:p w:rsidR="00173D68" w:rsidRPr="00CA020E" w:rsidRDefault="00A9404D" w:rsidP="00173D68">
            <w:pPr>
              <w:pStyle w:val="Textoindependiente"/>
              <w:spacing w:line="241" w:lineRule="auto"/>
              <w:ind w:left="0" w:right="34"/>
              <w:jc w:val="right"/>
              <w:rPr>
                <w:sz w:val="20"/>
              </w:rPr>
            </w:pPr>
            <w:r>
              <w:rPr>
                <w:sz w:val="20"/>
              </w:rPr>
              <w:t>39.3</w:t>
            </w:r>
          </w:p>
        </w:tc>
      </w:tr>
    </w:tbl>
    <w:p w:rsidR="00FA7616" w:rsidRPr="005124C3" w:rsidRDefault="00FA7616" w:rsidP="00A51E19">
      <w:pPr>
        <w:pStyle w:val="Textoindependiente"/>
        <w:spacing w:line="241" w:lineRule="auto"/>
        <w:ind w:left="993" w:right="197"/>
        <w:jc w:val="both"/>
        <w:rPr>
          <w:sz w:val="20"/>
        </w:rPr>
      </w:pPr>
      <w:r w:rsidRPr="005124C3">
        <w:rPr>
          <w:sz w:val="20"/>
        </w:rPr>
        <w:t>Fuente: INEGI.</w:t>
      </w:r>
    </w:p>
    <w:p w:rsidR="00FA7616" w:rsidRDefault="00FA7616" w:rsidP="00FD24DF">
      <w:pPr>
        <w:pStyle w:val="Ttulo11"/>
        <w:ind w:left="0" w:right="32"/>
        <w:jc w:val="both"/>
        <w:rPr>
          <w:b w:val="0"/>
        </w:rPr>
      </w:pPr>
    </w:p>
    <w:p w:rsidR="00FD24DF" w:rsidRDefault="006C6246" w:rsidP="00FD24DF">
      <w:pPr>
        <w:pStyle w:val="Ttulo11"/>
        <w:ind w:left="0" w:right="32"/>
        <w:jc w:val="both"/>
        <w:rPr>
          <w:b w:val="0"/>
        </w:rPr>
      </w:pPr>
      <w:r w:rsidRPr="006C6246">
        <w:rPr>
          <w:b w:val="0"/>
        </w:rPr>
        <w:t xml:space="preserve">Del total de </w:t>
      </w:r>
      <w:r>
        <w:rPr>
          <w:b w:val="0"/>
        </w:rPr>
        <w:t>establecimientos</w:t>
      </w:r>
      <w:r w:rsidR="008D3A03">
        <w:rPr>
          <w:b w:val="0"/>
        </w:rPr>
        <w:t>,</w:t>
      </w:r>
      <w:r>
        <w:rPr>
          <w:b w:val="0"/>
        </w:rPr>
        <w:t xml:space="preserve"> 83.9% declara no haber sufrido daños en su infraestruct</w:t>
      </w:r>
      <w:r w:rsidR="003D1A60">
        <w:rPr>
          <w:b w:val="0"/>
        </w:rPr>
        <w:t>ura productiva</w:t>
      </w:r>
      <w:r w:rsidR="00CB4F49">
        <w:rPr>
          <w:b w:val="0"/>
        </w:rPr>
        <w:t xml:space="preserve"> ni afectaciones en los servicios que brinda</w:t>
      </w:r>
      <w:r w:rsidR="003D1A60">
        <w:rPr>
          <w:b w:val="0"/>
        </w:rPr>
        <w:t xml:space="preserve">, en tanto que </w:t>
      </w:r>
      <w:r w:rsidR="00F97AB5">
        <w:rPr>
          <w:b w:val="0"/>
        </w:rPr>
        <w:t>16.1% tuvo</w:t>
      </w:r>
      <w:r>
        <w:rPr>
          <w:b w:val="0"/>
        </w:rPr>
        <w:t xml:space="preserve"> </w:t>
      </w:r>
      <w:r w:rsidR="00CB4F49">
        <w:rPr>
          <w:b w:val="0"/>
        </w:rPr>
        <w:t xml:space="preserve">alguna </w:t>
      </w:r>
      <w:proofErr w:type="gramStart"/>
      <w:r>
        <w:rPr>
          <w:b w:val="0"/>
        </w:rPr>
        <w:t>afectaci</w:t>
      </w:r>
      <w:r w:rsidR="00416432">
        <w:rPr>
          <w:b w:val="0"/>
        </w:rPr>
        <w:t>ón  derivada</w:t>
      </w:r>
      <w:proofErr w:type="gramEnd"/>
      <w:r>
        <w:rPr>
          <w:b w:val="0"/>
        </w:rPr>
        <w:t xml:space="preserve"> de los sismos acontecidos durante el mes de septiembre de 2017. </w:t>
      </w:r>
      <w:r w:rsidR="009234BF">
        <w:rPr>
          <w:b w:val="0"/>
        </w:rPr>
        <w:t xml:space="preserve">En este sentido, 90.0% de los </w:t>
      </w:r>
      <w:r w:rsidR="00FD24DF">
        <w:rPr>
          <w:b w:val="0"/>
        </w:rPr>
        <w:t xml:space="preserve">establecimientos que </w:t>
      </w:r>
      <w:r w:rsidR="008D3A03">
        <w:rPr>
          <w:b w:val="0"/>
        </w:rPr>
        <w:t xml:space="preserve">sí </w:t>
      </w:r>
      <w:r w:rsidR="00FD24DF">
        <w:rPr>
          <w:b w:val="0"/>
        </w:rPr>
        <w:t xml:space="preserve">sufrieron afectaciones </w:t>
      </w:r>
      <w:r w:rsidR="008D3A03">
        <w:rPr>
          <w:b w:val="0"/>
        </w:rPr>
        <w:t>informan que hasta el momento</w:t>
      </w:r>
      <w:r w:rsidR="009234BF">
        <w:rPr>
          <w:b w:val="0"/>
        </w:rPr>
        <w:t xml:space="preserve"> </w:t>
      </w:r>
      <w:r w:rsidR="00FD24DF">
        <w:rPr>
          <w:b w:val="0"/>
        </w:rPr>
        <w:t>no h</w:t>
      </w:r>
      <w:r w:rsidR="009234BF">
        <w:rPr>
          <w:b w:val="0"/>
        </w:rPr>
        <w:t>a</w:t>
      </w:r>
      <w:r w:rsidR="008D3A03">
        <w:rPr>
          <w:b w:val="0"/>
        </w:rPr>
        <w:t xml:space="preserve">n </w:t>
      </w:r>
      <w:r w:rsidR="009234BF">
        <w:rPr>
          <w:b w:val="0"/>
        </w:rPr>
        <w:t>r</w:t>
      </w:r>
      <w:r w:rsidR="00CB4F49">
        <w:rPr>
          <w:b w:val="0"/>
        </w:rPr>
        <w:t>ecibido apoyos para cubrirlas</w:t>
      </w:r>
      <w:r w:rsidR="000E2DED">
        <w:rPr>
          <w:b w:val="0"/>
        </w:rPr>
        <w:t xml:space="preserve">, mientras que </w:t>
      </w:r>
      <w:r w:rsidR="00FD24DF">
        <w:rPr>
          <w:b w:val="0"/>
        </w:rPr>
        <w:t xml:space="preserve">10.0% </w:t>
      </w:r>
      <w:r w:rsidR="009234BF">
        <w:rPr>
          <w:b w:val="0"/>
        </w:rPr>
        <w:t>ya ha</w:t>
      </w:r>
      <w:r w:rsidR="003D1A60">
        <w:rPr>
          <w:b w:val="0"/>
        </w:rPr>
        <w:t xml:space="preserve"> </w:t>
      </w:r>
      <w:r w:rsidR="00FD24DF">
        <w:rPr>
          <w:b w:val="0"/>
        </w:rPr>
        <w:t>recibido</w:t>
      </w:r>
      <w:r w:rsidR="00992481">
        <w:rPr>
          <w:b w:val="0"/>
        </w:rPr>
        <w:t xml:space="preserve"> algún tipo de ayuda (</w:t>
      </w:r>
      <w:r w:rsidR="00A809DF">
        <w:rPr>
          <w:b w:val="0"/>
        </w:rPr>
        <w:t>v</w:t>
      </w:r>
      <w:r w:rsidR="00FA7616">
        <w:rPr>
          <w:b w:val="0"/>
        </w:rPr>
        <w:t>er Gráfica 1</w:t>
      </w:r>
      <w:r w:rsidR="00992481">
        <w:rPr>
          <w:b w:val="0"/>
        </w:rPr>
        <w:t>)</w:t>
      </w:r>
      <w:r w:rsidR="00FA7616">
        <w:rPr>
          <w:b w:val="0"/>
        </w:rPr>
        <w:t>.</w:t>
      </w:r>
    </w:p>
    <w:p w:rsidR="001B776D" w:rsidRDefault="001B776D" w:rsidP="006A7832">
      <w:pPr>
        <w:pStyle w:val="Ttulo11"/>
        <w:ind w:left="0" w:right="32"/>
        <w:jc w:val="both"/>
        <w:rPr>
          <w:b w:val="0"/>
        </w:rPr>
      </w:pPr>
    </w:p>
    <w:p w:rsidR="00FA7616" w:rsidRDefault="00FA7616" w:rsidP="006C6246">
      <w:pPr>
        <w:pStyle w:val="Ttulo11"/>
        <w:ind w:left="0" w:right="32"/>
        <w:jc w:val="center"/>
        <w:rPr>
          <w:b w:val="0"/>
        </w:rPr>
      </w:pPr>
    </w:p>
    <w:p w:rsidR="00FA7616" w:rsidRDefault="00FA7616" w:rsidP="006C6246">
      <w:pPr>
        <w:pStyle w:val="Ttulo11"/>
        <w:ind w:left="0" w:right="32"/>
        <w:jc w:val="center"/>
        <w:rPr>
          <w:b w:val="0"/>
        </w:rPr>
      </w:pPr>
    </w:p>
    <w:p w:rsidR="00FA7616" w:rsidRDefault="00FA7616" w:rsidP="006C6246">
      <w:pPr>
        <w:pStyle w:val="Ttulo11"/>
        <w:ind w:left="0" w:right="32"/>
        <w:jc w:val="center"/>
        <w:rPr>
          <w:b w:val="0"/>
        </w:rPr>
      </w:pPr>
    </w:p>
    <w:p w:rsidR="00FA7616" w:rsidRDefault="00FA7616" w:rsidP="006C6246">
      <w:pPr>
        <w:pStyle w:val="Ttulo11"/>
        <w:ind w:left="0" w:right="32"/>
        <w:jc w:val="center"/>
        <w:rPr>
          <w:b w:val="0"/>
        </w:rPr>
      </w:pPr>
    </w:p>
    <w:p w:rsidR="00657AB7" w:rsidRDefault="00657AB7" w:rsidP="006C6246">
      <w:pPr>
        <w:pStyle w:val="Ttulo11"/>
        <w:ind w:left="0" w:right="32"/>
        <w:jc w:val="center"/>
        <w:rPr>
          <w:b w:val="0"/>
        </w:rPr>
      </w:pPr>
    </w:p>
    <w:p w:rsidR="006C6246" w:rsidRPr="00677AA8" w:rsidRDefault="006C6246" w:rsidP="006C6246">
      <w:pPr>
        <w:pStyle w:val="Ttulo11"/>
        <w:ind w:left="0" w:right="32"/>
        <w:jc w:val="center"/>
        <w:rPr>
          <w:b w:val="0"/>
        </w:rPr>
      </w:pPr>
      <w:r w:rsidRPr="00677AA8">
        <w:rPr>
          <w:b w:val="0"/>
        </w:rPr>
        <w:t>Gráfica 1</w:t>
      </w:r>
    </w:p>
    <w:p w:rsidR="00F2261A" w:rsidRDefault="00E40F54" w:rsidP="00E40F54">
      <w:pPr>
        <w:pStyle w:val="Ttulo11"/>
        <w:ind w:left="0" w:right="32"/>
        <w:jc w:val="center"/>
      </w:pPr>
      <w:r w:rsidRPr="00E40F54">
        <w:t>Estructura porcentual de</w:t>
      </w:r>
      <w:r w:rsidR="006C6246" w:rsidRPr="00E40F54">
        <w:t>l</w:t>
      </w:r>
      <w:r w:rsidRPr="00E40F54">
        <w:t xml:space="preserve"> número de </w:t>
      </w:r>
      <w:r w:rsidR="006C6246" w:rsidRPr="00E40F54">
        <w:t xml:space="preserve">establecimientos </w:t>
      </w:r>
      <w:r w:rsidRPr="00E40F54">
        <w:t xml:space="preserve">de acuerdo a las </w:t>
      </w:r>
    </w:p>
    <w:p w:rsidR="00E40F54" w:rsidRDefault="00F2261A" w:rsidP="00E40F54">
      <w:pPr>
        <w:pStyle w:val="Ttulo11"/>
        <w:ind w:left="0" w:right="32"/>
        <w:jc w:val="center"/>
      </w:pPr>
      <w:proofErr w:type="gramStart"/>
      <w:r>
        <w:t>afectaciones</w:t>
      </w:r>
      <w:proofErr w:type="gramEnd"/>
      <w:r>
        <w:t xml:space="preserve"> en </w:t>
      </w:r>
      <w:r w:rsidR="00E40F54" w:rsidRPr="00E40F54">
        <w:t xml:space="preserve">su </w:t>
      </w:r>
      <w:r w:rsidR="00CB4F49">
        <w:t>actividad productiva</w:t>
      </w:r>
      <w:r w:rsidR="00E40F54" w:rsidRPr="00E40F54">
        <w:t xml:space="preserve"> y los apoyos recibidos</w:t>
      </w:r>
    </w:p>
    <w:p w:rsidR="00AB4173" w:rsidRDefault="007321A6" w:rsidP="00E40F54">
      <w:pPr>
        <w:pStyle w:val="Ttulo11"/>
        <w:ind w:left="0" w:right="32"/>
        <w:jc w:val="center"/>
      </w:pPr>
      <w:r w:rsidRPr="00ED4A62">
        <w:rPr>
          <w:noProof/>
          <w:lang w:eastAsia="es-MX"/>
        </w:rPr>
        <w:drawing>
          <wp:inline distT="0" distB="0" distL="0" distR="0" wp14:anchorId="43FAC0AA" wp14:editId="05BE0FB4">
            <wp:extent cx="4915814" cy="2454603"/>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924236" cy="2458809"/>
                    </a:xfrm>
                    <a:prstGeom prst="rect">
                      <a:avLst/>
                    </a:prstGeom>
                    <a:noFill/>
                    <a:ln w="9525">
                      <a:noFill/>
                      <a:miter lim="800000"/>
                      <a:headEnd/>
                      <a:tailEnd/>
                    </a:ln>
                  </pic:spPr>
                </pic:pic>
              </a:graphicData>
            </a:graphic>
          </wp:inline>
        </w:drawing>
      </w:r>
    </w:p>
    <w:p w:rsidR="009A6D2E" w:rsidRPr="005124C3" w:rsidRDefault="009A6D2E" w:rsidP="009A6D2E">
      <w:pPr>
        <w:pStyle w:val="Textoindependiente"/>
        <w:spacing w:line="241" w:lineRule="auto"/>
        <w:ind w:left="1134" w:right="197"/>
        <w:jc w:val="both"/>
        <w:rPr>
          <w:sz w:val="20"/>
        </w:rPr>
      </w:pPr>
      <w:r w:rsidRPr="005124C3">
        <w:rPr>
          <w:sz w:val="20"/>
        </w:rPr>
        <w:t>Fuente: INEGI.</w:t>
      </w:r>
    </w:p>
    <w:p w:rsidR="009A6D2E" w:rsidRDefault="009A6D2E" w:rsidP="004B6F32">
      <w:pPr>
        <w:pStyle w:val="Ttulo11"/>
        <w:ind w:left="0" w:right="32"/>
        <w:jc w:val="both"/>
        <w:rPr>
          <w:b w:val="0"/>
        </w:rPr>
      </w:pPr>
    </w:p>
    <w:p w:rsidR="004B6F32" w:rsidRDefault="004B6F32" w:rsidP="004B6F32">
      <w:pPr>
        <w:pStyle w:val="Ttulo11"/>
        <w:ind w:left="0" w:right="32"/>
        <w:jc w:val="both"/>
        <w:rPr>
          <w:b w:val="0"/>
        </w:rPr>
      </w:pPr>
      <w:r>
        <w:rPr>
          <w:b w:val="0"/>
        </w:rPr>
        <w:t xml:space="preserve">Los tres sectores económicos presentan una estructura porcentual semejante en cuanto a las </w:t>
      </w:r>
      <w:r w:rsidR="00CB4F49">
        <w:rPr>
          <w:b w:val="0"/>
        </w:rPr>
        <w:t>afectaciones en su actividad productiva</w:t>
      </w:r>
      <w:r>
        <w:rPr>
          <w:b w:val="0"/>
        </w:rPr>
        <w:t>. Los Servicios privados no financieros están ligeramente por arriba de los otros dos sectores</w:t>
      </w:r>
      <w:r w:rsidR="00364021">
        <w:rPr>
          <w:b w:val="0"/>
        </w:rPr>
        <w:t xml:space="preserve">, reportando </w:t>
      </w:r>
      <w:r>
        <w:rPr>
          <w:b w:val="0"/>
        </w:rPr>
        <w:t>16.5% de los establecimientos con afectaciones, le sigue Comercio con 16.2% y finalmente las Industrias manufactureras con 14.5 por ciento.</w:t>
      </w:r>
    </w:p>
    <w:p w:rsidR="00CF5FAF" w:rsidRDefault="00CF5FAF" w:rsidP="004B6F32">
      <w:pPr>
        <w:pStyle w:val="Ttulo11"/>
        <w:ind w:left="0" w:right="32"/>
        <w:jc w:val="both"/>
        <w:rPr>
          <w:b w:val="0"/>
        </w:rPr>
      </w:pPr>
    </w:p>
    <w:p w:rsidR="004B6F32" w:rsidRPr="00677AA8" w:rsidRDefault="006921FD" w:rsidP="004B6F32">
      <w:pPr>
        <w:pStyle w:val="Textoindependiente"/>
        <w:spacing w:line="241" w:lineRule="auto"/>
        <w:ind w:left="0" w:right="197"/>
        <w:jc w:val="center"/>
      </w:pPr>
      <w:r>
        <w:t>Cuadro 4</w:t>
      </w:r>
    </w:p>
    <w:p w:rsidR="00CB4F49" w:rsidRDefault="004B6F32" w:rsidP="004B6F32">
      <w:pPr>
        <w:pStyle w:val="Textoindependiente"/>
        <w:spacing w:line="241" w:lineRule="auto"/>
        <w:ind w:left="0" w:right="197"/>
        <w:jc w:val="center"/>
        <w:rPr>
          <w:b/>
        </w:rPr>
      </w:pPr>
      <w:r>
        <w:rPr>
          <w:b/>
        </w:rPr>
        <w:t xml:space="preserve">Estructura porcentual de </w:t>
      </w:r>
      <w:r w:rsidR="00364021">
        <w:rPr>
          <w:b/>
        </w:rPr>
        <w:t xml:space="preserve">los </w:t>
      </w:r>
      <w:r w:rsidR="001A61DC">
        <w:rPr>
          <w:b/>
        </w:rPr>
        <w:t>e</w:t>
      </w:r>
      <w:r w:rsidR="00364021">
        <w:rPr>
          <w:b/>
        </w:rPr>
        <w:t xml:space="preserve">stablecimientos </w:t>
      </w:r>
      <w:r w:rsidR="00CB4F49">
        <w:rPr>
          <w:b/>
        </w:rPr>
        <w:t xml:space="preserve">según su condición de </w:t>
      </w:r>
    </w:p>
    <w:p w:rsidR="004B6F32" w:rsidRPr="006F3EC4" w:rsidRDefault="00CB4F49" w:rsidP="004B6F32">
      <w:pPr>
        <w:pStyle w:val="Textoindependiente"/>
        <w:spacing w:line="241" w:lineRule="auto"/>
        <w:ind w:left="0" w:right="197"/>
        <w:jc w:val="center"/>
        <w:rPr>
          <w:b/>
        </w:rPr>
      </w:pPr>
      <w:proofErr w:type="gramStart"/>
      <w:r>
        <w:rPr>
          <w:b/>
        </w:rPr>
        <w:t>afectación</w:t>
      </w:r>
      <w:proofErr w:type="gramEnd"/>
      <w:r>
        <w:rPr>
          <w:b/>
        </w:rPr>
        <w:t xml:space="preserve"> </w:t>
      </w:r>
      <w:r w:rsidR="004B6F32" w:rsidRPr="006F3EC4">
        <w:rPr>
          <w:b/>
        </w:rPr>
        <w:t xml:space="preserve">por sector </w:t>
      </w:r>
      <w:r w:rsidR="001A61DC">
        <w:rPr>
          <w:b/>
        </w:rPr>
        <w:t>de actividad</w:t>
      </w:r>
    </w:p>
    <w:tbl>
      <w:tblPr>
        <w:tblStyle w:val="Tablaconcuadrcula"/>
        <w:tblW w:w="8238" w:type="dxa"/>
        <w:jc w:val="center"/>
        <w:tblLayout w:type="fixed"/>
        <w:tblLook w:val="04A0" w:firstRow="1" w:lastRow="0" w:firstColumn="1" w:lastColumn="0" w:noHBand="0" w:noVBand="1"/>
      </w:tblPr>
      <w:tblGrid>
        <w:gridCol w:w="3539"/>
        <w:gridCol w:w="2268"/>
        <w:gridCol w:w="2431"/>
      </w:tblGrid>
      <w:tr w:rsidR="004B6F32" w:rsidTr="002C5E10">
        <w:trPr>
          <w:trHeight w:val="351"/>
          <w:jc w:val="center"/>
        </w:trPr>
        <w:tc>
          <w:tcPr>
            <w:tcW w:w="3539" w:type="dxa"/>
            <w:shd w:val="clear" w:color="auto" w:fill="B6DDE8" w:themeFill="accent5" w:themeFillTint="66"/>
            <w:vAlign w:val="center"/>
          </w:tcPr>
          <w:p w:rsidR="004B6F32" w:rsidRDefault="004B6F32" w:rsidP="002C5E10">
            <w:pPr>
              <w:pStyle w:val="Textoindependiente"/>
              <w:spacing w:line="241" w:lineRule="auto"/>
              <w:ind w:left="0" w:right="197"/>
              <w:jc w:val="center"/>
              <w:rPr>
                <w:b/>
                <w:sz w:val="20"/>
              </w:rPr>
            </w:pPr>
            <w:r>
              <w:rPr>
                <w:b/>
                <w:sz w:val="20"/>
              </w:rPr>
              <w:t>Sector</w:t>
            </w:r>
          </w:p>
        </w:tc>
        <w:tc>
          <w:tcPr>
            <w:tcW w:w="2268" w:type="dxa"/>
            <w:shd w:val="clear" w:color="auto" w:fill="B6DDE8" w:themeFill="accent5" w:themeFillTint="66"/>
            <w:vAlign w:val="center"/>
          </w:tcPr>
          <w:p w:rsidR="004B6F32" w:rsidRDefault="004B6F32" w:rsidP="002C5E10">
            <w:pPr>
              <w:pStyle w:val="Textoindependiente"/>
              <w:spacing w:line="241" w:lineRule="auto"/>
              <w:ind w:left="0" w:right="34"/>
              <w:jc w:val="center"/>
              <w:rPr>
                <w:b/>
                <w:sz w:val="20"/>
              </w:rPr>
            </w:pPr>
            <w:r>
              <w:rPr>
                <w:b/>
                <w:sz w:val="20"/>
              </w:rPr>
              <w:t xml:space="preserve">Establecimientos sin </w:t>
            </w:r>
          </w:p>
          <w:p w:rsidR="004B6F32" w:rsidRDefault="004B6F32" w:rsidP="002C5E10">
            <w:pPr>
              <w:pStyle w:val="Textoindependiente"/>
              <w:spacing w:line="241" w:lineRule="auto"/>
              <w:ind w:left="0" w:right="34"/>
              <w:jc w:val="center"/>
              <w:rPr>
                <w:b/>
                <w:sz w:val="20"/>
              </w:rPr>
            </w:pPr>
            <w:r>
              <w:rPr>
                <w:b/>
                <w:sz w:val="20"/>
              </w:rPr>
              <w:t>afectaciones</w:t>
            </w:r>
          </w:p>
        </w:tc>
        <w:tc>
          <w:tcPr>
            <w:tcW w:w="2431" w:type="dxa"/>
            <w:shd w:val="clear" w:color="auto" w:fill="B6DDE8" w:themeFill="accent5" w:themeFillTint="66"/>
            <w:vAlign w:val="center"/>
          </w:tcPr>
          <w:p w:rsidR="004B6F32" w:rsidRDefault="004B6F32" w:rsidP="002C5E10">
            <w:pPr>
              <w:pStyle w:val="Textoindependiente"/>
              <w:spacing w:line="241" w:lineRule="auto"/>
              <w:ind w:left="0" w:right="34"/>
              <w:jc w:val="center"/>
              <w:rPr>
                <w:b/>
                <w:sz w:val="20"/>
              </w:rPr>
            </w:pPr>
            <w:r>
              <w:rPr>
                <w:b/>
                <w:sz w:val="20"/>
              </w:rPr>
              <w:t>Establecimientos con afectaciones</w:t>
            </w:r>
          </w:p>
        </w:tc>
      </w:tr>
      <w:tr w:rsidR="004B6F32" w:rsidTr="002C5E10">
        <w:trPr>
          <w:trHeight w:val="229"/>
          <w:jc w:val="center"/>
        </w:trPr>
        <w:tc>
          <w:tcPr>
            <w:tcW w:w="3539" w:type="dxa"/>
            <w:vAlign w:val="center"/>
          </w:tcPr>
          <w:p w:rsidR="004B6F32" w:rsidRPr="00173D68" w:rsidRDefault="004B6F32" w:rsidP="002C5E10">
            <w:pPr>
              <w:pStyle w:val="Textoindependiente"/>
              <w:spacing w:line="241" w:lineRule="auto"/>
              <w:ind w:left="0" w:right="197"/>
              <w:jc w:val="both"/>
              <w:rPr>
                <w:b/>
                <w:sz w:val="20"/>
              </w:rPr>
            </w:pPr>
            <w:r w:rsidRPr="00173D68">
              <w:rPr>
                <w:b/>
                <w:sz w:val="20"/>
              </w:rPr>
              <w:t>Total</w:t>
            </w:r>
          </w:p>
        </w:tc>
        <w:tc>
          <w:tcPr>
            <w:tcW w:w="2268" w:type="dxa"/>
          </w:tcPr>
          <w:p w:rsidR="004B6F32" w:rsidRPr="00173D68" w:rsidRDefault="004B6F32" w:rsidP="002C5E10">
            <w:pPr>
              <w:pStyle w:val="Textoindependiente"/>
              <w:spacing w:line="241" w:lineRule="auto"/>
              <w:ind w:left="0" w:right="197"/>
              <w:jc w:val="right"/>
              <w:rPr>
                <w:b/>
                <w:sz w:val="20"/>
              </w:rPr>
            </w:pPr>
            <w:r>
              <w:rPr>
                <w:b/>
                <w:sz w:val="20"/>
              </w:rPr>
              <w:t>83.9</w:t>
            </w:r>
          </w:p>
        </w:tc>
        <w:tc>
          <w:tcPr>
            <w:tcW w:w="2431" w:type="dxa"/>
          </w:tcPr>
          <w:p w:rsidR="004B6F32" w:rsidRPr="00173D68" w:rsidRDefault="004B6F32" w:rsidP="002C5E10">
            <w:pPr>
              <w:pStyle w:val="Textoindependiente"/>
              <w:spacing w:line="241" w:lineRule="auto"/>
              <w:ind w:left="0" w:right="197"/>
              <w:jc w:val="right"/>
              <w:rPr>
                <w:b/>
                <w:sz w:val="20"/>
              </w:rPr>
            </w:pPr>
            <w:r>
              <w:rPr>
                <w:b/>
                <w:sz w:val="20"/>
              </w:rPr>
              <w:t>16.1</w:t>
            </w:r>
          </w:p>
        </w:tc>
      </w:tr>
      <w:tr w:rsidR="004B6F32" w:rsidTr="002C5E10">
        <w:trPr>
          <w:trHeight w:val="229"/>
          <w:jc w:val="center"/>
        </w:trPr>
        <w:tc>
          <w:tcPr>
            <w:tcW w:w="3539" w:type="dxa"/>
            <w:vAlign w:val="center"/>
          </w:tcPr>
          <w:p w:rsidR="004B6F32" w:rsidRPr="00CA020E" w:rsidRDefault="00CF5FAF" w:rsidP="002C5E10">
            <w:pPr>
              <w:pStyle w:val="Textoindependiente"/>
              <w:spacing w:line="241" w:lineRule="auto"/>
              <w:ind w:left="0" w:right="197"/>
              <w:jc w:val="both"/>
              <w:rPr>
                <w:sz w:val="20"/>
              </w:rPr>
            </w:pPr>
            <w:r>
              <w:rPr>
                <w:sz w:val="20"/>
              </w:rPr>
              <w:t xml:space="preserve">  Industrias m</w:t>
            </w:r>
            <w:r w:rsidR="004B6F32">
              <w:rPr>
                <w:sz w:val="20"/>
              </w:rPr>
              <w:t>anufactureras</w:t>
            </w:r>
          </w:p>
        </w:tc>
        <w:tc>
          <w:tcPr>
            <w:tcW w:w="2268" w:type="dxa"/>
          </w:tcPr>
          <w:p w:rsidR="004B6F32" w:rsidRDefault="004B6F32" w:rsidP="002C5E10">
            <w:pPr>
              <w:pStyle w:val="Textoindependiente"/>
              <w:spacing w:line="241" w:lineRule="auto"/>
              <w:ind w:left="0" w:right="197"/>
              <w:jc w:val="right"/>
              <w:rPr>
                <w:sz w:val="20"/>
              </w:rPr>
            </w:pPr>
            <w:r>
              <w:rPr>
                <w:sz w:val="20"/>
              </w:rPr>
              <w:t>85.5</w:t>
            </w:r>
          </w:p>
        </w:tc>
        <w:tc>
          <w:tcPr>
            <w:tcW w:w="2431" w:type="dxa"/>
          </w:tcPr>
          <w:p w:rsidR="004B6F32" w:rsidRDefault="004B6F32" w:rsidP="002C5E10">
            <w:pPr>
              <w:pStyle w:val="Textoindependiente"/>
              <w:spacing w:line="241" w:lineRule="auto"/>
              <w:ind w:left="0" w:right="197"/>
              <w:jc w:val="right"/>
              <w:rPr>
                <w:sz w:val="20"/>
              </w:rPr>
            </w:pPr>
            <w:r>
              <w:rPr>
                <w:sz w:val="20"/>
              </w:rPr>
              <w:t>14.5</w:t>
            </w:r>
          </w:p>
        </w:tc>
      </w:tr>
      <w:tr w:rsidR="004B6F32" w:rsidTr="002C5E10">
        <w:trPr>
          <w:trHeight w:val="244"/>
          <w:jc w:val="center"/>
        </w:trPr>
        <w:tc>
          <w:tcPr>
            <w:tcW w:w="3539" w:type="dxa"/>
            <w:vAlign w:val="center"/>
          </w:tcPr>
          <w:p w:rsidR="004B6F32" w:rsidRPr="00CA020E" w:rsidRDefault="004B6F32" w:rsidP="002C5E10">
            <w:pPr>
              <w:pStyle w:val="Textoindependiente"/>
              <w:spacing w:line="241" w:lineRule="auto"/>
              <w:ind w:left="0" w:right="197"/>
              <w:jc w:val="both"/>
              <w:rPr>
                <w:sz w:val="20"/>
              </w:rPr>
            </w:pPr>
            <w:r>
              <w:rPr>
                <w:sz w:val="20"/>
              </w:rPr>
              <w:t xml:space="preserve">  Comercio</w:t>
            </w:r>
          </w:p>
        </w:tc>
        <w:tc>
          <w:tcPr>
            <w:tcW w:w="2268" w:type="dxa"/>
          </w:tcPr>
          <w:p w:rsidR="004B6F32" w:rsidRDefault="004B6F32" w:rsidP="002C5E10">
            <w:pPr>
              <w:pStyle w:val="Textoindependiente"/>
              <w:spacing w:line="241" w:lineRule="auto"/>
              <w:ind w:left="0" w:right="197"/>
              <w:jc w:val="right"/>
              <w:rPr>
                <w:sz w:val="20"/>
              </w:rPr>
            </w:pPr>
            <w:r>
              <w:rPr>
                <w:sz w:val="20"/>
              </w:rPr>
              <w:t>83.8</w:t>
            </w:r>
          </w:p>
        </w:tc>
        <w:tc>
          <w:tcPr>
            <w:tcW w:w="2431" w:type="dxa"/>
          </w:tcPr>
          <w:p w:rsidR="004B6F32" w:rsidRDefault="004B6F32" w:rsidP="002C5E10">
            <w:pPr>
              <w:pStyle w:val="Textoindependiente"/>
              <w:spacing w:line="241" w:lineRule="auto"/>
              <w:ind w:left="0" w:right="197"/>
              <w:jc w:val="right"/>
              <w:rPr>
                <w:sz w:val="20"/>
              </w:rPr>
            </w:pPr>
            <w:r>
              <w:rPr>
                <w:sz w:val="20"/>
              </w:rPr>
              <w:t>16.2</w:t>
            </w:r>
          </w:p>
        </w:tc>
      </w:tr>
      <w:tr w:rsidR="004B6F32" w:rsidTr="002C5E10">
        <w:trPr>
          <w:trHeight w:val="213"/>
          <w:jc w:val="center"/>
        </w:trPr>
        <w:tc>
          <w:tcPr>
            <w:tcW w:w="3539" w:type="dxa"/>
            <w:vAlign w:val="center"/>
          </w:tcPr>
          <w:p w:rsidR="004B6F32" w:rsidRPr="00CA020E" w:rsidRDefault="004B6F32" w:rsidP="002C5E10">
            <w:pPr>
              <w:pStyle w:val="Textoindependiente"/>
              <w:spacing w:line="241" w:lineRule="auto"/>
              <w:ind w:left="0" w:right="197"/>
              <w:jc w:val="both"/>
              <w:rPr>
                <w:sz w:val="20"/>
              </w:rPr>
            </w:pPr>
            <w:r>
              <w:rPr>
                <w:sz w:val="20"/>
              </w:rPr>
              <w:t xml:space="preserve">  Servicios privados no financieros</w:t>
            </w:r>
          </w:p>
        </w:tc>
        <w:tc>
          <w:tcPr>
            <w:tcW w:w="2268" w:type="dxa"/>
          </w:tcPr>
          <w:p w:rsidR="004B6F32" w:rsidRDefault="004B6F32" w:rsidP="002C5E10">
            <w:pPr>
              <w:pStyle w:val="Textoindependiente"/>
              <w:spacing w:line="241" w:lineRule="auto"/>
              <w:ind w:left="0" w:right="197"/>
              <w:jc w:val="right"/>
              <w:rPr>
                <w:sz w:val="20"/>
              </w:rPr>
            </w:pPr>
            <w:r>
              <w:rPr>
                <w:sz w:val="20"/>
              </w:rPr>
              <w:t>83.5</w:t>
            </w:r>
          </w:p>
        </w:tc>
        <w:tc>
          <w:tcPr>
            <w:tcW w:w="2431" w:type="dxa"/>
          </w:tcPr>
          <w:p w:rsidR="004B6F32" w:rsidRDefault="004B6F32" w:rsidP="002C5E10">
            <w:pPr>
              <w:pStyle w:val="Textoindependiente"/>
              <w:spacing w:line="241" w:lineRule="auto"/>
              <w:ind w:left="0" w:right="197"/>
              <w:jc w:val="right"/>
              <w:rPr>
                <w:sz w:val="20"/>
              </w:rPr>
            </w:pPr>
            <w:r>
              <w:rPr>
                <w:sz w:val="20"/>
              </w:rPr>
              <w:t>16.5</w:t>
            </w:r>
          </w:p>
        </w:tc>
      </w:tr>
    </w:tbl>
    <w:p w:rsidR="009A6D2E" w:rsidRPr="005124C3" w:rsidRDefault="009A6D2E" w:rsidP="009A6D2E">
      <w:pPr>
        <w:pStyle w:val="Textoindependiente"/>
        <w:spacing w:line="241" w:lineRule="auto"/>
        <w:ind w:left="1134" w:right="197"/>
        <w:jc w:val="both"/>
        <w:rPr>
          <w:sz w:val="20"/>
        </w:rPr>
      </w:pPr>
      <w:r w:rsidRPr="005124C3">
        <w:rPr>
          <w:sz w:val="20"/>
        </w:rPr>
        <w:t>Fuente: INEGI.</w:t>
      </w:r>
    </w:p>
    <w:p w:rsidR="009A6D2E" w:rsidRDefault="009A6D2E" w:rsidP="00031733">
      <w:pPr>
        <w:pStyle w:val="Ttulo11"/>
        <w:ind w:left="0" w:right="32"/>
        <w:jc w:val="both"/>
        <w:rPr>
          <w:b w:val="0"/>
        </w:rPr>
      </w:pPr>
    </w:p>
    <w:p w:rsidR="00031733" w:rsidRDefault="00031733" w:rsidP="00031733">
      <w:pPr>
        <w:pStyle w:val="Ttulo11"/>
        <w:ind w:left="0" w:right="32"/>
        <w:jc w:val="both"/>
        <w:rPr>
          <w:b w:val="0"/>
        </w:rPr>
      </w:pPr>
      <w:r>
        <w:rPr>
          <w:b w:val="0"/>
        </w:rPr>
        <w:t xml:space="preserve">A nivel de los sectores económicos un mayor porcentaje reporta que hasta el momento no han recibido apoyos o ayudas para </w:t>
      </w:r>
      <w:r w:rsidR="001A61DC">
        <w:rPr>
          <w:b w:val="0"/>
        </w:rPr>
        <w:t>atender</w:t>
      </w:r>
      <w:r>
        <w:rPr>
          <w:b w:val="0"/>
        </w:rPr>
        <w:t xml:space="preserve"> </w:t>
      </w:r>
      <w:r w:rsidR="00CB4F49">
        <w:rPr>
          <w:b w:val="0"/>
        </w:rPr>
        <w:t>las afectaciones sufridas</w:t>
      </w:r>
      <w:r>
        <w:rPr>
          <w:b w:val="0"/>
        </w:rPr>
        <w:t>, tal situación alcanza 100.0% en las Industrias manufactureras, mientras que dicha situación acontece en 87.2% del Comercio y 90.8% de los Servicios privados no financieros.</w:t>
      </w:r>
    </w:p>
    <w:p w:rsidR="00D9704C" w:rsidRDefault="00D9704C" w:rsidP="00AE5CE7">
      <w:pPr>
        <w:pStyle w:val="Ttulo11"/>
        <w:ind w:left="0" w:right="32"/>
        <w:jc w:val="center"/>
        <w:rPr>
          <w:b w:val="0"/>
        </w:rPr>
      </w:pPr>
    </w:p>
    <w:p w:rsidR="009A6D2E" w:rsidRDefault="009A6D2E" w:rsidP="00AE5CE7">
      <w:pPr>
        <w:pStyle w:val="Ttulo11"/>
        <w:ind w:left="0" w:right="32"/>
        <w:jc w:val="center"/>
        <w:rPr>
          <w:b w:val="0"/>
        </w:rPr>
      </w:pPr>
    </w:p>
    <w:p w:rsidR="009A6D2E" w:rsidRDefault="009A6D2E" w:rsidP="00AE5CE7">
      <w:pPr>
        <w:pStyle w:val="Ttulo11"/>
        <w:ind w:left="0" w:right="32"/>
        <w:jc w:val="center"/>
        <w:rPr>
          <w:b w:val="0"/>
        </w:rPr>
      </w:pPr>
    </w:p>
    <w:p w:rsidR="009A6D2E" w:rsidRDefault="009A6D2E" w:rsidP="00AE5CE7">
      <w:pPr>
        <w:pStyle w:val="Ttulo11"/>
        <w:ind w:left="0" w:right="32"/>
        <w:jc w:val="center"/>
        <w:rPr>
          <w:b w:val="0"/>
        </w:rPr>
      </w:pPr>
    </w:p>
    <w:p w:rsidR="009A6D2E" w:rsidRDefault="009A6D2E" w:rsidP="00AE5CE7">
      <w:pPr>
        <w:pStyle w:val="Ttulo11"/>
        <w:ind w:left="0" w:right="32"/>
        <w:jc w:val="center"/>
        <w:rPr>
          <w:b w:val="0"/>
        </w:rPr>
      </w:pPr>
    </w:p>
    <w:p w:rsidR="009A6D2E" w:rsidRDefault="009A6D2E" w:rsidP="00AE5CE7">
      <w:pPr>
        <w:pStyle w:val="Ttulo11"/>
        <w:ind w:left="0" w:right="32"/>
        <w:jc w:val="center"/>
        <w:rPr>
          <w:b w:val="0"/>
        </w:rPr>
      </w:pPr>
    </w:p>
    <w:p w:rsidR="00AE5CE7" w:rsidRPr="00AE5CE7" w:rsidRDefault="00AE5CE7" w:rsidP="00AE5CE7">
      <w:pPr>
        <w:pStyle w:val="Ttulo11"/>
        <w:ind w:left="0" w:right="32"/>
        <w:jc w:val="center"/>
        <w:rPr>
          <w:b w:val="0"/>
        </w:rPr>
      </w:pPr>
      <w:r w:rsidRPr="00AE5CE7">
        <w:rPr>
          <w:b w:val="0"/>
        </w:rPr>
        <w:lastRenderedPageBreak/>
        <w:t>Grafica 2</w:t>
      </w:r>
    </w:p>
    <w:p w:rsidR="00CB4F49" w:rsidRDefault="00AE5CE7" w:rsidP="00AE5CE7">
      <w:pPr>
        <w:pStyle w:val="Ttulo11"/>
        <w:ind w:left="0" w:right="32"/>
        <w:jc w:val="center"/>
      </w:pPr>
      <w:r w:rsidRPr="00AE5CE7">
        <w:t xml:space="preserve">Estructura porcentual de los establecimientos que han recibido apoyos para </w:t>
      </w:r>
    </w:p>
    <w:p w:rsidR="00AE5CE7" w:rsidRPr="00AE5CE7" w:rsidRDefault="00AE5CE7" w:rsidP="00AE5CE7">
      <w:pPr>
        <w:pStyle w:val="Ttulo11"/>
        <w:ind w:left="0" w:right="32"/>
        <w:jc w:val="center"/>
      </w:pPr>
      <w:proofErr w:type="gramStart"/>
      <w:r w:rsidRPr="00AE5CE7">
        <w:t>cubrir</w:t>
      </w:r>
      <w:proofErr w:type="gramEnd"/>
      <w:r w:rsidRPr="00AE5CE7">
        <w:t xml:space="preserve"> </w:t>
      </w:r>
      <w:r w:rsidR="00CB4F49">
        <w:t>las</w:t>
      </w:r>
      <w:r w:rsidRPr="00AE5CE7">
        <w:t xml:space="preserve"> </w:t>
      </w:r>
      <w:r w:rsidR="00CB4F49">
        <w:t xml:space="preserve">afectaciones </w:t>
      </w:r>
      <w:r w:rsidRPr="00AE5CE7">
        <w:t xml:space="preserve">por sector </w:t>
      </w:r>
      <w:r w:rsidR="001A61DC">
        <w:t>de actividad</w:t>
      </w:r>
    </w:p>
    <w:p w:rsidR="00031733" w:rsidRDefault="00B202EB" w:rsidP="005C0506">
      <w:pPr>
        <w:pStyle w:val="Ttulo11"/>
        <w:ind w:left="0" w:right="32"/>
        <w:jc w:val="center"/>
        <w:rPr>
          <w:b w:val="0"/>
        </w:rPr>
      </w:pPr>
      <w:r w:rsidRPr="00495CA8">
        <w:rPr>
          <w:noProof/>
          <w:lang w:eastAsia="es-MX"/>
        </w:rPr>
        <w:drawing>
          <wp:inline distT="0" distB="0" distL="0" distR="0" wp14:anchorId="5177A751" wp14:editId="765AA8DC">
            <wp:extent cx="5612130" cy="2556070"/>
            <wp:effectExtent l="1905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612130" cy="2556070"/>
                    </a:xfrm>
                    <a:prstGeom prst="rect">
                      <a:avLst/>
                    </a:prstGeom>
                    <a:noFill/>
                    <a:ln w="9525">
                      <a:noFill/>
                      <a:miter lim="800000"/>
                      <a:headEnd/>
                      <a:tailEnd/>
                    </a:ln>
                  </pic:spPr>
                </pic:pic>
              </a:graphicData>
            </a:graphic>
          </wp:inline>
        </w:drawing>
      </w:r>
    </w:p>
    <w:p w:rsidR="006852AF" w:rsidRPr="005124C3" w:rsidRDefault="006852AF" w:rsidP="004036C5">
      <w:pPr>
        <w:pStyle w:val="Textoindependiente"/>
        <w:spacing w:line="241" w:lineRule="auto"/>
        <w:ind w:left="851" w:right="197"/>
        <w:jc w:val="both"/>
        <w:rPr>
          <w:sz w:val="20"/>
        </w:rPr>
      </w:pPr>
      <w:r w:rsidRPr="005124C3">
        <w:rPr>
          <w:sz w:val="20"/>
        </w:rPr>
        <w:t>Fuente: INEGI.</w:t>
      </w:r>
    </w:p>
    <w:p w:rsidR="006852AF" w:rsidRDefault="006852AF" w:rsidP="00031733">
      <w:pPr>
        <w:pStyle w:val="Ttulo11"/>
        <w:ind w:left="0" w:right="32"/>
        <w:jc w:val="both"/>
        <w:rPr>
          <w:b w:val="0"/>
        </w:rPr>
      </w:pPr>
    </w:p>
    <w:p w:rsidR="00031733" w:rsidRDefault="00031733" w:rsidP="00031733">
      <w:pPr>
        <w:pStyle w:val="Ttulo11"/>
        <w:ind w:left="0" w:right="32"/>
        <w:jc w:val="both"/>
        <w:rPr>
          <w:b w:val="0"/>
        </w:rPr>
      </w:pPr>
      <w:r>
        <w:rPr>
          <w:b w:val="0"/>
        </w:rPr>
        <w:t>La mayoría de los establecimientos reportados por la encuesta, declaran no haber suspendido actividades económicas a causa de los sismos, lo que representa 60.7% del total</w:t>
      </w:r>
      <w:r w:rsidR="00364021">
        <w:rPr>
          <w:b w:val="0"/>
        </w:rPr>
        <w:t xml:space="preserve"> de la encuesta</w:t>
      </w:r>
      <w:r>
        <w:rPr>
          <w:b w:val="0"/>
        </w:rPr>
        <w:t xml:space="preserve">, mientras que aquellos que </w:t>
      </w:r>
      <w:r w:rsidR="00FB06B3" w:rsidRPr="00FB06B3">
        <w:rPr>
          <w:b w:val="0"/>
        </w:rPr>
        <w:t>si</w:t>
      </w:r>
      <w:r>
        <w:rPr>
          <w:b w:val="0"/>
        </w:rPr>
        <w:t xml:space="preserve"> suspendieron labores alcanzan 39.3 por ciento.</w:t>
      </w:r>
    </w:p>
    <w:p w:rsidR="00031733" w:rsidRDefault="00031733" w:rsidP="001B776D">
      <w:pPr>
        <w:pStyle w:val="Ttulo11"/>
        <w:ind w:left="0" w:right="32"/>
        <w:jc w:val="both"/>
        <w:rPr>
          <w:b w:val="0"/>
        </w:rPr>
      </w:pPr>
    </w:p>
    <w:p w:rsidR="003913C1" w:rsidRDefault="003913C1" w:rsidP="003913C1">
      <w:pPr>
        <w:pStyle w:val="Ttulo11"/>
        <w:ind w:left="0" w:right="32"/>
        <w:jc w:val="both"/>
        <w:rPr>
          <w:b w:val="0"/>
        </w:rPr>
      </w:pPr>
      <w:r>
        <w:rPr>
          <w:b w:val="0"/>
        </w:rPr>
        <w:t>Con relación a los establecimientos que si suspendieron actividades, destacan aquellos que lo hicieron un solo día hábil con 43.2%, con dos días 23.4%, tres días 10.8% y m</w:t>
      </w:r>
      <w:r w:rsidR="00C55D38">
        <w:rPr>
          <w:b w:val="0"/>
        </w:rPr>
        <w:t>ás de tres días</w:t>
      </w:r>
      <w:r w:rsidR="008E2D09">
        <w:rPr>
          <w:b w:val="0"/>
        </w:rPr>
        <w:t xml:space="preserve"> 22.6 por ciento</w:t>
      </w:r>
      <w:r w:rsidR="00C55D38">
        <w:rPr>
          <w:b w:val="0"/>
        </w:rPr>
        <w:t>.</w:t>
      </w:r>
    </w:p>
    <w:p w:rsidR="003913C1" w:rsidRDefault="003913C1" w:rsidP="003913C1">
      <w:pPr>
        <w:rPr>
          <w:rFonts w:ascii="Arial" w:hAnsi="Arial" w:cs="Arial"/>
          <w:sz w:val="24"/>
          <w:szCs w:val="24"/>
          <w:lang w:val="es-ES"/>
        </w:rPr>
      </w:pPr>
    </w:p>
    <w:p w:rsidR="00CC58B2" w:rsidRPr="00677AA8" w:rsidRDefault="00AE5CE7" w:rsidP="002351F4">
      <w:pPr>
        <w:jc w:val="center"/>
        <w:rPr>
          <w:rFonts w:ascii="Arial" w:hAnsi="Arial" w:cs="Arial"/>
          <w:sz w:val="24"/>
          <w:szCs w:val="24"/>
          <w:lang w:val="es-ES"/>
        </w:rPr>
      </w:pPr>
      <w:r>
        <w:rPr>
          <w:rFonts w:ascii="Arial" w:hAnsi="Arial" w:cs="Arial"/>
          <w:sz w:val="24"/>
          <w:szCs w:val="24"/>
          <w:lang w:val="es-ES"/>
        </w:rPr>
        <w:t>Gráfica 3</w:t>
      </w:r>
    </w:p>
    <w:p w:rsidR="000A441B" w:rsidRDefault="000A441B" w:rsidP="000A441B">
      <w:pPr>
        <w:pStyle w:val="Ttulo11"/>
        <w:ind w:left="0" w:right="32"/>
        <w:jc w:val="center"/>
      </w:pPr>
      <w:r w:rsidRPr="00E40F54">
        <w:t>Estructura porcentual del número</w:t>
      </w:r>
      <w:r w:rsidR="007A067A">
        <w:t xml:space="preserve"> total</w:t>
      </w:r>
      <w:r w:rsidRPr="00E40F54">
        <w:t xml:space="preserve"> de establecimientos </w:t>
      </w:r>
      <w:r>
        <w:t xml:space="preserve">que suspendieron </w:t>
      </w:r>
    </w:p>
    <w:p w:rsidR="000A441B" w:rsidRDefault="000A441B" w:rsidP="006852AF">
      <w:pPr>
        <w:pStyle w:val="Ttulo11"/>
        <w:ind w:left="0" w:right="32"/>
        <w:jc w:val="center"/>
        <w:rPr>
          <w:rFonts w:cs="Arial"/>
          <w:b w:val="0"/>
          <w:lang w:val="es-ES"/>
        </w:rPr>
      </w:pPr>
      <w:proofErr w:type="gramStart"/>
      <w:r>
        <w:t>actividades</w:t>
      </w:r>
      <w:proofErr w:type="gramEnd"/>
      <w:r>
        <w:t xml:space="preserve"> de</w:t>
      </w:r>
      <w:r w:rsidR="005C0506">
        <w:t xml:space="preserve">bido a </w:t>
      </w:r>
      <w:r>
        <w:t>los sismos</w:t>
      </w:r>
    </w:p>
    <w:p w:rsidR="00CC58B2" w:rsidRDefault="00A157EB" w:rsidP="002B0E5E">
      <w:pPr>
        <w:ind w:left="426"/>
        <w:rPr>
          <w:rFonts w:ascii="Arial" w:hAnsi="Arial" w:cs="Arial"/>
          <w:b/>
          <w:sz w:val="24"/>
          <w:szCs w:val="24"/>
          <w:lang w:val="es-ES"/>
        </w:rPr>
      </w:pPr>
      <w:r w:rsidRPr="00826065">
        <w:rPr>
          <w:noProof/>
          <w:lang w:eastAsia="es-MX"/>
        </w:rPr>
        <w:drawing>
          <wp:inline distT="0" distB="0" distL="0" distR="0" wp14:anchorId="40530421" wp14:editId="4BD22FF1">
            <wp:extent cx="5492750" cy="2578100"/>
            <wp:effectExtent l="19050" t="0" r="0" b="0"/>
            <wp:docPr id="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492750" cy="2578100"/>
                    </a:xfrm>
                    <a:prstGeom prst="rect">
                      <a:avLst/>
                    </a:prstGeom>
                    <a:noFill/>
                    <a:ln w="9525">
                      <a:noFill/>
                      <a:miter lim="800000"/>
                      <a:headEnd/>
                      <a:tailEnd/>
                    </a:ln>
                  </pic:spPr>
                </pic:pic>
              </a:graphicData>
            </a:graphic>
          </wp:inline>
        </w:drawing>
      </w:r>
    </w:p>
    <w:p w:rsidR="001629E0" w:rsidRDefault="001629E0" w:rsidP="00774C6E">
      <w:pPr>
        <w:pStyle w:val="Textoindependiente"/>
        <w:spacing w:line="241" w:lineRule="auto"/>
        <w:ind w:left="756" w:right="197"/>
        <w:jc w:val="both"/>
        <w:rPr>
          <w:sz w:val="20"/>
        </w:rPr>
      </w:pPr>
    </w:p>
    <w:p w:rsidR="00774C6E" w:rsidRPr="005124C3" w:rsidRDefault="00774C6E" w:rsidP="00774C6E">
      <w:pPr>
        <w:pStyle w:val="Textoindependiente"/>
        <w:spacing w:line="241" w:lineRule="auto"/>
        <w:ind w:left="756" w:right="197"/>
        <w:jc w:val="both"/>
        <w:rPr>
          <w:sz w:val="20"/>
        </w:rPr>
      </w:pPr>
      <w:r w:rsidRPr="005124C3">
        <w:rPr>
          <w:sz w:val="20"/>
        </w:rPr>
        <w:t>Fuente: INEGI.</w:t>
      </w:r>
    </w:p>
    <w:p w:rsidR="000773CC" w:rsidRDefault="000773CC" w:rsidP="007A067A">
      <w:pPr>
        <w:jc w:val="both"/>
        <w:rPr>
          <w:rFonts w:ascii="Arial" w:hAnsi="Arial" w:cs="Arial"/>
          <w:sz w:val="24"/>
          <w:szCs w:val="24"/>
          <w:lang w:val="es-ES"/>
        </w:rPr>
      </w:pPr>
      <w:r>
        <w:rPr>
          <w:rFonts w:ascii="Arial" w:hAnsi="Arial" w:cs="Arial"/>
          <w:sz w:val="24"/>
          <w:szCs w:val="24"/>
          <w:lang w:val="es-ES"/>
        </w:rPr>
        <w:lastRenderedPageBreak/>
        <w:t xml:space="preserve">Por sector económico, </w:t>
      </w:r>
      <w:r w:rsidR="00C01372">
        <w:rPr>
          <w:rFonts w:ascii="Arial" w:hAnsi="Arial" w:cs="Arial"/>
          <w:sz w:val="24"/>
          <w:szCs w:val="24"/>
          <w:lang w:val="es-ES"/>
        </w:rPr>
        <w:t xml:space="preserve">en las Industrias manufactureras </w:t>
      </w:r>
      <w:r>
        <w:rPr>
          <w:rFonts w:ascii="Arial" w:hAnsi="Arial" w:cs="Arial"/>
          <w:sz w:val="24"/>
          <w:szCs w:val="24"/>
          <w:lang w:val="es-ES"/>
        </w:rPr>
        <w:t>suspendieron actividades 35.5% de los</w:t>
      </w:r>
      <w:r w:rsidR="00C01372">
        <w:rPr>
          <w:rFonts w:ascii="Arial" w:hAnsi="Arial" w:cs="Arial"/>
          <w:sz w:val="24"/>
          <w:szCs w:val="24"/>
          <w:lang w:val="es-ES"/>
        </w:rPr>
        <w:t xml:space="preserve"> establecimientos</w:t>
      </w:r>
      <w:r>
        <w:rPr>
          <w:rFonts w:ascii="Arial" w:hAnsi="Arial" w:cs="Arial"/>
          <w:sz w:val="24"/>
          <w:szCs w:val="24"/>
          <w:lang w:val="es-ES"/>
        </w:rPr>
        <w:t xml:space="preserve">, 32.3% </w:t>
      </w:r>
      <w:r w:rsidR="00C01372">
        <w:rPr>
          <w:rFonts w:ascii="Arial" w:hAnsi="Arial" w:cs="Arial"/>
          <w:sz w:val="24"/>
          <w:szCs w:val="24"/>
          <w:lang w:val="es-ES"/>
        </w:rPr>
        <w:t>en</w:t>
      </w:r>
      <w:r>
        <w:rPr>
          <w:rFonts w:ascii="Arial" w:hAnsi="Arial" w:cs="Arial"/>
          <w:sz w:val="24"/>
          <w:szCs w:val="24"/>
          <w:lang w:val="es-ES"/>
        </w:rPr>
        <w:t xml:space="preserve"> </w:t>
      </w:r>
      <w:r w:rsidR="006042CD">
        <w:rPr>
          <w:rFonts w:ascii="Arial" w:hAnsi="Arial" w:cs="Arial"/>
          <w:sz w:val="24"/>
          <w:szCs w:val="24"/>
          <w:lang w:val="es-ES"/>
        </w:rPr>
        <w:t xml:space="preserve">el </w:t>
      </w:r>
      <w:r w:rsidR="00C01372">
        <w:rPr>
          <w:rFonts w:ascii="Arial" w:hAnsi="Arial" w:cs="Arial"/>
          <w:sz w:val="24"/>
          <w:szCs w:val="24"/>
          <w:lang w:val="es-ES"/>
        </w:rPr>
        <w:t>C</w:t>
      </w:r>
      <w:r>
        <w:rPr>
          <w:rFonts w:ascii="Arial" w:hAnsi="Arial" w:cs="Arial"/>
          <w:sz w:val="24"/>
          <w:szCs w:val="24"/>
          <w:lang w:val="es-ES"/>
        </w:rPr>
        <w:t xml:space="preserve">omercio y 49.3% </w:t>
      </w:r>
      <w:r w:rsidR="00C01372">
        <w:rPr>
          <w:rFonts w:ascii="Arial" w:hAnsi="Arial" w:cs="Arial"/>
          <w:sz w:val="24"/>
          <w:szCs w:val="24"/>
          <w:lang w:val="es-ES"/>
        </w:rPr>
        <w:t>en</w:t>
      </w:r>
      <w:r>
        <w:rPr>
          <w:rFonts w:ascii="Arial" w:hAnsi="Arial" w:cs="Arial"/>
          <w:sz w:val="24"/>
          <w:szCs w:val="24"/>
          <w:lang w:val="es-ES"/>
        </w:rPr>
        <w:t xml:space="preserve"> </w:t>
      </w:r>
      <w:r w:rsidR="006042CD">
        <w:rPr>
          <w:rFonts w:ascii="Arial" w:hAnsi="Arial" w:cs="Arial"/>
          <w:sz w:val="24"/>
          <w:szCs w:val="24"/>
          <w:lang w:val="es-ES"/>
        </w:rPr>
        <w:t xml:space="preserve">los </w:t>
      </w:r>
      <w:r w:rsidR="00C01372">
        <w:rPr>
          <w:rFonts w:ascii="Arial" w:hAnsi="Arial" w:cs="Arial"/>
          <w:sz w:val="24"/>
          <w:szCs w:val="24"/>
          <w:lang w:val="es-ES"/>
        </w:rPr>
        <w:t>S</w:t>
      </w:r>
      <w:r>
        <w:rPr>
          <w:rFonts w:ascii="Arial" w:hAnsi="Arial" w:cs="Arial"/>
          <w:sz w:val="24"/>
          <w:szCs w:val="24"/>
          <w:lang w:val="es-ES"/>
        </w:rPr>
        <w:t>ervicios</w:t>
      </w:r>
      <w:r w:rsidR="00C01372">
        <w:rPr>
          <w:rFonts w:ascii="Arial" w:hAnsi="Arial" w:cs="Arial"/>
          <w:sz w:val="24"/>
          <w:szCs w:val="24"/>
          <w:lang w:val="es-ES"/>
        </w:rPr>
        <w:t xml:space="preserve"> privados no financieros.</w:t>
      </w:r>
    </w:p>
    <w:p w:rsidR="000773CC" w:rsidRDefault="000773CC" w:rsidP="007A067A">
      <w:pPr>
        <w:jc w:val="both"/>
        <w:rPr>
          <w:rFonts w:ascii="Arial" w:hAnsi="Arial" w:cs="Arial"/>
          <w:sz w:val="24"/>
          <w:szCs w:val="24"/>
          <w:lang w:val="es-ES"/>
        </w:rPr>
      </w:pPr>
    </w:p>
    <w:p w:rsidR="002F31A7" w:rsidRPr="00C01372" w:rsidRDefault="002F31A7" w:rsidP="002F31A7">
      <w:pPr>
        <w:jc w:val="center"/>
        <w:rPr>
          <w:rFonts w:ascii="Arial" w:hAnsi="Arial" w:cs="Arial"/>
          <w:sz w:val="24"/>
          <w:szCs w:val="24"/>
          <w:lang w:val="es-ES"/>
        </w:rPr>
      </w:pPr>
      <w:r w:rsidRPr="00C01372">
        <w:rPr>
          <w:rFonts w:ascii="Arial" w:hAnsi="Arial" w:cs="Arial"/>
          <w:sz w:val="24"/>
          <w:szCs w:val="24"/>
          <w:lang w:val="es-ES"/>
        </w:rPr>
        <w:t>Gráfica 4</w:t>
      </w:r>
    </w:p>
    <w:p w:rsidR="002F31A7" w:rsidRDefault="002F31A7" w:rsidP="002F31A7">
      <w:pPr>
        <w:jc w:val="center"/>
        <w:rPr>
          <w:rFonts w:ascii="Arial" w:hAnsi="Arial" w:cs="Arial"/>
          <w:b/>
          <w:sz w:val="24"/>
          <w:szCs w:val="24"/>
          <w:lang w:val="es-ES"/>
        </w:rPr>
      </w:pPr>
      <w:r w:rsidRPr="002F31A7">
        <w:rPr>
          <w:rFonts w:ascii="Arial" w:hAnsi="Arial" w:cs="Arial"/>
          <w:b/>
          <w:sz w:val="24"/>
          <w:szCs w:val="24"/>
          <w:lang w:val="es-ES"/>
        </w:rPr>
        <w:t xml:space="preserve">Estructura porcentual de los establecimientos que suspendieron </w:t>
      </w:r>
    </w:p>
    <w:p w:rsidR="000773CC" w:rsidRDefault="002F31A7" w:rsidP="002F31A7">
      <w:pPr>
        <w:jc w:val="center"/>
        <w:rPr>
          <w:rFonts w:ascii="Arial" w:hAnsi="Arial" w:cs="Arial"/>
          <w:b/>
          <w:sz w:val="24"/>
          <w:szCs w:val="24"/>
          <w:lang w:val="es-ES"/>
        </w:rPr>
      </w:pPr>
      <w:proofErr w:type="gramStart"/>
      <w:r w:rsidRPr="002F31A7">
        <w:rPr>
          <w:rFonts w:ascii="Arial" w:hAnsi="Arial" w:cs="Arial"/>
          <w:b/>
          <w:sz w:val="24"/>
          <w:szCs w:val="24"/>
          <w:lang w:val="es-ES"/>
        </w:rPr>
        <w:t>actividades</w:t>
      </w:r>
      <w:proofErr w:type="gramEnd"/>
      <w:r w:rsidRPr="002F31A7">
        <w:rPr>
          <w:rFonts w:ascii="Arial" w:hAnsi="Arial" w:cs="Arial"/>
          <w:b/>
          <w:sz w:val="24"/>
          <w:szCs w:val="24"/>
          <w:lang w:val="es-ES"/>
        </w:rPr>
        <w:t xml:space="preserve"> por sector económico</w:t>
      </w:r>
    </w:p>
    <w:p w:rsidR="002F31A7" w:rsidRPr="002F31A7" w:rsidRDefault="006042CD" w:rsidP="002F31A7">
      <w:pPr>
        <w:jc w:val="center"/>
        <w:rPr>
          <w:rFonts w:ascii="Arial" w:hAnsi="Arial" w:cs="Arial"/>
          <w:b/>
          <w:sz w:val="24"/>
          <w:szCs w:val="24"/>
          <w:lang w:val="es-ES"/>
        </w:rPr>
      </w:pPr>
      <w:r w:rsidRPr="00192C1E">
        <w:rPr>
          <w:noProof/>
          <w:lang w:eastAsia="es-MX"/>
        </w:rPr>
        <w:drawing>
          <wp:inline distT="0" distB="0" distL="0" distR="0" wp14:anchorId="737E7B6D" wp14:editId="56520373">
            <wp:extent cx="5612130" cy="2556116"/>
            <wp:effectExtent l="0" t="0" r="0" b="0"/>
            <wp:docPr id="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5612130" cy="2556116"/>
                    </a:xfrm>
                    <a:prstGeom prst="rect">
                      <a:avLst/>
                    </a:prstGeom>
                    <a:noFill/>
                    <a:ln w="9525">
                      <a:noFill/>
                      <a:miter lim="800000"/>
                      <a:headEnd/>
                      <a:tailEnd/>
                    </a:ln>
                  </pic:spPr>
                </pic:pic>
              </a:graphicData>
            </a:graphic>
          </wp:inline>
        </w:drawing>
      </w:r>
    </w:p>
    <w:p w:rsidR="00C01372" w:rsidRPr="005124C3" w:rsidRDefault="00C01372" w:rsidP="00C01372">
      <w:pPr>
        <w:pStyle w:val="Textoindependiente"/>
        <w:spacing w:line="241" w:lineRule="auto"/>
        <w:ind w:left="1134" w:right="197"/>
        <w:jc w:val="both"/>
        <w:rPr>
          <w:sz w:val="20"/>
        </w:rPr>
      </w:pPr>
      <w:r w:rsidRPr="005124C3">
        <w:rPr>
          <w:sz w:val="20"/>
        </w:rPr>
        <w:t>Fuente: INEGI.</w:t>
      </w:r>
    </w:p>
    <w:p w:rsidR="000773CC" w:rsidRDefault="000773CC" w:rsidP="007A067A">
      <w:pPr>
        <w:jc w:val="both"/>
        <w:rPr>
          <w:rFonts w:ascii="Arial" w:hAnsi="Arial" w:cs="Arial"/>
          <w:sz w:val="24"/>
          <w:szCs w:val="24"/>
          <w:lang w:val="es-ES"/>
        </w:rPr>
      </w:pPr>
    </w:p>
    <w:p w:rsidR="007A067A" w:rsidRDefault="007A067A" w:rsidP="007A067A">
      <w:pPr>
        <w:jc w:val="both"/>
        <w:rPr>
          <w:rFonts w:ascii="Arial" w:hAnsi="Arial" w:cs="Arial"/>
          <w:sz w:val="24"/>
          <w:szCs w:val="24"/>
          <w:lang w:val="es-ES"/>
        </w:rPr>
      </w:pPr>
      <w:r>
        <w:rPr>
          <w:rFonts w:ascii="Arial" w:hAnsi="Arial" w:cs="Arial"/>
          <w:sz w:val="24"/>
          <w:szCs w:val="24"/>
          <w:lang w:val="es-ES"/>
        </w:rPr>
        <w:t>E</w:t>
      </w:r>
      <w:r w:rsidR="002351F4" w:rsidRPr="002351F4">
        <w:rPr>
          <w:rFonts w:ascii="Arial" w:hAnsi="Arial" w:cs="Arial"/>
          <w:sz w:val="24"/>
          <w:szCs w:val="24"/>
          <w:lang w:val="es-ES"/>
        </w:rPr>
        <w:t>n los tres</w:t>
      </w:r>
      <w:r w:rsidR="002351F4">
        <w:rPr>
          <w:rFonts w:ascii="Arial" w:hAnsi="Arial" w:cs="Arial"/>
          <w:sz w:val="24"/>
          <w:szCs w:val="24"/>
          <w:lang w:val="es-ES"/>
        </w:rPr>
        <w:t xml:space="preserve"> sectores </w:t>
      </w:r>
      <w:r>
        <w:rPr>
          <w:rFonts w:ascii="Arial" w:hAnsi="Arial" w:cs="Arial"/>
          <w:sz w:val="24"/>
          <w:szCs w:val="24"/>
          <w:lang w:val="es-ES"/>
        </w:rPr>
        <w:t xml:space="preserve">económicos sobresale </w:t>
      </w:r>
      <w:r w:rsidR="00022C84">
        <w:rPr>
          <w:rFonts w:ascii="Arial" w:hAnsi="Arial" w:cs="Arial"/>
          <w:sz w:val="24"/>
          <w:szCs w:val="24"/>
          <w:lang w:val="es-ES"/>
        </w:rPr>
        <w:t>el</w:t>
      </w:r>
      <w:r w:rsidR="002351F4">
        <w:rPr>
          <w:rFonts w:ascii="Arial" w:hAnsi="Arial" w:cs="Arial"/>
          <w:sz w:val="24"/>
          <w:szCs w:val="24"/>
          <w:lang w:val="es-ES"/>
        </w:rPr>
        <w:t xml:space="preserve"> mayor porcentaje </w:t>
      </w:r>
      <w:r w:rsidR="00022C84">
        <w:rPr>
          <w:rFonts w:ascii="Arial" w:hAnsi="Arial" w:cs="Arial"/>
          <w:sz w:val="24"/>
          <w:szCs w:val="24"/>
          <w:lang w:val="es-ES"/>
        </w:rPr>
        <w:t xml:space="preserve">de establecimientos que suspendieron actividades </w:t>
      </w:r>
      <w:r w:rsidR="002351F4">
        <w:rPr>
          <w:rFonts w:ascii="Arial" w:hAnsi="Arial" w:cs="Arial"/>
          <w:sz w:val="24"/>
          <w:szCs w:val="24"/>
          <w:lang w:val="es-ES"/>
        </w:rPr>
        <w:t xml:space="preserve">un solo </w:t>
      </w:r>
      <w:r w:rsidR="00022C84">
        <w:rPr>
          <w:rFonts w:ascii="Arial" w:hAnsi="Arial" w:cs="Arial"/>
          <w:sz w:val="24"/>
          <w:szCs w:val="24"/>
          <w:lang w:val="es-ES"/>
        </w:rPr>
        <w:t>día, alcanzando en</w:t>
      </w:r>
      <w:r>
        <w:rPr>
          <w:rFonts w:ascii="Arial" w:hAnsi="Arial" w:cs="Arial"/>
          <w:sz w:val="24"/>
          <w:szCs w:val="24"/>
          <w:lang w:val="es-ES"/>
        </w:rPr>
        <w:t xml:space="preserve"> las</w:t>
      </w:r>
      <w:r w:rsidR="002351F4">
        <w:rPr>
          <w:rFonts w:ascii="Arial" w:hAnsi="Arial" w:cs="Arial"/>
          <w:sz w:val="24"/>
          <w:szCs w:val="24"/>
          <w:lang w:val="es-ES"/>
        </w:rPr>
        <w:t xml:space="preserve"> Industrias </w:t>
      </w:r>
      <w:r w:rsidR="00CF5FAF">
        <w:rPr>
          <w:rFonts w:ascii="Arial" w:hAnsi="Arial" w:cs="Arial"/>
          <w:sz w:val="24"/>
          <w:szCs w:val="24"/>
          <w:lang w:val="es-ES"/>
        </w:rPr>
        <w:t>m</w:t>
      </w:r>
      <w:r w:rsidR="002351F4">
        <w:rPr>
          <w:rFonts w:ascii="Arial" w:hAnsi="Arial" w:cs="Arial"/>
          <w:sz w:val="24"/>
          <w:szCs w:val="24"/>
          <w:lang w:val="es-ES"/>
        </w:rPr>
        <w:t xml:space="preserve">anufactureras </w:t>
      </w:r>
      <w:r>
        <w:rPr>
          <w:rFonts w:ascii="Arial" w:hAnsi="Arial" w:cs="Arial"/>
          <w:sz w:val="24"/>
          <w:szCs w:val="24"/>
          <w:lang w:val="es-ES"/>
        </w:rPr>
        <w:t>50.0%, Comercio 48.9% y Servicios privados no financieros con 37.1 por ciento.</w:t>
      </w:r>
    </w:p>
    <w:p w:rsidR="001629E0" w:rsidRDefault="001629E0" w:rsidP="007A067A">
      <w:pPr>
        <w:jc w:val="both"/>
        <w:rPr>
          <w:rFonts w:ascii="Arial" w:hAnsi="Arial" w:cs="Arial"/>
          <w:sz w:val="24"/>
          <w:szCs w:val="24"/>
          <w:lang w:val="es-ES"/>
        </w:rPr>
      </w:pPr>
    </w:p>
    <w:p w:rsidR="007A067A" w:rsidRPr="00677AA8" w:rsidRDefault="00C01372" w:rsidP="007A067A">
      <w:pPr>
        <w:ind w:left="426"/>
        <w:jc w:val="center"/>
        <w:rPr>
          <w:rFonts w:ascii="Arial" w:hAnsi="Arial" w:cs="Arial"/>
          <w:sz w:val="24"/>
          <w:szCs w:val="24"/>
          <w:lang w:val="es-ES"/>
        </w:rPr>
      </w:pPr>
      <w:r>
        <w:rPr>
          <w:rFonts w:ascii="Arial" w:hAnsi="Arial" w:cs="Arial"/>
          <w:sz w:val="24"/>
          <w:szCs w:val="24"/>
          <w:lang w:val="es-ES"/>
        </w:rPr>
        <w:t>Gráfica 5</w:t>
      </w:r>
    </w:p>
    <w:p w:rsidR="007A067A" w:rsidRDefault="007A067A" w:rsidP="007A067A">
      <w:pPr>
        <w:pStyle w:val="Ttulo11"/>
        <w:ind w:left="0" w:right="32"/>
        <w:jc w:val="center"/>
      </w:pPr>
      <w:r w:rsidRPr="00E40F54">
        <w:t>Estructura porcentual del número</w:t>
      </w:r>
      <w:r>
        <w:t xml:space="preserve"> </w:t>
      </w:r>
      <w:r w:rsidR="007F2A32">
        <w:t>de días que</w:t>
      </w:r>
      <w:r>
        <w:t xml:space="preserve"> suspendieron</w:t>
      </w:r>
      <w:r w:rsidR="007F2A32">
        <w:t xml:space="preserve"> actividades los establecimientos</w:t>
      </w:r>
      <w:r>
        <w:t xml:space="preserve"> por sector de actividad</w:t>
      </w:r>
    </w:p>
    <w:p w:rsidR="00A157EB" w:rsidRDefault="00B202EB" w:rsidP="007A067A">
      <w:pPr>
        <w:pStyle w:val="Ttulo11"/>
        <w:ind w:left="0" w:right="32"/>
        <w:jc w:val="center"/>
      </w:pPr>
      <w:r w:rsidRPr="00495CA8">
        <w:rPr>
          <w:noProof/>
          <w:lang w:eastAsia="es-MX"/>
        </w:rPr>
        <w:drawing>
          <wp:inline distT="0" distB="0" distL="0" distR="0" wp14:anchorId="50920065" wp14:editId="0C260CA5">
            <wp:extent cx="5612130" cy="2556070"/>
            <wp:effectExtent l="1905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612130" cy="2556070"/>
                    </a:xfrm>
                    <a:prstGeom prst="rect">
                      <a:avLst/>
                    </a:prstGeom>
                    <a:noFill/>
                    <a:ln w="9525">
                      <a:noFill/>
                      <a:miter lim="800000"/>
                      <a:headEnd/>
                      <a:tailEnd/>
                    </a:ln>
                  </pic:spPr>
                </pic:pic>
              </a:graphicData>
            </a:graphic>
          </wp:inline>
        </w:drawing>
      </w:r>
    </w:p>
    <w:p w:rsidR="001629E0" w:rsidRPr="005124C3" w:rsidRDefault="001629E0" w:rsidP="001629E0">
      <w:pPr>
        <w:pStyle w:val="Textoindependiente"/>
        <w:spacing w:line="241" w:lineRule="auto"/>
        <w:ind w:left="1134" w:right="197"/>
        <w:jc w:val="both"/>
        <w:rPr>
          <w:sz w:val="20"/>
        </w:rPr>
      </w:pPr>
      <w:r w:rsidRPr="005124C3">
        <w:rPr>
          <w:sz w:val="20"/>
        </w:rPr>
        <w:t>Fuente: INEGI.</w:t>
      </w:r>
    </w:p>
    <w:p w:rsidR="001629E0" w:rsidRDefault="001629E0" w:rsidP="001629E0">
      <w:pPr>
        <w:jc w:val="both"/>
        <w:rPr>
          <w:rFonts w:ascii="Arial" w:hAnsi="Arial" w:cs="Arial"/>
          <w:sz w:val="24"/>
          <w:szCs w:val="24"/>
          <w:lang w:val="es-ES"/>
        </w:rPr>
      </w:pPr>
    </w:p>
    <w:p w:rsidR="00C01372" w:rsidRDefault="00C01372" w:rsidP="001629E0">
      <w:pPr>
        <w:jc w:val="both"/>
        <w:rPr>
          <w:rFonts w:ascii="Arial" w:hAnsi="Arial" w:cs="Arial"/>
          <w:sz w:val="24"/>
          <w:szCs w:val="24"/>
          <w:lang w:val="es-ES"/>
        </w:rPr>
      </w:pPr>
    </w:p>
    <w:p w:rsidR="00EA480B" w:rsidRDefault="00EA480B" w:rsidP="001629E0">
      <w:pPr>
        <w:jc w:val="both"/>
        <w:rPr>
          <w:rFonts w:ascii="Arial" w:hAnsi="Arial" w:cs="Arial"/>
          <w:sz w:val="24"/>
          <w:szCs w:val="24"/>
          <w:lang w:val="es-ES"/>
        </w:rPr>
      </w:pPr>
    </w:p>
    <w:p w:rsidR="00EA480B" w:rsidRDefault="00EA480B" w:rsidP="001629E0">
      <w:pPr>
        <w:jc w:val="both"/>
        <w:rPr>
          <w:rFonts w:ascii="Arial" w:hAnsi="Arial" w:cs="Arial"/>
          <w:sz w:val="24"/>
          <w:szCs w:val="24"/>
          <w:lang w:val="es-ES"/>
        </w:rPr>
      </w:pPr>
    </w:p>
    <w:p w:rsidR="001629E0" w:rsidRDefault="001629E0" w:rsidP="001629E0">
      <w:pPr>
        <w:jc w:val="both"/>
        <w:rPr>
          <w:rFonts w:ascii="Arial" w:hAnsi="Arial" w:cs="Arial"/>
          <w:sz w:val="24"/>
          <w:szCs w:val="24"/>
          <w:lang w:val="es-ES"/>
        </w:rPr>
      </w:pPr>
      <w:r>
        <w:rPr>
          <w:rFonts w:ascii="Arial" w:hAnsi="Arial" w:cs="Arial"/>
          <w:sz w:val="24"/>
          <w:szCs w:val="24"/>
          <w:lang w:val="es-ES"/>
        </w:rPr>
        <w:t xml:space="preserve">Por otra parte, los </w:t>
      </w:r>
      <w:r w:rsidRPr="00FB5C28">
        <w:rPr>
          <w:rFonts w:ascii="Arial" w:hAnsi="Arial" w:cs="Arial"/>
          <w:sz w:val="24"/>
          <w:szCs w:val="24"/>
          <w:lang w:val="es-ES"/>
        </w:rPr>
        <w:t xml:space="preserve">establecimientos </w:t>
      </w:r>
      <w:r>
        <w:rPr>
          <w:rFonts w:ascii="Arial" w:hAnsi="Arial" w:cs="Arial"/>
          <w:sz w:val="24"/>
          <w:szCs w:val="24"/>
          <w:lang w:val="es-ES"/>
        </w:rPr>
        <w:t xml:space="preserve">han contribuido </w:t>
      </w:r>
      <w:r w:rsidRPr="00FB5C28">
        <w:rPr>
          <w:rFonts w:ascii="Arial" w:hAnsi="Arial" w:cs="Arial"/>
          <w:sz w:val="24"/>
          <w:szCs w:val="24"/>
          <w:lang w:val="es-ES"/>
        </w:rPr>
        <w:t>en la realización de acciones</w:t>
      </w:r>
      <w:r>
        <w:rPr>
          <w:rFonts w:ascii="Arial" w:hAnsi="Arial" w:cs="Arial"/>
          <w:sz w:val="24"/>
          <w:szCs w:val="24"/>
          <w:lang w:val="es-ES"/>
        </w:rPr>
        <w:t xml:space="preserve"> de colaboración para la atención de la emergencia, registrando 52.8% de los establecimientos manufactureros que han efectuado aportaciones monetarias y en especie, en tanto que 52.1% de los comercios y 45.1% de los servi</w:t>
      </w:r>
      <w:r w:rsidR="00416432">
        <w:rPr>
          <w:rFonts w:ascii="Arial" w:hAnsi="Arial" w:cs="Arial"/>
          <w:sz w:val="24"/>
          <w:szCs w:val="24"/>
          <w:lang w:val="es-ES"/>
        </w:rPr>
        <w:t>cios han realizado dicha acción</w:t>
      </w:r>
      <w:r>
        <w:rPr>
          <w:rFonts w:ascii="Arial" w:hAnsi="Arial" w:cs="Arial"/>
          <w:sz w:val="24"/>
          <w:szCs w:val="24"/>
          <w:lang w:val="es-ES"/>
        </w:rPr>
        <w:t xml:space="preserve">. </w:t>
      </w:r>
    </w:p>
    <w:p w:rsidR="004036C5" w:rsidRDefault="004036C5" w:rsidP="00356A19">
      <w:pPr>
        <w:jc w:val="center"/>
        <w:rPr>
          <w:rFonts w:ascii="Arial" w:hAnsi="Arial" w:cs="Arial"/>
          <w:sz w:val="24"/>
          <w:szCs w:val="24"/>
          <w:lang w:val="es-ES"/>
        </w:rPr>
      </w:pPr>
    </w:p>
    <w:p w:rsidR="00EA480B" w:rsidRDefault="00EA480B" w:rsidP="00356A19">
      <w:pPr>
        <w:jc w:val="center"/>
        <w:rPr>
          <w:rFonts w:ascii="Arial" w:hAnsi="Arial" w:cs="Arial"/>
          <w:sz w:val="24"/>
          <w:szCs w:val="24"/>
          <w:lang w:val="es-ES"/>
        </w:rPr>
      </w:pPr>
    </w:p>
    <w:p w:rsidR="00356A19" w:rsidRPr="00677AA8" w:rsidRDefault="00C01372" w:rsidP="00356A19">
      <w:pPr>
        <w:jc w:val="center"/>
        <w:rPr>
          <w:rFonts w:ascii="Arial" w:hAnsi="Arial" w:cs="Arial"/>
          <w:sz w:val="24"/>
          <w:szCs w:val="24"/>
          <w:lang w:val="es-ES"/>
        </w:rPr>
      </w:pPr>
      <w:r>
        <w:rPr>
          <w:rFonts w:ascii="Arial" w:hAnsi="Arial" w:cs="Arial"/>
          <w:sz w:val="24"/>
          <w:szCs w:val="24"/>
          <w:lang w:val="es-ES"/>
        </w:rPr>
        <w:t>Gráfica 6</w:t>
      </w:r>
    </w:p>
    <w:p w:rsidR="000119CC" w:rsidRDefault="00356A19" w:rsidP="00356A19">
      <w:pPr>
        <w:jc w:val="center"/>
        <w:rPr>
          <w:rFonts w:ascii="Arial" w:hAnsi="Arial" w:cs="Arial"/>
          <w:b/>
          <w:sz w:val="24"/>
          <w:szCs w:val="24"/>
          <w:lang w:val="es-ES"/>
        </w:rPr>
      </w:pPr>
      <w:r w:rsidRPr="00356A19">
        <w:rPr>
          <w:rFonts w:ascii="Arial" w:hAnsi="Arial" w:cs="Arial"/>
          <w:b/>
          <w:sz w:val="24"/>
          <w:szCs w:val="24"/>
          <w:lang w:val="es-ES"/>
        </w:rPr>
        <w:t>Estructura porcentual del número de establecimientos que han realizado</w:t>
      </w:r>
      <w:r w:rsidR="000119CC">
        <w:rPr>
          <w:rFonts w:ascii="Arial" w:hAnsi="Arial" w:cs="Arial"/>
          <w:b/>
          <w:sz w:val="24"/>
          <w:szCs w:val="24"/>
          <w:lang w:val="es-ES"/>
        </w:rPr>
        <w:t xml:space="preserve"> </w:t>
      </w:r>
      <w:r w:rsidRPr="00356A19">
        <w:rPr>
          <w:rFonts w:ascii="Arial" w:hAnsi="Arial" w:cs="Arial"/>
          <w:b/>
          <w:sz w:val="24"/>
          <w:szCs w:val="24"/>
          <w:lang w:val="es-ES"/>
        </w:rPr>
        <w:t xml:space="preserve">acciones </w:t>
      </w:r>
    </w:p>
    <w:p w:rsidR="00CC58B2" w:rsidRPr="00356A19" w:rsidRDefault="00356A19" w:rsidP="00356A19">
      <w:pPr>
        <w:jc w:val="center"/>
        <w:rPr>
          <w:rFonts w:ascii="Arial" w:hAnsi="Arial" w:cs="Arial"/>
          <w:b/>
          <w:sz w:val="24"/>
          <w:szCs w:val="24"/>
          <w:lang w:val="es-ES"/>
        </w:rPr>
      </w:pPr>
      <w:proofErr w:type="gramStart"/>
      <w:r w:rsidRPr="00356A19">
        <w:rPr>
          <w:rFonts w:ascii="Arial" w:hAnsi="Arial" w:cs="Arial"/>
          <w:b/>
          <w:sz w:val="24"/>
          <w:szCs w:val="24"/>
          <w:lang w:val="es-ES"/>
        </w:rPr>
        <w:t>para</w:t>
      </w:r>
      <w:proofErr w:type="gramEnd"/>
      <w:r w:rsidRPr="00356A19">
        <w:rPr>
          <w:rFonts w:ascii="Arial" w:hAnsi="Arial" w:cs="Arial"/>
          <w:b/>
          <w:sz w:val="24"/>
          <w:szCs w:val="24"/>
          <w:lang w:val="es-ES"/>
        </w:rPr>
        <w:t xml:space="preserve"> colaborar en la atención de la emergencia</w:t>
      </w:r>
      <w:r w:rsidR="000119CC">
        <w:rPr>
          <w:rFonts w:ascii="Arial" w:hAnsi="Arial" w:cs="Arial"/>
          <w:b/>
          <w:sz w:val="24"/>
          <w:szCs w:val="24"/>
          <w:lang w:val="es-ES"/>
        </w:rPr>
        <w:t xml:space="preserve"> por sector </w:t>
      </w:r>
      <w:r w:rsidR="001A61DC">
        <w:rPr>
          <w:rFonts w:ascii="Arial" w:hAnsi="Arial" w:cs="Arial"/>
          <w:b/>
          <w:sz w:val="24"/>
          <w:szCs w:val="24"/>
          <w:lang w:val="es-ES"/>
        </w:rPr>
        <w:t>de actividad</w:t>
      </w:r>
    </w:p>
    <w:p w:rsidR="00C55D38" w:rsidRDefault="00416432" w:rsidP="00836981">
      <w:pPr>
        <w:jc w:val="center"/>
        <w:rPr>
          <w:rFonts w:ascii="Arial" w:hAnsi="Arial" w:cs="Arial"/>
          <w:sz w:val="24"/>
          <w:szCs w:val="24"/>
          <w:lang w:val="es-ES"/>
        </w:rPr>
      </w:pPr>
      <w:r w:rsidRPr="004D563F">
        <w:rPr>
          <w:noProof/>
          <w:lang w:eastAsia="es-MX"/>
        </w:rPr>
        <w:drawing>
          <wp:inline distT="0" distB="0" distL="0" distR="0" wp14:anchorId="654AEB53" wp14:editId="0632C6F7">
            <wp:extent cx="4856579" cy="259689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878383" cy="2608555"/>
                    </a:xfrm>
                    <a:prstGeom prst="rect">
                      <a:avLst/>
                    </a:prstGeom>
                    <a:noFill/>
                    <a:ln w="9525">
                      <a:noFill/>
                      <a:miter lim="800000"/>
                      <a:headEnd/>
                      <a:tailEnd/>
                    </a:ln>
                  </pic:spPr>
                </pic:pic>
              </a:graphicData>
            </a:graphic>
          </wp:inline>
        </w:drawing>
      </w:r>
    </w:p>
    <w:p w:rsidR="001629E0" w:rsidRPr="005124C3" w:rsidRDefault="001629E0" w:rsidP="001629E0">
      <w:pPr>
        <w:pStyle w:val="Textoindependiente"/>
        <w:spacing w:line="241" w:lineRule="auto"/>
        <w:ind w:left="532" w:right="197"/>
        <w:jc w:val="both"/>
        <w:rPr>
          <w:sz w:val="20"/>
        </w:rPr>
      </w:pPr>
      <w:r w:rsidRPr="005124C3">
        <w:rPr>
          <w:sz w:val="20"/>
        </w:rPr>
        <w:t>Fuente: INEGI.</w:t>
      </w:r>
    </w:p>
    <w:p w:rsidR="00C01372" w:rsidRDefault="00C01372" w:rsidP="00C55D38">
      <w:pPr>
        <w:jc w:val="both"/>
        <w:rPr>
          <w:rFonts w:ascii="Arial" w:hAnsi="Arial" w:cs="Arial"/>
          <w:sz w:val="24"/>
          <w:szCs w:val="24"/>
          <w:lang w:val="es-ES"/>
        </w:rPr>
      </w:pPr>
    </w:p>
    <w:p w:rsidR="00EA480B" w:rsidRDefault="00EA480B" w:rsidP="00C55D38">
      <w:pPr>
        <w:jc w:val="both"/>
        <w:rPr>
          <w:rFonts w:ascii="Arial" w:hAnsi="Arial" w:cs="Arial"/>
          <w:sz w:val="24"/>
          <w:szCs w:val="24"/>
          <w:lang w:val="es-ES"/>
        </w:rPr>
      </w:pPr>
    </w:p>
    <w:p w:rsidR="00C55D38" w:rsidRPr="005A1559" w:rsidRDefault="00C55D38" w:rsidP="00C55D38">
      <w:pPr>
        <w:jc w:val="both"/>
        <w:rPr>
          <w:rFonts w:ascii="Arial" w:hAnsi="Arial" w:cs="Arial"/>
          <w:sz w:val="24"/>
          <w:szCs w:val="24"/>
          <w:lang w:val="es-ES"/>
        </w:rPr>
      </w:pPr>
      <w:r>
        <w:rPr>
          <w:rFonts w:ascii="Arial" w:hAnsi="Arial" w:cs="Arial"/>
          <w:sz w:val="24"/>
          <w:szCs w:val="24"/>
          <w:lang w:val="es-ES"/>
        </w:rPr>
        <w:t>De</w:t>
      </w:r>
      <w:r w:rsidRPr="005A1559">
        <w:rPr>
          <w:rFonts w:ascii="Arial" w:hAnsi="Arial" w:cs="Arial"/>
          <w:sz w:val="24"/>
          <w:szCs w:val="24"/>
          <w:lang w:val="es-ES"/>
        </w:rPr>
        <w:t xml:space="preserve"> acuerdo con las expectativas de los empresarios de los tres sectores,</w:t>
      </w:r>
      <w:r>
        <w:rPr>
          <w:rFonts w:ascii="Arial" w:hAnsi="Arial" w:cs="Arial"/>
          <w:sz w:val="24"/>
          <w:szCs w:val="24"/>
          <w:lang w:val="es-ES"/>
        </w:rPr>
        <w:t xml:space="preserve"> la actividad económica de sus establecimientos en lo que resta del año, será menor en las Industrias manufactureras, Comercio y Servicios privados no financieros con 42.3%, 49.5% y 41.3%, respectivamente. Por su parte, la opinión de que las actividades económicas de los tres sectores permanecerá sin cambio alcanza </w:t>
      </w:r>
      <w:r w:rsidR="006042CD">
        <w:rPr>
          <w:rFonts w:ascii="Arial" w:hAnsi="Arial" w:cs="Arial"/>
          <w:sz w:val="24"/>
          <w:szCs w:val="24"/>
          <w:lang w:val="es-ES"/>
        </w:rPr>
        <w:t>41.1%, 30.4% y 40.6 por ciento (ver Gráfica 7).</w:t>
      </w:r>
    </w:p>
    <w:p w:rsidR="00C55D38" w:rsidRDefault="00C55D38" w:rsidP="00C55D38">
      <w:pPr>
        <w:rPr>
          <w:rFonts w:ascii="Arial" w:hAnsi="Arial" w:cs="Arial"/>
          <w:sz w:val="24"/>
          <w:szCs w:val="24"/>
          <w:lang w:val="es-ES"/>
        </w:rPr>
      </w:pPr>
    </w:p>
    <w:p w:rsidR="00EA480B" w:rsidRDefault="00EA480B">
      <w:pPr>
        <w:rPr>
          <w:rFonts w:ascii="Arial" w:hAnsi="Arial" w:cs="Arial"/>
          <w:sz w:val="24"/>
          <w:szCs w:val="24"/>
          <w:lang w:val="es-ES"/>
        </w:rPr>
      </w:pPr>
      <w:r>
        <w:rPr>
          <w:rFonts w:ascii="Arial" w:hAnsi="Arial" w:cs="Arial"/>
          <w:sz w:val="24"/>
          <w:szCs w:val="24"/>
          <w:lang w:val="es-ES"/>
        </w:rPr>
        <w:br w:type="page"/>
      </w:r>
    </w:p>
    <w:p w:rsidR="00EA480B" w:rsidRDefault="00EA480B" w:rsidP="00836981">
      <w:pPr>
        <w:jc w:val="center"/>
        <w:rPr>
          <w:rFonts w:ascii="Arial" w:hAnsi="Arial" w:cs="Arial"/>
          <w:sz w:val="24"/>
          <w:szCs w:val="24"/>
          <w:lang w:val="es-ES"/>
        </w:rPr>
      </w:pPr>
    </w:p>
    <w:p w:rsidR="00C01372" w:rsidRDefault="00C01372" w:rsidP="00836981">
      <w:pPr>
        <w:jc w:val="center"/>
        <w:rPr>
          <w:rFonts w:ascii="Arial" w:hAnsi="Arial" w:cs="Arial"/>
          <w:sz w:val="24"/>
          <w:szCs w:val="24"/>
          <w:lang w:val="es-ES"/>
        </w:rPr>
      </w:pPr>
    </w:p>
    <w:p w:rsidR="00CC58B2" w:rsidRPr="00836981" w:rsidRDefault="00C01372" w:rsidP="00836981">
      <w:pPr>
        <w:jc w:val="center"/>
        <w:rPr>
          <w:rFonts w:ascii="Arial" w:hAnsi="Arial" w:cs="Arial"/>
          <w:sz w:val="24"/>
          <w:szCs w:val="24"/>
          <w:lang w:val="es-ES"/>
        </w:rPr>
      </w:pPr>
      <w:r>
        <w:rPr>
          <w:rFonts w:ascii="Arial" w:hAnsi="Arial" w:cs="Arial"/>
          <w:sz w:val="24"/>
          <w:szCs w:val="24"/>
          <w:lang w:val="es-ES"/>
        </w:rPr>
        <w:t>Gráfica 7</w:t>
      </w:r>
    </w:p>
    <w:p w:rsidR="00836981" w:rsidRDefault="00836981" w:rsidP="00836981">
      <w:pPr>
        <w:jc w:val="center"/>
        <w:rPr>
          <w:rFonts w:ascii="Arial" w:hAnsi="Arial" w:cs="Arial"/>
          <w:b/>
          <w:sz w:val="24"/>
          <w:szCs w:val="24"/>
          <w:lang w:val="es-ES"/>
        </w:rPr>
      </w:pPr>
      <w:r>
        <w:rPr>
          <w:rFonts w:ascii="Arial" w:hAnsi="Arial" w:cs="Arial"/>
          <w:b/>
          <w:sz w:val="24"/>
          <w:szCs w:val="24"/>
          <w:lang w:val="es-ES"/>
        </w:rPr>
        <w:t>Estructura porcentual de las expectativas sobre la actividad económica en el cuarto trimes</w:t>
      </w:r>
      <w:r w:rsidR="001A61DC">
        <w:rPr>
          <w:rFonts w:ascii="Arial" w:hAnsi="Arial" w:cs="Arial"/>
          <w:b/>
          <w:sz w:val="24"/>
          <w:szCs w:val="24"/>
          <w:lang w:val="es-ES"/>
        </w:rPr>
        <w:t>tre de 2017 por sector de actividad</w:t>
      </w:r>
    </w:p>
    <w:p w:rsidR="00A157EB" w:rsidRDefault="00416432" w:rsidP="00836981">
      <w:pPr>
        <w:jc w:val="center"/>
        <w:rPr>
          <w:rFonts w:ascii="Arial" w:hAnsi="Arial" w:cs="Arial"/>
          <w:b/>
          <w:sz w:val="24"/>
          <w:szCs w:val="24"/>
          <w:lang w:val="es-ES"/>
        </w:rPr>
      </w:pPr>
      <w:r w:rsidRPr="009A5735">
        <w:rPr>
          <w:noProof/>
          <w:lang w:eastAsia="es-MX"/>
        </w:rPr>
        <w:drawing>
          <wp:inline distT="0" distB="0" distL="0" distR="0" wp14:anchorId="61C849AA" wp14:editId="5BBEFBA9">
            <wp:extent cx="5395501" cy="248716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447393" cy="2511089"/>
                    </a:xfrm>
                    <a:prstGeom prst="rect">
                      <a:avLst/>
                    </a:prstGeom>
                    <a:noFill/>
                    <a:ln w="9525">
                      <a:noFill/>
                      <a:miter lim="800000"/>
                      <a:headEnd/>
                      <a:tailEnd/>
                    </a:ln>
                  </pic:spPr>
                </pic:pic>
              </a:graphicData>
            </a:graphic>
          </wp:inline>
        </w:drawing>
      </w:r>
    </w:p>
    <w:p w:rsidR="001629E0" w:rsidRPr="005124C3" w:rsidRDefault="001629E0" w:rsidP="001629E0">
      <w:pPr>
        <w:pStyle w:val="Textoindependiente"/>
        <w:spacing w:line="241" w:lineRule="auto"/>
        <w:ind w:left="426" w:right="197"/>
        <w:jc w:val="both"/>
        <w:rPr>
          <w:sz w:val="20"/>
        </w:rPr>
      </w:pPr>
      <w:r w:rsidRPr="005124C3">
        <w:rPr>
          <w:sz w:val="20"/>
        </w:rPr>
        <w:t>Fuente: INEGI.</w:t>
      </w:r>
    </w:p>
    <w:p w:rsidR="004036C5" w:rsidRDefault="004036C5" w:rsidP="00677AA8">
      <w:pPr>
        <w:pStyle w:val="Ttulo11"/>
        <w:ind w:left="0" w:right="32"/>
        <w:jc w:val="both"/>
      </w:pPr>
    </w:p>
    <w:p w:rsidR="00677AA8" w:rsidRDefault="00677AA8" w:rsidP="00677AA8">
      <w:pPr>
        <w:pStyle w:val="Ttulo11"/>
        <w:ind w:left="0" w:right="32"/>
        <w:jc w:val="both"/>
      </w:pPr>
      <w:r>
        <w:t>R</w:t>
      </w:r>
      <w:r w:rsidRPr="00732348">
        <w:rPr>
          <w:spacing w:val="1"/>
        </w:rPr>
        <w:t>e</w:t>
      </w:r>
      <w:r w:rsidRPr="00732348">
        <w:t>s</w:t>
      </w:r>
      <w:r w:rsidRPr="00732348">
        <w:rPr>
          <w:spacing w:val="-3"/>
        </w:rPr>
        <w:t>u</w:t>
      </w:r>
      <w:r w:rsidR="0088197F">
        <w:t>ltados por e</w:t>
      </w:r>
      <w:r>
        <w:t xml:space="preserve">ntidad </w:t>
      </w:r>
      <w:r w:rsidR="0088197F">
        <w:t>f</w:t>
      </w:r>
      <w:r w:rsidR="001A61DC">
        <w:t>ederativa</w:t>
      </w:r>
    </w:p>
    <w:p w:rsidR="00677AA8" w:rsidRDefault="00677AA8" w:rsidP="00677AA8">
      <w:pPr>
        <w:pStyle w:val="Ttulo11"/>
        <w:ind w:left="0" w:right="32"/>
        <w:jc w:val="both"/>
        <w:rPr>
          <w:b w:val="0"/>
        </w:rPr>
      </w:pPr>
    </w:p>
    <w:p w:rsidR="00987CCE" w:rsidRDefault="008D071B" w:rsidP="00987CCE">
      <w:pPr>
        <w:pStyle w:val="Textoindependiente"/>
        <w:spacing w:line="241" w:lineRule="auto"/>
        <w:ind w:left="0" w:right="197"/>
        <w:jc w:val="both"/>
      </w:pPr>
      <w:r>
        <w:t>Del total de establecimientos ubicados en Chiapas 79.2% no reportan afectaciones y 20.8</w:t>
      </w:r>
      <w:r w:rsidR="00CF5FAF">
        <w:t>%</w:t>
      </w:r>
      <w:r>
        <w:t xml:space="preserve"> </w:t>
      </w:r>
      <w:r w:rsidR="004036C5">
        <w:t>si las tuvieron</w:t>
      </w:r>
      <w:r>
        <w:t xml:space="preserve">; en Ciudad de México es 83.9% </w:t>
      </w:r>
      <w:r w:rsidR="00CF6AE7">
        <w:t xml:space="preserve">y 16.1%; Guerrero registra 90.6% </w:t>
      </w:r>
      <w:r>
        <w:t xml:space="preserve">sin afectaciones y </w:t>
      </w:r>
      <w:r w:rsidR="008039A2">
        <w:t>9.4% con afectaciones; México 86.9% y 13.1%, respectivamente; Morelos 77.5</w:t>
      </w:r>
      <w:r w:rsidR="00CF5FAF">
        <w:t>%</w:t>
      </w:r>
      <w:r w:rsidR="008039A2">
        <w:t xml:space="preserve"> y 22.5%; Oaxaca 75.4% y 24.6%; Puebla 83.5% y 16.5%; y Tlaxcala 90.0% y 10.0 por ciento.</w:t>
      </w:r>
      <w:r>
        <w:t xml:space="preserve"> </w:t>
      </w:r>
    </w:p>
    <w:p w:rsidR="00987CCE" w:rsidRDefault="00987CCE" w:rsidP="00987CCE">
      <w:pPr>
        <w:pStyle w:val="Textoindependiente"/>
        <w:spacing w:line="241" w:lineRule="auto"/>
        <w:ind w:left="0" w:right="197"/>
        <w:jc w:val="both"/>
      </w:pPr>
    </w:p>
    <w:p w:rsidR="0088197F" w:rsidRPr="0088197F" w:rsidRDefault="0088197F" w:rsidP="0088197F">
      <w:pPr>
        <w:pStyle w:val="Textoindependiente"/>
        <w:spacing w:line="241" w:lineRule="auto"/>
        <w:ind w:left="0" w:right="197"/>
        <w:jc w:val="center"/>
      </w:pPr>
      <w:r w:rsidRPr="0088197F">
        <w:t xml:space="preserve">Cuadro </w:t>
      </w:r>
      <w:r w:rsidR="001629E0">
        <w:t>5</w:t>
      </w:r>
    </w:p>
    <w:p w:rsidR="004036C5" w:rsidRDefault="0088197F" w:rsidP="0088197F">
      <w:pPr>
        <w:pStyle w:val="Textoindependiente"/>
        <w:spacing w:line="241" w:lineRule="auto"/>
        <w:ind w:left="0" w:right="197"/>
        <w:jc w:val="center"/>
        <w:rPr>
          <w:b/>
        </w:rPr>
      </w:pPr>
      <w:r>
        <w:rPr>
          <w:b/>
        </w:rPr>
        <w:t xml:space="preserve">Estructura porcentual de los </w:t>
      </w:r>
      <w:r w:rsidR="00CF5FAF">
        <w:rPr>
          <w:b/>
        </w:rPr>
        <w:t>e</w:t>
      </w:r>
      <w:r>
        <w:rPr>
          <w:b/>
        </w:rPr>
        <w:t xml:space="preserve">stablecimientos </w:t>
      </w:r>
      <w:r w:rsidR="004036C5">
        <w:rPr>
          <w:b/>
        </w:rPr>
        <w:t xml:space="preserve">según su condición de </w:t>
      </w:r>
    </w:p>
    <w:p w:rsidR="0088197F" w:rsidRDefault="00520873" w:rsidP="0088197F">
      <w:pPr>
        <w:pStyle w:val="Textoindependiente"/>
        <w:spacing w:line="241" w:lineRule="auto"/>
        <w:ind w:left="0" w:right="197"/>
        <w:jc w:val="center"/>
        <w:rPr>
          <w:b/>
        </w:rPr>
      </w:pPr>
      <w:proofErr w:type="gramStart"/>
      <w:r>
        <w:rPr>
          <w:b/>
        </w:rPr>
        <w:t>afectación</w:t>
      </w:r>
      <w:proofErr w:type="gramEnd"/>
      <w:r w:rsidR="004036C5">
        <w:rPr>
          <w:b/>
        </w:rPr>
        <w:t xml:space="preserve"> </w:t>
      </w:r>
      <w:r w:rsidR="0088197F" w:rsidRPr="006F3EC4">
        <w:rPr>
          <w:b/>
        </w:rPr>
        <w:t xml:space="preserve">por </w:t>
      </w:r>
      <w:r w:rsidR="0088197F">
        <w:rPr>
          <w:b/>
        </w:rPr>
        <w:t>entidad federativa</w:t>
      </w:r>
    </w:p>
    <w:tbl>
      <w:tblPr>
        <w:tblStyle w:val="Tablaconcuadrcula"/>
        <w:tblW w:w="0" w:type="auto"/>
        <w:jc w:val="center"/>
        <w:tblLayout w:type="fixed"/>
        <w:tblLook w:val="04A0" w:firstRow="1" w:lastRow="0" w:firstColumn="1" w:lastColumn="0" w:noHBand="0" w:noVBand="1"/>
      </w:tblPr>
      <w:tblGrid>
        <w:gridCol w:w="3256"/>
        <w:gridCol w:w="2272"/>
        <w:gridCol w:w="2122"/>
      </w:tblGrid>
      <w:tr w:rsidR="0088197F" w:rsidTr="0060202F">
        <w:trPr>
          <w:trHeight w:val="232"/>
          <w:jc w:val="center"/>
        </w:trPr>
        <w:tc>
          <w:tcPr>
            <w:tcW w:w="3256" w:type="dxa"/>
            <w:shd w:val="clear" w:color="auto" w:fill="B6DDE8" w:themeFill="accent5" w:themeFillTint="66"/>
            <w:vAlign w:val="center"/>
          </w:tcPr>
          <w:p w:rsidR="0088197F" w:rsidRDefault="0088197F" w:rsidP="0088197F">
            <w:pPr>
              <w:pStyle w:val="Textoindependiente"/>
              <w:spacing w:line="241" w:lineRule="auto"/>
              <w:ind w:left="0" w:right="197"/>
              <w:jc w:val="center"/>
              <w:rPr>
                <w:b/>
                <w:sz w:val="20"/>
              </w:rPr>
            </w:pPr>
            <w:r>
              <w:rPr>
                <w:b/>
                <w:sz w:val="20"/>
              </w:rPr>
              <w:t>Entidad Federativa</w:t>
            </w:r>
          </w:p>
        </w:tc>
        <w:tc>
          <w:tcPr>
            <w:tcW w:w="2272" w:type="dxa"/>
            <w:shd w:val="clear" w:color="auto" w:fill="B6DDE8" w:themeFill="accent5" w:themeFillTint="66"/>
            <w:vAlign w:val="center"/>
          </w:tcPr>
          <w:p w:rsidR="0088197F" w:rsidRDefault="0088197F" w:rsidP="0088197F">
            <w:pPr>
              <w:pStyle w:val="Textoindependiente"/>
              <w:spacing w:line="241" w:lineRule="auto"/>
              <w:ind w:left="0" w:right="34"/>
              <w:jc w:val="center"/>
              <w:rPr>
                <w:b/>
                <w:sz w:val="20"/>
              </w:rPr>
            </w:pPr>
            <w:r>
              <w:rPr>
                <w:b/>
                <w:sz w:val="20"/>
              </w:rPr>
              <w:t xml:space="preserve">Establecimientos sin </w:t>
            </w:r>
          </w:p>
          <w:p w:rsidR="0088197F" w:rsidRDefault="0088197F" w:rsidP="0088197F">
            <w:pPr>
              <w:pStyle w:val="Textoindependiente"/>
              <w:spacing w:line="241" w:lineRule="auto"/>
              <w:ind w:left="0" w:right="34"/>
              <w:jc w:val="center"/>
              <w:rPr>
                <w:b/>
                <w:sz w:val="20"/>
              </w:rPr>
            </w:pPr>
            <w:r>
              <w:rPr>
                <w:b/>
                <w:sz w:val="20"/>
              </w:rPr>
              <w:t>afectaciones</w:t>
            </w:r>
          </w:p>
        </w:tc>
        <w:tc>
          <w:tcPr>
            <w:tcW w:w="2122" w:type="dxa"/>
            <w:shd w:val="clear" w:color="auto" w:fill="B6DDE8" w:themeFill="accent5" w:themeFillTint="66"/>
            <w:vAlign w:val="center"/>
          </w:tcPr>
          <w:p w:rsidR="0088197F" w:rsidRDefault="0088197F" w:rsidP="0088197F">
            <w:pPr>
              <w:pStyle w:val="Textoindependiente"/>
              <w:spacing w:line="241" w:lineRule="auto"/>
              <w:ind w:left="0" w:right="34"/>
              <w:jc w:val="center"/>
              <w:rPr>
                <w:b/>
                <w:sz w:val="20"/>
              </w:rPr>
            </w:pPr>
            <w:r>
              <w:rPr>
                <w:b/>
                <w:sz w:val="20"/>
              </w:rPr>
              <w:t>Establecimientos con afectaciones</w:t>
            </w:r>
          </w:p>
        </w:tc>
      </w:tr>
      <w:tr w:rsidR="0088197F" w:rsidTr="0060202F">
        <w:trPr>
          <w:jc w:val="center"/>
        </w:trPr>
        <w:tc>
          <w:tcPr>
            <w:tcW w:w="3256" w:type="dxa"/>
            <w:vAlign w:val="center"/>
          </w:tcPr>
          <w:p w:rsidR="0088197F" w:rsidRPr="00173D68" w:rsidRDefault="0088197F" w:rsidP="0018651A">
            <w:pPr>
              <w:pStyle w:val="Textoindependiente"/>
              <w:spacing w:line="241" w:lineRule="auto"/>
              <w:ind w:left="0" w:right="197"/>
              <w:jc w:val="both"/>
              <w:rPr>
                <w:b/>
                <w:sz w:val="20"/>
              </w:rPr>
            </w:pPr>
            <w:r w:rsidRPr="00173D68">
              <w:rPr>
                <w:b/>
                <w:sz w:val="20"/>
              </w:rPr>
              <w:t>Total</w:t>
            </w:r>
          </w:p>
        </w:tc>
        <w:tc>
          <w:tcPr>
            <w:tcW w:w="2272" w:type="dxa"/>
            <w:vAlign w:val="center"/>
          </w:tcPr>
          <w:p w:rsidR="0088197F" w:rsidRPr="00173D68" w:rsidRDefault="0060202F" w:rsidP="0018651A">
            <w:pPr>
              <w:pStyle w:val="Textoindependiente"/>
              <w:spacing w:line="241" w:lineRule="auto"/>
              <w:ind w:left="0" w:right="197"/>
              <w:jc w:val="right"/>
              <w:rPr>
                <w:b/>
                <w:sz w:val="20"/>
              </w:rPr>
            </w:pPr>
            <w:r>
              <w:rPr>
                <w:b/>
                <w:sz w:val="20"/>
              </w:rPr>
              <w:t>83.9</w:t>
            </w:r>
          </w:p>
        </w:tc>
        <w:tc>
          <w:tcPr>
            <w:tcW w:w="2122" w:type="dxa"/>
            <w:vAlign w:val="center"/>
          </w:tcPr>
          <w:p w:rsidR="0088197F" w:rsidRPr="006E6104" w:rsidRDefault="0060202F" w:rsidP="006E6104">
            <w:pPr>
              <w:pStyle w:val="Textoindependiente"/>
              <w:spacing w:line="241" w:lineRule="auto"/>
              <w:ind w:left="0" w:right="197"/>
              <w:jc w:val="right"/>
              <w:rPr>
                <w:b/>
                <w:sz w:val="20"/>
              </w:rPr>
            </w:pPr>
            <w:r w:rsidRPr="006E6104">
              <w:rPr>
                <w:b/>
                <w:sz w:val="20"/>
              </w:rPr>
              <w:t>16.1</w:t>
            </w:r>
          </w:p>
        </w:tc>
      </w:tr>
      <w:tr w:rsidR="00987CCE" w:rsidTr="00042A6F">
        <w:trPr>
          <w:jc w:val="center"/>
        </w:trPr>
        <w:tc>
          <w:tcPr>
            <w:tcW w:w="3256" w:type="dxa"/>
            <w:vAlign w:val="center"/>
          </w:tcPr>
          <w:p w:rsidR="00987CCE" w:rsidRPr="00BF1096" w:rsidRDefault="00987CCE" w:rsidP="00987CCE">
            <w:pPr>
              <w:pStyle w:val="Textoindependiente"/>
              <w:spacing w:line="241" w:lineRule="auto"/>
              <w:ind w:left="0" w:right="197"/>
              <w:jc w:val="both"/>
              <w:rPr>
                <w:sz w:val="20"/>
              </w:rPr>
            </w:pPr>
            <w:r w:rsidRPr="00BF1096">
              <w:rPr>
                <w:sz w:val="20"/>
              </w:rPr>
              <w:t xml:space="preserve">  Chiapas</w:t>
            </w:r>
          </w:p>
        </w:tc>
        <w:tc>
          <w:tcPr>
            <w:tcW w:w="2272" w:type="dxa"/>
            <w:vAlign w:val="bottom"/>
          </w:tcPr>
          <w:p w:rsidR="00987CCE" w:rsidRPr="006E6104" w:rsidRDefault="00987CCE" w:rsidP="00987CCE">
            <w:pPr>
              <w:pStyle w:val="Textoindependiente"/>
              <w:spacing w:line="241" w:lineRule="auto"/>
              <w:ind w:left="0" w:right="197"/>
              <w:jc w:val="right"/>
              <w:rPr>
                <w:sz w:val="20"/>
              </w:rPr>
            </w:pPr>
            <w:r w:rsidRPr="006E6104">
              <w:rPr>
                <w:sz w:val="20"/>
              </w:rPr>
              <w:t>79.2</w:t>
            </w:r>
          </w:p>
        </w:tc>
        <w:tc>
          <w:tcPr>
            <w:tcW w:w="2122" w:type="dxa"/>
            <w:vAlign w:val="bottom"/>
          </w:tcPr>
          <w:p w:rsidR="00987CCE" w:rsidRPr="00987CCE" w:rsidRDefault="00987CCE" w:rsidP="00987CCE">
            <w:pPr>
              <w:pStyle w:val="Textoindependiente"/>
              <w:spacing w:line="241" w:lineRule="auto"/>
              <w:ind w:left="0" w:right="197"/>
              <w:jc w:val="right"/>
              <w:rPr>
                <w:sz w:val="20"/>
              </w:rPr>
            </w:pPr>
            <w:r w:rsidRPr="00987CCE">
              <w:rPr>
                <w:sz w:val="20"/>
              </w:rPr>
              <w:t>20.8</w:t>
            </w:r>
          </w:p>
        </w:tc>
      </w:tr>
      <w:tr w:rsidR="00987CCE" w:rsidTr="00042A6F">
        <w:trPr>
          <w:jc w:val="center"/>
        </w:trPr>
        <w:tc>
          <w:tcPr>
            <w:tcW w:w="3256" w:type="dxa"/>
            <w:vAlign w:val="center"/>
          </w:tcPr>
          <w:p w:rsidR="00987CCE" w:rsidRPr="00BF1096" w:rsidRDefault="00987CCE" w:rsidP="00987CCE">
            <w:pPr>
              <w:pStyle w:val="Textoindependiente"/>
              <w:spacing w:line="241" w:lineRule="auto"/>
              <w:ind w:left="0" w:right="197"/>
              <w:jc w:val="both"/>
              <w:rPr>
                <w:sz w:val="20"/>
              </w:rPr>
            </w:pPr>
            <w:r w:rsidRPr="00BF1096">
              <w:rPr>
                <w:sz w:val="20"/>
              </w:rPr>
              <w:t xml:space="preserve">  Ciudad de México</w:t>
            </w:r>
          </w:p>
        </w:tc>
        <w:tc>
          <w:tcPr>
            <w:tcW w:w="2272" w:type="dxa"/>
            <w:vAlign w:val="bottom"/>
          </w:tcPr>
          <w:p w:rsidR="00987CCE" w:rsidRPr="006E6104" w:rsidRDefault="00987CCE" w:rsidP="00987CCE">
            <w:pPr>
              <w:pStyle w:val="Textoindependiente"/>
              <w:spacing w:line="241" w:lineRule="auto"/>
              <w:ind w:left="0" w:right="197"/>
              <w:jc w:val="right"/>
              <w:rPr>
                <w:sz w:val="20"/>
              </w:rPr>
            </w:pPr>
            <w:r w:rsidRPr="006E6104">
              <w:rPr>
                <w:sz w:val="20"/>
              </w:rPr>
              <w:t>83.9</w:t>
            </w:r>
          </w:p>
        </w:tc>
        <w:tc>
          <w:tcPr>
            <w:tcW w:w="2122" w:type="dxa"/>
            <w:vAlign w:val="bottom"/>
          </w:tcPr>
          <w:p w:rsidR="00987CCE" w:rsidRPr="00987CCE" w:rsidRDefault="00987CCE" w:rsidP="00987CCE">
            <w:pPr>
              <w:pStyle w:val="Textoindependiente"/>
              <w:spacing w:line="241" w:lineRule="auto"/>
              <w:ind w:left="0" w:right="197"/>
              <w:jc w:val="right"/>
              <w:rPr>
                <w:sz w:val="20"/>
              </w:rPr>
            </w:pPr>
            <w:r w:rsidRPr="00987CCE">
              <w:rPr>
                <w:sz w:val="20"/>
              </w:rPr>
              <w:t>16.1</w:t>
            </w:r>
          </w:p>
        </w:tc>
      </w:tr>
      <w:tr w:rsidR="00987CCE" w:rsidTr="00042A6F">
        <w:trPr>
          <w:jc w:val="center"/>
        </w:trPr>
        <w:tc>
          <w:tcPr>
            <w:tcW w:w="3256" w:type="dxa"/>
            <w:vAlign w:val="center"/>
          </w:tcPr>
          <w:p w:rsidR="00987CCE" w:rsidRPr="00BF1096" w:rsidRDefault="00987CCE" w:rsidP="00987CCE">
            <w:pPr>
              <w:pStyle w:val="Textoindependiente"/>
              <w:spacing w:line="241" w:lineRule="auto"/>
              <w:ind w:left="0" w:right="197"/>
              <w:jc w:val="both"/>
              <w:rPr>
                <w:sz w:val="20"/>
              </w:rPr>
            </w:pPr>
            <w:r w:rsidRPr="00BF1096">
              <w:rPr>
                <w:sz w:val="20"/>
              </w:rPr>
              <w:t xml:space="preserve">  Guerrero</w:t>
            </w:r>
          </w:p>
        </w:tc>
        <w:tc>
          <w:tcPr>
            <w:tcW w:w="2272" w:type="dxa"/>
            <w:vAlign w:val="bottom"/>
          </w:tcPr>
          <w:p w:rsidR="00987CCE" w:rsidRPr="006E6104" w:rsidRDefault="00987CCE" w:rsidP="00987CCE">
            <w:pPr>
              <w:pStyle w:val="Textoindependiente"/>
              <w:spacing w:line="241" w:lineRule="auto"/>
              <w:ind w:left="0" w:right="197"/>
              <w:jc w:val="right"/>
              <w:rPr>
                <w:sz w:val="20"/>
              </w:rPr>
            </w:pPr>
            <w:r w:rsidRPr="006E6104">
              <w:rPr>
                <w:sz w:val="20"/>
              </w:rPr>
              <w:t>90.6</w:t>
            </w:r>
          </w:p>
        </w:tc>
        <w:tc>
          <w:tcPr>
            <w:tcW w:w="2122" w:type="dxa"/>
            <w:vAlign w:val="bottom"/>
          </w:tcPr>
          <w:p w:rsidR="00987CCE" w:rsidRPr="00987CCE" w:rsidRDefault="00987CCE" w:rsidP="00987CCE">
            <w:pPr>
              <w:pStyle w:val="Textoindependiente"/>
              <w:spacing w:line="241" w:lineRule="auto"/>
              <w:ind w:left="0" w:right="197"/>
              <w:jc w:val="right"/>
              <w:rPr>
                <w:sz w:val="20"/>
              </w:rPr>
            </w:pPr>
            <w:r w:rsidRPr="00987CCE">
              <w:rPr>
                <w:sz w:val="20"/>
              </w:rPr>
              <w:t>9.4</w:t>
            </w:r>
          </w:p>
        </w:tc>
      </w:tr>
      <w:tr w:rsidR="00987CCE" w:rsidTr="00042A6F">
        <w:trPr>
          <w:jc w:val="center"/>
        </w:trPr>
        <w:tc>
          <w:tcPr>
            <w:tcW w:w="3256" w:type="dxa"/>
            <w:vAlign w:val="center"/>
          </w:tcPr>
          <w:p w:rsidR="00987CCE" w:rsidRPr="00BF1096" w:rsidRDefault="00987CCE" w:rsidP="00987CCE">
            <w:pPr>
              <w:pStyle w:val="Textoindependiente"/>
              <w:spacing w:line="241" w:lineRule="auto"/>
              <w:ind w:left="0" w:right="197"/>
              <w:jc w:val="both"/>
              <w:rPr>
                <w:sz w:val="20"/>
              </w:rPr>
            </w:pPr>
            <w:r w:rsidRPr="00BF1096">
              <w:rPr>
                <w:sz w:val="20"/>
              </w:rPr>
              <w:t xml:space="preserve">  México</w:t>
            </w:r>
          </w:p>
        </w:tc>
        <w:tc>
          <w:tcPr>
            <w:tcW w:w="2272" w:type="dxa"/>
            <w:vAlign w:val="bottom"/>
          </w:tcPr>
          <w:p w:rsidR="00987CCE" w:rsidRPr="006E6104" w:rsidRDefault="00987CCE" w:rsidP="00987CCE">
            <w:pPr>
              <w:pStyle w:val="Textoindependiente"/>
              <w:spacing w:line="241" w:lineRule="auto"/>
              <w:ind w:left="0" w:right="197"/>
              <w:jc w:val="right"/>
              <w:rPr>
                <w:sz w:val="20"/>
              </w:rPr>
            </w:pPr>
            <w:r w:rsidRPr="006E6104">
              <w:rPr>
                <w:sz w:val="20"/>
              </w:rPr>
              <w:t>86.9</w:t>
            </w:r>
          </w:p>
        </w:tc>
        <w:tc>
          <w:tcPr>
            <w:tcW w:w="2122" w:type="dxa"/>
            <w:vAlign w:val="bottom"/>
          </w:tcPr>
          <w:p w:rsidR="00987CCE" w:rsidRPr="00987CCE" w:rsidRDefault="00987CCE" w:rsidP="00987CCE">
            <w:pPr>
              <w:pStyle w:val="Textoindependiente"/>
              <w:spacing w:line="241" w:lineRule="auto"/>
              <w:ind w:left="0" w:right="197"/>
              <w:jc w:val="right"/>
              <w:rPr>
                <w:sz w:val="20"/>
              </w:rPr>
            </w:pPr>
            <w:r w:rsidRPr="00987CCE">
              <w:rPr>
                <w:sz w:val="20"/>
              </w:rPr>
              <w:t>13.1</w:t>
            </w:r>
          </w:p>
        </w:tc>
      </w:tr>
      <w:tr w:rsidR="00987CCE" w:rsidTr="00042A6F">
        <w:trPr>
          <w:jc w:val="center"/>
        </w:trPr>
        <w:tc>
          <w:tcPr>
            <w:tcW w:w="3256" w:type="dxa"/>
            <w:vAlign w:val="center"/>
          </w:tcPr>
          <w:p w:rsidR="00987CCE" w:rsidRPr="00BF1096" w:rsidRDefault="00987CCE" w:rsidP="00987CCE">
            <w:pPr>
              <w:pStyle w:val="Textoindependiente"/>
              <w:spacing w:line="241" w:lineRule="auto"/>
              <w:ind w:left="0" w:right="197"/>
              <w:jc w:val="both"/>
              <w:rPr>
                <w:sz w:val="20"/>
              </w:rPr>
            </w:pPr>
            <w:r w:rsidRPr="00BF1096">
              <w:rPr>
                <w:sz w:val="20"/>
              </w:rPr>
              <w:t xml:space="preserve">  Morelos</w:t>
            </w:r>
          </w:p>
        </w:tc>
        <w:tc>
          <w:tcPr>
            <w:tcW w:w="2272" w:type="dxa"/>
            <w:vAlign w:val="bottom"/>
          </w:tcPr>
          <w:p w:rsidR="00987CCE" w:rsidRPr="006E6104" w:rsidRDefault="00987CCE" w:rsidP="00987CCE">
            <w:pPr>
              <w:pStyle w:val="Textoindependiente"/>
              <w:spacing w:line="241" w:lineRule="auto"/>
              <w:ind w:left="0" w:right="197"/>
              <w:jc w:val="right"/>
              <w:rPr>
                <w:sz w:val="20"/>
              </w:rPr>
            </w:pPr>
            <w:r w:rsidRPr="006E6104">
              <w:rPr>
                <w:sz w:val="20"/>
              </w:rPr>
              <w:t>77.5</w:t>
            </w:r>
          </w:p>
        </w:tc>
        <w:tc>
          <w:tcPr>
            <w:tcW w:w="2122" w:type="dxa"/>
            <w:vAlign w:val="bottom"/>
          </w:tcPr>
          <w:p w:rsidR="00987CCE" w:rsidRPr="00987CCE" w:rsidRDefault="00987CCE" w:rsidP="00987CCE">
            <w:pPr>
              <w:pStyle w:val="Textoindependiente"/>
              <w:spacing w:line="241" w:lineRule="auto"/>
              <w:ind w:left="0" w:right="197"/>
              <w:jc w:val="right"/>
              <w:rPr>
                <w:sz w:val="20"/>
              </w:rPr>
            </w:pPr>
            <w:r w:rsidRPr="00987CCE">
              <w:rPr>
                <w:sz w:val="20"/>
              </w:rPr>
              <w:t>22.5</w:t>
            </w:r>
          </w:p>
        </w:tc>
      </w:tr>
      <w:tr w:rsidR="00987CCE" w:rsidTr="00042A6F">
        <w:trPr>
          <w:jc w:val="center"/>
        </w:trPr>
        <w:tc>
          <w:tcPr>
            <w:tcW w:w="3256" w:type="dxa"/>
            <w:vAlign w:val="center"/>
          </w:tcPr>
          <w:p w:rsidR="00987CCE" w:rsidRPr="00BF1096" w:rsidRDefault="00987CCE" w:rsidP="00987CCE">
            <w:pPr>
              <w:pStyle w:val="Textoindependiente"/>
              <w:spacing w:line="241" w:lineRule="auto"/>
              <w:ind w:left="0" w:right="197"/>
              <w:jc w:val="both"/>
              <w:rPr>
                <w:sz w:val="20"/>
              </w:rPr>
            </w:pPr>
            <w:r w:rsidRPr="00BF1096">
              <w:rPr>
                <w:sz w:val="20"/>
              </w:rPr>
              <w:t xml:space="preserve">  Oaxaca</w:t>
            </w:r>
          </w:p>
        </w:tc>
        <w:tc>
          <w:tcPr>
            <w:tcW w:w="2272" w:type="dxa"/>
            <w:vAlign w:val="bottom"/>
          </w:tcPr>
          <w:p w:rsidR="00987CCE" w:rsidRPr="006E6104" w:rsidRDefault="00987CCE" w:rsidP="00987CCE">
            <w:pPr>
              <w:pStyle w:val="Textoindependiente"/>
              <w:spacing w:line="241" w:lineRule="auto"/>
              <w:ind w:left="0" w:right="197"/>
              <w:jc w:val="right"/>
              <w:rPr>
                <w:sz w:val="20"/>
              </w:rPr>
            </w:pPr>
            <w:r w:rsidRPr="006E6104">
              <w:rPr>
                <w:sz w:val="20"/>
              </w:rPr>
              <w:t>75.4</w:t>
            </w:r>
          </w:p>
        </w:tc>
        <w:tc>
          <w:tcPr>
            <w:tcW w:w="2122" w:type="dxa"/>
            <w:vAlign w:val="bottom"/>
          </w:tcPr>
          <w:p w:rsidR="00987CCE" w:rsidRPr="00987CCE" w:rsidRDefault="00987CCE" w:rsidP="00987CCE">
            <w:pPr>
              <w:pStyle w:val="Textoindependiente"/>
              <w:spacing w:line="241" w:lineRule="auto"/>
              <w:ind w:left="0" w:right="197"/>
              <w:jc w:val="right"/>
              <w:rPr>
                <w:sz w:val="20"/>
              </w:rPr>
            </w:pPr>
            <w:r w:rsidRPr="00987CCE">
              <w:rPr>
                <w:sz w:val="20"/>
              </w:rPr>
              <w:t>24.6</w:t>
            </w:r>
          </w:p>
        </w:tc>
      </w:tr>
      <w:tr w:rsidR="00987CCE" w:rsidTr="00042A6F">
        <w:trPr>
          <w:jc w:val="center"/>
        </w:trPr>
        <w:tc>
          <w:tcPr>
            <w:tcW w:w="3256" w:type="dxa"/>
            <w:vAlign w:val="center"/>
          </w:tcPr>
          <w:p w:rsidR="00987CCE" w:rsidRPr="00BF1096" w:rsidRDefault="00987CCE" w:rsidP="00987CCE">
            <w:pPr>
              <w:pStyle w:val="Textoindependiente"/>
              <w:spacing w:line="241" w:lineRule="auto"/>
              <w:ind w:left="0" w:right="197"/>
              <w:jc w:val="both"/>
              <w:rPr>
                <w:sz w:val="20"/>
              </w:rPr>
            </w:pPr>
            <w:r w:rsidRPr="00BF1096">
              <w:rPr>
                <w:sz w:val="20"/>
              </w:rPr>
              <w:t xml:space="preserve">  Puebla</w:t>
            </w:r>
          </w:p>
        </w:tc>
        <w:tc>
          <w:tcPr>
            <w:tcW w:w="2272" w:type="dxa"/>
            <w:vAlign w:val="bottom"/>
          </w:tcPr>
          <w:p w:rsidR="00987CCE" w:rsidRPr="006E6104" w:rsidRDefault="00987CCE" w:rsidP="00987CCE">
            <w:pPr>
              <w:pStyle w:val="Textoindependiente"/>
              <w:spacing w:line="241" w:lineRule="auto"/>
              <w:ind w:left="0" w:right="197"/>
              <w:jc w:val="right"/>
              <w:rPr>
                <w:sz w:val="20"/>
              </w:rPr>
            </w:pPr>
            <w:r w:rsidRPr="006E6104">
              <w:rPr>
                <w:sz w:val="20"/>
              </w:rPr>
              <w:t>83.5</w:t>
            </w:r>
          </w:p>
        </w:tc>
        <w:tc>
          <w:tcPr>
            <w:tcW w:w="2122" w:type="dxa"/>
            <w:vAlign w:val="bottom"/>
          </w:tcPr>
          <w:p w:rsidR="00987CCE" w:rsidRPr="00987CCE" w:rsidRDefault="00987CCE" w:rsidP="00987CCE">
            <w:pPr>
              <w:pStyle w:val="Textoindependiente"/>
              <w:spacing w:line="241" w:lineRule="auto"/>
              <w:ind w:left="0" w:right="197"/>
              <w:jc w:val="right"/>
              <w:rPr>
                <w:sz w:val="20"/>
              </w:rPr>
            </w:pPr>
            <w:r w:rsidRPr="00987CCE">
              <w:rPr>
                <w:sz w:val="20"/>
              </w:rPr>
              <w:t>16.5</w:t>
            </w:r>
          </w:p>
        </w:tc>
      </w:tr>
      <w:tr w:rsidR="00987CCE" w:rsidTr="00042A6F">
        <w:trPr>
          <w:jc w:val="center"/>
        </w:trPr>
        <w:tc>
          <w:tcPr>
            <w:tcW w:w="3256" w:type="dxa"/>
            <w:vAlign w:val="center"/>
          </w:tcPr>
          <w:p w:rsidR="00987CCE" w:rsidRPr="00BF1096" w:rsidRDefault="00987CCE" w:rsidP="00987CCE">
            <w:pPr>
              <w:pStyle w:val="Textoindependiente"/>
              <w:spacing w:line="241" w:lineRule="auto"/>
              <w:ind w:left="0" w:right="197"/>
              <w:jc w:val="both"/>
              <w:rPr>
                <w:sz w:val="20"/>
              </w:rPr>
            </w:pPr>
            <w:r w:rsidRPr="00BF1096">
              <w:rPr>
                <w:sz w:val="20"/>
              </w:rPr>
              <w:t xml:space="preserve">  Tlaxcala</w:t>
            </w:r>
          </w:p>
        </w:tc>
        <w:tc>
          <w:tcPr>
            <w:tcW w:w="2272" w:type="dxa"/>
            <w:vAlign w:val="bottom"/>
          </w:tcPr>
          <w:p w:rsidR="00987CCE" w:rsidRPr="006E6104" w:rsidRDefault="00987CCE" w:rsidP="00987CCE">
            <w:pPr>
              <w:pStyle w:val="Textoindependiente"/>
              <w:spacing w:line="241" w:lineRule="auto"/>
              <w:ind w:left="0" w:right="197"/>
              <w:jc w:val="right"/>
              <w:rPr>
                <w:sz w:val="20"/>
              </w:rPr>
            </w:pPr>
            <w:r w:rsidRPr="006E6104">
              <w:rPr>
                <w:sz w:val="20"/>
              </w:rPr>
              <w:t>90.0</w:t>
            </w:r>
          </w:p>
        </w:tc>
        <w:tc>
          <w:tcPr>
            <w:tcW w:w="2122" w:type="dxa"/>
            <w:vAlign w:val="bottom"/>
          </w:tcPr>
          <w:p w:rsidR="00987CCE" w:rsidRPr="00987CCE" w:rsidRDefault="00987CCE" w:rsidP="00987CCE">
            <w:pPr>
              <w:pStyle w:val="Textoindependiente"/>
              <w:spacing w:line="241" w:lineRule="auto"/>
              <w:ind w:left="0" w:right="197"/>
              <w:jc w:val="right"/>
              <w:rPr>
                <w:sz w:val="20"/>
              </w:rPr>
            </w:pPr>
            <w:r w:rsidRPr="00987CCE">
              <w:rPr>
                <w:sz w:val="20"/>
              </w:rPr>
              <w:t>10.0</w:t>
            </w:r>
          </w:p>
        </w:tc>
      </w:tr>
    </w:tbl>
    <w:p w:rsidR="001629E0" w:rsidRPr="005124C3" w:rsidRDefault="001629E0" w:rsidP="001629E0">
      <w:pPr>
        <w:pStyle w:val="Textoindependiente"/>
        <w:spacing w:line="241" w:lineRule="auto"/>
        <w:ind w:left="1418" w:right="197"/>
        <w:jc w:val="both"/>
        <w:rPr>
          <w:sz w:val="20"/>
        </w:rPr>
      </w:pPr>
      <w:r w:rsidRPr="005124C3">
        <w:rPr>
          <w:sz w:val="20"/>
        </w:rPr>
        <w:t>Fuente: INEGI.</w:t>
      </w:r>
    </w:p>
    <w:p w:rsidR="00416432" w:rsidRDefault="00416432" w:rsidP="000B22A3">
      <w:pPr>
        <w:pStyle w:val="Ttulo11"/>
        <w:ind w:left="0" w:right="32"/>
        <w:jc w:val="both"/>
        <w:rPr>
          <w:b w:val="0"/>
        </w:rPr>
      </w:pPr>
    </w:p>
    <w:p w:rsidR="000B22A3" w:rsidRDefault="000B22A3" w:rsidP="000B22A3">
      <w:pPr>
        <w:pStyle w:val="Ttulo11"/>
        <w:ind w:left="0" w:right="32"/>
        <w:jc w:val="both"/>
        <w:rPr>
          <w:b w:val="0"/>
        </w:rPr>
      </w:pPr>
      <w:r>
        <w:rPr>
          <w:b w:val="0"/>
        </w:rPr>
        <w:t xml:space="preserve">En siete entidades federativas los establecimientos con afectaciones ya han recibido </w:t>
      </w:r>
      <w:r w:rsidR="0023310A">
        <w:rPr>
          <w:b w:val="0"/>
        </w:rPr>
        <w:t xml:space="preserve">algún </w:t>
      </w:r>
      <w:r>
        <w:rPr>
          <w:b w:val="0"/>
        </w:rPr>
        <w:t>apoyo</w:t>
      </w:r>
      <w:r w:rsidR="0023310A">
        <w:rPr>
          <w:b w:val="0"/>
        </w:rPr>
        <w:t xml:space="preserve"> o ayuda</w:t>
      </w:r>
      <w:r>
        <w:rPr>
          <w:b w:val="0"/>
        </w:rPr>
        <w:t>, situación que se presenta en 18.9% en la Ciudad de México, 15.1% en Morelos, 12.</w:t>
      </w:r>
      <w:r w:rsidR="0029621B">
        <w:rPr>
          <w:b w:val="0"/>
        </w:rPr>
        <w:t>7</w:t>
      </w:r>
      <w:r>
        <w:rPr>
          <w:b w:val="0"/>
        </w:rPr>
        <w:t xml:space="preserve">% en Tlaxcala, 10.5% en Oaxaca, 10.0% en Puebla, 5.7% en México, </w:t>
      </w:r>
      <w:r w:rsidR="00CF5FAF">
        <w:rPr>
          <w:b w:val="0"/>
        </w:rPr>
        <w:t xml:space="preserve">y </w:t>
      </w:r>
      <w:r>
        <w:rPr>
          <w:b w:val="0"/>
        </w:rPr>
        <w:t xml:space="preserve">1.4% en Chiapas. En la única entidad </w:t>
      </w:r>
      <w:r w:rsidR="0023310A">
        <w:rPr>
          <w:b w:val="0"/>
        </w:rPr>
        <w:t xml:space="preserve">federativa </w:t>
      </w:r>
      <w:r>
        <w:rPr>
          <w:b w:val="0"/>
        </w:rPr>
        <w:t>en la que las unidades e</w:t>
      </w:r>
      <w:r w:rsidR="001A61DC">
        <w:rPr>
          <w:b w:val="0"/>
        </w:rPr>
        <w:t>conómicas no han recibido ayuda</w:t>
      </w:r>
      <w:r>
        <w:rPr>
          <w:b w:val="0"/>
        </w:rPr>
        <w:t xml:space="preserve"> es Guerrero. </w:t>
      </w:r>
    </w:p>
    <w:p w:rsidR="00677AA8" w:rsidRDefault="00C01372" w:rsidP="007F6050">
      <w:pPr>
        <w:pStyle w:val="Ttulo11"/>
        <w:ind w:left="0" w:right="32"/>
        <w:jc w:val="center"/>
        <w:rPr>
          <w:b w:val="0"/>
        </w:rPr>
      </w:pPr>
      <w:r>
        <w:rPr>
          <w:b w:val="0"/>
        </w:rPr>
        <w:lastRenderedPageBreak/>
        <w:t>Gráfica 8</w:t>
      </w:r>
    </w:p>
    <w:p w:rsidR="00EF2398" w:rsidRDefault="00987CCE" w:rsidP="00987CCE">
      <w:pPr>
        <w:pStyle w:val="Ttulo11"/>
        <w:ind w:left="0" w:right="32"/>
        <w:jc w:val="center"/>
      </w:pPr>
      <w:r w:rsidRPr="00AE5CE7">
        <w:t xml:space="preserve">Estructura porcentual de los establecimientos que han recibido apoyos para </w:t>
      </w:r>
    </w:p>
    <w:p w:rsidR="00987CCE" w:rsidRPr="00AE5CE7" w:rsidRDefault="00987CCE" w:rsidP="00987CCE">
      <w:pPr>
        <w:pStyle w:val="Ttulo11"/>
        <w:ind w:left="0" w:right="32"/>
        <w:jc w:val="center"/>
      </w:pPr>
      <w:proofErr w:type="gramStart"/>
      <w:r w:rsidRPr="00AE5CE7">
        <w:t>cubrir</w:t>
      </w:r>
      <w:proofErr w:type="gramEnd"/>
      <w:r w:rsidRPr="00AE5CE7">
        <w:t xml:space="preserve"> </w:t>
      </w:r>
      <w:r w:rsidR="00EF2398">
        <w:t>las afectaciones</w:t>
      </w:r>
      <w:r w:rsidRPr="00AE5CE7">
        <w:t xml:space="preserve"> por </w:t>
      </w:r>
      <w:r>
        <w:t>entidad federativa</w:t>
      </w:r>
    </w:p>
    <w:p w:rsidR="007F6050" w:rsidRDefault="00283EFE" w:rsidP="00A157EB">
      <w:pPr>
        <w:jc w:val="center"/>
        <w:rPr>
          <w:rFonts w:ascii="Arial" w:hAnsi="Arial" w:cs="Arial"/>
          <w:b/>
          <w:sz w:val="24"/>
          <w:szCs w:val="24"/>
          <w:lang w:val="es-ES"/>
        </w:rPr>
      </w:pPr>
      <w:r w:rsidRPr="00DF5AAF">
        <w:rPr>
          <w:noProof/>
          <w:lang w:eastAsia="es-MX"/>
        </w:rPr>
        <w:drawing>
          <wp:inline distT="0" distB="0" distL="0" distR="0" wp14:anchorId="1666D86C" wp14:editId="028977C9">
            <wp:extent cx="5609492" cy="2582266"/>
            <wp:effectExtent l="0" t="0" r="0" b="8890"/>
            <wp:docPr id="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620472" cy="2587321"/>
                    </a:xfrm>
                    <a:prstGeom prst="rect">
                      <a:avLst/>
                    </a:prstGeom>
                    <a:noFill/>
                    <a:ln w="9525">
                      <a:noFill/>
                      <a:miter lim="800000"/>
                      <a:headEnd/>
                      <a:tailEnd/>
                    </a:ln>
                  </pic:spPr>
                </pic:pic>
              </a:graphicData>
            </a:graphic>
          </wp:inline>
        </w:drawing>
      </w:r>
    </w:p>
    <w:p w:rsidR="00131EC3" w:rsidRDefault="00131EC3" w:rsidP="00FB5C28">
      <w:pPr>
        <w:rPr>
          <w:rFonts w:ascii="Arial" w:hAnsi="Arial" w:cs="Arial"/>
          <w:b/>
          <w:sz w:val="24"/>
          <w:szCs w:val="24"/>
          <w:lang w:val="es-ES"/>
        </w:rPr>
      </w:pPr>
    </w:p>
    <w:p w:rsidR="001629E0" w:rsidRPr="005124C3" w:rsidRDefault="001629E0" w:rsidP="001629E0">
      <w:pPr>
        <w:pStyle w:val="Textoindependiente"/>
        <w:spacing w:line="241" w:lineRule="auto"/>
        <w:ind w:left="284" w:right="197"/>
        <w:jc w:val="both"/>
        <w:rPr>
          <w:sz w:val="20"/>
        </w:rPr>
      </w:pPr>
      <w:r w:rsidRPr="005124C3">
        <w:rPr>
          <w:sz w:val="20"/>
        </w:rPr>
        <w:t>Fuente: INEGI.</w:t>
      </w:r>
    </w:p>
    <w:p w:rsidR="00EF2398" w:rsidRDefault="00EF2398" w:rsidP="006C7456">
      <w:pPr>
        <w:jc w:val="both"/>
        <w:rPr>
          <w:rFonts w:ascii="Arial" w:hAnsi="Arial" w:cs="Arial"/>
          <w:sz w:val="24"/>
          <w:szCs w:val="24"/>
          <w:lang w:val="es-ES"/>
        </w:rPr>
      </w:pPr>
    </w:p>
    <w:p w:rsidR="00306B2F" w:rsidRDefault="00306B2F" w:rsidP="00306B2F">
      <w:pPr>
        <w:jc w:val="both"/>
        <w:rPr>
          <w:rFonts w:ascii="Arial" w:hAnsi="Arial" w:cs="Arial"/>
          <w:sz w:val="24"/>
          <w:szCs w:val="24"/>
          <w:lang w:val="es-ES"/>
        </w:rPr>
      </w:pPr>
      <w:r>
        <w:rPr>
          <w:rFonts w:ascii="Arial" w:hAnsi="Arial" w:cs="Arial"/>
          <w:sz w:val="24"/>
          <w:szCs w:val="24"/>
          <w:lang w:val="es-ES"/>
        </w:rPr>
        <w:t>Las entidades federativas en las que se registra un mayor porcentaje de suspensión de actividades de los estableci</w:t>
      </w:r>
      <w:r w:rsidR="00F14879">
        <w:rPr>
          <w:rFonts w:ascii="Arial" w:hAnsi="Arial" w:cs="Arial"/>
          <w:sz w:val="24"/>
          <w:szCs w:val="24"/>
          <w:lang w:val="es-ES"/>
        </w:rPr>
        <w:t>mientos son</w:t>
      </w:r>
      <w:r>
        <w:rPr>
          <w:rFonts w:ascii="Arial" w:hAnsi="Arial" w:cs="Arial"/>
          <w:sz w:val="24"/>
          <w:szCs w:val="24"/>
          <w:lang w:val="es-ES"/>
        </w:rPr>
        <w:t xml:space="preserve"> Morelos con 55.2%, le sigue Ciudad de México 48.9% y Puebla 47.5 por ciento.</w:t>
      </w:r>
    </w:p>
    <w:p w:rsidR="00306B2F" w:rsidRDefault="00306B2F" w:rsidP="00306B2F">
      <w:pPr>
        <w:jc w:val="both"/>
        <w:rPr>
          <w:rFonts w:ascii="Arial" w:hAnsi="Arial" w:cs="Arial"/>
          <w:sz w:val="24"/>
          <w:szCs w:val="24"/>
          <w:lang w:val="es-ES"/>
        </w:rPr>
      </w:pPr>
    </w:p>
    <w:p w:rsidR="00306B2F" w:rsidRPr="00C01372" w:rsidRDefault="00306B2F" w:rsidP="00306B2F">
      <w:pPr>
        <w:jc w:val="center"/>
        <w:rPr>
          <w:rFonts w:ascii="Arial" w:hAnsi="Arial" w:cs="Arial"/>
          <w:sz w:val="24"/>
          <w:szCs w:val="24"/>
          <w:lang w:val="es-ES"/>
        </w:rPr>
      </w:pPr>
      <w:r>
        <w:rPr>
          <w:rFonts w:ascii="Arial" w:hAnsi="Arial" w:cs="Arial"/>
          <w:sz w:val="24"/>
          <w:szCs w:val="24"/>
          <w:lang w:val="es-ES"/>
        </w:rPr>
        <w:t>Gráfica 9</w:t>
      </w:r>
    </w:p>
    <w:p w:rsidR="00306B2F" w:rsidRDefault="00306B2F" w:rsidP="00306B2F">
      <w:pPr>
        <w:jc w:val="center"/>
        <w:rPr>
          <w:rFonts w:ascii="Arial" w:hAnsi="Arial" w:cs="Arial"/>
          <w:b/>
          <w:sz w:val="24"/>
          <w:szCs w:val="24"/>
          <w:lang w:val="es-ES"/>
        </w:rPr>
      </w:pPr>
      <w:r w:rsidRPr="002F31A7">
        <w:rPr>
          <w:rFonts w:ascii="Arial" w:hAnsi="Arial" w:cs="Arial"/>
          <w:b/>
          <w:sz w:val="24"/>
          <w:szCs w:val="24"/>
          <w:lang w:val="es-ES"/>
        </w:rPr>
        <w:t xml:space="preserve">Estructura porcentual de los establecimientos que suspendieron </w:t>
      </w:r>
    </w:p>
    <w:p w:rsidR="00306B2F" w:rsidRDefault="00306B2F" w:rsidP="00306B2F">
      <w:pPr>
        <w:jc w:val="center"/>
        <w:rPr>
          <w:rFonts w:ascii="Arial" w:hAnsi="Arial" w:cs="Arial"/>
          <w:b/>
          <w:sz w:val="24"/>
          <w:szCs w:val="24"/>
          <w:lang w:val="es-ES"/>
        </w:rPr>
      </w:pPr>
      <w:proofErr w:type="gramStart"/>
      <w:r w:rsidRPr="002F31A7">
        <w:rPr>
          <w:rFonts w:ascii="Arial" w:hAnsi="Arial" w:cs="Arial"/>
          <w:b/>
          <w:sz w:val="24"/>
          <w:szCs w:val="24"/>
          <w:lang w:val="es-ES"/>
        </w:rPr>
        <w:t>actividades</w:t>
      </w:r>
      <w:proofErr w:type="gramEnd"/>
      <w:r w:rsidRPr="002F31A7">
        <w:rPr>
          <w:rFonts w:ascii="Arial" w:hAnsi="Arial" w:cs="Arial"/>
          <w:b/>
          <w:sz w:val="24"/>
          <w:szCs w:val="24"/>
          <w:lang w:val="es-ES"/>
        </w:rPr>
        <w:t xml:space="preserve"> por </w:t>
      </w:r>
      <w:r>
        <w:rPr>
          <w:rFonts w:ascii="Arial" w:hAnsi="Arial" w:cs="Arial"/>
          <w:b/>
          <w:sz w:val="24"/>
          <w:szCs w:val="24"/>
          <w:lang w:val="es-ES"/>
        </w:rPr>
        <w:t>entidad federativa</w:t>
      </w:r>
    </w:p>
    <w:p w:rsidR="00EF2398" w:rsidRDefault="00EF2398" w:rsidP="006C7456">
      <w:pPr>
        <w:jc w:val="both"/>
        <w:rPr>
          <w:rFonts w:ascii="Arial" w:hAnsi="Arial" w:cs="Arial"/>
          <w:sz w:val="24"/>
          <w:szCs w:val="24"/>
          <w:lang w:val="es-ES"/>
        </w:rPr>
      </w:pPr>
    </w:p>
    <w:p w:rsidR="005F4726" w:rsidRDefault="00306B2F" w:rsidP="00306B2F">
      <w:pPr>
        <w:jc w:val="center"/>
        <w:rPr>
          <w:rFonts w:ascii="Arial" w:hAnsi="Arial" w:cs="Arial"/>
          <w:sz w:val="24"/>
          <w:szCs w:val="24"/>
          <w:lang w:val="es-ES"/>
        </w:rPr>
      </w:pPr>
      <w:r w:rsidRPr="00717050">
        <w:rPr>
          <w:noProof/>
          <w:lang w:eastAsia="es-MX"/>
        </w:rPr>
        <w:drawing>
          <wp:inline distT="0" distB="0" distL="0" distR="0" wp14:anchorId="00C2BC9B" wp14:editId="49CA269A">
            <wp:extent cx="5612130" cy="2749954"/>
            <wp:effectExtent l="19050" t="0" r="7620" b="0"/>
            <wp:docPr id="1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5612130" cy="2749954"/>
                    </a:xfrm>
                    <a:prstGeom prst="rect">
                      <a:avLst/>
                    </a:prstGeom>
                    <a:noFill/>
                    <a:ln w="9525">
                      <a:noFill/>
                      <a:miter lim="800000"/>
                      <a:headEnd/>
                      <a:tailEnd/>
                    </a:ln>
                  </pic:spPr>
                </pic:pic>
              </a:graphicData>
            </a:graphic>
          </wp:inline>
        </w:drawing>
      </w:r>
    </w:p>
    <w:p w:rsidR="00EF2398" w:rsidRDefault="00EF2398" w:rsidP="000119CC">
      <w:pPr>
        <w:jc w:val="center"/>
        <w:rPr>
          <w:rFonts w:ascii="Arial" w:hAnsi="Arial" w:cs="Arial"/>
          <w:sz w:val="24"/>
          <w:szCs w:val="24"/>
          <w:lang w:val="es-ES"/>
        </w:rPr>
      </w:pPr>
    </w:p>
    <w:p w:rsidR="00306B2F" w:rsidRPr="005124C3" w:rsidRDefault="00306B2F" w:rsidP="00306B2F">
      <w:pPr>
        <w:pStyle w:val="Textoindependiente"/>
        <w:spacing w:line="241" w:lineRule="auto"/>
        <w:ind w:left="1560" w:right="197"/>
        <w:jc w:val="both"/>
        <w:rPr>
          <w:sz w:val="20"/>
        </w:rPr>
      </w:pPr>
      <w:r w:rsidRPr="005124C3">
        <w:rPr>
          <w:sz w:val="20"/>
        </w:rPr>
        <w:t>Fuente: INEGI.</w:t>
      </w:r>
    </w:p>
    <w:p w:rsidR="00EF2398" w:rsidRDefault="00EF2398" w:rsidP="000119CC">
      <w:pPr>
        <w:jc w:val="center"/>
        <w:rPr>
          <w:rFonts w:ascii="Arial" w:hAnsi="Arial" w:cs="Arial"/>
          <w:sz w:val="24"/>
          <w:szCs w:val="24"/>
          <w:lang w:val="es-ES"/>
        </w:rPr>
      </w:pPr>
    </w:p>
    <w:p w:rsidR="00AF4C29" w:rsidRDefault="00AF4C29" w:rsidP="000119CC">
      <w:pPr>
        <w:jc w:val="center"/>
        <w:rPr>
          <w:rFonts w:ascii="Arial" w:hAnsi="Arial" w:cs="Arial"/>
          <w:sz w:val="24"/>
          <w:szCs w:val="24"/>
          <w:lang w:val="es-ES"/>
        </w:rPr>
      </w:pPr>
    </w:p>
    <w:p w:rsidR="00306B2F" w:rsidRDefault="00306B2F" w:rsidP="00306B2F">
      <w:pPr>
        <w:jc w:val="both"/>
        <w:rPr>
          <w:rFonts w:ascii="Arial" w:hAnsi="Arial" w:cs="Arial"/>
          <w:sz w:val="24"/>
          <w:szCs w:val="24"/>
          <w:lang w:val="es-ES"/>
        </w:rPr>
      </w:pPr>
      <w:r>
        <w:rPr>
          <w:rFonts w:ascii="Arial" w:hAnsi="Arial" w:cs="Arial"/>
          <w:sz w:val="24"/>
          <w:szCs w:val="24"/>
          <w:lang w:val="es-ES"/>
        </w:rPr>
        <w:t>En las ocho entidades federativas sobresalen las unidades económicas que suspendieron actividades productivas un solo día, tal situación fue reportada por 49.5% de los establecimientos de Morelos, 48.5% en Puebla, 47.9% en Ciudad de México, 46.9% en Tlaxcala, 42.0% en Chiapas, 38.1% en México, 35.4% Oaxaca y 31.3% en Guerrero.</w:t>
      </w:r>
    </w:p>
    <w:p w:rsidR="00306B2F" w:rsidRDefault="00306B2F" w:rsidP="00306B2F">
      <w:pPr>
        <w:jc w:val="both"/>
        <w:rPr>
          <w:rFonts w:ascii="Arial" w:hAnsi="Arial" w:cs="Arial"/>
          <w:sz w:val="24"/>
          <w:szCs w:val="24"/>
          <w:lang w:val="es-ES"/>
        </w:rPr>
      </w:pPr>
    </w:p>
    <w:p w:rsidR="00306B2F" w:rsidRDefault="00306B2F" w:rsidP="00306B2F">
      <w:pPr>
        <w:jc w:val="both"/>
        <w:rPr>
          <w:rFonts w:ascii="Arial" w:hAnsi="Arial" w:cs="Arial"/>
          <w:b/>
          <w:sz w:val="24"/>
          <w:szCs w:val="24"/>
          <w:lang w:val="es-ES"/>
        </w:rPr>
      </w:pPr>
      <w:r>
        <w:rPr>
          <w:rFonts w:ascii="Arial" w:hAnsi="Arial" w:cs="Arial"/>
          <w:sz w:val="24"/>
          <w:szCs w:val="24"/>
          <w:lang w:val="es-ES"/>
        </w:rPr>
        <w:t>Los establecimientos que informan haber suspendido más de tres días en Chiapas, México, Morelos, Oaxaca, Puebla y Tlaxcala superan el 20.0%; por su parte, en Ciudad de México y Guerrero la suspensión de más de tres días se encuentra por debajo de dicho porcentaje.</w:t>
      </w:r>
    </w:p>
    <w:p w:rsidR="00C01372" w:rsidRDefault="00C01372" w:rsidP="000119CC">
      <w:pPr>
        <w:jc w:val="center"/>
        <w:rPr>
          <w:rFonts w:ascii="Arial" w:hAnsi="Arial" w:cs="Arial"/>
          <w:sz w:val="24"/>
          <w:szCs w:val="24"/>
          <w:lang w:val="es-ES"/>
        </w:rPr>
      </w:pPr>
    </w:p>
    <w:p w:rsidR="00732348" w:rsidRPr="000119CC" w:rsidRDefault="00306B2F" w:rsidP="000119CC">
      <w:pPr>
        <w:jc w:val="center"/>
        <w:rPr>
          <w:rFonts w:ascii="Arial" w:hAnsi="Arial" w:cs="Arial"/>
          <w:sz w:val="24"/>
          <w:szCs w:val="24"/>
          <w:lang w:val="es-ES"/>
        </w:rPr>
      </w:pPr>
      <w:r>
        <w:rPr>
          <w:rFonts w:ascii="Arial" w:hAnsi="Arial" w:cs="Arial"/>
          <w:sz w:val="24"/>
          <w:szCs w:val="24"/>
          <w:lang w:val="es-ES"/>
        </w:rPr>
        <w:t>Gráfica 10</w:t>
      </w:r>
    </w:p>
    <w:p w:rsidR="000119CC" w:rsidRDefault="000119CC" w:rsidP="000119CC">
      <w:pPr>
        <w:pStyle w:val="Ttulo11"/>
        <w:ind w:left="0" w:right="32"/>
        <w:jc w:val="center"/>
      </w:pPr>
      <w:r w:rsidRPr="00E40F54">
        <w:t>Estructura porcentual del número</w:t>
      </w:r>
      <w:r>
        <w:t xml:space="preserve"> </w:t>
      </w:r>
      <w:r w:rsidRPr="00E40F54">
        <w:t xml:space="preserve">de establecimientos </w:t>
      </w:r>
      <w:r>
        <w:t xml:space="preserve">que suspendieron </w:t>
      </w:r>
    </w:p>
    <w:p w:rsidR="000119CC" w:rsidRDefault="000119CC" w:rsidP="000119CC">
      <w:pPr>
        <w:pStyle w:val="Ttulo11"/>
        <w:ind w:left="0" w:right="32"/>
        <w:jc w:val="center"/>
      </w:pPr>
      <w:proofErr w:type="gramStart"/>
      <w:r>
        <w:t>actividades</w:t>
      </w:r>
      <w:proofErr w:type="gramEnd"/>
      <w:r>
        <w:t xml:space="preserve"> debido a los sismos por </w:t>
      </w:r>
      <w:r w:rsidR="001A61DC">
        <w:t>entidad federativa</w:t>
      </w:r>
    </w:p>
    <w:p w:rsidR="000119CC" w:rsidRDefault="00B202EB" w:rsidP="00131EC3">
      <w:pPr>
        <w:jc w:val="center"/>
        <w:rPr>
          <w:rFonts w:ascii="Arial" w:hAnsi="Arial" w:cs="Arial"/>
          <w:b/>
          <w:sz w:val="24"/>
          <w:szCs w:val="24"/>
          <w:lang w:val="es-ES"/>
        </w:rPr>
      </w:pPr>
      <w:r w:rsidRPr="00062796">
        <w:rPr>
          <w:noProof/>
          <w:lang w:eastAsia="es-MX"/>
        </w:rPr>
        <w:drawing>
          <wp:inline distT="0" distB="0" distL="0" distR="0" wp14:anchorId="4A456A98" wp14:editId="641725AE">
            <wp:extent cx="5612130" cy="2556070"/>
            <wp:effectExtent l="19050" t="0" r="762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612130" cy="2556070"/>
                    </a:xfrm>
                    <a:prstGeom prst="rect">
                      <a:avLst/>
                    </a:prstGeom>
                    <a:noFill/>
                    <a:ln w="9525">
                      <a:noFill/>
                      <a:miter lim="800000"/>
                      <a:headEnd/>
                      <a:tailEnd/>
                    </a:ln>
                  </pic:spPr>
                </pic:pic>
              </a:graphicData>
            </a:graphic>
          </wp:inline>
        </w:drawing>
      </w:r>
    </w:p>
    <w:p w:rsidR="001629E0" w:rsidRPr="005124C3" w:rsidRDefault="001629E0" w:rsidP="001629E0">
      <w:pPr>
        <w:pStyle w:val="Textoindependiente"/>
        <w:spacing w:line="241" w:lineRule="auto"/>
        <w:ind w:left="993" w:right="197"/>
        <w:jc w:val="both"/>
        <w:rPr>
          <w:sz w:val="20"/>
        </w:rPr>
      </w:pPr>
      <w:r w:rsidRPr="005124C3">
        <w:rPr>
          <w:sz w:val="20"/>
        </w:rPr>
        <w:t>Fuente: INEGI.</w:t>
      </w:r>
    </w:p>
    <w:p w:rsidR="001629E0" w:rsidRDefault="001629E0" w:rsidP="001A61DC">
      <w:pPr>
        <w:jc w:val="both"/>
        <w:rPr>
          <w:rFonts w:ascii="Arial" w:hAnsi="Arial" w:cs="Arial"/>
          <w:sz w:val="24"/>
          <w:szCs w:val="24"/>
          <w:lang w:val="es-ES"/>
        </w:rPr>
      </w:pPr>
    </w:p>
    <w:p w:rsidR="001A61DC" w:rsidRDefault="001A61DC" w:rsidP="001A61DC">
      <w:pPr>
        <w:jc w:val="both"/>
        <w:rPr>
          <w:rFonts w:ascii="Arial" w:hAnsi="Arial" w:cs="Arial"/>
          <w:sz w:val="24"/>
          <w:szCs w:val="24"/>
          <w:lang w:val="es-ES"/>
        </w:rPr>
      </w:pPr>
      <w:r>
        <w:rPr>
          <w:rFonts w:ascii="Arial" w:hAnsi="Arial" w:cs="Arial"/>
          <w:sz w:val="24"/>
          <w:szCs w:val="24"/>
          <w:lang w:val="es-ES"/>
        </w:rPr>
        <w:t>En cuanto al tema de las acciones de colaboración para la atención de la emergencia ocasionada por el desastre natural, principalmente se tienen las aportaciones monetarias o en especie realizadas por las unidades económicas, sobresaliendo 56.9% en México. En el resto de las entidades el porcentaje de colaboración mediante este rubro rebasa 40.0 por ciento.</w:t>
      </w:r>
    </w:p>
    <w:p w:rsidR="001A61DC" w:rsidRDefault="001A61DC" w:rsidP="001A61DC">
      <w:pPr>
        <w:jc w:val="both"/>
        <w:rPr>
          <w:rFonts w:ascii="Arial" w:hAnsi="Arial" w:cs="Arial"/>
          <w:sz w:val="24"/>
          <w:szCs w:val="24"/>
          <w:lang w:val="es-ES"/>
        </w:rPr>
      </w:pPr>
    </w:p>
    <w:p w:rsidR="00306B2F" w:rsidRDefault="00306B2F" w:rsidP="00306B2F">
      <w:pPr>
        <w:jc w:val="both"/>
        <w:rPr>
          <w:rFonts w:ascii="Arial" w:hAnsi="Arial" w:cs="Arial"/>
          <w:sz w:val="24"/>
          <w:szCs w:val="24"/>
          <w:lang w:val="es-ES"/>
        </w:rPr>
      </w:pPr>
      <w:r>
        <w:rPr>
          <w:rFonts w:ascii="Arial" w:hAnsi="Arial" w:cs="Arial"/>
          <w:sz w:val="24"/>
          <w:szCs w:val="24"/>
          <w:lang w:val="es-ES"/>
        </w:rPr>
        <w:t>Cabe señalar, que algunos establecimientos reportan servir como albergue o centro de acopio, en Tlaxcala se presenta 15.4%, Morelos 11.5%, México 10.3%, Ciudad de México 8.9%, Oaxaca 8.8%, Guerrero y Puebla 8.7% cada una, finalmente Chiapas 4.9 por ciento.</w:t>
      </w:r>
    </w:p>
    <w:p w:rsidR="00AF4C29" w:rsidRDefault="00AF4C29">
      <w:pPr>
        <w:rPr>
          <w:rFonts w:ascii="Arial" w:hAnsi="Arial" w:cs="Arial"/>
          <w:sz w:val="24"/>
          <w:szCs w:val="24"/>
          <w:lang w:val="es-ES"/>
        </w:rPr>
      </w:pPr>
      <w:r>
        <w:rPr>
          <w:rFonts w:ascii="Arial" w:hAnsi="Arial" w:cs="Arial"/>
          <w:sz w:val="24"/>
          <w:szCs w:val="24"/>
          <w:lang w:val="es-ES"/>
        </w:rPr>
        <w:br w:type="page"/>
      </w:r>
    </w:p>
    <w:p w:rsidR="000119CC" w:rsidRPr="00677AA8" w:rsidRDefault="00306B2F" w:rsidP="006678CF">
      <w:pPr>
        <w:jc w:val="center"/>
        <w:rPr>
          <w:rFonts w:ascii="Arial" w:hAnsi="Arial" w:cs="Arial"/>
          <w:sz w:val="24"/>
          <w:szCs w:val="24"/>
          <w:lang w:val="es-ES"/>
        </w:rPr>
      </w:pPr>
      <w:r>
        <w:rPr>
          <w:rFonts w:ascii="Arial" w:hAnsi="Arial" w:cs="Arial"/>
          <w:sz w:val="24"/>
          <w:szCs w:val="24"/>
          <w:lang w:val="es-ES"/>
        </w:rPr>
        <w:lastRenderedPageBreak/>
        <w:t>Gráfica 11</w:t>
      </w:r>
    </w:p>
    <w:p w:rsidR="000119CC" w:rsidRDefault="000119CC" w:rsidP="000119CC">
      <w:pPr>
        <w:jc w:val="center"/>
        <w:rPr>
          <w:rFonts w:ascii="Arial" w:hAnsi="Arial" w:cs="Arial"/>
          <w:b/>
          <w:sz w:val="24"/>
          <w:szCs w:val="24"/>
          <w:lang w:val="es-ES"/>
        </w:rPr>
      </w:pPr>
      <w:r w:rsidRPr="00356A19">
        <w:rPr>
          <w:rFonts w:ascii="Arial" w:hAnsi="Arial" w:cs="Arial"/>
          <w:b/>
          <w:sz w:val="24"/>
          <w:szCs w:val="24"/>
          <w:lang w:val="es-ES"/>
        </w:rPr>
        <w:t>Estructura porcentual del número de establecimientos que han realizado</w:t>
      </w:r>
      <w:r>
        <w:rPr>
          <w:rFonts w:ascii="Arial" w:hAnsi="Arial" w:cs="Arial"/>
          <w:b/>
          <w:sz w:val="24"/>
          <w:szCs w:val="24"/>
          <w:lang w:val="es-ES"/>
        </w:rPr>
        <w:t xml:space="preserve"> </w:t>
      </w:r>
      <w:r w:rsidRPr="00356A19">
        <w:rPr>
          <w:rFonts w:ascii="Arial" w:hAnsi="Arial" w:cs="Arial"/>
          <w:b/>
          <w:sz w:val="24"/>
          <w:szCs w:val="24"/>
          <w:lang w:val="es-ES"/>
        </w:rPr>
        <w:t xml:space="preserve">acciones </w:t>
      </w:r>
    </w:p>
    <w:p w:rsidR="00CC58B2" w:rsidRDefault="000119CC" w:rsidP="000119CC">
      <w:pPr>
        <w:jc w:val="center"/>
        <w:rPr>
          <w:rFonts w:ascii="Arial" w:hAnsi="Arial" w:cs="Arial"/>
          <w:b/>
          <w:sz w:val="24"/>
          <w:szCs w:val="24"/>
          <w:lang w:val="es-ES"/>
        </w:rPr>
      </w:pPr>
      <w:proofErr w:type="gramStart"/>
      <w:r w:rsidRPr="00356A19">
        <w:rPr>
          <w:rFonts w:ascii="Arial" w:hAnsi="Arial" w:cs="Arial"/>
          <w:b/>
          <w:sz w:val="24"/>
          <w:szCs w:val="24"/>
          <w:lang w:val="es-ES"/>
        </w:rPr>
        <w:t>para</w:t>
      </w:r>
      <w:proofErr w:type="gramEnd"/>
      <w:r w:rsidRPr="00356A19">
        <w:rPr>
          <w:rFonts w:ascii="Arial" w:hAnsi="Arial" w:cs="Arial"/>
          <w:b/>
          <w:sz w:val="24"/>
          <w:szCs w:val="24"/>
          <w:lang w:val="es-ES"/>
        </w:rPr>
        <w:t xml:space="preserve"> colaborar en la atención de la emergencia</w:t>
      </w:r>
      <w:r>
        <w:rPr>
          <w:rFonts w:ascii="Arial" w:hAnsi="Arial" w:cs="Arial"/>
          <w:b/>
          <w:sz w:val="24"/>
          <w:szCs w:val="24"/>
          <w:lang w:val="es-ES"/>
        </w:rPr>
        <w:t xml:space="preserve"> por entidad federativa</w:t>
      </w:r>
    </w:p>
    <w:p w:rsidR="000119CC" w:rsidRDefault="000119CC" w:rsidP="000119CC">
      <w:pPr>
        <w:rPr>
          <w:rFonts w:ascii="Arial" w:hAnsi="Arial" w:cs="Arial"/>
          <w:b/>
          <w:sz w:val="24"/>
          <w:szCs w:val="24"/>
          <w:lang w:val="es-ES"/>
        </w:rPr>
      </w:pPr>
    </w:p>
    <w:p w:rsidR="00FB06B3" w:rsidRDefault="005B7E1C" w:rsidP="006678CF">
      <w:pPr>
        <w:jc w:val="center"/>
        <w:rPr>
          <w:rFonts w:ascii="Arial" w:hAnsi="Arial" w:cs="Arial"/>
          <w:b/>
          <w:sz w:val="24"/>
          <w:szCs w:val="24"/>
          <w:lang w:val="es-ES"/>
        </w:rPr>
      </w:pPr>
      <w:r w:rsidRPr="009C1B9B">
        <w:rPr>
          <w:noProof/>
          <w:lang w:eastAsia="es-MX"/>
        </w:rPr>
        <w:drawing>
          <wp:inline distT="0" distB="0" distL="0" distR="0" wp14:anchorId="7D8ACDA1" wp14:editId="50FF8768">
            <wp:extent cx="5612130" cy="2877492"/>
            <wp:effectExtent l="19050" t="0" r="7620" b="0"/>
            <wp:docPr id="1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612130" cy="2877492"/>
                    </a:xfrm>
                    <a:prstGeom prst="rect">
                      <a:avLst/>
                    </a:prstGeom>
                    <a:noFill/>
                    <a:ln w="9525">
                      <a:noFill/>
                      <a:miter lim="800000"/>
                      <a:headEnd/>
                      <a:tailEnd/>
                    </a:ln>
                  </pic:spPr>
                </pic:pic>
              </a:graphicData>
            </a:graphic>
          </wp:inline>
        </w:drawing>
      </w:r>
    </w:p>
    <w:p w:rsidR="001629E0" w:rsidRPr="005124C3" w:rsidRDefault="001629E0" w:rsidP="001629E0">
      <w:pPr>
        <w:pStyle w:val="Textoindependiente"/>
        <w:spacing w:line="241" w:lineRule="auto"/>
        <w:ind w:left="518" w:right="197"/>
        <w:jc w:val="both"/>
        <w:rPr>
          <w:sz w:val="20"/>
        </w:rPr>
      </w:pPr>
      <w:r w:rsidRPr="005124C3">
        <w:rPr>
          <w:sz w:val="20"/>
        </w:rPr>
        <w:t>Fuente: INEGI.</w:t>
      </w:r>
    </w:p>
    <w:p w:rsidR="000D5F17" w:rsidRDefault="000D5F17" w:rsidP="00410991">
      <w:pPr>
        <w:jc w:val="both"/>
        <w:rPr>
          <w:rFonts w:ascii="Arial" w:hAnsi="Arial" w:cs="Arial"/>
          <w:sz w:val="24"/>
          <w:szCs w:val="24"/>
          <w:lang w:val="es-ES"/>
        </w:rPr>
      </w:pPr>
    </w:p>
    <w:p w:rsidR="001A61DC" w:rsidRDefault="001A61DC" w:rsidP="001A61DC">
      <w:pPr>
        <w:jc w:val="both"/>
        <w:rPr>
          <w:rFonts w:ascii="Arial" w:hAnsi="Arial" w:cs="Arial"/>
          <w:sz w:val="24"/>
          <w:szCs w:val="24"/>
          <w:lang w:val="es-ES"/>
        </w:rPr>
      </w:pPr>
      <w:r>
        <w:rPr>
          <w:rFonts w:ascii="Arial" w:hAnsi="Arial" w:cs="Arial"/>
          <w:sz w:val="24"/>
          <w:szCs w:val="24"/>
          <w:lang w:val="es-ES"/>
        </w:rPr>
        <w:t xml:space="preserve">A nivel de entidad federativa y de acuerdo con las </w:t>
      </w:r>
      <w:r w:rsidRPr="005A1559">
        <w:rPr>
          <w:rFonts w:ascii="Arial" w:hAnsi="Arial" w:cs="Arial"/>
          <w:sz w:val="24"/>
          <w:szCs w:val="24"/>
          <w:lang w:val="es-ES"/>
        </w:rPr>
        <w:t>expect</w:t>
      </w:r>
      <w:r>
        <w:rPr>
          <w:rFonts w:ascii="Arial" w:hAnsi="Arial" w:cs="Arial"/>
          <w:sz w:val="24"/>
          <w:szCs w:val="24"/>
          <w:lang w:val="es-ES"/>
        </w:rPr>
        <w:t>ativas de los empresarios referente</w:t>
      </w:r>
      <w:r w:rsidR="008B0EFD">
        <w:rPr>
          <w:rFonts w:ascii="Arial" w:hAnsi="Arial" w:cs="Arial"/>
          <w:sz w:val="24"/>
          <w:szCs w:val="24"/>
          <w:lang w:val="es-ES"/>
        </w:rPr>
        <w:t>s</w:t>
      </w:r>
      <w:r>
        <w:rPr>
          <w:rFonts w:ascii="Arial" w:hAnsi="Arial" w:cs="Arial"/>
          <w:sz w:val="24"/>
          <w:szCs w:val="24"/>
          <w:lang w:val="es-ES"/>
        </w:rPr>
        <w:t xml:space="preserve"> al comportamiento de la actividad</w:t>
      </w:r>
      <w:r w:rsidR="00EF2398">
        <w:rPr>
          <w:rFonts w:ascii="Arial" w:hAnsi="Arial" w:cs="Arial"/>
          <w:sz w:val="24"/>
          <w:szCs w:val="24"/>
          <w:lang w:val="es-ES"/>
        </w:rPr>
        <w:t xml:space="preserve"> económica</w:t>
      </w:r>
      <w:r>
        <w:rPr>
          <w:rFonts w:ascii="Arial" w:hAnsi="Arial" w:cs="Arial"/>
          <w:sz w:val="24"/>
          <w:szCs w:val="24"/>
          <w:lang w:val="es-ES"/>
        </w:rPr>
        <w:t xml:space="preserve"> de sus establecimientos en lo que resta del año, se obtiene que será menor en Morelos 54.2%, Chiapas 50.5%, Oaxaca 49.8%, Puebla 45.8%, Ciudad de México 45.1%, Guerrero 44.9%, México 42.5% y finalmente Tlaxcala 34.7 por ciento.</w:t>
      </w:r>
    </w:p>
    <w:p w:rsidR="001A61DC" w:rsidRDefault="001A61DC" w:rsidP="001A61DC">
      <w:pPr>
        <w:jc w:val="both"/>
        <w:rPr>
          <w:rFonts w:ascii="Arial" w:hAnsi="Arial" w:cs="Arial"/>
          <w:sz w:val="24"/>
          <w:szCs w:val="24"/>
          <w:lang w:val="es-ES"/>
        </w:rPr>
      </w:pPr>
    </w:p>
    <w:p w:rsidR="003E4FC9" w:rsidRPr="00836981" w:rsidRDefault="00306B2F" w:rsidP="003E4FC9">
      <w:pPr>
        <w:jc w:val="center"/>
        <w:rPr>
          <w:rFonts w:ascii="Arial" w:hAnsi="Arial" w:cs="Arial"/>
          <w:sz w:val="24"/>
          <w:szCs w:val="24"/>
          <w:lang w:val="es-ES"/>
        </w:rPr>
      </w:pPr>
      <w:r>
        <w:rPr>
          <w:rFonts w:ascii="Arial" w:hAnsi="Arial" w:cs="Arial"/>
          <w:sz w:val="24"/>
          <w:szCs w:val="24"/>
          <w:lang w:val="es-ES"/>
        </w:rPr>
        <w:t>Gráfica 12</w:t>
      </w:r>
    </w:p>
    <w:p w:rsidR="003E4FC9" w:rsidRDefault="003E4FC9" w:rsidP="003E4FC9">
      <w:pPr>
        <w:jc w:val="center"/>
        <w:rPr>
          <w:rFonts w:ascii="Arial" w:hAnsi="Arial" w:cs="Arial"/>
          <w:b/>
          <w:sz w:val="24"/>
          <w:szCs w:val="24"/>
          <w:lang w:val="es-ES"/>
        </w:rPr>
      </w:pPr>
      <w:r>
        <w:rPr>
          <w:rFonts w:ascii="Arial" w:hAnsi="Arial" w:cs="Arial"/>
          <w:b/>
          <w:sz w:val="24"/>
          <w:szCs w:val="24"/>
          <w:lang w:val="es-ES"/>
        </w:rPr>
        <w:t>Estructura porcentual de las expectativas sobre la actividad económica en el cuarto trimestre de 2017 por entidad federativa</w:t>
      </w:r>
    </w:p>
    <w:p w:rsidR="003671A6" w:rsidRDefault="005B7E1C" w:rsidP="00131EC3">
      <w:pPr>
        <w:jc w:val="center"/>
        <w:rPr>
          <w:rFonts w:ascii="Arial" w:hAnsi="Arial" w:cs="Arial"/>
          <w:b/>
          <w:sz w:val="24"/>
          <w:szCs w:val="24"/>
          <w:lang w:val="es-ES"/>
        </w:rPr>
      </w:pPr>
      <w:r w:rsidRPr="009C1B9B">
        <w:rPr>
          <w:noProof/>
          <w:lang w:eastAsia="es-MX"/>
        </w:rPr>
        <w:drawing>
          <wp:inline distT="0" distB="0" distL="0" distR="0" wp14:anchorId="5DAA7C9F" wp14:editId="707BC91C">
            <wp:extent cx="5612130" cy="2556070"/>
            <wp:effectExtent l="19050" t="0" r="762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5612130" cy="2556070"/>
                    </a:xfrm>
                    <a:prstGeom prst="rect">
                      <a:avLst/>
                    </a:prstGeom>
                    <a:noFill/>
                    <a:ln w="9525">
                      <a:noFill/>
                      <a:miter lim="800000"/>
                      <a:headEnd/>
                      <a:tailEnd/>
                    </a:ln>
                  </pic:spPr>
                </pic:pic>
              </a:graphicData>
            </a:graphic>
          </wp:inline>
        </w:drawing>
      </w:r>
    </w:p>
    <w:p w:rsidR="00131EC3" w:rsidRDefault="00131EC3" w:rsidP="00131EC3">
      <w:pPr>
        <w:jc w:val="center"/>
        <w:rPr>
          <w:rFonts w:ascii="Arial" w:hAnsi="Arial" w:cs="Arial"/>
          <w:b/>
          <w:sz w:val="24"/>
          <w:szCs w:val="24"/>
          <w:lang w:val="es-ES"/>
        </w:rPr>
      </w:pPr>
    </w:p>
    <w:p w:rsidR="001629E0" w:rsidRPr="005124C3" w:rsidRDefault="001629E0" w:rsidP="001629E0">
      <w:pPr>
        <w:pStyle w:val="Textoindependiente"/>
        <w:spacing w:line="241" w:lineRule="auto"/>
        <w:ind w:left="420" w:right="197"/>
        <w:jc w:val="both"/>
        <w:rPr>
          <w:sz w:val="20"/>
        </w:rPr>
      </w:pPr>
      <w:r w:rsidRPr="005124C3">
        <w:rPr>
          <w:sz w:val="20"/>
        </w:rPr>
        <w:t>Fuente: INEGI.</w:t>
      </w:r>
    </w:p>
    <w:p w:rsidR="0008427A" w:rsidRDefault="0008427A" w:rsidP="001629E0">
      <w:pPr>
        <w:jc w:val="both"/>
        <w:rPr>
          <w:rFonts w:ascii="Arial" w:hAnsi="Arial" w:cs="Arial"/>
          <w:sz w:val="24"/>
          <w:szCs w:val="24"/>
          <w:lang w:val="es-ES"/>
        </w:rPr>
      </w:pPr>
    </w:p>
    <w:p w:rsidR="0008427A" w:rsidRDefault="0008427A" w:rsidP="001629E0">
      <w:pPr>
        <w:jc w:val="both"/>
        <w:rPr>
          <w:rFonts w:ascii="Arial" w:hAnsi="Arial" w:cs="Arial"/>
          <w:sz w:val="24"/>
          <w:szCs w:val="24"/>
          <w:lang w:val="es-ES"/>
        </w:rPr>
      </w:pPr>
    </w:p>
    <w:p w:rsidR="001629E0" w:rsidRDefault="001629E0" w:rsidP="001629E0">
      <w:pPr>
        <w:jc w:val="both"/>
        <w:rPr>
          <w:rFonts w:ascii="Arial" w:hAnsi="Arial" w:cs="Arial"/>
          <w:sz w:val="24"/>
          <w:szCs w:val="24"/>
          <w:lang w:val="es-ES"/>
        </w:rPr>
      </w:pPr>
      <w:r>
        <w:rPr>
          <w:rFonts w:ascii="Arial" w:hAnsi="Arial" w:cs="Arial"/>
          <w:sz w:val="24"/>
          <w:szCs w:val="24"/>
          <w:lang w:val="es-ES"/>
        </w:rPr>
        <w:t>En contraste, las expectativas de un mayor nivel de actividad son de 7.9% de los establecimientos en Guerrero, 7.5% en Tlaxcala, 7.0% en Morelos, 6.7% en Oaxaca, 6.4% en México, 6.2% en Chiapas, 6.1% en Puebla y en la Ciudad de México 5.6 por ciento.</w:t>
      </w:r>
    </w:p>
    <w:p w:rsidR="001629E0" w:rsidRDefault="001629E0" w:rsidP="0069001F">
      <w:pPr>
        <w:pStyle w:val="Ttulo11"/>
        <w:ind w:left="0" w:right="7346"/>
        <w:jc w:val="both"/>
        <w:rPr>
          <w:spacing w:val="-6"/>
        </w:rPr>
      </w:pPr>
    </w:p>
    <w:p w:rsidR="0069001F" w:rsidRPr="00732348" w:rsidRDefault="0069001F" w:rsidP="0069001F">
      <w:pPr>
        <w:pStyle w:val="Ttulo11"/>
        <w:ind w:left="0" w:right="7346"/>
        <w:jc w:val="both"/>
        <w:rPr>
          <w:b w:val="0"/>
          <w:bCs w:val="0"/>
        </w:rPr>
      </w:pPr>
      <w:r w:rsidRPr="00732348">
        <w:rPr>
          <w:spacing w:val="-6"/>
        </w:rPr>
        <w:t>A</w:t>
      </w:r>
      <w:r w:rsidRPr="00732348">
        <w:rPr>
          <w:spacing w:val="3"/>
        </w:rPr>
        <w:t>s</w:t>
      </w:r>
      <w:r w:rsidRPr="00732348">
        <w:t>pect</w:t>
      </w:r>
      <w:r w:rsidRPr="00732348">
        <w:rPr>
          <w:spacing w:val="-1"/>
        </w:rPr>
        <w:t>o</w:t>
      </w:r>
      <w:r w:rsidRPr="00732348">
        <w:t>s m</w:t>
      </w:r>
      <w:r w:rsidRPr="00732348">
        <w:rPr>
          <w:spacing w:val="1"/>
        </w:rPr>
        <w:t>e</w:t>
      </w:r>
      <w:r w:rsidRPr="00732348">
        <w:t>t</w:t>
      </w:r>
      <w:r w:rsidRPr="00732348">
        <w:rPr>
          <w:spacing w:val="-1"/>
        </w:rPr>
        <w:t>o</w:t>
      </w:r>
      <w:r>
        <w:t>dológicos</w:t>
      </w:r>
    </w:p>
    <w:p w:rsidR="0069001F" w:rsidRPr="00732348" w:rsidRDefault="0069001F" w:rsidP="0069001F">
      <w:pPr>
        <w:spacing w:before="14" w:line="260" w:lineRule="exact"/>
        <w:rPr>
          <w:sz w:val="26"/>
          <w:szCs w:val="26"/>
        </w:rPr>
      </w:pPr>
    </w:p>
    <w:p w:rsidR="0069001F" w:rsidRDefault="0069001F" w:rsidP="0069001F">
      <w:pPr>
        <w:pStyle w:val="Textoindependiente"/>
        <w:widowControl/>
        <w:ind w:left="0"/>
        <w:jc w:val="both"/>
      </w:pPr>
      <w:r w:rsidRPr="00793733">
        <w:t xml:space="preserve">La unidad de observación es </w:t>
      </w:r>
      <w:r>
        <w:t>el establecimiento, definido como la unidad económica que en una sola ubicación física, asentada en un lugar de manera permanente, combina acciones y recursos para realizar actividades de producción de bienes, compra-venta de mercancías o prestación de servicios, sea con fines mercantiles o no.</w:t>
      </w:r>
    </w:p>
    <w:p w:rsidR="0069001F" w:rsidRDefault="0069001F" w:rsidP="0069001F">
      <w:pPr>
        <w:pStyle w:val="Textoindependiente"/>
        <w:widowControl/>
        <w:ind w:left="0"/>
        <w:jc w:val="both"/>
      </w:pPr>
    </w:p>
    <w:p w:rsidR="0069001F" w:rsidRDefault="0069001F" w:rsidP="0069001F">
      <w:pPr>
        <w:pStyle w:val="Textoindependiente"/>
        <w:widowControl/>
        <w:ind w:left="0"/>
        <w:jc w:val="both"/>
      </w:pPr>
      <w:r>
        <w:t>L</w:t>
      </w:r>
      <w:r w:rsidRPr="00793733">
        <w:t>a encues</w:t>
      </w:r>
      <w:r>
        <w:t>ta centra su medición en aquello</w:t>
      </w:r>
      <w:r w:rsidRPr="00793733">
        <w:t xml:space="preserve">s </w:t>
      </w:r>
      <w:r>
        <w:t xml:space="preserve">establecimientos </w:t>
      </w:r>
      <w:r w:rsidRPr="00793733">
        <w:t>que de acuerdo al Sistema de Clasificación Industrial de América del Norte (</w:t>
      </w:r>
      <w:proofErr w:type="spellStart"/>
      <w:r w:rsidRPr="00793733">
        <w:t>SCIAN</w:t>
      </w:r>
      <w:proofErr w:type="spellEnd"/>
      <w:r w:rsidRPr="00793733">
        <w:t>)</w:t>
      </w:r>
      <w:r>
        <w:t xml:space="preserve"> 2013, se encuentran clasificado</w:t>
      </w:r>
      <w:r w:rsidRPr="00793733">
        <w:t xml:space="preserve">s en los sectores de </w:t>
      </w:r>
      <w:r w:rsidR="00D842AE">
        <w:t>las Industrias m</w:t>
      </w:r>
      <w:r>
        <w:t xml:space="preserve">anufactureras, </w:t>
      </w:r>
      <w:r w:rsidRPr="00793733">
        <w:t>Comercio</w:t>
      </w:r>
      <w:r>
        <w:t xml:space="preserve"> (tanto</w:t>
      </w:r>
      <w:r w:rsidRPr="00793733">
        <w:t xml:space="preserve"> al por </w:t>
      </w:r>
      <w:r>
        <w:t xml:space="preserve">mayor como al por menor) </w:t>
      </w:r>
      <w:r w:rsidRPr="00793733">
        <w:t>y los Ser</w:t>
      </w:r>
      <w:r>
        <w:t>vicios privados no financieros.</w:t>
      </w:r>
    </w:p>
    <w:p w:rsidR="0069001F" w:rsidRDefault="0069001F" w:rsidP="0069001F">
      <w:pPr>
        <w:pStyle w:val="Textoindependiente"/>
        <w:widowControl/>
        <w:ind w:left="0"/>
        <w:jc w:val="both"/>
      </w:pPr>
    </w:p>
    <w:p w:rsidR="0069001F" w:rsidRDefault="0069001F" w:rsidP="0069001F">
      <w:pPr>
        <w:pStyle w:val="Textoindependiente"/>
        <w:widowControl/>
        <w:ind w:left="0"/>
        <w:jc w:val="both"/>
      </w:pPr>
      <w:r>
        <w:t>La encuesta capta la opinión de los empresarios de los tres sectores en estudio, respecto a las afectaciones en sus instalaciones</w:t>
      </w:r>
      <w:r w:rsidR="00EF2398">
        <w:t xml:space="preserve"> y los servicios que brinda</w:t>
      </w:r>
      <w:r>
        <w:t>, los apoyos o ayudas recibidos, la suspensión de actividades y el número de días de suspensión, las acciones efectuadas por el establecimiento para colaborar en la atención de la emergencia, así como la expectativa de los empresarios sobre la actividad económica para el último trimestre del año en curso.</w:t>
      </w:r>
    </w:p>
    <w:p w:rsidR="0069001F" w:rsidRDefault="0069001F" w:rsidP="0069001F">
      <w:pPr>
        <w:pStyle w:val="Textoindependiente"/>
        <w:widowControl/>
        <w:ind w:left="0"/>
        <w:jc w:val="both"/>
      </w:pPr>
    </w:p>
    <w:p w:rsidR="0069001F" w:rsidRDefault="0069001F" w:rsidP="0069001F">
      <w:pPr>
        <w:pStyle w:val="Textoindependiente"/>
        <w:widowControl/>
        <w:ind w:left="0"/>
        <w:jc w:val="both"/>
      </w:pPr>
      <w:r>
        <w:t xml:space="preserve">Los </w:t>
      </w:r>
      <w:r w:rsidRPr="00A63FC9">
        <w:t>resultados son representativos para cada uno de los tres sectores en estudio, los cuales están referidos al conjunto de las entidades federativas seleccionadas. Por otra</w:t>
      </w:r>
      <w:r>
        <w:t xml:space="preserve"> parte</w:t>
      </w:r>
      <w:r w:rsidRPr="00A63FC9">
        <w:t>, los indicadores se presentan a nivel de cada una de las entidades federativas para el total de los tres sectores económicos.</w:t>
      </w:r>
    </w:p>
    <w:p w:rsidR="00C305DC" w:rsidRPr="00A63FC9" w:rsidRDefault="00C305DC" w:rsidP="0069001F">
      <w:pPr>
        <w:pStyle w:val="Textoindependiente"/>
        <w:widowControl/>
        <w:ind w:left="0"/>
        <w:jc w:val="both"/>
      </w:pPr>
    </w:p>
    <w:p w:rsidR="0069001F" w:rsidRDefault="0069001F" w:rsidP="0069001F">
      <w:pPr>
        <w:pStyle w:val="Textoindependiente"/>
        <w:widowControl/>
        <w:ind w:left="0"/>
        <w:jc w:val="both"/>
      </w:pPr>
      <w:r>
        <w:t>La recolección de la información se llevó a cabo mediante Entrevista Telefónica Asistida por Computado</w:t>
      </w:r>
      <w:r w:rsidR="00D842AE">
        <w:t>ra (</w:t>
      </w:r>
      <w:proofErr w:type="spellStart"/>
      <w:r w:rsidR="00D842AE">
        <w:t>CATI</w:t>
      </w:r>
      <w:proofErr w:type="spellEnd"/>
      <w:r w:rsidR="00D842AE">
        <w:t xml:space="preserve"> por sus siglas en inglé</w:t>
      </w:r>
      <w:r>
        <w:t>s). Cada una de las entrevistas duró en promedio cuatro minutos.</w:t>
      </w:r>
    </w:p>
    <w:p w:rsidR="0069001F" w:rsidRDefault="0069001F" w:rsidP="0069001F">
      <w:pPr>
        <w:pStyle w:val="Textoindependiente"/>
        <w:widowControl/>
        <w:ind w:left="0"/>
        <w:jc w:val="both"/>
      </w:pPr>
    </w:p>
    <w:p w:rsidR="0069001F" w:rsidRPr="00276A61" w:rsidRDefault="0069001F" w:rsidP="0069001F">
      <w:pPr>
        <w:pStyle w:val="Ttulo11"/>
        <w:ind w:left="0" w:right="7346"/>
        <w:jc w:val="both"/>
        <w:rPr>
          <w:spacing w:val="-6"/>
        </w:rPr>
      </w:pPr>
      <w:r>
        <w:rPr>
          <w:spacing w:val="-6"/>
        </w:rPr>
        <w:t>Diseño estadístico</w:t>
      </w:r>
    </w:p>
    <w:p w:rsidR="0069001F" w:rsidRDefault="0069001F" w:rsidP="0069001F">
      <w:pPr>
        <w:pStyle w:val="Textoindependiente"/>
        <w:widowControl/>
        <w:ind w:left="0"/>
        <w:jc w:val="both"/>
      </w:pPr>
    </w:p>
    <w:p w:rsidR="0069001F" w:rsidRDefault="0069001F" w:rsidP="0069001F">
      <w:pPr>
        <w:pStyle w:val="Textoindependiente"/>
        <w:widowControl/>
        <w:ind w:left="0"/>
        <w:jc w:val="both"/>
        <w:rPr>
          <w:rFonts w:cs="Arial"/>
        </w:rPr>
      </w:pPr>
      <w:r>
        <w:rPr>
          <w:rFonts w:cs="Arial"/>
        </w:rPr>
        <w:t>El e</w:t>
      </w:r>
      <w:r w:rsidRPr="00E7594C">
        <w:rPr>
          <w:rFonts w:cs="Arial"/>
        </w:rPr>
        <w:t>squema de muestreo</w:t>
      </w:r>
      <w:r>
        <w:rPr>
          <w:rFonts w:cs="Arial"/>
        </w:rPr>
        <w:t xml:space="preserve"> es p</w:t>
      </w:r>
      <w:r w:rsidRPr="000920F8">
        <w:rPr>
          <w:rFonts w:cs="Arial"/>
        </w:rPr>
        <w:t>robabilístico</w:t>
      </w:r>
      <w:r>
        <w:rPr>
          <w:rFonts w:cs="Arial"/>
        </w:rPr>
        <w:t>. El marco de muestreo está conformado por poco más de 2 millones de establecimientos</w:t>
      </w:r>
      <w:r w:rsidR="00EF2398">
        <w:rPr>
          <w:rFonts w:cs="Arial"/>
        </w:rPr>
        <w:t>,</w:t>
      </w:r>
      <w:r>
        <w:rPr>
          <w:rFonts w:cs="Arial"/>
        </w:rPr>
        <w:t xml:space="preserve"> que son reportados por los Censos Económicos 2014 y el Registro Estadístico de Negocios de México en las ocho entidades federativas definidas e incluye unidades económicas de todos los tamaños</w:t>
      </w:r>
      <w:r w:rsidR="007A2A18">
        <w:rPr>
          <w:rFonts w:cs="Arial"/>
        </w:rPr>
        <w:t>.</w:t>
      </w:r>
    </w:p>
    <w:p w:rsidR="0069001F" w:rsidRDefault="0069001F" w:rsidP="0069001F">
      <w:pPr>
        <w:pStyle w:val="Textoindependiente"/>
        <w:widowControl/>
        <w:ind w:left="0"/>
        <w:jc w:val="both"/>
        <w:rPr>
          <w:rFonts w:cs="Arial"/>
        </w:rPr>
      </w:pPr>
    </w:p>
    <w:p w:rsidR="0069001F" w:rsidRDefault="0069001F" w:rsidP="0069001F">
      <w:pPr>
        <w:pStyle w:val="Textoindependiente"/>
        <w:widowControl/>
        <w:ind w:left="0"/>
        <w:jc w:val="both"/>
        <w:rPr>
          <w:rFonts w:cs="Arial"/>
        </w:rPr>
      </w:pPr>
      <w:r>
        <w:rPr>
          <w:rFonts w:cs="Arial"/>
        </w:rPr>
        <w:t xml:space="preserve">La </w:t>
      </w:r>
      <w:r w:rsidRPr="000920F8">
        <w:rPr>
          <w:rFonts w:cs="Arial"/>
        </w:rPr>
        <w:t>muestra es</w:t>
      </w:r>
      <w:r>
        <w:rPr>
          <w:rFonts w:cs="Arial"/>
        </w:rPr>
        <w:t>tá c</w:t>
      </w:r>
      <w:r w:rsidR="00EE1043">
        <w:rPr>
          <w:rFonts w:cs="Arial"/>
        </w:rPr>
        <w:t>ompuesta</w:t>
      </w:r>
      <w:r>
        <w:rPr>
          <w:rFonts w:cs="Arial"/>
        </w:rPr>
        <w:t xml:space="preserve"> por </w:t>
      </w:r>
      <w:r w:rsidRPr="00C305DC">
        <w:rPr>
          <w:rFonts w:cs="Arial"/>
        </w:rPr>
        <w:t xml:space="preserve">2,350 </w:t>
      </w:r>
      <w:r w:rsidRPr="00E7594C">
        <w:rPr>
          <w:rFonts w:cs="Arial"/>
        </w:rPr>
        <w:t>establecimientos</w:t>
      </w:r>
      <w:r>
        <w:rPr>
          <w:rFonts w:cs="Arial"/>
        </w:rPr>
        <w:t xml:space="preserve"> de los tres sectores en estudio. </w:t>
      </w:r>
      <w:r w:rsidR="00EE1043">
        <w:rPr>
          <w:rFonts w:cs="Arial"/>
        </w:rPr>
        <w:t xml:space="preserve">Su conformación fue proporcional al tamaño de las unidades económicas. </w:t>
      </w:r>
      <w:r>
        <w:rPr>
          <w:rFonts w:cs="Arial"/>
        </w:rPr>
        <w:t xml:space="preserve">Considera un nivel de confianza de 95.0%, un error relativo de </w:t>
      </w:r>
      <w:r w:rsidRPr="00C305DC">
        <w:rPr>
          <w:rFonts w:cs="Arial"/>
        </w:rPr>
        <w:t>10.</w:t>
      </w:r>
      <w:r w:rsidR="00C305DC" w:rsidRPr="00C305DC">
        <w:rPr>
          <w:rFonts w:cs="Arial"/>
        </w:rPr>
        <w:t>4</w:t>
      </w:r>
      <w:r w:rsidRPr="00C305DC">
        <w:rPr>
          <w:rFonts w:cs="Arial"/>
        </w:rPr>
        <w:t xml:space="preserve">%, </w:t>
      </w:r>
      <w:r>
        <w:rPr>
          <w:rFonts w:cs="Arial"/>
        </w:rPr>
        <w:t xml:space="preserve">y una tasa de no respuesta esperada de </w:t>
      </w:r>
      <w:r w:rsidR="00C305DC" w:rsidRPr="00C305DC">
        <w:rPr>
          <w:rFonts w:cs="Arial"/>
        </w:rPr>
        <w:t>20.0</w:t>
      </w:r>
      <w:r w:rsidRPr="00C305DC">
        <w:rPr>
          <w:rFonts w:cs="Arial"/>
        </w:rPr>
        <w:t xml:space="preserve"> </w:t>
      </w:r>
      <w:r>
        <w:rPr>
          <w:rFonts w:cs="Arial"/>
        </w:rPr>
        <w:t>por ciento.</w:t>
      </w:r>
    </w:p>
    <w:p w:rsidR="00DC10EC" w:rsidRDefault="00DC10EC">
      <w:pPr>
        <w:rPr>
          <w:rFonts w:ascii="Arial" w:eastAsia="Arial" w:hAnsi="Arial" w:cs="Arial"/>
          <w:sz w:val="24"/>
          <w:szCs w:val="24"/>
        </w:rPr>
      </w:pPr>
      <w:r>
        <w:rPr>
          <w:rFonts w:cs="Arial"/>
        </w:rPr>
        <w:br w:type="page"/>
      </w:r>
    </w:p>
    <w:p w:rsidR="00DC10EC" w:rsidRDefault="00DC10EC" w:rsidP="0069001F">
      <w:pPr>
        <w:pStyle w:val="Textoindependiente"/>
        <w:widowControl/>
        <w:ind w:left="0"/>
        <w:jc w:val="both"/>
        <w:rPr>
          <w:rFonts w:cs="Arial"/>
        </w:rPr>
      </w:pPr>
    </w:p>
    <w:p w:rsidR="00DC10EC" w:rsidRDefault="00DC10EC" w:rsidP="0069001F">
      <w:pPr>
        <w:pStyle w:val="Textoindependiente"/>
        <w:widowControl/>
        <w:ind w:left="0"/>
        <w:jc w:val="both"/>
        <w:rPr>
          <w:rFonts w:cs="Arial"/>
        </w:rPr>
      </w:pPr>
    </w:p>
    <w:p w:rsidR="0069001F" w:rsidRDefault="0069001F" w:rsidP="0069001F">
      <w:pPr>
        <w:pStyle w:val="Textoindependiente"/>
        <w:widowControl/>
        <w:ind w:left="0"/>
        <w:jc w:val="both"/>
        <w:rPr>
          <w:rFonts w:cs="Arial"/>
        </w:rPr>
      </w:pPr>
      <w:r>
        <w:rPr>
          <w:rFonts w:cs="Arial"/>
        </w:rPr>
        <w:t>Los resultados obtenidos a partir de esta muestra son representativos del conjunto de establecimientos que conforman el marco de muestreo.</w:t>
      </w:r>
    </w:p>
    <w:p w:rsidR="0069001F" w:rsidRDefault="0069001F" w:rsidP="0069001F">
      <w:pPr>
        <w:pStyle w:val="Ttulo11"/>
        <w:ind w:left="0" w:right="7346"/>
        <w:jc w:val="both"/>
        <w:rPr>
          <w:rFonts w:cs="Arial"/>
          <w:b w:val="0"/>
          <w:bCs w:val="0"/>
        </w:rPr>
      </w:pPr>
    </w:p>
    <w:p w:rsidR="0069001F" w:rsidRDefault="0069001F" w:rsidP="0069001F">
      <w:pPr>
        <w:pStyle w:val="Textoindependiente"/>
        <w:widowControl/>
        <w:ind w:left="0"/>
        <w:jc w:val="both"/>
        <w:rPr>
          <w:rFonts w:cs="Arial"/>
          <w:b/>
          <w:sz w:val="20"/>
        </w:rPr>
      </w:pPr>
      <w:r>
        <w:rPr>
          <w:rFonts w:cs="Arial"/>
        </w:rPr>
        <w:t xml:space="preserve">Las llamadas telefónicas para captar la información se </w:t>
      </w:r>
      <w:r w:rsidR="008B0EFD">
        <w:rPr>
          <w:rFonts w:cs="Arial"/>
        </w:rPr>
        <w:t xml:space="preserve">realizaron </w:t>
      </w:r>
      <w:r>
        <w:rPr>
          <w:rFonts w:cs="Arial"/>
        </w:rPr>
        <w:t xml:space="preserve">los días 25, 26 y 27 de septiembre </w:t>
      </w:r>
      <w:r w:rsidR="008B0EFD">
        <w:rPr>
          <w:rFonts w:cs="Arial"/>
        </w:rPr>
        <w:t xml:space="preserve">de </w:t>
      </w:r>
      <w:r>
        <w:rPr>
          <w:rFonts w:cs="Arial"/>
        </w:rPr>
        <w:t xml:space="preserve">2017, alcanzándose </w:t>
      </w:r>
      <w:r w:rsidRPr="00C305DC">
        <w:rPr>
          <w:rFonts w:cs="Arial"/>
        </w:rPr>
        <w:t xml:space="preserve">81.2% </w:t>
      </w:r>
      <w:r w:rsidR="00444368">
        <w:rPr>
          <w:rFonts w:cs="Arial"/>
        </w:rPr>
        <w:t>de la muestra total</w:t>
      </w:r>
      <w:r>
        <w:rPr>
          <w:rFonts w:cs="Arial"/>
        </w:rPr>
        <w:t>.</w:t>
      </w:r>
    </w:p>
    <w:p w:rsidR="00924BBA" w:rsidRDefault="00924BBA" w:rsidP="00410991">
      <w:pPr>
        <w:jc w:val="both"/>
        <w:rPr>
          <w:rFonts w:ascii="Arial" w:hAnsi="Arial" w:cs="Arial"/>
          <w:sz w:val="24"/>
          <w:szCs w:val="24"/>
          <w:lang w:val="es-ES"/>
        </w:rPr>
      </w:pPr>
    </w:p>
    <w:p w:rsidR="00A3054D" w:rsidRDefault="00A3054D" w:rsidP="00410991">
      <w:pPr>
        <w:jc w:val="both"/>
        <w:rPr>
          <w:rFonts w:ascii="Arial" w:hAnsi="Arial" w:cs="Arial"/>
          <w:sz w:val="24"/>
          <w:szCs w:val="24"/>
          <w:lang w:val="es-ES"/>
        </w:rPr>
      </w:pPr>
    </w:p>
    <w:p w:rsidR="00924BBA" w:rsidRPr="00924BBA" w:rsidRDefault="00A3054D" w:rsidP="00A3054D">
      <w:pPr>
        <w:jc w:val="center"/>
        <w:rPr>
          <w:rFonts w:ascii="Arial" w:hAnsi="Arial" w:cs="Arial"/>
          <w:sz w:val="24"/>
          <w:szCs w:val="24"/>
          <w:lang w:val="es-ES"/>
        </w:rPr>
      </w:pPr>
      <w:r w:rsidRPr="00CD67CA">
        <w:rPr>
          <w:rFonts w:ascii="Arial" w:hAnsi="Arial" w:cs="Arial"/>
          <w:b/>
          <w:sz w:val="24"/>
          <w:szCs w:val="24"/>
        </w:rPr>
        <w:t>-</w:t>
      </w:r>
      <w:proofErr w:type="spellStart"/>
      <w:r w:rsidRPr="00CD67CA">
        <w:rPr>
          <w:rFonts w:ascii="Arial" w:hAnsi="Arial" w:cs="Arial"/>
          <w:b/>
          <w:sz w:val="24"/>
          <w:szCs w:val="24"/>
        </w:rPr>
        <w:t>oOo</w:t>
      </w:r>
      <w:proofErr w:type="spellEnd"/>
      <w:r w:rsidRPr="00CD67CA">
        <w:rPr>
          <w:rFonts w:ascii="Arial" w:hAnsi="Arial" w:cs="Arial"/>
          <w:b/>
          <w:sz w:val="24"/>
          <w:szCs w:val="24"/>
        </w:rPr>
        <w:t>-</w:t>
      </w:r>
    </w:p>
    <w:sectPr w:rsidR="00924BBA" w:rsidRPr="00924BBA" w:rsidSect="00196A6B">
      <w:headerReference w:type="even" r:id="rId20"/>
      <w:headerReference w:type="default" r:id="rId21"/>
      <w:footerReference w:type="even" r:id="rId22"/>
      <w:footerReference w:type="default" r:id="rId23"/>
      <w:headerReference w:type="first" r:id="rId24"/>
      <w:footerReference w:type="first" r:id="rId25"/>
      <w:pgSz w:w="12240" w:h="15840"/>
      <w:pgMar w:top="1420" w:right="840" w:bottom="1100" w:left="1020" w:header="0" w:footer="7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656" w:rsidRDefault="00F85656" w:rsidP="00AA600E">
      <w:r>
        <w:separator/>
      </w:r>
    </w:p>
  </w:endnote>
  <w:endnote w:type="continuationSeparator" w:id="0">
    <w:p w:rsidR="00F85656" w:rsidRDefault="00F85656" w:rsidP="00AA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24" w:rsidRDefault="00A65F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AAE" w:rsidRPr="00CE6320" w:rsidRDefault="00A65F24" w:rsidP="001E7AAE">
    <w:pPr>
      <w:pStyle w:val="Piedepgina"/>
      <w:spacing w:before="120"/>
      <w:contextualSpacing/>
      <w:jc w:val="center"/>
      <w:rPr>
        <w:rFonts w:ascii="Arial" w:hAnsi="Arial" w:cs="Arial"/>
        <w:color w:val="002060"/>
        <w:sz w:val="18"/>
      </w:rPr>
    </w:pPr>
    <w:r>
      <w:rPr>
        <w:rFonts w:ascii="Arial" w:hAnsi="Arial" w:cs="Arial"/>
        <w:b/>
        <w:bCs/>
        <w:color w:val="002060"/>
        <w:sz w:val="18"/>
        <w:lang w:eastAsia="es-MX"/>
      </w:rPr>
      <w:t>COMUNICACIÓN SOCIAL</w:t>
    </w:r>
  </w:p>
  <w:p w:rsidR="001E7AAE" w:rsidRPr="00CE6320" w:rsidRDefault="001E7AAE" w:rsidP="001E7AAE">
    <w:pPr>
      <w:pStyle w:val="Piedepgina"/>
      <w:spacing w:before="60"/>
      <w:contextualSpacing/>
      <w:jc w:val="center"/>
      <w:rPr>
        <w:rFonts w:ascii="Arial" w:hAnsi="Arial" w:cs="Arial"/>
        <w:color w:val="002060"/>
        <w:sz w:val="18"/>
      </w:rPr>
    </w:pPr>
    <w:r w:rsidRPr="00CE6320">
      <w:rPr>
        <w:rFonts w:ascii="Arial" w:hAnsi="Arial" w:cs="Arial"/>
        <w:color w:val="002060"/>
        <w:sz w:val="18"/>
      </w:rPr>
      <w:t>Contacto: 52-78-10-00 exts. 1134, 1260 y 1241</w:t>
    </w:r>
  </w:p>
  <w:p w:rsidR="001E7AAE" w:rsidRPr="00CE6320" w:rsidRDefault="001E7AAE" w:rsidP="001E7AAE">
    <w:pPr>
      <w:pStyle w:val="Piedepgina"/>
      <w:contextualSpacing/>
      <w:jc w:val="center"/>
      <w:rPr>
        <w:rFonts w:ascii="Arial" w:hAnsi="Arial" w:cs="Arial"/>
        <w:sz w:val="20"/>
      </w:rPr>
    </w:pPr>
    <w:r w:rsidRPr="00CE6320">
      <w:rPr>
        <w:rFonts w:ascii="Arial" w:hAnsi="Arial" w:cs="Arial"/>
        <w:color w:val="002060"/>
        <w:sz w:val="18"/>
      </w:rPr>
      <w:t>comunicacionsocial@inegi.org.mx</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24" w:rsidRDefault="00A65F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656" w:rsidRDefault="00F85656" w:rsidP="00AA600E">
      <w:r>
        <w:separator/>
      </w:r>
    </w:p>
  </w:footnote>
  <w:footnote w:type="continuationSeparator" w:id="0">
    <w:p w:rsidR="00F85656" w:rsidRDefault="00F85656" w:rsidP="00AA600E">
      <w:r>
        <w:continuationSeparator/>
      </w:r>
    </w:p>
  </w:footnote>
  <w:footnote w:id="1">
    <w:p w:rsidR="008A44B7" w:rsidRPr="004F3934" w:rsidRDefault="008A44B7">
      <w:pPr>
        <w:pStyle w:val="Textonotapie"/>
        <w:rPr>
          <w:lang w:val="es-MX"/>
        </w:rPr>
      </w:pPr>
      <w:r>
        <w:rPr>
          <w:rStyle w:val="Refdenotaalpie"/>
        </w:rPr>
        <w:footnoteRef/>
      </w:r>
      <w:r>
        <w:t xml:space="preserve"> </w:t>
      </w:r>
      <w:r w:rsidR="00965F6D">
        <w:t>Censos Económicos 2014. INEGI.</w:t>
      </w:r>
    </w:p>
  </w:footnote>
  <w:footnote w:id="2">
    <w:p w:rsidR="008A44B7" w:rsidRPr="00CC6D81" w:rsidRDefault="008A44B7">
      <w:pPr>
        <w:pStyle w:val="Textonotapie"/>
        <w:rPr>
          <w:lang w:val="es-MX"/>
        </w:rPr>
      </w:pPr>
      <w:r>
        <w:rPr>
          <w:rStyle w:val="Refdenotaalpie"/>
        </w:rPr>
        <w:footnoteRef/>
      </w:r>
      <w:r>
        <w:t xml:space="preserve"> </w:t>
      </w:r>
      <w:r>
        <w:rPr>
          <w:lang w:val="es-MX"/>
        </w:rPr>
        <w:t xml:space="preserve">Producto Interno Bruto </w:t>
      </w:r>
      <w:r w:rsidR="00965F6D">
        <w:rPr>
          <w:lang w:val="es-MX"/>
        </w:rPr>
        <w:t>por Entidad Federativa, 2015. INEGI</w:t>
      </w:r>
      <w:r>
        <w:rPr>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24" w:rsidRDefault="00A65F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B3" w:rsidRPr="00265B8C" w:rsidRDefault="00BC59B3" w:rsidP="00BC59B3">
    <w:pPr>
      <w:pStyle w:val="Encabezado"/>
      <w:framePr w:w="5214" w:hSpace="141" w:wrap="auto" w:vAnchor="text" w:hAnchor="page" w:x="5683" w:y="452"/>
      <w:ind w:left="567" w:hanging="11"/>
      <w:jc w:val="right"/>
      <w:rPr>
        <w:rFonts w:ascii="Arial" w:hAnsi="Arial" w:cs="Arial"/>
        <w:b/>
        <w:color w:val="002060"/>
      </w:rPr>
    </w:pPr>
    <w:r w:rsidRPr="00265B8C">
      <w:rPr>
        <w:rFonts w:ascii="Arial" w:hAnsi="Arial" w:cs="Arial"/>
        <w:b/>
        <w:color w:val="002060"/>
      </w:rPr>
      <w:t xml:space="preserve">COMUNICADO DE PRENSA NÚM. </w:t>
    </w:r>
    <w:r>
      <w:rPr>
        <w:rFonts w:ascii="Arial" w:hAnsi="Arial" w:cs="Arial"/>
        <w:b/>
        <w:color w:val="002060"/>
      </w:rPr>
      <w:t>419</w:t>
    </w:r>
    <w:r w:rsidRPr="00265B8C">
      <w:rPr>
        <w:rFonts w:ascii="Arial" w:hAnsi="Arial" w:cs="Arial"/>
        <w:b/>
        <w:color w:val="002060"/>
      </w:rPr>
      <w:t>/17</w:t>
    </w:r>
  </w:p>
  <w:p w:rsidR="00BC59B3" w:rsidRPr="00265B8C" w:rsidRDefault="00BC59B3" w:rsidP="00BC59B3">
    <w:pPr>
      <w:pStyle w:val="Encabezado"/>
      <w:framePr w:w="5214" w:hSpace="141" w:wrap="auto" w:vAnchor="text" w:hAnchor="page" w:x="5683" w:y="452"/>
      <w:ind w:left="567" w:hanging="11"/>
      <w:jc w:val="right"/>
      <w:rPr>
        <w:rFonts w:ascii="Arial" w:hAnsi="Arial" w:cs="Arial"/>
        <w:b/>
        <w:color w:val="002060"/>
        <w:lang w:val="pt-BR"/>
      </w:rPr>
    </w:pPr>
    <w:r>
      <w:rPr>
        <w:rFonts w:ascii="Arial" w:hAnsi="Arial" w:cs="Arial"/>
        <w:b/>
        <w:color w:val="002060"/>
        <w:lang w:val="pt-BR"/>
      </w:rPr>
      <w:t>2</w:t>
    </w:r>
    <w:r w:rsidR="009B7148">
      <w:rPr>
        <w:rFonts w:ascii="Arial" w:hAnsi="Arial" w:cs="Arial"/>
        <w:b/>
        <w:color w:val="002060"/>
        <w:lang w:val="pt-BR"/>
      </w:rPr>
      <w:t>9</w:t>
    </w:r>
    <w:r>
      <w:rPr>
        <w:rFonts w:ascii="Arial" w:hAnsi="Arial" w:cs="Arial"/>
        <w:b/>
        <w:color w:val="002060"/>
        <w:lang w:val="pt-BR"/>
      </w:rPr>
      <w:t xml:space="preserve"> </w:t>
    </w:r>
    <w:r w:rsidRPr="00265B8C">
      <w:rPr>
        <w:rFonts w:ascii="Arial" w:hAnsi="Arial" w:cs="Arial"/>
        <w:b/>
        <w:color w:val="002060"/>
        <w:lang w:val="pt-BR"/>
      </w:rPr>
      <w:t xml:space="preserve">DE </w:t>
    </w:r>
    <w:r>
      <w:rPr>
        <w:rFonts w:ascii="Arial" w:hAnsi="Arial" w:cs="Arial"/>
        <w:b/>
        <w:color w:val="002060"/>
        <w:lang w:val="pt-BR"/>
      </w:rPr>
      <w:t xml:space="preserve">SEPTIEMBRE </w:t>
    </w:r>
    <w:r w:rsidRPr="00265B8C">
      <w:rPr>
        <w:rFonts w:ascii="Arial" w:hAnsi="Arial" w:cs="Arial"/>
        <w:b/>
        <w:color w:val="002060"/>
        <w:lang w:val="pt-BR"/>
      </w:rPr>
      <w:t>DE 2017</w:t>
    </w:r>
  </w:p>
  <w:p w:rsidR="00BC59B3" w:rsidRPr="00265B8C" w:rsidRDefault="00BC59B3" w:rsidP="00BC59B3">
    <w:pPr>
      <w:pStyle w:val="Encabezado"/>
      <w:framePr w:w="5214" w:hSpace="141" w:wrap="auto" w:vAnchor="text" w:hAnchor="page" w:x="5683" w:y="452"/>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sidR="00A65F24">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sidR="009B7148">
      <w:rPr>
        <w:rFonts w:ascii="Arial" w:hAnsi="Arial" w:cs="Arial"/>
        <w:b/>
        <w:color w:val="002060"/>
        <w:lang w:val="pt-BR"/>
      </w:rPr>
      <w:t>13</w:t>
    </w:r>
  </w:p>
  <w:p w:rsidR="008A44B7" w:rsidRDefault="00BC59B3" w:rsidP="00BC59B3">
    <w:pPr>
      <w:spacing w:line="0" w:lineRule="atLeast"/>
      <w:jc w:val="right"/>
      <w:rPr>
        <w:sz w:val="4"/>
        <w:szCs w:val="4"/>
      </w:rPr>
    </w:pPr>
    <w:r w:rsidRPr="00B526DF">
      <w:rPr>
        <w:noProof/>
        <w:lang w:eastAsia="es-MX"/>
      </w:rPr>
      <w:drawing>
        <wp:anchor distT="0" distB="0" distL="114300" distR="114300" simplePos="0" relativeHeight="251659264" behindDoc="0" locked="0" layoutInCell="1" allowOverlap="1" wp14:anchorId="6C517A9A" wp14:editId="0CD95046">
          <wp:simplePos x="0" y="0"/>
          <wp:positionH relativeFrom="margin">
            <wp:posOffset>222637</wp:posOffset>
          </wp:positionH>
          <wp:positionV relativeFrom="margin">
            <wp:posOffset>-718516</wp:posOffset>
          </wp:positionV>
          <wp:extent cx="1176020" cy="638175"/>
          <wp:effectExtent l="0" t="0" r="5080" b="9525"/>
          <wp:wrapSquare wrapText="bothSides"/>
          <wp:docPr id="5" name="Imagen 5" descr="D:\jcuenca\mis  doc\NOTASTRABAJO\notas-calendario\igae\2009\08-2009\INEGIcuadAlt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jcuenca\mis  doc\NOTASTRABAJO\notas-calendario\igae\2009\08-2009\INEGIcuadAltaC.jpg"/>
                  <pic:cNvPicPr>
                    <a:picLocks noChangeAspect="1" noChangeArrowheads="1"/>
                  </pic:cNvPicPr>
                </pic:nvPicPr>
                <pic:blipFill>
                  <a:blip r:embed="rId1">
                    <a:extLst>
                      <a:ext uri="{28A0092B-C50C-407E-A947-70E740481C1C}">
                        <a14:useLocalDpi xmlns:a14="http://schemas.microsoft.com/office/drawing/2010/main" val="0"/>
                      </a:ext>
                    </a:extLst>
                  </a:blip>
                  <a:srcRect t="10896"/>
                  <a:stretch>
                    <a:fillRect/>
                  </a:stretch>
                </pic:blipFill>
                <pic:spPr bwMode="auto">
                  <a:xfrm>
                    <a:off x="0" y="0"/>
                    <a:ext cx="117602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24" w:rsidRDefault="00A65F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6C4A"/>
    <w:multiLevelType w:val="hybridMultilevel"/>
    <w:tmpl w:val="0906A9E6"/>
    <w:lvl w:ilvl="0" w:tplc="A368379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04BE2643"/>
    <w:multiLevelType w:val="hybridMultilevel"/>
    <w:tmpl w:val="69C05AC6"/>
    <w:lvl w:ilvl="0" w:tplc="E12C18DE">
      <w:start w:val="1"/>
      <w:numFmt w:val="decimal"/>
      <w:lvlText w:val="%1."/>
      <w:lvlJc w:val="left"/>
      <w:pPr>
        <w:tabs>
          <w:tab w:val="num" w:pos="360"/>
        </w:tabs>
        <w:ind w:left="360" w:hanging="360"/>
      </w:pPr>
      <w:rPr>
        <w:rFonts w:hint="default"/>
      </w:rPr>
    </w:lvl>
    <w:lvl w:ilvl="1" w:tplc="84E23A42">
      <w:numFmt w:val="none"/>
      <w:lvlText w:val=""/>
      <w:lvlJc w:val="left"/>
      <w:pPr>
        <w:tabs>
          <w:tab w:val="num" w:pos="76"/>
        </w:tabs>
      </w:pPr>
    </w:lvl>
    <w:lvl w:ilvl="2" w:tplc="6D2239B8">
      <w:numFmt w:val="none"/>
      <w:lvlText w:val=""/>
      <w:lvlJc w:val="left"/>
      <w:pPr>
        <w:tabs>
          <w:tab w:val="num" w:pos="76"/>
        </w:tabs>
      </w:pPr>
    </w:lvl>
    <w:lvl w:ilvl="3" w:tplc="C2EC7D7E">
      <w:numFmt w:val="none"/>
      <w:lvlText w:val=""/>
      <w:lvlJc w:val="left"/>
      <w:pPr>
        <w:tabs>
          <w:tab w:val="num" w:pos="76"/>
        </w:tabs>
      </w:pPr>
    </w:lvl>
    <w:lvl w:ilvl="4" w:tplc="AA2C0D6C">
      <w:numFmt w:val="none"/>
      <w:lvlText w:val=""/>
      <w:lvlJc w:val="left"/>
      <w:pPr>
        <w:tabs>
          <w:tab w:val="num" w:pos="76"/>
        </w:tabs>
      </w:pPr>
    </w:lvl>
    <w:lvl w:ilvl="5" w:tplc="2C4E1E54">
      <w:numFmt w:val="none"/>
      <w:lvlText w:val=""/>
      <w:lvlJc w:val="left"/>
      <w:pPr>
        <w:tabs>
          <w:tab w:val="num" w:pos="76"/>
        </w:tabs>
      </w:pPr>
    </w:lvl>
    <w:lvl w:ilvl="6" w:tplc="FA682F16">
      <w:numFmt w:val="none"/>
      <w:lvlText w:val=""/>
      <w:lvlJc w:val="left"/>
      <w:pPr>
        <w:tabs>
          <w:tab w:val="num" w:pos="76"/>
        </w:tabs>
      </w:pPr>
    </w:lvl>
    <w:lvl w:ilvl="7" w:tplc="C8E80046">
      <w:numFmt w:val="none"/>
      <w:lvlText w:val=""/>
      <w:lvlJc w:val="left"/>
      <w:pPr>
        <w:tabs>
          <w:tab w:val="num" w:pos="76"/>
        </w:tabs>
      </w:pPr>
    </w:lvl>
    <w:lvl w:ilvl="8" w:tplc="E93640DC">
      <w:numFmt w:val="none"/>
      <w:lvlText w:val=""/>
      <w:lvlJc w:val="left"/>
      <w:pPr>
        <w:tabs>
          <w:tab w:val="num" w:pos="76"/>
        </w:tabs>
      </w:pPr>
    </w:lvl>
  </w:abstractNum>
  <w:abstractNum w:abstractNumId="2">
    <w:nsid w:val="284A67E1"/>
    <w:multiLevelType w:val="hybridMultilevel"/>
    <w:tmpl w:val="09A0A688"/>
    <w:lvl w:ilvl="0" w:tplc="DC18FE9A">
      <w:start w:val="1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53F6783"/>
    <w:multiLevelType w:val="hybridMultilevel"/>
    <w:tmpl w:val="AE243396"/>
    <w:lvl w:ilvl="0" w:tplc="0C0A0017">
      <w:start w:val="1"/>
      <w:numFmt w:val="lowerLetter"/>
      <w:lvlText w:val="%1)"/>
      <w:lvlJc w:val="left"/>
      <w:pPr>
        <w:tabs>
          <w:tab w:val="num" w:pos="1068"/>
        </w:tabs>
        <w:ind w:left="1068" w:hanging="360"/>
      </w:p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nsid w:val="4AE90F6B"/>
    <w:multiLevelType w:val="hybridMultilevel"/>
    <w:tmpl w:val="3DB0EDD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nsid w:val="55D93907"/>
    <w:multiLevelType w:val="hybridMultilevel"/>
    <w:tmpl w:val="4350D5E2"/>
    <w:lvl w:ilvl="0" w:tplc="257C606A">
      <w:start w:val="1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AE95349"/>
    <w:multiLevelType w:val="hybridMultilevel"/>
    <w:tmpl w:val="814492A0"/>
    <w:lvl w:ilvl="0" w:tplc="5158263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7615447D"/>
    <w:multiLevelType w:val="hybridMultilevel"/>
    <w:tmpl w:val="B91CE248"/>
    <w:lvl w:ilvl="0" w:tplc="441A0F92">
      <w:start w:val="1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6EE5F10"/>
    <w:multiLevelType w:val="hybridMultilevel"/>
    <w:tmpl w:val="A7F86FFE"/>
    <w:lvl w:ilvl="0" w:tplc="ED0A338C">
      <w:start w:val="1"/>
      <w:numFmt w:val="bullet"/>
      <w:lvlText w:val=""/>
      <w:lvlJc w:val="left"/>
      <w:pPr>
        <w:ind w:hanging="360"/>
      </w:pPr>
      <w:rPr>
        <w:rFonts w:ascii="Symbol" w:eastAsia="Symbol" w:hAnsi="Symbol" w:hint="default"/>
        <w:sz w:val="24"/>
        <w:szCs w:val="24"/>
      </w:rPr>
    </w:lvl>
    <w:lvl w:ilvl="1" w:tplc="110A0866">
      <w:start w:val="1"/>
      <w:numFmt w:val="bullet"/>
      <w:lvlText w:val=""/>
      <w:lvlJc w:val="left"/>
      <w:pPr>
        <w:ind w:hanging="257"/>
      </w:pPr>
      <w:rPr>
        <w:rFonts w:ascii="Symbol" w:eastAsia="Symbol" w:hAnsi="Symbol" w:hint="default"/>
        <w:sz w:val="24"/>
        <w:szCs w:val="24"/>
      </w:rPr>
    </w:lvl>
    <w:lvl w:ilvl="2" w:tplc="B1549034">
      <w:start w:val="1"/>
      <w:numFmt w:val="bullet"/>
      <w:lvlText w:val="•"/>
      <w:lvlJc w:val="left"/>
      <w:rPr>
        <w:rFonts w:hint="default"/>
      </w:rPr>
    </w:lvl>
    <w:lvl w:ilvl="3" w:tplc="A50A03E2">
      <w:start w:val="1"/>
      <w:numFmt w:val="bullet"/>
      <w:lvlText w:val="•"/>
      <w:lvlJc w:val="left"/>
      <w:rPr>
        <w:rFonts w:hint="default"/>
      </w:rPr>
    </w:lvl>
    <w:lvl w:ilvl="4" w:tplc="657CE65C">
      <w:start w:val="1"/>
      <w:numFmt w:val="bullet"/>
      <w:lvlText w:val="•"/>
      <w:lvlJc w:val="left"/>
      <w:rPr>
        <w:rFonts w:hint="default"/>
      </w:rPr>
    </w:lvl>
    <w:lvl w:ilvl="5" w:tplc="0450F3CE">
      <w:start w:val="1"/>
      <w:numFmt w:val="bullet"/>
      <w:lvlText w:val="•"/>
      <w:lvlJc w:val="left"/>
      <w:rPr>
        <w:rFonts w:hint="default"/>
      </w:rPr>
    </w:lvl>
    <w:lvl w:ilvl="6" w:tplc="E29C02CE">
      <w:start w:val="1"/>
      <w:numFmt w:val="bullet"/>
      <w:lvlText w:val="•"/>
      <w:lvlJc w:val="left"/>
      <w:rPr>
        <w:rFonts w:hint="default"/>
      </w:rPr>
    </w:lvl>
    <w:lvl w:ilvl="7" w:tplc="E410B7CC">
      <w:start w:val="1"/>
      <w:numFmt w:val="bullet"/>
      <w:lvlText w:val="•"/>
      <w:lvlJc w:val="left"/>
      <w:rPr>
        <w:rFonts w:hint="default"/>
      </w:rPr>
    </w:lvl>
    <w:lvl w:ilvl="8" w:tplc="9BC6637C">
      <w:start w:val="1"/>
      <w:numFmt w:val="bullet"/>
      <w:lvlText w:val="•"/>
      <w:lvlJc w:val="left"/>
      <w:rPr>
        <w:rFonts w:hint="default"/>
      </w:rPr>
    </w:lvl>
  </w:abstractNum>
  <w:num w:numId="1">
    <w:abstractNumId w:val="8"/>
  </w:num>
  <w:num w:numId="2">
    <w:abstractNumId w:val="1"/>
  </w:num>
  <w:num w:numId="3">
    <w:abstractNumId w:val="6"/>
  </w:num>
  <w:num w:numId="4">
    <w:abstractNumId w:val="3"/>
  </w:num>
  <w:num w:numId="5">
    <w:abstractNumId w:val="0"/>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0E"/>
    <w:rsid w:val="0000204F"/>
    <w:rsid w:val="000109BB"/>
    <w:rsid w:val="000119CC"/>
    <w:rsid w:val="00022C84"/>
    <w:rsid w:val="00023E8A"/>
    <w:rsid w:val="00031733"/>
    <w:rsid w:val="000418C3"/>
    <w:rsid w:val="00045256"/>
    <w:rsid w:val="00054A00"/>
    <w:rsid w:val="000579C6"/>
    <w:rsid w:val="00072737"/>
    <w:rsid w:val="000773CC"/>
    <w:rsid w:val="0008427A"/>
    <w:rsid w:val="000920F8"/>
    <w:rsid w:val="00096F2E"/>
    <w:rsid w:val="000A006A"/>
    <w:rsid w:val="000A14AF"/>
    <w:rsid w:val="000A441B"/>
    <w:rsid w:val="000A4581"/>
    <w:rsid w:val="000A7ABD"/>
    <w:rsid w:val="000B22A3"/>
    <w:rsid w:val="000C22A7"/>
    <w:rsid w:val="000C36AF"/>
    <w:rsid w:val="000D5F17"/>
    <w:rsid w:val="000E2620"/>
    <w:rsid w:val="000E2DED"/>
    <w:rsid w:val="000F0FBB"/>
    <w:rsid w:val="00102C1F"/>
    <w:rsid w:val="00131EC3"/>
    <w:rsid w:val="00137491"/>
    <w:rsid w:val="0013785D"/>
    <w:rsid w:val="0014313A"/>
    <w:rsid w:val="00146986"/>
    <w:rsid w:val="00157834"/>
    <w:rsid w:val="001629E0"/>
    <w:rsid w:val="001652AF"/>
    <w:rsid w:val="00170D99"/>
    <w:rsid w:val="00173D68"/>
    <w:rsid w:val="001951F6"/>
    <w:rsid w:val="00196A6B"/>
    <w:rsid w:val="00197E1F"/>
    <w:rsid w:val="001A225B"/>
    <w:rsid w:val="001A262D"/>
    <w:rsid w:val="001A36A3"/>
    <w:rsid w:val="001A4FFD"/>
    <w:rsid w:val="001A61DC"/>
    <w:rsid w:val="001B776D"/>
    <w:rsid w:val="001C7272"/>
    <w:rsid w:val="001D0DB8"/>
    <w:rsid w:val="001D3B88"/>
    <w:rsid w:val="001E38A3"/>
    <w:rsid w:val="001E7AAE"/>
    <w:rsid w:val="00232ED7"/>
    <w:rsid w:val="0023310A"/>
    <w:rsid w:val="002351F4"/>
    <w:rsid w:val="002461A4"/>
    <w:rsid w:val="00260189"/>
    <w:rsid w:val="00265D7D"/>
    <w:rsid w:val="00276A61"/>
    <w:rsid w:val="00283EFE"/>
    <w:rsid w:val="00291E55"/>
    <w:rsid w:val="0029621B"/>
    <w:rsid w:val="002A650F"/>
    <w:rsid w:val="002B0E5E"/>
    <w:rsid w:val="002B2AA9"/>
    <w:rsid w:val="002B38C7"/>
    <w:rsid w:val="002D08E9"/>
    <w:rsid w:val="002D427A"/>
    <w:rsid w:val="002E1460"/>
    <w:rsid w:val="002F0814"/>
    <w:rsid w:val="002F0EA5"/>
    <w:rsid w:val="002F31A7"/>
    <w:rsid w:val="00306B2F"/>
    <w:rsid w:val="00313989"/>
    <w:rsid w:val="00356A19"/>
    <w:rsid w:val="00364021"/>
    <w:rsid w:val="003671A6"/>
    <w:rsid w:val="0037232D"/>
    <w:rsid w:val="00390C87"/>
    <w:rsid w:val="003913C1"/>
    <w:rsid w:val="00391854"/>
    <w:rsid w:val="00395FC6"/>
    <w:rsid w:val="003A757D"/>
    <w:rsid w:val="003B3E25"/>
    <w:rsid w:val="003C27AF"/>
    <w:rsid w:val="003C37D7"/>
    <w:rsid w:val="003D186D"/>
    <w:rsid w:val="003D1A60"/>
    <w:rsid w:val="003D4F05"/>
    <w:rsid w:val="003D7797"/>
    <w:rsid w:val="003E4FC9"/>
    <w:rsid w:val="004036C5"/>
    <w:rsid w:val="00410991"/>
    <w:rsid w:val="00416432"/>
    <w:rsid w:val="0043129A"/>
    <w:rsid w:val="004375C8"/>
    <w:rsid w:val="00442D7B"/>
    <w:rsid w:val="00444368"/>
    <w:rsid w:val="00460460"/>
    <w:rsid w:val="004620AC"/>
    <w:rsid w:val="004B6F32"/>
    <w:rsid w:val="004C4A2B"/>
    <w:rsid w:val="004C5D41"/>
    <w:rsid w:val="004D45AA"/>
    <w:rsid w:val="004F3934"/>
    <w:rsid w:val="004F49F9"/>
    <w:rsid w:val="004F51A8"/>
    <w:rsid w:val="004F635C"/>
    <w:rsid w:val="00502B01"/>
    <w:rsid w:val="005069FC"/>
    <w:rsid w:val="00507CA3"/>
    <w:rsid w:val="005124C3"/>
    <w:rsid w:val="00520873"/>
    <w:rsid w:val="005450B5"/>
    <w:rsid w:val="005560BF"/>
    <w:rsid w:val="00556F3A"/>
    <w:rsid w:val="00567337"/>
    <w:rsid w:val="00582F44"/>
    <w:rsid w:val="0058514A"/>
    <w:rsid w:val="00591865"/>
    <w:rsid w:val="00591BE7"/>
    <w:rsid w:val="005A1559"/>
    <w:rsid w:val="005A3525"/>
    <w:rsid w:val="005A7EC7"/>
    <w:rsid w:val="005B6EF9"/>
    <w:rsid w:val="005B7E1C"/>
    <w:rsid w:val="005C0506"/>
    <w:rsid w:val="005C39E5"/>
    <w:rsid w:val="005D09DB"/>
    <w:rsid w:val="005D331E"/>
    <w:rsid w:val="005D3E7A"/>
    <w:rsid w:val="005D47C7"/>
    <w:rsid w:val="005F4726"/>
    <w:rsid w:val="0060202F"/>
    <w:rsid w:val="006042CD"/>
    <w:rsid w:val="00605C62"/>
    <w:rsid w:val="0060601F"/>
    <w:rsid w:val="00625FAF"/>
    <w:rsid w:val="00634BB6"/>
    <w:rsid w:val="00650DBC"/>
    <w:rsid w:val="006537B3"/>
    <w:rsid w:val="00657AB7"/>
    <w:rsid w:val="006650DB"/>
    <w:rsid w:val="006678CF"/>
    <w:rsid w:val="00677AA8"/>
    <w:rsid w:val="006810DB"/>
    <w:rsid w:val="006840E3"/>
    <w:rsid w:val="006852AF"/>
    <w:rsid w:val="0069001F"/>
    <w:rsid w:val="006902EE"/>
    <w:rsid w:val="006921FD"/>
    <w:rsid w:val="006A7832"/>
    <w:rsid w:val="006C146D"/>
    <w:rsid w:val="006C6246"/>
    <w:rsid w:val="006C7456"/>
    <w:rsid w:val="006E482A"/>
    <w:rsid w:val="006E6104"/>
    <w:rsid w:val="006F3EC4"/>
    <w:rsid w:val="007321A6"/>
    <w:rsid w:val="00732348"/>
    <w:rsid w:val="00747959"/>
    <w:rsid w:val="00750EED"/>
    <w:rsid w:val="00765CCC"/>
    <w:rsid w:val="007671CD"/>
    <w:rsid w:val="00772185"/>
    <w:rsid w:val="00774C6E"/>
    <w:rsid w:val="007928E0"/>
    <w:rsid w:val="00793733"/>
    <w:rsid w:val="00795D30"/>
    <w:rsid w:val="007A067A"/>
    <w:rsid w:val="007A2A18"/>
    <w:rsid w:val="007A5568"/>
    <w:rsid w:val="007B7549"/>
    <w:rsid w:val="007C7AF7"/>
    <w:rsid w:val="007E7A1B"/>
    <w:rsid w:val="007F2A32"/>
    <w:rsid w:val="007F6050"/>
    <w:rsid w:val="008039A2"/>
    <w:rsid w:val="00825481"/>
    <w:rsid w:val="00836981"/>
    <w:rsid w:val="00854E4A"/>
    <w:rsid w:val="00860035"/>
    <w:rsid w:val="00863AAB"/>
    <w:rsid w:val="00872E64"/>
    <w:rsid w:val="008807A7"/>
    <w:rsid w:val="0088197F"/>
    <w:rsid w:val="008852D3"/>
    <w:rsid w:val="0088728F"/>
    <w:rsid w:val="00887BEC"/>
    <w:rsid w:val="00896B98"/>
    <w:rsid w:val="008A2F31"/>
    <w:rsid w:val="008A44B7"/>
    <w:rsid w:val="008B0EFD"/>
    <w:rsid w:val="008B7C80"/>
    <w:rsid w:val="008D071B"/>
    <w:rsid w:val="008D3A03"/>
    <w:rsid w:val="008D6167"/>
    <w:rsid w:val="008E2D09"/>
    <w:rsid w:val="008E6400"/>
    <w:rsid w:val="008F1B67"/>
    <w:rsid w:val="0091016A"/>
    <w:rsid w:val="00917CDB"/>
    <w:rsid w:val="009234BF"/>
    <w:rsid w:val="00924BBA"/>
    <w:rsid w:val="00933151"/>
    <w:rsid w:val="00954096"/>
    <w:rsid w:val="0096004C"/>
    <w:rsid w:val="00963501"/>
    <w:rsid w:val="0096556B"/>
    <w:rsid w:val="00965F6D"/>
    <w:rsid w:val="00972F25"/>
    <w:rsid w:val="00974B0B"/>
    <w:rsid w:val="00987CCE"/>
    <w:rsid w:val="00992481"/>
    <w:rsid w:val="00994385"/>
    <w:rsid w:val="00995C21"/>
    <w:rsid w:val="009A175E"/>
    <w:rsid w:val="009A3159"/>
    <w:rsid w:val="009A6D2E"/>
    <w:rsid w:val="009B315E"/>
    <w:rsid w:val="009B7148"/>
    <w:rsid w:val="009C2F36"/>
    <w:rsid w:val="009C3D45"/>
    <w:rsid w:val="009D152B"/>
    <w:rsid w:val="009D5272"/>
    <w:rsid w:val="00A00F80"/>
    <w:rsid w:val="00A04814"/>
    <w:rsid w:val="00A048FF"/>
    <w:rsid w:val="00A1432A"/>
    <w:rsid w:val="00A157EB"/>
    <w:rsid w:val="00A217C8"/>
    <w:rsid w:val="00A220A8"/>
    <w:rsid w:val="00A3054D"/>
    <w:rsid w:val="00A4217A"/>
    <w:rsid w:val="00A51E19"/>
    <w:rsid w:val="00A63FC9"/>
    <w:rsid w:val="00A65F24"/>
    <w:rsid w:val="00A731CE"/>
    <w:rsid w:val="00A809DF"/>
    <w:rsid w:val="00A87CCE"/>
    <w:rsid w:val="00A9404D"/>
    <w:rsid w:val="00AA600E"/>
    <w:rsid w:val="00AB4173"/>
    <w:rsid w:val="00AB5878"/>
    <w:rsid w:val="00AC59FF"/>
    <w:rsid w:val="00AC5BA7"/>
    <w:rsid w:val="00AD0650"/>
    <w:rsid w:val="00AD1F0E"/>
    <w:rsid w:val="00AD5137"/>
    <w:rsid w:val="00AE1853"/>
    <w:rsid w:val="00AE5CE7"/>
    <w:rsid w:val="00AF497E"/>
    <w:rsid w:val="00AF4C29"/>
    <w:rsid w:val="00AF5903"/>
    <w:rsid w:val="00AF5CE2"/>
    <w:rsid w:val="00B128D5"/>
    <w:rsid w:val="00B162C9"/>
    <w:rsid w:val="00B202EB"/>
    <w:rsid w:val="00B243CB"/>
    <w:rsid w:val="00B4504D"/>
    <w:rsid w:val="00B75DCA"/>
    <w:rsid w:val="00B90A76"/>
    <w:rsid w:val="00BA3F09"/>
    <w:rsid w:val="00BB23EC"/>
    <w:rsid w:val="00BC59B3"/>
    <w:rsid w:val="00BC6DC8"/>
    <w:rsid w:val="00BE53B4"/>
    <w:rsid w:val="00BF1096"/>
    <w:rsid w:val="00C01372"/>
    <w:rsid w:val="00C27AB2"/>
    <w:rsid w:val="00C305DC"/>
    <w:rsid w:val="00C4754B"/>
    <w:rsid w:val="00C55D38"/>
    <w:rsid w:val="00C56B81"/>
    <w:rsid w:val="00C723B1"/>
    <w:rsid w:val="00C87475"/>
    <w:rsid w:val="00C91341"/>
    <w:rsid w:val="00C915AC"/>
    <w:rsid w:val="00CA020E"/>
    <w:rsid w:val="00CA4EC8"/>
    <w:rsid w:val="00CB4F49"/>
    <w:rsid w:val="00CC58B2"/>
    <w:rsid w:val="00CC6D81"/>
    <w:rsid w:val="00CD642A"/>
    <w:rsid w:val="00CE2676"/>
    <w:rsid w:val="00CE7533"/>
    <w:rsid w:val="00CF5FAF"/>
    <w:rsid w:val="00CF6AE7"/>
    <w:rsid w:val="00D102D9"/>
    <w:rsid w:val="00D40FC3"/>
    <w:rsid w:val="00D55588"/>
    <w:rsid w:val="00D842AE"/>
    <w:rsid w:val="00D84EBC"/>
    <w:rsid w:val="00D90695"/>
    <w:rsid w:val="00D9704C"/>
    <w:rsid w:val="00DA7939"/>
    <w:rsid w:val="00DB537C"/>
    <w:rsid w:val="00DC10EC"/>
    <w:rsid w:val="00DE48B5"/>
    <w:rsid w:val="00DF789B"/>
    <w:rsid w:val="00E100FE"/>
    <w:rsid w:val="00E32402"/>
    <w:rsid w:val="00E36C2E"/>
    <w:rsid w:val="00E40F54"/>
    <w:rsid w:val="00E524BD"/>
    <w:rsid w:val="00E56A92"/>
    <w:rsid w:val="00E62BF1"/>
    <w:rsid w:val="00E7594C"/>
    <w:rsid w:val="00E86C71"/>
    <w:rsid w:val="00E903C8"/>
    <w:rsid w:val="00EA3C4C"/>
    <w:rsid w:val="00EA480B"/>
    <w:rsid w:val="00EC52F6"/>
    <w:rsid w:val="00ED2547"/>
    <w:rsid w:val="00EE1043"/>
    <w:rsid w:val="00EE186F"/>
    <w:rsid w:val="00EE7C12"/>
    <w:rsid w:val="00EF2398"/>
    <w:rsid w:val="00F01CFF"/>
    <w:rsid w:val="00F04594"/>
    <w:rsid w:val="00F075C1"/>
    <w:rsid w:val="00F11DC2"/>
    <w:rsid w:val="00F137B9"/>
    <w:rsid w:val="00F14879"/>
    <w:rsid w:val="00F214A3"/>
    <w:rsid w:val="00F2261A"/>
    <w:rsid w:val="00F233BF"/>
    <w:rsid w:val="00F23DAD"/>
    <w:rsid w:val="00F26C87"/>
    <w:rsid w:val="00F279FD"/>
    <w:rsid w:val="00F40096"/>
    <w:rsid w:val="00F5536D"/>
    <w:rsid w:val="00F74216"/>
    <w:rsid w:val="00F85656"/>
    <w:rsid w:val="00F97AB5"/>
    <w:rsid w:val="00FA7616"/>
    <w:rsid w:val="00FB06B3"/>
    <w:rsid w:val="00FB1138"/>
    <w:rsid w:val="00FB2DDC"/>
    <w:rsid w:val="00FB5C28"/>
    <w:rsid w:val="00FC2B95"/>
    <w:rsid w:val="00FD12DD"/>
    <w:rsid w:val="00FD24DF"/>
    <w:rsid w:val="00FF4B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01BE48-25D6-49D2-B8CB-279669C2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600E"/>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A600E"/>
    <w:tblPr>
      <w:tblInd w:w="0" w:type="dxa"/>
      <w:tblCellMar>
        <w:top w:w="0" w:type="dxa"/>
        <w:left w:w="0" w:type="dxa"/>
        <w:bottom w:w="0" w:type="dxa"/>
        <w:right w:w="0" w:type="dxa"/>
      </w:tblCellMar>
    </w:tblPr>
  </w:style>
  <w:style w:type="paragraph" w:styleId="Textoindependiente">
    <w:name w:val="Body Text"/>
    <w:basedOn w:val="Normal"/>
    <w:uiPriority w:val="1"/>
    <w:qFormat/>
    <w:rsid w:val="00AA600E"/>
    <w:pPr>
      <w:ind w:left="112"/>
    </w:pPr>
    <w:rPr>
      <w:rFonts w:ascii="Arial" w:eastAsia="Arial" w:hAnsi="Arial"/>
      <w:sz w:val="24"/>
      <w:szCs w:val="24"/>
    </w:rPr>
  </w:style>
  <w:style w:type="paragraph" w:customStyle="1" w:styleId="Ttulo11">
    <w:name w:val="Título 11"/>
    <w:basedOn w:val="Normal"/>
    <w:uiPriority w:val="1"/>
    <w:qFormat/>
    <w:rsid w:val="00AA600E"/>
    <w:pPr>
      <w:ind w:left="112"/>
      <w:outlineLvl w:val="1"/>
    </w:pPr>
    <w:rPr>
      <w:rFonts w:ascii="Arial" w:eastAsia="Arial" w:hAnsi="Arial"/>
      <w:b/>
      <w:bCs/>
      <w:sz w:val="24"/>
      <w:szCs w:val="24"/>
    </w:rPr>
  </w:style>
  <w:style w:type="paragraph" w:styleId="Prrafodelista">
    <w:name w:val="List Paragraph"/>
    <w:basedOn w:val="Normal"/>
    <w:uiPriority w:val="34"/>
    <w:qFormat/>
    <w:rsid w:val="00AA600E"/>
  </w:style>
  <w:style w:type="paragraph" w:customStyle="1" w:styleId="TableParagraph">
    <w:name w:val="Table Paragraph"/>
    <w:basedOn w:val="Normal"/>
    <w:uiPriority w:val="1"/>
    <w:qFormat/>
    <w:rsid w:val="00AA600E"/>
  </w:style>
  <w:style w:type="paragraph" w:styleId="Encabezado">
    <w:name w:val="header"/>
    <w:basedOn w:val="Normal"/>
    <w:link w:val="EncabezadoCar"/>
    <w:unhideWhenUsed/>
    <w:rsid w:val="0088728F"/>
    <w:pPr>
      <w:tabs>
        <w:tab w:val="center" w:pos="4419"/>
        <w:tab w:val="right" w:pos="8838"/>
      </w:tabs>
    </w:pPr>
  </w:style>
  <w:style w:type="character" w:customStyle="1" w:styleId="EncabezadoCar">
    <w:name w:val="Encabezado Car"/>
    <w:basedOn w:val="Fuentedeprrafopredeter"/>
    <w:link w:val="Encabezado"/>
    <w:rsid w:val="0088728F"/>
  </w:style>
  <w:style w:type="paragraph" w:styleId="Piedepgina">
    <w:name w:val="footer"/>
    <w:basedOn w:val="Normal"/>
    <w:link w:val="PiedepginaCar"/>
    <w:uiPriority w:val="99"/>
    <w:unhideWhenUsed/>
    <w:rsid w:val="0088728F"/>
    <w:pPr>
      <w:tabs>
        <w:tab w:val="center" w:pos="4419"/>
        <w:tab w:val="right" w:pos="8838"/>
      </w:tabs>
    </w:pPr>
  </w:style>
  <w:style w:type="character" w:customStyle="1" w:styleId="PiedepginaCar">
    <w:name w:val="Pie de página Car"/>
    <w:basedOn w:val="Fuentedeprrafopredeter"/>
    <w:link w:val="Piedepgina"/>
    <w:uiPriority w:val="99"/>
    <w:rsid w:val="0088728F"/>
  </w:style>
  <w:style w:type="paragraph" w:styleId="Textonotapie">
    <w:name w:val="footnote text"/>
    <w:basedOn w:val="Normal"/>
    <w:link w:val="TextonotapieCar"/>
    <w:semiHidden/>
    <w:rsid w:val="002B0E5E"/>
    <w:pPr>
      <w:widowControl/>
    </w:pPr>
    <w:rPr>
      <w:rFonts w:ascii="Arial" w:eastAsia="Times New Roman" w:hAnsi="Arial" w:cs="Times New Roman"/>
      <w:sz w:val="20"/>
      <w:szCs w:val="20"/>
      <w:lang w:val="es-ES" w:eastAsia="es-ES"/>
    </w:rPr>
  </w:style>
  <w:style w:type="character" w:customStyle="1" w:styleId="TextonotapieCar">
    <w:name w:val="Texto nota pie Car"/>
    <w:basedOn w:val="Fuentedeprrafopredeter"/>
    <w:link w:val="Textonotapie"/>
    <w:semiHidden/>
    <w:rsid w:val="002B0E5E"/>
    <w:rPr>
      <w:rFonts w:ascii="Arial" w:eastAsia="Times New Roman" w:hAnsi="Arial" w:cs="Times New Roman"/>
      <w:sz w:val="20"/>
      <w:szCs w:val="20"/>
      <w:lang w:val="es-ES" w:eastAsia="es-ES"/>
    </w:rPr>
  </w:style>
  <w:style w:type="character" w:styleId="Refdenotaalpie">
    <w:name w:val="footnote reference"/>
    <w:basedOn w:val="Fuentedeprrafopredeter"/>
    <w:semiHidden/>
    <w:rsid w:val="002B0E5E"/>
    <w:rPr>
      <w:vertAlign w:val="superscript"/>
    </w:rPr>
  </w:style>
  <w:style w:type="paragraph" w:styleId="Textodeglobo">
    <w:name w:val="Balloon Text"/>
    <w:basedOn w:val="Normal"/>
    <w:link w:val="TextodegloboCar"/>
    <w:uiPriority w:val="99"/>
    <w:semiHidden/>
    <w:unhideWhenUsed/>
    <w:rsid w:val="0091016A"/>
    <w:rPr>
      <w:rFonts w:ascii="Tahoma" w:hAnsi="Tahoma" w:cs="Tahoma"/>
      <w:sz w:val="16"/>
      <w:szCs w:val="16"/>
    </w:rPr>
  </w:style>
  <w:style w:type="character" w:customStyle="1" w:styleId="TextodegloboCar">
    <w:name w:val="Texto de globo Car"/>
    <w:basedOn w:val="Fuentedeprrafopredeter"/>
    <w:link w:val="Textodeglobo"/>
    <w:uiPriority w:val="99"/>
    <w:semiHidden/>
    <w:rsid w:val="0091016A"/>
    <w:rPr>
      <w:rFonts w:ascii="Tahoma" w:hAnsi="Tahoma" w:cs="Tahoma"/>
      <w:sz w:val="16"/>
      <w:szCs w:val="16"/>
      <w:lang w:val="es-MX"/>
    </w:rPr>
  </w:style>
  <w:style w:type="table" w:styleId="Tablaconcuadrcula">
    <w:name w:val="Table Grid"/>
    <w:basedOn w:val="Tablanormal"/>
    <w:uiPriority w:val="59"/>
    <w:rsid w:val="0046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51F4"/>
    <w:pPr>
      <w:widowControl/>
      <w:spacing w:before="100" w:beforeAutospacing="1" w:after="100" w:afterAutospacing="1"/>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151243">
      <w:bodyDiv w:val="1"/>
      <w:marLeft w:val="0"/>
      <w:marRight w:val="0"/>
      <w:marTop w:val="0"/>
      <w:marBottom w:val="0"/>
      <w:divBdr>
        <w:top w:val="none" w:sz="0" w:space="0" w:color="auto"/>
        <w:left w:val="none" w:sz="0" w:space="0" w:color="auto"/>
        <w:bottom w:val="none" w:sz="0" w:space="0" w:color="auto"/>
        <w:right w:val="none" w:sz="0" w:space="0" w:color="auto"/>
      </w:divBdr>
    </w:div>
    <w:div w:id="1029524486">
      <w:bodyDiv w:val="1"/>
      <w:marLeft w:val="0"/>
      <w:marRight w:val="0"/>
      <w:marTop w:val="0"/>
      <w:marBottom w:val="0"/>
      <w:divBdr>
        <w:top w:val="none" w:sz="0" w:space="0" w:color="auto"/>
        <w:left w:val="none" w:sz="0" w:space="0" w:color="auto"/>
        <w:bottom w:val="none" w:sz="0" w:space="0" w:color="auto"/>
        <w:right w:val="none" w:sz="0" w:space="0" w:color="auto"/>
      </w:divBdr>
    </w:div>
    <w:div w:id="1039014497">
      <w:bodyDiv w:val="1"/>
      <w:marLeft w:val="0"/>
      <w:marRight w:val="0"/>
      <w:marTop w:val="0"/>
      <w:marBottom w:val="0"/>
      <w:divBdr>
        <w:top w:val="none" w:sz="0" w:space="0" w:color="auto"/>
        <w:left w:val="none" w:sz="0" w:space="0" w:color="auto"/>
        <w:bottom w:val="none" w:sz="0" w:space="0" w:color="auto"/>
        <w:right w:val="none" w:sz="0" w:space="0" w:color="auto"/>
      </w:divBdr>
    </w:div>
    <w:div w:id="1464275129">
      <w:bodyDiv w:val="1"/>
      <w:marLeft w:val="0"/>
      <w:marRight w:val="0"/>
      <w:marTop w:val="0"/>
      <w:marBottom w:val="0"/>
      <w:divBdr>
        <w:top w:val="none" w:sz="0" w:space="0" w:color="auto"/>
        <w:left w:val="none" w:sz="0" w:space="0" w:color="auto"/>
        <w:bottom w:val="none" w:sz="0" w:space="0" w:color="auto"/>
        <w:right w:val="none" w:sz="0" w:space="0" w:color="auto"/>
      </w:divBdr>
    </w:div>
    <w:div w:id="1734812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50FF-F84C-49A3-97C7-A6EC23AD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2556</Words>
  <Characters>14063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ESTADÍSTICAS A PROPÓSITO DEL BUEN FIN 2016</vt:lpstr>
    </vt:vector>
  </TitlesOfParts>
  <Company>INEGI</Company>
  <LinksUpToDate>false</LinksUpToDate>
  <CharactersWithSpaces>16586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ESTADÍSTICAS SOBRE LAS AFECTACIONES DE LOS SISMOS DE SEPTIEMBRE DE 2017 EN LAS ACTIVIDADES ECONÓMICAS</dc:title>
  <dc:creator>INEGI</dc:creator>
  <cp:lastModifiedBy>SALA DE PRENSA</cp:lastModifiedBy>
  <cp:revision>47</cp:revision>
  <cp:lastPrinted>2017-09-28T21:11:00Z</cp:lastPrinted>
  <dcterms:created xsi:type="dcterms:W3CDTF">2017-09-29T00:33:00Z</dcterms:created>
  <dcterms:modified xsi:type="dcterms:W3CDTF">2017-09-29T13:49:00Z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LastSaved">
    <vt:filetime>2017-09-26T00:00:00Z</vt:filetime>
  </property>
</Properties>
</file>