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52F29" w14:textId="77777777" w:rsidR="00CA4B96" w:rsidRPr="00DB3459" w:rsidRDefault="00CA4B96">
      <w:pPr>
        <w:pStyle w:val="Textoindependiente"/>
        <w:spacing w:before="5"/>
        <w:rPr>
          <w:rFonts w:ascii="Times New Roman"/>
          <w:sz w:val="17"/>
        </w:rPr>
      </w:pPr>
      <w:bookmarkStart w:id="0" w:name="_Hlk22287321"/>
      <w:bookmarkEnd w:id="0"/>
    </w:p>
    <w:p w14:paraId="7BF68FF5" w14:textId="77777777" w:rsidR="00952955" w:rsidRDefault="00BF1B06" w:rsidP="00952955">
      <w:pPr>
        <w:pStyle w:val="Default"/>
        <w:ind w:left="-567" w:right="-2"/>
        <w:jc w:val="center"/>
        <w:rPr>
          <w:b/>
        </w:rPr>
      </w:pPr>
      <w:r>
        <w:rPr>
          <w:b/>
          <w:bCs/>
        </w:rPr>
        <w:t>RESULTADOS DEL</w:t>
      </w:r>
      <w:r w:rsidR="00823A6B" w:rsidRPr="00DB3459">
        <w:rPr>
          <w:b/>
          <w:bCs/>
        </w:rPr>
        <w:t xml:space="preserve"> NOVENO CENSO NACIONAL DE </w:t>
      </w:r>
      <w:r w:rsidR="00823A6B" w:rsidRPr="00DB3459">
        <w:rPr>
          <w:b/>
        </w:rPr>
        <w:t xml:space="preserve">IMPARTICIÓN </w:t>
      </w:r>
    </w:p>
    <w:p w14:paraId="3B39FB90" w14:textId="1EDF6A1D" w:rsidR="00CA4B96" w:rsidRDefault="00823A6B" w:rsidP="00952955">
      <w:pPr>
        <w:pStyle w:val="Default"/>
        <w:ind w:left="-567" w:right="-2"/>
        <w:jc w:val="center"/>
        <w:rPr>
          <w:b/>
        </w:rPr>
      </w:pPr>
      <w:r w:rsidRPr="00DB3459">
        <w:rPr>
          <w:b/>
        </w:rPr>
        <w:t xml:space="preserve">DE JUSTICIA ESTATAL </w:t>
      </w:r>
    </w:p>
    <w:p w14:paraId="200514C3" w14:textId="77777777" w:rsidR="00C22900" w:rsidRPr="00DB3459" w:rsidRDefault="00C22900" w:rsidP="00823A6B">
      <w:pPr>
        <w:pStyle w:val="Default"/>
        <w:ind w:right="-2"/>
        <w:jc w:val="center"/>
        <w:rPr>
          <w:b/>
        </w:rPr>
      </w:pPr>
    </w:p>
    <w:p w14:paraId="21F9A6B6" w14:textId="5FFABAD2" w:rsidR="00C22900" w:rsidRPr="00952955" w:rsidRDefault="00C22900" w:rsidP="00952955">
      <w:pPr>
        <w:pStyle w:val="Prrafodelista"/>
        <w:numPr>
          <w:ilvl w:val="0"/>
          <w:numId w:val="2"/>
        </w:numPr>
        <w:spacing w:after="20" w:line="252" w:lineRule="auto"/>
        <w:ind w:left="284" w:right="423" w:hanging="284"/>
        <w:jc w:val="both"/>
        <w:rPr>
          <w:bCs/>
          <w:sz w:val="24"/>
        </w:rPr>
      </w:pPr>
      <w:r w:rsidRPr="00952955">
        <w:rPr>
          <w:bCs/>
          <w:sz w:val="24"/>
        </w:rPr>
        <w:t>Al cierre de 2018, 66 mil 648 personas</w:t>
      </w:r>
      <w:r w:rsidRPr="00952955">
        <w:rPr>
          <w:bCs/>
          <w:spacing w:val="-13"/>
          <w:sz w:val="24"/>
        </w:rPr>
        <w:t xml:space="preserve"> </w:t>
      </w:r>
      <w:r w:rsidRPr="00952955">
        <w:rPr>
          <w:bCs/>
          <w:sz w:val="24"/>
        </w:rPr>
        <w:t xml:space="preserve">laboraban en los Poderes Judiciales </w:t>
      </w:r>
      <w:r w:rsidR="00CC7243">
        <w:rPr>
          <w:bCs/>
          <w:sz w:val="24"/>
        </w:rPr>
        <w:t>e</w:t>
      </w:r>
      <w:r w:rsidRPr="00952955">
        <w:rPr>
          <w:bCs/>
          <w:sz w:val="24"/>
        </w:rPr>
        <w:t>statales, 47 mil 671 en los órganos jurisdiccionales y 18 mil 977 en sus unidades u órganos administrativos. Del total</w:t>
      </w:r>
      <w:r w:rsidR="00CD1AA6" w:rsidRPr="00952955">
        <w:rPr>
          <w:bCs/>
          <w:sz w:val="24"/>
        </w:rPr>
        <w:t>,</w:t>
      </w:r>
      <w:r w:rsidRPr="00952955">
        <w:rPr>
          <w:bCs/>
          <w:sz w:val="24"/>
        </w:rPr>
        <w:t xml:space="preserve"> 59.4% fueron mujeres y 40.6%, hombres</w:t>
      </w:r>
      <w:r w:rsidR="006E183D" w:rsidRPr="00952955">
        <w:rPr>
          <w:bCs/>
          <w:spacing w:val="-14"/>
          <w:sz w:val="24"/>
        </w:rPr>
        <w:t>.</w:t>
      </w:r>
    </w:p>
    <w:p w14:paraId="017D59BB" w14:textId="2BC05AA4" w:rsidR="00C22900" w:rsidRPr="00952955" w:rsidRDefault="00C22900" w:rsidP="00952955">
      <w:pPr>
        <w:pStyle w:val="Prrafodelista"/>
        <w:numPr>
          <w:ilvl w:val="0"/>
          <w:numId w:val="2"/>
        </w:numPr>
        <w:spacing w:after="20" w:line="252" w:lineRule="auto"/>
        <w:ind w:left="284" w:right="423" w:hanging="284"/>
        <w:jc w:val="both"/>
        <w:rPr>
          <w:bCs/>
          <w:sz w:val="24"/>
        </w:rPr>
      </w:pPr>
      <w:r w:rsidRPr="00952955">
        <w:rPr>
          <w:bCs/>
          <w:sz w:val="24"/>
        </w:rPr>
        <w:t>En</w:t>
      </w:r>
      <w:r w:rsidRPr="00952955">
        <w:rPr>
          <w:bCs/>
          <w:spacing w:val="-12"/>
          <w:sz w:val="24"/>
        </w:rPr>
        <w:t xml:space="preserve"> </w:t>
      </w:r>
      <w:r w:rsidRPr="00952955">
        <w:rPr>
          <w:bCs/>
          <w:sz w:val="24"/>
        </w:rPr>
        <w:t>los</w:t>
      </w:r>
      <w:r w:rsidRPr="00952955">
        <w:rPr>
          <w:bCs/>
          <w:spacing w:val="-11"/>
          <w:sz w:val="24"/>
        </w:rPr>
        <w:t xml:space="preserve"> </w:t>
      </w:r>
      <w:r w:rsidRPr="00952955">
        <w:rPr>
          <w:bCs/>
          <w:sz w:val="24"/>
        </w:rPr>
        <w:t>órganos</w:t>
      </w:r>
      <w:r w:rsidRPr="00952955">
        <w:rPr>
          <w:bCs/>
          <w:spacing w:val="-11"/>
          <w:sz w:val="24"/>
        </w:rPr>
        <w:t xml:space="preserve"> </w:t>
      </w:r>
      <w:r w:rsidRPr="00952955">
        <w:rPr>
          <w:bCs/>
          <w:sz w:val="24"/>
        </w:rPr>
        <w:t>jurisdiccionales, 4 mil 725 personas tenían el cargo de jueces y magistrados</w:t>
      </w:r>
      <w:r w:rsidR="00952955">
        <w:rPr>
          <w:bCs/>
          <w:sz w:val="24"/>
        </w:rPr>
        <w:t>;</w:t>
      </w:r>
      <w:r w:rsidR="00AB020B" w:rsidRPr="00952955">
        <w:rPr>
          <w:bCs/>
          <w:sz w:val="24"/>
        </w:rPr>
        <w:t xml:space="preserve"> de este total,</w:t>
      </w:r>
      <w:r w:rsidRPr="00952955">
        <w:rPr>
          <w:bCs/>
          <w:sz w:val="24"/>
        </w:rPr>
        <w:t xml:space="preserve"> 40.7% eran mujeres</w:t>
      </w:r>
      <w:r w:rsidR="006E183D" w:rsidRPr="00952955">
        <w:rPr>
          <w:bCs/>
          <w:sz w:val="24"/>
        </w:rPr>
        <w:t>.</w:t>
      </w:r>
    </w:p>
    <w:p w14:paraId="43A43D05" w14:textId="4F9908B7" w:rsidR="00704792" w:rsidRPr="00952955" w:rsidRDefault="007657F1" w:rsidP="00952955">
      <w:pPr>
        <w:pStyle w:val="Prrafodelista"/>
        <w:numPr>
          <w:ilvl w:val="0"/>
          <w:numId w:val="2"/>
        </w:numPr>
        <w:spacing w:after="20" w:line="237" w:lineRule="auto"/>
        <w:ind w:left="284" w:right="423" w:hanging="284"/>
        <w:jc w:val="both"/>
        <w:rPr>
          <w:bCs/>
          <w:sz w:val="24"/>
        </w:rPr>
      </w:pPr>
      <w:r w:rsidRPr="00952955">
        <w:rPr>
          <w:bCs/>
          <w:sz w:val="24"/>
        </w:rPr>
        <w:t xml:space="preserve">Durante 2018 </w:t>
      </w:r>
      <w:r w:rsidR="00AB020B" w:rsidRPr="00952955">
        <w:rPr>
          <w:bCs/>
          <w:sz w:val="24"/>
        </w:rPr>
        <w:t xml:space="preserve">se </w:t>
      </w:r>
      <w:r w:rsidRPr="00952955">
        <w:rPr>
          <w:bCs/>
          <w:sz w:val="24"/>
        </w:rPr>
        <w:t>i</w:t>
      </w:r>
      <w:r w:rsidR="00823A6B" w:rsidRPr="00952955">
        <w:rPr>
          <w:bCs/>
          <w:sz w:val="24"/>
        </w:rPr>
        <w:t>ngresaron</w:t>
      </w:r>
      <w:r w:rsidR="00704792" w:rsidRPr="00952955">
        <w:rPr>
          <w:bCs/>
          <w:sz w:val="24"/>
        </w:rPr>
        <w:t xml:space="preserve"> y </w:t>
      </w:r>
      <w:r w:rsidR="00480F08" w:rsidRPr="00952955">
        <w:rPr>
          <w:bCs/>
          <w:sz w:val="24"/>
        </w:rPr>
        <w:t>abrieron</w:t>
      </w:r>
      <w:r w:rsidR="006E183D" w:rsidRPr="00952955">
        <w:rPr>
          <w:bCs/>
          <w:sz w:val="24"/>
        </w:rPr>
        <w:t>,</w:t>
      </w:r>
      <w:r w:rsidR="00823A6B" w:rsidRPr="00952955">
        <w:rPr>
          <w:bCs/>
          <w:sz w:val="24"/>
        </w:rPr>
        <w:t xml:space="preserve"> en primera instancia</w:t>
      </w:r>
      <w:r w:rsidR="00AB020B" w:rsidRPr="00952955">
        <w:rPr>
          <w:bCs/>
          <w:sz w:val="24"/>
        </w:rPr>
        <w:t xml:space="preserve"> de los diferentes órganos jurisdiccionales de los Poderes Judiciales </w:t>
      </w:r>
      <w:r w:rsidR="00CC7243">
        <w:rPr>
          <w:bCs/>
          <w:sz w:val="24"/>
        </w:rPr>
        <w:t>e</w:t>
      </w:r>
      <w:r w:rsidR="00AB020B" w:rsidRPr="00952955">
        <w:rPr>
          <w:bCs/>
          <w:sz w:val="24"/>
        </w:rPr>
        <w:t>statales</w:t>
      </w:r>
      <w:r w:rsidR="006E183D" w:rsidRPr="00952955">
        <w:rPr>
          <w:bCs/>
          <w:sz w:val="24"/>
        </w:rPr>
        <w:t>,</w:t>
      </w:r>
      <w:r w:rsidR="00823A6B" w:rsidRPr="00952955">
        <w:rPr>
          <w:bCs/>
          <w:sz w:val="24"/>
        </w:rPr>
        <w:t xml:space="preserve"> </w:t>
      </w:r>
      <w:r w:rsidR="00704792" w:rsidRPr="00952955">
        <w:rPr>
          <w:bCs/>
          <w:sz w:val="24"/>
        </w:rPr>
        <w:t>2 millones 126 mil 005 causas penales y expedientes</w:t>
      </w:r>
      <w:r w:rsidR="00CD1AA6" w:rsidRPr="00952955">
        <w:rPr>
          <w:bCs/>
          <w:sz w:val="24"/>
        </w:rPr>
        <w:t xml:space="preserve"> judiciales en materias distintas a la penal</w:t>
      </w:r>
      <w:r w:rsidR="00AB020B" w:rsidRPr="00952955">
        <w:rPr>
          <w:bCs/>
          <w:sz w:val="24"/>
        </w:rPr>
        <w:t>; específicamente</w:t>
      </w:r>
      <w:r w:rsidR="006E183D" w:rsidRPr="00952955">
        <w:rPr>
          <w:bCs/>
          <w:sz w:val="24"/>
        </w:rPr>
        <w:t xml:space="preserve"> </w:t>
      </w:r>
      <w:r w:rsidR="00704792" w:rsidRPr="00952955">
        <w:rPr>
          <w:bCs/>
          <w:sz w:val="24"/>
        </w:rPr>
        <w:t xml:space="preserve">38.4% </w:t>
      </w:r>
      <w:r w:rsidR="00AB020B" w:rsidRPr="00952955">
        <w:rPr>
          <w:bCs/>
          <w:sz w:val="24"/>
        </w:rPr>
        <w:t>correspondió a la</w:t>
      </w:r>
      <w:r w:rsidR="00704792" w:rsidRPr="00952955">
        <w:rPr>
          <w:bCs/>
          <w:sz w:val="24"/>
        </w:rPr>
        <w:t xml:space="preserve"> materia familiar</w:t>
      </w:r>
      <w:r w:rsidR="00CD1AA6" w:rsidRPr="00952955">
        <w:rPr>
          <w:rStyle w:val="Refdenotaalpie"/>
          <w:bCs/>
          <w:sz w:val="24"/>
        </w:rPr>
        <w:footnoteReference w:id="1"/>
      </w:r>
      <w:r w:rsidR="006E183D" w:rsidRPr="00952955">
        <w:rPr>
          <w:bCs/>
          <w:sz w:val="24"/>
        </w:rPr>
        <w:t>.</w:t>
      </w:r>
    </w:p>
    <w:p w14:paraId="3236579A" w14:textId="300F95BA" w:rsidR="00704792" w:rsidRPr="00952955" w:rsidRDefault="007657F1" w:rsidP="00952955">
      <w:pPr>
        <w:pStyle w:val="Prrafodelista"/>
        <w:numPr>
          <w:ilvl w:val="0"/>
          <w:numId w:val="2"/>
        </w:numPr>
        <w:tabs>
          <w:tab w:val="left" w:pos="830"/>
        </w:tabs>
        <w:spacing w:after="20"/>
        <w:ind w:left="284" w:right="423" w:hanging="284"/>
        <w:jc w:val="both"/>
        <w:rPr>
          <w:bCs/>
          <w:sz w:val="24"/>
        </w:rPr>
      </w:pPr>
      <w:r w:rsidRPr="00952955">
        <w:rPr>
          <w:bCs/>
          <w:sz w:val="24"/>
        </w:rPr>
        <w:t>En e</w:t>
      </w:r>
      <w:r w:rsidR="006E183D" w:rsidRPr="00952955">
        <w:rPr>
          <w:bCs/>
          <w:sz w:val="24"/>
        </w:rPr>
        <w:t>se</w:t>
      </w:r>
      <w:r w:rsidRPr="00952955">
        <w:rPr>
          <w:bCs/>
          <w:sz w:val="24"/>
        </w:rPr>
        <w:t xml:space="preserve"> mismo periodo</w:t>
      </w:r>
      <w:r w:rsidR="006E183D" w:rsidRPr="00952955">
        <w:rPr>
          <w:bCs/>
          <w:sz w:val="24"/>
        </w:rPr>
        <w:t>,</w:t>
      </w:r>
      <w:r w:rsidR="00C22900" w:rsidRPr="00952955">
        <w:rPr>
          <w:bCs/>
          <w:sz w:val="24"/>
        </w:rPr>
        <w:t xml:space="preserve"> </w:t>
      </w:r>
      <w:r w:rsidR="00704792" w:rsidRPr="00952955">
        <w:rPr>
          <w:bCs/>
          <w:sz w:val="24"/>
        </w:rPr>
        <w:t xml:space="preserve">ingresaron </w:t>
      </w:r>
      <w:r w:rsidR="00C33BF0" w:rsidRPr="00952955">
        <w:rPr>
          <w:bCs/>
          <w:sz w:val="24"/>
        </w:rPr>
        <w:t>10 mil 863</w:t>
      </w:r>
      <w:r w:rsidR="005C1A46" w:rsidRPr="00952955">
        <w:rPr>
          <w:bCs/>
          <w:sz w:val="24"/>
        </w:rPr>
        <w:t xml:space="preserve"> causas penales</w:t>
      </w:r>
      <w:r w:rsidR="00C33BF0" w:rsidRPr="00952955">
        <w:rPr>
          <w:bCs/>
          <w:sz w:val="24"/>
        </w:rPr>
        <w:t xml:space="preserve"> a los Sistemas Tradicional, Escrito o Mixto y Oral</w:t>
      </w:r>
      <w:r w:rsidR="00AB020B" w:rsidRPr="00952955">
        <w:rPr>
          <w:bCs/>
          <w:sz w:val="24"/>
        </w:rPr>
        <w:t>;</w:t>
      </w:r>
      <w:r w:rsidR="00461591" w:rsidRPr="00952955">
        <w:rPr>
          <w:bCs/>
          <w:sz w:val="24"/>
        </w:rPr>
        <w:t xml:space="preserve"> 153 mil 625 a los Juzgados de Control</w:t>
      </w:r>
      <w:r w:rsidR="00AB020B" w:rsidRPr="00952955">
        <w:rPr>
          <w:bCs/>
          <w:sz w:val="24"/>
        </w:rPr>
        <w:t>,</w:t>
      </w:r>
      <w:r w:rsidR="00461591" w:rsidRPr="00952955">
        <w:rPr>
          <w:bCs/>
          <w:sz w:val="24"/>
        </w:rPr>
        <w:t xml:space="preserve"> y 8 mil 230 a los Tribunales de Enjuiciamiento o Juzgados de Juicio Oral de los Sistemas Penal Acusatorio e Integral de Justicia Penal para Adolescentes</w:t>
      </w:r>
      <w:r w:rsidR="006E183D" w:rsidRPr="00952955">
        <w:rPr>
          <w:bCs/>
          <w:sz w:val="24"/>
        </w:rPr>
        <w:t>.</w:t>
      </w:r>
    </w:p>
    <w:p w14:paraId="26ED71F6" w14:textId="60EFDC6E" w:rsidR="00480F08" w:rsidRPr="00C33BF0" w:rsidRDefault="00480F08" w:rsidP="00952955">
      <w:pPr>
        <w:pStyle w:val="Prrafodelista"/>
        <w:numPr>
          <w:ilvl w:val="0"/>
          <w:numId w:val="2"/>
        </w:numPr>
        <w:tabs>
          <w:tab w:val="left" w:pos="830"/>
        </w:tabs>
        <w:spacing w:after="20"/>
        <w:ind w:left="284" w:right="423" w:hanging="284"/>
        <w:jc w:val="both"/>
        <w:rPr>
          <w:b/>
          <w:sz w:val="24"/>
        </w:rPr>
      </w:pPr>
      <w:r w:rsidRPr="00952955">
        <w:rPr>
          <w:bCs/>
          <w:sz w:val="24"/>
        </w:rPr>
        <w:t xml:space="preserve">En 2018 se reportaron 176 mil 682 expedientes abiertos </w:t>
      </w:r>
      <w:r w:rsidR="006E183D" w:rsidRPr="00952955">
        <w:rPr>
          <w:bCs/>
          <w:sz w:val="24"/>
        </w:rPr>
        <w:t>en</w:t>
      </w:r>
      <w:r w:rsidRPr="00952955">
        <w:rPr>
          <w:bCs/>
          <w:sz w:val="24"/>
        </w:rPr>
        <w:t xml:space="preserve"> los </w:t>
      </w:r>
      <w:r w:rsidR="006E183D" w:rsidRPr="00952955">
        <w:rPr>
          <w:bCs/>
          <w:sz w:val="24"/>
        </w:rPr>
        <w:t xml:space="preserve">órganos o centros encargados </w:t>
      </w:r>
      <w:r w:rsidRPr="00952955">
        <w:rPr>
          <w:bCs/>
          <w:sz w:val="24"/>
        </w:rPr>
        <w:t>de</w:t>
      </w:r>
      <w:r w:rsidR="006E183D" w:rsidRPr="00952955">
        <w:rPr>
          <w:bCs/>
          <w:sz w:val="24"/>
        </w:rPr>
        <w:t xml:space="preserve"> </w:t>
      </w:r>
      <w:r w:rsidRPr="00952955">
        <w:rPr>
          <w:bCs/>
          <w:sz w:val="24"/>
        </w:rPr>
        <w:t>Justicia Alternativa</w:t>
      </w:r>
      <w:r w:rsidR="00AD204A" w:rsidRPr="00952955">
        <w:rPr>
          <w:bCs/>
          <w:sz w:val="24"/>
        </w:rPr>
        <w:t xml:space="preserve"> y/o Mecanismos Alternativos de Solución de Controversias</w:t>
      </w:r>
      <w:r w:rsidR="00FE7FF5" w:rsidRPr="00952955">
        <w:rPr>
          <w:bCs/>
          <w:sz w:val="24"/>
        </w:rPr>
        <w:t>;</w:t>
      </w:r>
      <w:r w:rsidRPr="00952955">
        <w:rPr>
          <w:bCs/>
          <w:sz w:val="24"/>
        </w:rPr>
        <w:t xml:space="preserve"> se concluyeron 158 mil 748</w:t>
      </w:r>
      <w:r w:rsidR="006E183D" w:rsidRPr="00952955">
        <w:rPr>
          <w:bCs/>
          <w:sz w:val="24"/>
        </w:rPr>
        <w:t>,</w:t>
      </w:r>
      <w:r w:rsidRPr="00952955">
        <w:rPr>
          <w:bCs/>
          <w:sz w:val="24"/>
        </w:rPr>
        <w:t xml:space="preserve"> y 22 mil 415 permanecieron pendientes de concluir al cierre del año</w:t>
      </w:r>
      <w:r w:rsidR="006E183D">
        <w:rPr>
          <w:b/>
          <w:sz w:val="24"/>
        </w:rPr>
        <w:t>.</w:t>
      </w:r>
    </w:p>
    <w:p w14:paraId="348BFBDC" w14:textId="5A9E9F8D" w:rsidR="00823A6B" w:rsidRPr="00DB3459" w:rsidRDefault="00823A6B">
      <w:pPr>
        <w:pStyle w:val="Textoindependiente"/>
        <w:spacing w:before="176"/>
        <w:ind w:left="120" w:right="191"/>
        <w:jc w:val="both"/>
      </w:pPr>
    </w:p>
    <w:p w14:paraId="011C2009" w14:textId="4C16F43E" w:rsidR="0058182C" w:rsidRPr="00DB3459" w:rsidRDefault="0058182C" w:rsidP="00952955">
      <w:pPr>
        <w:pStyle w:val="Textoindependiente"/>
        <w:spacing w:line="254" w:lineRule="auto"/>
        <w:ind w:left="-567" w:right="110"/>
        <w:jc w:val="both"/>
      </w:pPr>
      <w:r w:rsidRPr="00DB3459">
        <w:t>Al</w:t>
      </w:r>
      <w:r w:rsidRPr="00DB3459">
        <w:rPr>
          <w:spacing w:val="-7"/>
        </w:rPr>
        <w:t xml:space="preserve"> </w:t>
      </w:r>
      <w:r w:rsidRPr="00DB3459">
        <w:t>31</w:t>
      </w:r>
      <w:r w:rsidRPr="00DB3459">
        <w:rPr>
          <w:spacing w:val="-6"/>
        </w:rPr>
        <w:t xml:space="preserve"> </w:t>
      </w:r>
      <w:r w:rsidRPr="00DB3459">
        <w:t>de</w:t>
      </w:r>
      <w:r w:rsidRPr="00DB3459">
        <w:rPr>
          <w:spacing w:val="-6"/>
        </w:rPr>
        <w:t xml:space="preserve"> </w:t>
      </w:r>
      <w:r w:rsidRPr="00DB3459">
        <w:t>diciembre</w:t>
      </w:r>
      <w:r w:rsidRPr="00DB3459">
        <w:rPr>
          <w:spacing w:val="-9"/>
        </w:rPr>
        <w:t xml:space="preserve"> </w:t>
      </w:r>
      <w:r w:rsidRPr="00DB3459">
        <w:t>de</w:t>
      </w:r>
      <w:r w:rsidRPr="00DB3459">
        <w:rPr>
          <w:spacing w:val="-8"/>
        </w:rPr>
        <w:t xml:space="preserve"> </w:t>
      </w:r>
      <w:r w:rsidRPr="00DB3459">
        <w:t>201</w:t>
      </w:r>
      <w:r>
        <w:t>8</w:t>
      </w:r>
      <w:r w:rsidRPr="00DB3459">
        <w:t>,</w:t>
      </w:r>
      <w:r w:rsidRPr="00DB3459">
        <w:rPr>
          <w:spacing w:val="-6"/>
        </w:rPr>
        <w:t xml:space="preserve"> </w:t>
      </w:r>
      <w:r w:rsidRPr="00DB3459">
        <w:t>los</w:t>
      </w:r>
      <w:r w:rsidRPr="00DB3459">
        <w:rPr>
          <w:spacing w:val="-6"/>
        </w:rPr>
        <w:t xml:space="preserve"> </w:t>
      </w:r>
      <w:r w:rsidRPr="00DB3459">
        <w:t>Poderes</w:t>
      </w:r>
      <w:r w:rsidRPr="00DB3459">
        <w:rPr>
          <w:spacing w:val="-7"/>
        </w:rPr>
        <w:t xml:space="preserve"> </w:t>
      </w:r>
      <w:r w:rsidRPr="00DB3459">
        <w:t>Judiciales</w:t>
      </w:r>
      <w:r w:rsidRPr="00DB3459">
        <w:rPr>
          <w:spacing w:val="-6"/>
        </w:rPr>
        <w:t xml:space="preserve"> </w:t>
      </w:r>
      <w:r w:rsidRPr="00DB3459">
        <w:t>Estatales</w:t>
      </w:r>
      <w:r w:rsidRPr="00DB3459">
        <w:rPr>
          <w:spacing w:val="-6"/>
        </w:rPr>
        <w:t xml:space="preserve"> </w:t>
      </w:r>
      <w:r w:rsidRPr="00DB3459">
        <w:t>contaban</w:t>
      </w:r>
      <w:r w:rsidRPr="00DB3459">
        <w:rPr>
          <w:spacing w:val="-6"/>
        </w:rPr>
        <w:t xml:space="preserve"> </w:t>
      </w:r>
      <w:r w:rsidRPr="00DB3459">
        <w:t>con</w:t>
      </w:r>
      <w:r w:rsidRPr="00DB3459">
        <w:rPr>
          <w:spacing w:val="-6"/>
        </w:rPr>
        <w:t xml:space="preserve"> </w:t>
      </w:r>
      <w:r w:rsidRPr="00043939">
        <w:t>4</w:t>
      </w:r>
      <w:r>
        <w:t xml:space="preserve"> mil </w:t>
      </w:r>
      <w:r w:rsidRPr="00043939">
        <w:t>099</w:t>
      </w:r>
      <w:r>
        <w:t xml:space="preserve"> </w:t>
      </w:r>
      <w:r w:rsidRPr="00DB3459">
        <w:t>órganos jurisdiccion</w:t>
      </w:r>
      <w:r w:rsidRPr="00043939">
        <w:t>ales: 88.2%</w:t>
      </w:r>
      <w:r>
        <w:t xml:space="preserve"> </w:t>
      </w:r>
      <w:r w:rsidRPr="00DB3459">
        <w:t>eran juzgados</w:t>
      </w:r>
      <w:r w:rsidR="005C1A46">
        <w:t>, el resto (11.2%) correspondió a tribunales, salas y otros órganos</w:t>
      </w:r>
      <w:r w:rsidRPr="00043939">
        <w:t>.</w:t>
      </w:r>
      <w:r w:rsidRPr="0058182C">
        <w:t xml:space="preserve"> Del total de órganos jurisdiccionales, </w:t>
      </w:r>
      <w:r w:rsidR="006E183D">
        <w:t xml:space="preserve">en </w:t>
      </w:r>
      <w:r w:rsidRPr="0058182C">
        <w:t>2</w:t>
      </w:r>
      <w:r>
        <w:t>2</w:t>
      </w:r>
      <w:r w:rsidRPr="0058182C">
        <w:t>.2% de ellos</w:t>
      </w:r>
      <w:r w:rsidR="006E183D">
        <w:t xml:space="preserve"> se</w:t>
      </w:r>
      <w:r w:rsidRPr="0058182C">
        <w:t xml:space="preserve"> atendi</w:t>
      </w:r>
      <w:r w:rsidR="006E183D">
        <w:t>eron</w:t>
      </w:r>
      <w:r w:rsidRPr="0058182C">
        <w:t xml:space="preserve"> asuntos en materia penal</w:t>
      </w:r>
      <w:r w:rsidR="005C1A46">
        <w:rPr>
          <w:rStyle w:val="Refdenotaalpie"/>
        </w:rPr>
        <w:footnoteReference w:id="2"/>
      </w:r>
      <w:r>
        <w:t>.</w:t>
      </w:r>
    </w:p>
    <w:p w14:paraId="2F059C43" w14:textId="77777777" w:rsidR="0058182C" w:rsidRPr="00DB3459" w:rsidRDefault="0058182C" w:rsidP="00952955">
      <w:pPr>
        <w:pStyle w:val="Textoindependiente"/>
        <w:ind w:left="-567"/>
        <w:rPr>
          <w:sz w:val="23"/>
        </w:rPr>
      </w:pPr>
    </w:p>
    <w:p w14:paraId="05488984" w14:textId="652531D9" w:rsidR="0058182C" w:rsidRDefault="0058182C" w:rsidP="00952955">
      <w:pPr>
        <w:pStyle w:val="Textoindependiente"/>
        <w:ind w:left="-567" w:right="114"/>
        <w:jc w:val="both"/>
      </w:pPr>
      <w:r w:rsidRPr="00043939">
        <w:t xml:space="preserve">En 2018 se reportaron 66 mil 648 servidores públicos en los Poderes Judiciales </w:t>
      </w:r>
      <w:r w:rsidR="00CC7243">
        <w:t>e</w:t>
      </w:r>
      <w:r w:rsidRPr="00043939">
        <w:t>statales: 59.4% fueron mujeres y 40.6% hombres. La mayor</w:t>
      </w:r>
      <w:r>
        <w:t xml:space="preserve">ía </w:t>
      </w:r>
      <w:r w:rsidRPr="00043939">
        <w:t>del personal laboró en los órganos jurisdiccionales (47 mil 671 personas</w:t>
      </w:r>
      <w:r w:rsidR="006E183D">
        <w:t>,</w:t>
      </w:r>
      <w:r w:rsidRPr="00043939">
        <w:t xml:space="preserve"> equivalentes a 71.5%)</w:t>
      </w:r>
      <w:r w:rsidR="007329D6">
        <w:t>,</w:t>
      </w:r>
      <w:r w:rsidRPr="00043939">
        <w:t xml:space="preserve"> y el resto en </w:t>
      </w:r>
      <w:r w:rsidR="006E183D">
        <w:t>la</w:t>
      </w:r>
      <w:r w:rsidRPr="00043939">
        <w:t>s unidades u órganos administrativos (18 mil 977</w:t>
      </w:r>
      <w:r w:rsidR="006E183D">
        <w:t>,</w:t>
      </w:r>
      <w:r w:rsidRPr="00043939">
        <w:t xml:space="preserve"> que </w:t>
      </w:r>
      <w:r w:rsidR="006E183D">
        <w:t xml:space="preserve">representan </w:t>
      </w:r>
      <w:r w:rsidRPr="00043939">
        <w:t>28.5%).</w:t>
      </w:r>
    </w:p>
    <w:p w14:paraId="02950DD2" w14:textId="77777777" w:rsidR="004F7088" w:rsidRPr="00DB3459" w:rsidRDefault="004F7088" w:rsidP="00952955">
      <w:pPr>
        <w:pStyle w:val="Textoindependiente"/>
        <w:ind w:left="-567" w:right="114"/>
        <w:jc w:val="both"/>
      </w:pPr>
    </w:p>
    <w:p w14:paraId="31D022DF" w14:textId="4097E3A3" w:rsidR="0058182C" w:rsidRPr="00DB3459" w:rsidRDefault="0058182C" w:rsidP="00952955">
      <w:pPr>
        <w:pStyle w:val="Textoindependiente"/>
        <w:ind w:left="-567" w:right="118"/>
        <w:jc w:val="both"/>
      </w:pPr>
      <w:r w:rsidRPr="00DB3459">
        <w:t>Del total de personal en los órganos jurisdiccionales</w:t>
      </w:r>
      <w:r w:rsidR="007329D6">
        <w:t>,</w:t>
      </w:r>
      <w:r w:rsidRPr="00DB3459">
        <w:t xml:space="preserve"> se identifican </w:t>
      </w:r>
      <w:r w:rsidRPr="00591B50">
        <w:t>4</w:t>
      </w:r>
      <w:r>
        <w:t xml:space="preserve"> mil </w:t>
      </w:r>
      <w:r w:rsidRPr="00591B50">
        <w:t>725</w:t>
      </w:r>
      <w:r>
        <w:t xml:space="preserve"> </w:t>
      </w:r>
      <w:r w:rsidRPr="00DB3459">
        <w:t xml:space="preserve">personas con el cargo de jueces y magistrados. De </w:t>
      </w:r>
      <w:r>
        <w:t>e</w:t>
      </w:r>
      <w:r w:rsidRPr="00DB3459">
        <w:t xml:space="preserve">stos, </w:t>
      </w:r>
      <w:r w:rsidRPr="00591B50">
        <w:t>59.3%</w:t>
      </w:r>
      <w:r>
        <w:t xml:space="preserve"> </w:t>
      </w:r>
      <w:r w:rsidRPr="00DB3459">
        <w:t xml:space="preserve">fueron hombres y </w:t>
      </w:r>
      <w:r w:rsidRPr="00591B50">
        <w:t>40.7%</w:t>
      </w:r>
      <w:r>
        <w:t xml:space="preserve"> </w:t>
      </w:r>
      <w:r w:rsidRPr="00DB3459">
        <w:t>mujeres.</w:t>
      </w:r>
    </w:p>
    <w:p w14:paraId="14B364E3" w14:textId="2BDC9F0F" w:rsidR="00952955" w:rsidRDefault="00952955" w:rsidP="005A5931">
      <w:pPr>
        <w:adjustRightInd w:val="0"/>
        <w:jc w:val="both"/>
        <w:rPr>
          <w:color w:val="000000"/>
          <w:sz w:val="24"/>
          <w:szCs w:val="24"/>
        </w:rPr>
      </w:pPr>
    </w:p>
    <w:p w14:paraId="49CEDCBD" w14:textId="1FF713C8" w:rsidR="005A5931" w:rsidRDefault="005A5931" w:rsidP="005A5931">
      <w:pPr>
        <w:adjustRightInd w:val="0"/>
        <w:jc w:val="both"/>
        <w:rPr>
          <w:color w:val="000000"/>
          <w:sz w:val="24"/>
          <w:szCs w:val="24"/>
        </w:rPr>
      </w:pPr>
    </w:p>
    <w:p w14:paraId="31C11055" w14:textId="26BF4298" w:rsidR="00DB3459" w:rsidRPr="00B05DD8" w:rsidRDefault="00DB3459" w:rsidP="00952955">
      <w:pPr>
        <w:adjustRightInd w:val="0"/>
        <w:ind w:left="-567"/>
        <w:jc w:val="both"/>
        <w:rPr>
          <w:color w:val="000000"/>
          <w:sz w:val="24"/>
          <w:szCs w:val="24"/>
        </w:rPr>
      </w:pPr>
      <w:r w:rsidRPr="00DB3459">
        <w:rPr>
          <w:color w:val="000000"/>
          <w:sz w:val="24"/>
          <w:szCs w:val="24"/>
        </w:rPr>
        <w:lastRenderedPageBreak/>
        <w:t>Del 1 de enero al 31 de diciembre de 201</w:t>
      </w:r>
      <w:r w:rsidR="007657F1">
        <w:rPr>
          <w:color w:val="000000"/>
          <w:sz w:val="24"/>
          <w:szCs w:val="24"/>
        </w:rPr>
        <w:t>8</w:t>
      </w:r>
      <w:r w:rsidRPr="00DB3459">
        <w:rPr>
          <w:color w:val="000000"/>
          <w:sz w:val="24"/>
          <w:szCs w:val="24"/>
        </w:rPr>
        <w:t xml:space="preserve"> </w:t>
      </w:r>
      <w:r w:rsidR="003A4F80">
        <w:rPr>
          <w:color w:val="000000"/>
          <w:sz w:val="24"/>
          <w:szCs w:val="24"/>
        </w:rPr>
        <w:t>se in</w:t>
      </w:r>
      <w:r w:rsidR="004301E9">
        <w:rPr>
          <w:color w:val="000000"/>
          <w:sz w:val="24"/>
          <w:szCs w:val="24"/>
        </w:rPr>
        <w:t>gresaron</w:t>
      </w:r>
      <w:r w:rsidR="007329D6">
        <w:rPr>
          <w:color w:val="000000"/>
          <w:sz w:val="24"/>
          <w:szCs w:val="24"/>
        </w:rPr>
        <w:t>,</w:t>
      </w:r>
      <w:r w:rsidR="003A4F80">
        <w:rPr>
          <w:color w:val="000000"/>
          <w:sz w:val="24"/>
          <w:szCs w:val="24"/>
        </w:rPr>
        <w:t xml:space="preserve"> </w:t>
      </w:r>
      <w:r w:rsidR="007329D6">
        <w:rPr>
          <w:color w:val="000000"/>
          <w:sz w:val="24"/>
          <w:szCs w:val="24"/>
        </w:rPr>
        <w:t xml:space="preserve">en </w:t>
      </w:r>
      <w:r w:rsidR="007329D6" w:rsidRPr="00B05DD8">
        <w:rPr>
          <w:color w:val="000000"/>
          <w:sz w:val="24"/>
          <w:szCs w:val="24"/>
        </w:rPr>
        <w:t xml:space="preserve">los diferentes órganos jurisdiccionales de primera instancia </w:t>
      </w:r>
      <w:r w:rsidR="007329D6">
        <w:rPr>
          <w:color w:val="000000"/>
          <w:sz w:val="24"/>
          <w:szCs w:val="24"/>
        </w:rPr>
        <w:t>de</w:t>
      </w:r>
      <w:r w:rsidR="007329D6" w:rsidRPr="00B05DD8">
        <w:rPr>
          <w:color w:val="000000"/>
          <w:sz w:val="24"/>
          <w:szCs w:val="24"/>
        </w:rPr>
        <w:t xml:space="preserve"> los Poderes Judiciales </w:t>
      </w:r>
      <w:r w:rsidR="00CC7243">
        <w:rPr>
          <w:color w:val="000000"/>
          <w:sz w:val="24"/>
          <w:szCs w:val="24"/>
        </w:rPr>
        <w:t>e</w:t>
      </w:r>
      <w:r w:rsidR="007329D6" w:rsidRPr="00B05DD8">
        <w:rPr>
          <w:color w:val="000000"/>
          <w:sz w:val="24"/>
          <w:szCs w:val="24"/>
        </w:rPr>
        <w:t>statales</w:t>
      </w:r>
      <w:r w:rsidR="007329D6">
        <w:rPr>
          <w:color w:val="000000"/>
          <w:sz w:val="24"/>
          <w:szCs w:val="24"/>
        </w:rPr>
        <w:t>,</w:t>
      </w:r>
      <w:r w:rsidR="007329D6" w:rsidRPr="00480F08">
        <w:rPr>
          <w:color w:val="000000"/>
          <w:sz w:val="24"/>
          <w:szCs w:val="24"/>
        </w:rPr>
        <w:t xml:space="preserve"> </w:t>
      </w:r>
      <w:r w:rsidR="00480F08" w:rsidRPr="00480F08">
        <w:rPr>
          <w:color w:val="000000"/>
          <w:sz w:val="24"/>
          <w:szCs w:val="24"/>
        </w:rPr>
        <w:t>2 millones 126 mil 005 causas penales</w:t>
      </w:r>
      <w:r w:rsidR="00480F08">
        <w:rPr>
          <w:rStyle w:val="Refdenotaalpie"/>
          <w:color w:val="000000"/>
          <w:sz w:val="24"/>
          <w:szCs w:val="24"/>
        </w:rPr>
        <w:footnoteReference w:id="3"/>
      </w:r>
      <w:r w:rsidR="00480F08" w:rsidRPr="00480F08">
        <w:rPr>
          <w:color w:val="000000"/>
          <w:sz w:val="24"/>
          <w:szCs w:val="24"/>
        </w:rPr>
        <w:t xml:space="preserve"> </w:t>
      </w:r>
      <w:r w:rsidR="00480F08" w:rsidRPr="00B05DD8">
        <w:rPr>
          <w:color w:val="000000"/>
          <w:sz w:val="24"/>
          <w:szCs w:val="24"/>
        </w:rPr>
        <w:t xml:space="preserve">y expedientes </w:t>
      </w:r>
      <w:r w:rsidR="003A4F80">
        <w:rPr>
          <w:color w:val="000000"/>
          <w:sz w:val="24"/>
          <w:szCs w:val="24"/>
        </w:rPr>
        <w:t xml:space="preserve">judiciales </w:t>
      </w:r>
      <w:r w:rsidRPr="00B05DD8">
        <w:rPr>
          <w:color w:val="000000"/>
          <w:sz w:val="24"/>
          <w:szCs w:val="24"/>
        </w:rPr>
        <w:t>en todas las materias</w:t>
      </w:r>
      <w:r w:rsidR="007329D6">
        <w:rPr>
          <w:color w:val="000000"/>
          <w:sz w:val="24"/>
          <w:szCs w:val="24"/>
        </w:rPr>
        <w:t>;</w:t>
      </w:r>
      <w:r w:rsidR="00480F08" w:rsidRPr="00B05DD8">
        <w:rPr>
          <w:color w:val="000000"/>
          <w:sz w:val="24"/>
          <w:szCs w:val="24"/>
        </w:rPr>
        <w:t xml:space="preserve"> de ellos</w:t>
      </w:r>
      <w:r w:rsidR="007329D6">
        <w:rPr>
          <w:color w:val="000000"/>
          <w:sz w:val="24"/>
          <w:szCs w:val="24"/>
        </w:rPr>
        <w:t>,</w:t>
      </w:r>
      <w:r w:rsidR="00480F08" w:rsidRPr="00B05DD8">
        <w:rPr>
          <w:color w:val="000000"/>
          <w:sz w:val="24"/>
          <w:szCs w:val="24"/>
        </w:rPr>
        <w:t xml:space="preserve"> 38.4% </w:t>
      </w:r>
      <w:r w:rsidR="007329D6">
        <w:rPr>
          <w:color w:val="000000"/>
          <w:sz w:val="24"/>
          <w:szCs w:val="24"/>
        </w:rPr>
        <w:t>correspondió</w:t>
      </w:r>
      <w:r w:rsidR="007329D6" w:rsidRPr="00B05DD8">
        <w:rPr>
          <w:color w:val="000000"/>
          <w:sz w:val="24"/>
          <w:szCs w:val="24"/>
        </w:rPr>
        <w:t xml:space="preserve"> </w:t>
      </w:r>
      <w:r w:rsidR="00480F08" w:rsidRPr="00B05DD8">
        <w:rPr>
          <w:color w:val="000000"/>
          <w:sz w:val="24"/>
          <w:szCs w:val="24"/>
        </w:rPr>
        <w:t xml:space="preserve">a </w:t>
      </w:r>
      <w:r w:rsidR="007329D6">
        <w:rPr>
          <w:color w:val="000000"/>
          <w:sz w:val="24"/>
          <w:szCs w:val="24"/>
        </w:rPr>
        <w:t xml:space="preserve">la </w:t>
      </w:r>
      <w:r w:rsidR="00480F08" w:rsidRPr="00B05DD8">
        <w:rPr>
          <w:color w:val="000000"/>
          <w:sz w:val="24"/>
          <w:szCs w:val="24"/>
        </w:rPr>
        <w:t>materia familiar</w:t>
      </w:r>
      <w:r w:rsidRPr="00B05DD8">
        <w:rPr>
          <w:color w:val="000000"/>
          <w:sz w:val="24"/>
          <w:szCs w:val="24"/>
        </w:rPr>
        <w:t xml:space="preserve">. </w:t>
      </w:r>
    </w:p>
    <w:p w14:paraId="0C39CC78" w14:textId="77777777" w:rsidR="00DB3459" w:rsidRPr="00B05DD8" w:rsidRDefault="00DB3459" w:rsidP="00952955">
      <w:pPr>
        <w:adjustRightInd w:val="0"/>
        <w:ind w:left="-567"/>
        <w:jc w:val="both"/>
        <w:rPr>
          <w:color w:val="000000"/>
          <w:sz w:val="24"/>
          <w:szCs w:val="24"/>
        </w:rPr>
      </w:pPr>
    </w:p>
    <w:p w14:paraId="25A25E9E" w14:textId="07A3F68C" w:rsidR="00461591" w:rsidRDefault="00DB3459" w:rsidP="00952955">
      <w:pPr>
        <w:adjustRightInd w:val="0"/>
        <w:ind w:left="-567"/>
        <w:jc w:val="both"/>
      </w:pPr>
      <w:r w:rsidRPr="00B05DD8">
        <w:rPr>
          <w:color w:val="000000"/>
          <w:sz w:val="24"/>
          <w:szCs w:val="24"/>
        </w:rPr>
        <w:t xml:space="preserve">Durante </w:t>
      </w:r>
      <w:r w:rsidR="007329D6">
        <w:rPr>
          <w:color w:val="000000"/>
          <w:sz w:val="24"/>
          <w:szCs w:val="24"/>
        </w:rPr>
        <w:t>ese mismo año</w:t>
      </w:r>
      <w:r w:rsidR="007329D6" w:rsidRPr="00B05DD8">
        <w:rPr>
          <w:color w:val="000000"/>
          <w:sz w:val="24"/>
          <w:szCs w:val="24"/>
        </w:rPr>
        <w:t xml:space="preserve"> </w:t>
      </w:r>
      <w:r w:rsidR="004301E9">
        <w:rPr>
          <w:color w:val="000000"/>
          <w:sz w:val="24"/>
          <w:szCs w:val="24"/>
        </w:rPr>
        <w:t xml:space="preserve">ingresaron </w:t>
      </w:r>
      <w:r w:rsidR="00840E76" w:rsidRPr="00B05DD8">
        <w:rPr>
          <w:color w:val="000000"/>
          <w:sz w:val="24"/>
          <w:szCs w:val="24"/>
        </w:rPr>
        <w:t>10 mil 863</w:t>
      </w:r>
      <w:r w:rsidR="00461591" w:rsidRPr="00B05DD8">
        <w:rPr>
          <w:color w:val="000000"/>
          <w:sz w:val="24"/>
          <w:szCs w:val="24"/>
        </w:rPr>
        <w:t xml:space="preserve"> </w:t>
      </w:r>
      <w:r w:rsidR="00461591" w:rsidRPr="00461591">
        <w:rPr>
          <w:color w:val="000000"/>
          <w:sz w:val="24"/>
          <w:szCs w:val="24"/>
        </w:rPr>
        <w:t xml:space="preserve">causas penales </w:t>
      </w:r>
      <w:r w:rsidR="00840E76" w:rsidRPr="00461591">
        <w:rPr>
          <w:color w:val="000000"/>
          <w:sz w:val="24"/>
          <w:szCs w:val="24"/>
        </w:rPr>
        <w:t xml:space="preserve">en los Sistemas Tradicional, Escrito o Mixto y Oral; </w:t>
      </w:r>
      <w:r w:rsidR="00D22C09">
        <w:rPr>
          <w:color w:val="000000"/>
          <w:sz w:val="24"/>
          <w:szCs w:val="24"/>
        </w:rPr>
        <w:t xml:space="preserve">153 mil 625 </w:t>
      </w:r>
      <w:r w:rsidR="00461591" w:rsidRPr="00461591">
        <w:rPr>
          <w:color w:val="000000"/>
          <w:sz w:val="24"/>
          <w:szCs w:val="24"/>
        </w:rPr>
        <w:t>ingresaron en los Juzgados de Control en materia penal</w:t>
      </w:r>
      <w:r w:rsidR="007329D6">
        <w:rPr>
          <w:color w:val="000000"/>
          <w:sz w:val="24"/>
          <w:szCs w:val="24"/>
        </w:rPr>
        <w:t>,</w:t>
      </w:r>
      <w:r w:rsidR="00461591">
        <w:rPr>
          <w:color w:val="000000"/>
          <w:sz w:val="24"/>
          <w:szCs w:val="24"/>
        </w:rPr>
        <w:t xml:space="preserve"> y</w:t>
      </w:r>
      <w:r w:rsidR="00840E76" w:rsidRPr="00B05DD8">
        <w:rPr>
          <w:color w:val="000000"/>
          <w:sz w:val="24"/>
          <w:szCs w:val="24"/>
        </w:rPr>
        <w:t xml:space="preserve"> 8 mil 230 en los Tribunales de Enjuiciamiento</w:t>
      </w:r>
      <w:r w:rsidR="00D22C09">
        <w:rPr>
          <w:color w:val="000000"/>
          <w:sz w:val="24"/>
          <w:szCs w:val="24"/>
        </w:rPr>
        <w:t>,</w:t>
      </w:r>
      <w:r w:rsidR="00840E76" w:rsidRPr="00B05DD8">
        <w:rPr>
          <w:color w:val="000000"/>
          <w:sz w:val="24"/>
          <w:szCs w:val="24"/>
        </w:rPr>
        <w:t xml:space="preserve"> </w:t>
      </w:r>
      <w:r w:rsidR="00B05DD8" w:rsidRPr="00B05DD8">
        <w:rPr>
          <w:color w:val="000000"/>
          <w:sz w:val="24"/>
          <w:szCs w:val="24"/>
        </w:rPr>
        <w:t xml:space="preserve">tanto </w:t>
      </w:r>
      <w:r w:rsidR="00461591" w:rsidRPr="00B05DD8">
        <w:rPr>
          <w:color w:val="000000"/>
          <w:sz w:val="24"/>
          <w:szCs w:val="24"/>
        </w:rPr>
        <w:t xml:space="preserve">en el Sistema Penal Acusatorio </w:t>
      </w:r>
      <w:r w:rsidR="00461591">
        <w:rPr>
          <w:color w:val="000000"/>
          <w:sz w:val="24"/>
          <w:szCs w:val="24"/>
        </w:rPr>
        <w:t>como en el</w:t>
      </w:r>
      <w:r w:rsidR="004301E9">
        <w:rPr>
          <w:color w:val="000000"/>
          <w:sz w:val="24"/>
          <w:szCs w:val="24"/>
        </w:rPr>
        <w:t xml:space="preserve"> Sistema</w:t>
      </w:r>
      <w:r w:rsidR="00461591" w:rsidRPr="00B05DD8">
        <w:rPr>
          <w:color w:val="000000"/>
          <w:sz w:val="24"/>
          <w:szCs w:val="24"/>
        </w:rPr>
        <w:t xml:space="preserve"> Integral de Justicia Penal para Adolescentes</w:t>
      </w:r>
      <w:r w:rsidR="00461591">
        <w:rPr>
          <w:sz w:val="23"/>
        </w:rPr>
        <w:t>.</w:t>
      </w:r>
    </w:p>
    <w:p w14:paraId="177476C0" w14:textId="4B8D29AE" w:rsidR="00DB3459" w:rsidRPr="00DB3459" w:rsidRDefault="00D22C09" w:rsidP="00952955">
      <w:pPr>
        <w:pStyle w:val="Textoindependiente"/>
        <w:spacing w:before="222"/>
        <w:ind w:left="-567" w:right="108"/>
        <w:jc w:val="both"/>
      </w:pPr>
      <w:r>
        <w:t>En l</w:t>
      </w:r>
      <w:r w:rsidR="00DB3459" w:rsidRPr="00DB3459">
        <w:t xml:space="preserve">as causas penales ingresadas en </w:t>
      </w:r>
      <w:r w:rsidR="00DB3459" w:rsidRPr="0058182C">
        <w:t>primera instancia durante 201</w:t>
      </w:r>
      <w:r w:rsidR="007657F1" w:rsidRPr="0058182C">
        <w:t>8</w:t>
      </w:r>
      <w:r w:rsidR="00DB3459" w:rsidRPr="0058182C">
        <w:t xml:space="preserve"> </w:t>
      </w:r>
      <w:r>
        <w:t xml:space="preserve">se </w:t>
      </w:r>
      <w:r w:rsidR="00DB3459" w:rsidRPr="0058182C">
        <w:t xml:space="preserve">registraron </w:t>
      </w:r>
      <w:r w:rsidR="00E65718" w:rsidRPr="00E65718">
        <w:t>193</w:t>
      </w:r>
      <w:r w:rsidR="00E65718">
        <w:t xml:space="preserve"> mil </w:t>
      </w:r>
      <w:r w:rsidR="00E65718" w:rsidRPr="00E65718">
        <w:t>636</w:t>
      </w:r>
      <w:r w:rsidR="00E65718">
        <w:t xml:space="preserve"> delitos</w:t>
      </w:r>
      <w:r w:rsidR="00DB3459" w:rsidRPr="0058182C">
        <w:t xml:space="preserve">. De </w:t>
      </w:r>
      <w:r w:rsidR="007657F1" w:rsidRPr="0058182C">
        <w:t>e</w:t>
      </w:r>
      <w:r w:rsidR="00DB3459" w:rsidRPr="0058182C">
        <w:t xml:space="preserve">stos, </w:t>
      </w:r>
      <w:r w:rsidR="0058182C" w:rsidRPr="0058182C">
        <w:t xml:space="preserve">188 mil 620 </w:t>
      </w:r>
      <w:r w:rsidR="00DB3459" w:rsidRPr="0058182C">
        <w:t>corresponden a</w:t>
      </w:r>
      <w:r w:rsidR="006E183D">
        <w:t xml:space="preserve"> delitos cometidos por</w:t>
      </w:r>
      <w:r w:rsidR="00DB3459" w:rsidRPr="0058182C">
        <w:t xml:space="preserve"> adultos (9</w:t>
      </w:r>
      <w:r w:rsidR="0058182C" w:rsidRPr="0058182C">
        <w:t>7</w:t>
      </w:r>
      <w:r w:rsidR="00DB3459" w:rsidRPr="0058182C">
        <w:t>.</w:t>
      </w:r>
      <w:r w:rsidR="00E65718">
        <w:t>4</w:t>
      </w:r>
      <w:r w:rsidR="00DB3459" w:rsidRPr="0058182C">
        <w:t xml:space="preserve">%) y </w:t>
      </w:r>
      <w:r w:rsidR="004301E9" w:rsidRPr="004301E9">
        <w:t xml:space="preserve">5 mil 016 </w:t>
      </w:r>
      <w:r w:rsidR="00DB3459" w:rsidRPr="0058182C">
        <w:t>por adolescentes (</w:t>
      </w:r>
      <w:r w:rsidR="0058182C" w:rsidRPr="0058182C">
        <w:t>2.</w:t>
      </w:r>
      <w:r w:rsidR="00E65718">
        <w:t>6</w:t>
      </w:r>
      <w:r w:rsidR="00DB3459" w:rsidRPr="0058182C">
        <w:t>%)</w:t>
      </w:r>
      <w:r w:rsidR="006E10DA">
        <w:rPr>
          <w:rStyle w:val="Refdenotaalpie"/>
        </w:rPr>
        <w:footnoteReference w:id="4"/>
      </w:r>
      <w:r w:rsidR="006E183D">
        <w:t>.</w:t>
      </w:r>
    </w:p>
    <w:p w14:paraId="69FC5A73" w14:textId="77777777" w:rsidR="00DB3459" w:rsidRPr="00DB3459" w:rsidRDefault="00DB3459" w:rsidP="00952955">
      <w:pPr>
        <w:pStyle w:val="Textoindependiente"/>
        <w:spacing w:before="3"/>
        <w:ind w:left="-567"/>
        <w:rPr>
          <w:sz w:val="25"/>
        </w:rPr>
      </w:pPr>
    </w:p>
    <w:p w14:paraId="0468F21B" w14:textId="67315F7C" w:rsidR="0058182C" w:rsidRDefault="000B4104" w:rsidP="00952955">
      <w:pPr>
        <w:pStyle w:val="Textoindependiente"/>
        <w:spacing w:line="254" w:lineRule="auto"/>
        <w:ind w:left="-567" w:right="110"/>
        <w:jc w:val="both"/>
      </w:pPr>
      <w:r>
        <w:t>Finalmente, al cierre de</w:t>
      </w:r>
      <w:r w:rsidR="0058182C" w:rsidRPr="0058182C">
        <w:t xml:space="preserve"> 2018 se reportaron 176 mil 682 expedientes abiertos por los órganos o centros encargados de la aplicación de </w:t>
      </w:r>
      <w:r w:rsidR="00CC7243">
        <w:t>j</w:t>
      </w:r>
      <w:r w:rsidR="0058182C" w:rsidRPr="0058182C">
        <w:t xml:space="preserve">usticia </w:t>
      </w:r>
      <w:r w:rsidR="00CC7243">
        <w:t>a</w:t>
      </w:r>
      <w:r w:rsidR="0058182C" w:rsidRPr="0058182C">
        <w:t>lternativa</w:t>
      </w:r>
      <w:r>
        <w:t>;</w:t>
      </w:r>
      <w:r w:rsidR="0058182C" w:rsidRPr="0058182C">
        <w:t xml:space="preserve"> se concluyeron 158 mil 748</w:t>
      </w:r>
      <w:r>
        <w:t>,</w:t>
      </w:r>
      <w:r w:rsidR="0058182C" w:rsidRPr="0058182C">
        <w:t xml:space="preserve"> y 22 mil 415 permanecieron pendientes de concluir al cierre del año.</w:t>
      </w:r>
    </w:p>
    <w:p w14:paraId="026C7FEE" w14:textId="77777777" w:rsidR="00DB3459" w:rsidRPr="00DB3459" w:rsidRDefault="00DB3459" w:rsidP="00952955">
      <w:pPr>
        <w:adjustRightInd w:val="0"/>
        <w:ind w:left="-567"/>
        <w:jc w:val="both"/>
        <w:rPr>
          <w:color w:val="000000"/>
          <w:sz w:val="24"/>
          <w:szCs w:val="24"/>
        </w:rPr>
      </w:pPr>
    </w:p>
    <w:p w14:paraId="23C05E2F" w14:textId="3D912440" w:rsidR="00823A6B" w:rsidRPr="00DB3459" w:rsidRDefault="000B4104" w:rsidP="00952955">
      <w:pPr>
        <w:adjustRightInd w:val="0"/>
        <w:ind w:left="-567"/>
        <w:jc w:val="both"/>
        <w:rPr>
          <w:color w:val="FF0000"/>
          <w:sz w:val="24"/>
          <w:szCs w:val="24"/>
        </w:rPr>
      </w:pPr>
      <w:r>
        <w:rPr>
          <w:color w:val="000000"/>
          <w:sz w:val="24"/>
          <w:szCs w:val="24"/>
        </w:rPr>
        <w:t>Esta información y m</w:t>
      </w:r>
      <w:r w:rsidR="00823A6B" w:rsidRPr="00DB3459">
        <w:rPr>
          <w:color w:val="000000"/>
          <w:sz w:val="24"/>
          <w:szCs w:val="24"/>
        </w:rPr>
        <w:t>ás se puede consultar en el noveno Censo Nacional de Impartición de Justicia Estatal (CNIJE)</w:t>
      </w:r>
      <w:r>
        <w:rPr>
          <w:color w:val="000000"/>
          <w:sz w:val="24"/>
          <w:szCs w:val="24"/>
        </w:rPr>
        <w:t xml:space="preserve"> disponible en</w:t>
      </w:r>
      <w:r w:rsidR="00823A6B" w:rsidRPr="00DB3459">
        <w:rPr>
          <w:color w:val="000000"/>
          <w:sz w:val="24"/>
          <w:szCs w:val="24"/>
        </w:rPr>
        <w:t>:</w:t>
      </w:r>
      <w:r w:rsidR="00A32D5C">
        <w:rPr>
          <w:color w:val="000000"/>
          <w:sz w:val="24"/>
          <w:szCs w:val="24"/>
        </w:rPr>
        <w:t xml:space="preserve"> </w:t>
      </w:r>
      <w:hyperlink r:id="rId8" w:history="1">
        <w:r w:rsidR="00E56127" w:rsidRPr="00E56127">
          <w:rPr>
            <w:rStyle w:val="Hipervnculo"/>
            <w:sz w:val="24"/>
            <w:szCs w:val="24"/>
          </w:rPr>
          <w:t>https://www.inegi.org.mx/programas/cnije/2019/</w:t>
        </w:r>
      </w:hyperlink>
      <w:r w:rsidR="00823A6B" w:rsidRPr="00DB3459">
        <w:rPr>
          <w:color w:val="000000"/>
          <w:sz w:val="24"/>
          <w:szCs w:val="24"/>
        </w:rPr>
        <w:t xml:space="preserve"> </w:t>
      </w:r>
    </w:p>
    <w:p w14:paraId="25E9F82F" w14:textId="77777777" w:rsidR="00823A6B" w:rsidRPr="00DB3459" w:rsidRDefault="00823A6B" w:rsidP="00952955">
      <w:pPr>
        <w:adjustRightInd w:val="0"/>
        <w:ind w:left="-567"/>
        <w:jc w:val="both"/>
        <w:rPr>
          <w:color w:val="FF0000"/>
          <w:sz w:val="24"/>
          <w:szCs w:val="24"/>
        </w:rPr>
      </w:pPr>
    </w:p>
    <w:p w14:paraId="125BD6F1" w14:textId="63D7FB35" w:rsidR="00823A6B" w:rsidRPr="00DB3459" w:rsidRDefault="00823A6B" w:rsidP="00952955">
      <w:pPr>
        <w:adjustRightInd w:val="0"/>
        <w:ind w:left="-567"/>
        <w:jc w:val="both"/>
      </w:pPr>
      <w:r w:rsidRPr="00DB3459">
        <w:rPr>
          <w:color w:val="000000" w:themeColor="text1"/>
          <w:sz w:val="24"/>
          <w:szCs w:val="24"/>
        </w:rPr>
        <w:t xml:space="preserve">Este </w:t>
      </w:r>
      <w:r w:rsidR="007657F1">
        <w:rPr>
          <w:color w:val="000000" w:themeColor="text1"/>
          <w:sz w:val="24"/>
          <w:szCs w:val="24"/>
        </w:rPr>
        <w:t xml:space="preserve">censo </w:t>
      </w:r>
      <w:r w:rsidRPr="00DB3459">
        <w:rPr>
          <w:color w:val="000000" w:themeColor="text1"/>
          <w:sz w:val="24"/>
          <w:szCs w:val="24"/>
        </w:rPr>
        <w:t>genera información estadística y geográfica de la gestión y desempeño de las instituciones que integran al Tribunal Superior de Justicia y al Consejo de la Judicatura de cada entidad federativa, específicamente en las funciones de gobierno, impartición de justicia, justicia para adolescentes y justicia alternativa.</w:t>
      </w:r>
    </w:p>
    <w:p w14:paraId="1C6FEB24" w14:textId="0C9C753C" w:rsidR="00823A6B" w:rsidRPr="00DB3459" w:rsidRDefault="00823A6B" w:rsidP="00952955">
      <w:pPr>
        <w:pStyle w:val="Textoindependiente"/>
        <w:spacing w:before="176"/>
        <w:ind w:left="-567" w:right="191"/>
        <w:jc w:val="both"/>
      </w:pPr>
    </w:p>
    <w:p w14:paraId="6590D6C0" w14:textId="7771241F" w:rsidR="00CA4B96" w:rsidRPr="00DB3459" w:rsidRDefault="00823A6B" w:rsidP="00952955">
      <w:pPr>
        <w:pStyle w:val="Textoindependiente"/>
        <w:ind w:left="-567" w:right="192"/>
        <w:jc w:val="both"/>
      </w:pPr>
      <w:r w:rsidRPr="00DB3459">
        <w:t xml:space="preserve">El CNIJE </w:t>
      </w:r>
      <w:r w:rsidR="00DB3459" w:rsidRPr="00DB3459">
        <w:t xml:space="preserve">se realiza desde 2011 </w:t>
      </w:r>
      <w:r w:rsidR="004F7088">
        <w:t xml:space="preserve">y </w:t>
      </w:r>
      <w:r w:rsidR="00BD2D58">
        <w:t>la presente edición</w:t>
      </w:r>
      <w:r w:rsidR="00DB3459" w:rsidRPr="00DB3459">
        <w:t xml:space="preserve"> </w:t>
      </w:r>
      <w:r w:rsidRPr="00DB3459">
        <w:t>cuenta con</w:t>
      </w:r>
      <w:r w:rsidR="00BD2D58">
        <w:t xml:space="preserve"> 65</w:t>
      </w:r>
      <w:r w:rsidRPr="00DB3459">
        <w:t xml:space="preserve"> tabulados </w:t>
      </w:r>
      <w:r w:rsidR="00DB3459" w:rsidRPr="00DB3459">
        <w:t xml:space="preserve">organizados </w:t>
      </w:r>
      <w:r w:rsidR="00DB3459" w:rsidRPr="007657F1">
        <w:t xml:space="preserve">de manera general en cinco apartados conforme a los siguientes temas: </w:t>
      </w:r>
      <w:r w:rsidRPr="007657F1">
        <w:t>Estructura organizacional y recursos; Impartición de justicia en materia penal; Justicia para adolescentes; Impartición de justicia en todas las materias (excepto penal) y Justicia alternativa</w:t>
      </w:r>
      <w:r w:rsidR="007E1643">
        <w:t xml:space="preserve"> y/o Mecanismos Alternativos de Solución de Controversias</w:t>
      </w:r>
      <w:r w:rsidRPr="007657F1">
        <w:t>.</w:t>
      </w:r>
    </w:p>
    <w:p w14:paraId="553A8EDD" w14:textId="77777777" w:rsidR="00461591" w:rsidRDefault="00461591" w:rsidP="00DB3459">
      <w:pPr>
        <w:ind w:left="-284"/>
        <w:jc w:val="center"/>
        <w:rPr>
          <w:b/>
          <w:bCs/>
          <w:sz w:val="24"/>
          <w:szCs w:val="24"/>
        </w:rPr>
      </w:pPr>
    </w:p>
    <w:p w14:paraId="00067EFD" w14:textId="3EA82FB2" w:rsidR="00DB3459" w:rsidRPr="00DB3459" w:rsidRDefault="00DB3459" w:rsidP="00D62127">
      <w:pPr>
        <w:ind w:left="-567"/>
        <w:jc w:val="center"/>
        <w:rPr>
          <w:b/>
          <w:bCs/>
          <w:sz w:val="24"/>
          <w:szCs w:val="24"/>
        </w:rPr>
      </w:pPr>
      <w:r w:rsidRPr="00DB3459">
        <w:rPr>
          <w:b/>
          <w:bCs/>
          <w:sz w:val="24"/>
          <w:szCs w:val="24"/>
        </w:rPr>
        <w:t>Se anexa nota técnica</w:t>
      </w:r>
    </w:p>
    <w:p w14:paraId="51B7E0F7" w14:textId="77777777" w:rsidR="00DB3459" w:rsidRPr="00DB3459" w:rsidRDefault="00DB3459" w:rsidP="00D62127">
      <w:pPr>
        <w:ind w:left="-567"/>
        <w:jc w:val="center"/>
        <w:rPr>
          <w:color w:val="000000" w:themeColor="text1"/>
          <w:sz w:val="24"/>
          <w:szCs w:val="24"/>
        </w:rPr>
      </w:pPr>
    </w:p>
    <w:p w14:paraId="4119D877" w14:textId="77777777" w:rsidR="005A5931" w:rsidRPr="006F4700" w:rsidRDefault="005A5931" w:rsidP="00D62127">
      <w:pPr>
        <w:pStyle w:val="NormalWeb"/>
        <w:spacing w:before="0" w:beforeAutospacing="0" w:after="0" w:afterAutospacing="0"/>
        <w:ind w:left="-567" w:right="-518"/>
        <w:contextualSpacing/>
        <w:jc w:val="center"/>
        <w:rPr>
          <w:rFonts w:ascii="Arial" w:hAnsi="Arial" w:cs="Arial"/>
          <w:sz w:val="22"/>
          <w:szCs w:val="22"/>
        </w:rPr>
      </w:pPr>
      <w:r w:rsidRPr="006F4700">
        <w:rPr>
          <w:rFonts w:ascii="Arial" w:hAnsi="Arial" w:cs="Arial"/>
          <w:sz w:val="22"/>
          <w:szCs w:val="22"/>
        </w:rPr>
        <w:t xml:space="preserve">Para consultas de medios y periodistas, contactar a: </w:t>
      </w:r>
      <w:hyperlink r:id="rId9" w:history="1">
        <w:r w:rsidRPr="006F4700">
          <w:rPr>
            <w:rStyle w:val="Hipervnculo"/>
            <w:rFonts w:ascii="Arial" w:hAnsi="Arial" w:cs="Arial"/>
            <w:sz w:val="22"/>
            <w:szCs w:val="22"/>
          </w:rPr>
          <w:t>comunicacionsocial@inegi.org.mx</w:t>
        </w:r>
      </w:hyperlink>
      <w:r w:rsidRPr="006F4700">
        <w:rPr>
          <w:rFonts w:ascii="Arial" w:hAnsi="Arial" w:cs="Arial"/>
          <w:sz w:val="22"/>
          <w:szCs w:val="22"/>
        </w:rPr>
        <w:t xml:space="preserve"> </w:t>
      </w:r>
    </w:p>
    <w:p w14:paraId="1792298B" w14:textId="77777777" w:rsidR="005A5931" w:rsidRPr="006F4700" w:rsidRDefault="005A5931" w:rsidP="00D62127">
      <w:pPr>
        <w:pStyle w:val="NormalWeb"/>
        <w:spacing w:before="0" w:beforeAutospacing="0" w:after="0" w:afterAutospacing="0"/>
        <w:ind w:left="-567" w:right="-518"/>
        <w:contextualSpacing/>
        <w:jc w:val="center"/>
        <w:rPr>
          <w:rFonts w:ascii="Arial" w:hAnsi="Arial" w:cs="Arial"/>
          <w:sz w:val="22"/>
          <w:szCs w:val="22"/>
        </w:rPr>
      </w:pPr>
      <w:r w:rsidRPr="006F4700">
        <w:rPr>
          <w:rFonts w:ascii="Arial" w:hAnsi="Arial" w:cs="Arial"/>
          <w:sz w:val="22"/>
          <w:szCs w:val="22"/>
        </w:rPr>
        <w:t xml:space="preserve">o llamar al teléfono (55) 52-78-10-00, </w:t>
      </w:r>
      <w:proofErr w:type="spellStart"/>
      <w:r w:rsidRPr="006F4700">
        <w:rPr>
          <w:rFonts w:ascii="Arial" w:hAnsi="Arial" w:cs="Arial"/>
          <w:sz w:val="22"/>
          <w:szCs w:val="22"/>
        </w:rPr>
        <w:t>exts</w:t>
      </w:r>
      <w:proofErr w:type="spellEnd"/>
      <w:r w:rsidRPr="006F4700">
        <w:rPr>
          <w:rFonts w:ascii="Arial" w:hAnsi="Arial" w:cs="Arial"/>
          <w:sz w:val="22"/>
          <w:szCs w:val="22"/>
        </w:rPr>
        <w:t>. 1134, 1260 y 1241.</w:t>
      </w:r>
    </w:p>
    <w:p w14:paraId="5D508AF1" w14:textId="77777777" w:rsidR="005A5931" w:rsidRPr="006F4700" w:rsidRDefault="005A5931" w:rsidP="00D62127">
      <w:pPr>
        <w:ind w:left="-567" w:right="-518"/>
        <w:contextualSpacing/>
        <w:jc w:val="center"/>
      </w:pPr>
    </w:p>
    <w:p w14:paraId="75EF2A65" w14:textId="77777777" w:rsidR="005A5931" w:rsidRPr="006F4700" w:rsidRDefault="005A5931" w:rsidP="00D62127">
      <w:pPr>
        <w:ind w:left="-567" w:right="-518"/>
        <w:contextualSpacing/>
        <w:jc w:val="center"/>
      </w:pPr>
      <w:r w:rsidRPr="006F4700">
        <w:t xml:space="preserve">Dirección de Atención a Medios / Dirección General Adjunta de Comunicación </w:t>
      </w:r>
    </w:p>
    <w:p w14:paraId="733A65A4" w14:textId="77777777" w:rsidR="005A5931" w:rsidRPr="006F4700" w:rsidRDefault="005A5931" w:rsidP="005A5931">
      <w:pPr>
        <w:ind w:left="-426" w:right="-518"/>
        <w:contextualSpacing/>
        <w:jc w:val="center"/>
      </w:pPr>
    </w:p>
    <w:p w14:paraId="225A35A6" w14:textId="2BF7A509" w:rsidR="005A5931" w:rsidRPr="00500D25" w:rsidRDefault="005A5931" w:rsidP="005A5931">
      <w:pPr>
        <w:adjustRightInd w:val="0"/>
        <w:jc w:val="both"/>
        <w:rPr>
          <w:color w:val="FF0000"/>
          <w:sz w:val="24"/>
          <w:szCs w:val="24"/>
        </w:rPr>
      </w:pPr>
      <w:r>
        <w:rPr>
          <w:noProof/>
          <w:lang w:eastAsia="es-MX"/>
        </w:rPr>
        <w:t xml:space="preserve">                              </w:t>
      </w:r>
      <w:r w:rsidRPr="00FF1218">
        <w:rPr>
          <w:noProof/>
          <w:lang w:eastAsia="es-MX"/>
        </w:rPr>
        <w:drawing>
          <wp:inline distT="0" distB="0" distL="0" distR="0" wp14:anchorId="79C8D886" wp14:editId="1BDE0AB0">
            <wp:extent cx="285115" cy="281940"/>
            <wp:effectExtent l="0" t="0" r="635" b="3810"/>
            <wp:docPr id="43" name="Imagen 4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535" cy="28730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C93F470" wp14:editId="315B7305">
            <wp:extent cx="285750" cy="285750"/>
            <wp:effectExtent l="0" t="0" r="0" b="0"/>
            <wp:docPr id="17" name="Imagen 17"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3508E94" wp14:editId="65061291">
            <wp:extent cx="285750" cy="285750"/>
            <wp:effectExtent l="0" t="0" r="0" b="0"/>
            <wp:docPr id="13" name="Imagen 13"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FD4C24A" wp14:editId="5D74DC59">
            <wp:extent cx="285750" cy="285750"/>
            <wp:effectExtent l="0" t="0" r="0" b="0"/>
            <wp:docPr id="10" name="Imagen 10"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3840E345" wp14:editId="2C5B9E51">
            <wp:extent cx="2286000" cy="274320"/>
            <wp:effectExtent l="0" t="0" r="0" b="0"/>
            <wp:docPr id="12" name="Imagen 1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17EFDD7" w14:textId="7A936054" w:rsidR="005A5931" w:rsidRDefault="005A5931" w:rsidP="00DB3459">
      <w:pPr>
        <w:pStyle w:val="Textoindependiente"/>
        <w:spacing w:before="1"/>
        <w:sectPr w:rsidR="005A5931" w:rsidSect="00952955">
          <w:headerReference w:type="default" r:id="rId20"/>
          <w:footerReference w:type="default" r:id="rId21"/>
          <w:type w:val="continuous"/>
          <w:pgSz w:w="12240" w:h="15840"/>
          <w:pgMar w:top="1418" w:right="1185" w:bottom="993" w:left="1701" w:header="152" w:footer="586" w:gutter="0"/>
          <w:cols w:space="720"/>
        </w:sectPr>
      </w:pPr>
    </w:p>
    <w:p w14:paraId="694A4CE1" w14:textId="74CAC1F0" w:rsidR="00DB3459" w:rsidRPr="00DB3459" w:rsidRDefault="00DB3459" w:rsidP="00DB3459">
      <w:pPr>
        <w:pStyle w:val="Textoindependiente"/>
        <w:spacing w:before="1"/>
        <w:sectPr w:rsidR="00DB3459" w:rsidRPr="00DB3459" w:rsidSect="00952955">
          <w:type w:val="continuous"/>
          <w:pgSz w:w="12240" w:h="15840"/>
          <w:pgMar w:top="1418" w:right="1185" w:bottom="993" w:left="1701" w:header="152" w:footer="586" w:gutter="0"/>
          <w:cols w:space="720"/>
        </w:sectPr>
      </w:pPr>
    </w:p>
    <w:p w14:paraId="4829C325" w14:textId="77777777" w:rsidR="00CA4B96" w:rsidRPr="00DB3459" w:rsidRDefault="00823A6B" w:rsidP="00DB3459">
      <w:pPr>
        <w:pStyle w:val="Default"/>
        <w:ind w:left="-567" w:right="-518"/>
        <w:jc w:val="center"/>
        <w:rPr>
          <w:b/>
          <w:bCs/>
        </w:rPr>
      </w:pPr>
      <w:r w:rsidRPr="00DB3459">
        <w:rPr>
          <w:b/>
          <w:bCs/>
        </w:rPr>
        <w:lastRenderedPageBreak/>
        <w:t>NOTA TÉCNICA</w:t>
      </w:r>
    </w:p>
    <w:p w14:paraId="49A37B33" w14:textId="77777777" w:rsidR="005A2A1A" w:rsidRDefault="00823A6B" w:rsidP="00DB3459">
      <w:pPr>
        <w:pStyle w:val="Default"/>
        <w:ind w:left="-567" w:right="-518"/>
        <w:jc w:val="center"/>
        <w:rPr>
          <w:b/>
          <w:bCs/>
        </w:rPr>
      </w:pPr>
      <w:r w:rsidRPr="00DB3459">
        <w:rPr>
          <w:b/>
          <w:bCs/>
        </w:rPr>
        <w:t xml:space="preserve">INEGI PRESENTA EL </w:t>
      </w:r>
      <w:r w:rsidR="00DB3459" w:rsidRPr="00DB3459">
        <w:rPr>
          <w:b/>
          <w:bCs/>
        </w:rPr>
        <w:t>NOVEN</w:t>
      </w:r>
      <w:r w:rsidRPr="00DB3459">
        <w:rPr>
          <w:b/>
          <w:bCs/>
        </w:rPr>
        <w:t xml:space="preserve">O CENSO NACIONAL </w:t>
      </w:r>
    </w:p>
    <w:p w14:paraId="2970C634" w14:textId="1FBA38E8" w:rsidR="00CA4B96" w:rsidRPr="00DB3459" w:rsidRDefault="00823A6B" w:rsidP="00DB3459">
      <w:pPr>
        <w:pStyle w:val="Default"/>
        <w:ind w:left="-567" w:right="-518"/>
        <w:jc w:val="center"/>
        <w:rPr>
          <w:b/>
          <w:bCs/>
        </w:rPr>
      </w:pPr>
      <w:r w:rsidRPr="00DB3459">
        <w:rPr>
          <w:b/>
          <w:bCs/>
        </w:rPr>
        <w:t>DE IMPARTICIÓN DE JUSTICIA ESTATAL</w:t>
      </w:r>
    </w:p>
    <w:p w14:paraId="667094FA" w14:textId="77777777" w:rsidR="00CA4B96" w:rsidRPr="00DB3459" w:rsidRDefault="00CA4B96" w:rsidP="00DB3459">
      <w:pPr>
        <w:pStyle w:val="Default"/>
        <w:ind w:left="-567" w:right="-518"/>
        <w:jc w:val="center"/>
        <w:rPr>
          <w:b/>
          <w:bCs/>
        </w:rPr>
      </w:pPr>
    </w:p>
    <w:p w14:paraId="08101DBB" w14:textId="5DEE084C" w:rsidR="00CA4B96" w:rsidRPr="00DB3459" w:rsidRDefault="00823A6B">
      <w:pPr>
        <w:pStyle w:val="Prrafodelista"/>
        <w:numPr>
          <w:ilvl w:val="1"/>
          <w:numId w:val="1"/>
        </w:numPr>
        <w:tabs>
          <w:tab w:val="left" w:pos="1821"/>
        </w:tabs>
        <w:ind w:right="1385"/>
        <w:jc w:val="both"/>
        <w:rPr>
          <w:b/>
        </w:rPr>
      </w:pPr>
      <w:r w:rsidRPr="00DB3459">
        <w:rPr>
          <w:b/>
        </w:rPr>
        <w:t>Se</w:t>
      </w:r>
      <w:r w:rsidRPr="00DB3459">
        <w:rPr>
          <w:b/>
          <w:spacing w:val="-5"/>
        </w:rPr>
        <w:t xml:space="preserve"> </w:t>
      </w:r>
      <w:r w:rsidRPr="00DB3459">
        <w:rPr>
          <w:b/>
        </w:rPr>
        <w:t>constituye</w:t>
      </w:r>
      <w:r w:rsidRPr="00DB3459">
        <w:rPr>
          <w:b/>
          <w:spacing w:val="-5"/>
        </w:rPr>
        <w:t xml:space="preserve"> </w:t>
      </w:r>
      <w:r w:rsidRPr="00DB3459">
        <w:rPr>
          <w:b/>
        </w:rPr>
        <w:t>como</w:t>
      </w:r>
      <w:r w:rsidRPr="00DB3459">
        <w:rPr>
          <w:b/>
          <w:spacing w:val="-5"/>
        </w:rPr>
        <w:t xml:space="preserve"> </w:t>
      </w:r>
      <w:r w:rsidRPr="00DB3459">
        <w:rPr>
          <w:b/>
        </w:rPr>
        <w:t>un</w:t>
      </w:r>
      <w:r w:rsidRPr="00DB3459">
        <w:rPr>
          <w:b/>
          <w:spacing w:val="-8"/>
        </w:rPr>
        <w:t xml:space="preserve"> </w:t>
      </w:r>
      <w:r w:rsidR="00C378EB">
        <w:rPr>
          <w:b/>
        </w:rPr>
        <w:t>programa</w:t>
      </w:r>
      <w:r w:rsidR="00C378EB" w:rsidRPr="00DB3459">
        <w:rPr>
          <w:b/>
          <w:spacing w:val="-5"/>
        </w:rPr>
        <w:t xml:space="preserve"> </w:t>
      </w:r>
      <w:r w:rsidRPr="00DB3459">
        <w:rPr>
          <w:b/>
        </w:rPr>
        <w:t>estadístico</w:t>
      </w:r>
      <w:r w:rsidRPr="00DB3459">
        <w:rPr>
          <w:b/>
          <w:spacing w:val="-6"/>
        </w:rPr>
        <w:t xml:space="preserve"> </w:t>
      </w:r>
      <w:r w:rsidRPr="00DB3459">
        <w:rPr>
          <w:b/>
        </w:rPr>
        <w:t>que</w:t>
      </w:r>
      <w:r w:rsidRPr="00DB3459">
        <w:rPr>
          <w:b/>
          <w:spacing w:val="-6"/>
        </w:rPr>
        <w:t xml:space="preserve"> </w:t>
      </w:r>
      <w:r w:rsidRPr="00DB3459">
        <w:rPr>
          <w:b/>
        </w:rPr>
        <w:t>se</w:t>
      </w:r>
      <w:r w:rsidRPr="00DB3459">
        <w:rPr>
          <w:b/>
          <w:spacing w:val="-8"/>
        </w:rPr>
        <w:t xml:space="preserve"> </w:t>
      </w:r>
      <w:r w:rsidRPr="00DB3459">
        <w:rPr>
          <w:b/>
        </w:rPr>
        <w:t>realiza</w:t>
      </w:r>
      <w:r w:rsidRPr="00DB3459">
        <w:rPr>
          <w:b/>
          <w:spacing w:val="-5"/>
        </w:rPr>
        <w:t xml:space="preserve"> </w:t>
      </w:r>
      <w:r w:rsidRPr="00DB3459">
        <w:rPr>
          <w:b/>
        </w:rPr>
        <w:t>en el ámbito estatal del Estado Mexicano, ofreciendo información relevante de la estructura, organización, recursos y ejercicio de la función de los órganos que conforman los Tribunales Superiores de Justicia y Consejos de</w:t>
      </w:r>
      <w:r w:rsidRPr="00DB3459">
        <w:rPr>
          <w:b/>
          <w:spacing w:val="-1"/>
        </w:rPr>
        <w:t xml:space="preserve"> </w:t>
      </w:r>
      <w:r w:rsidRPr="00DB3459">
        <w:rPr>
          <w:b/>
        </w:rPr>
        <w:t>la</w:t>
      </w:r>
      <w:r w:rsidRPr="00DB3459">
        <w:rPr>
          <w:b/>
          <w:spacing w:val="-3"/>
        </w:rPr>
        <w:t xml:space="preserve"> </w:t>
      </w:r>
      <w:r w:rsidRPr="00DB3459">
        <w:rPr>
          <w:b/>
        </w:rPr>
        <w:t>Judicatura</w:t>
      </w:r>
      <w:r w:rsidRPr="00DB3459">
        <w:rPr>
          <w:b/>
          <w:spacing w:val="-16"/>
        </w:rPr>
        <w:t xml:space="preserve"> </w:t>
      </w:r>
      <w:r w:rsidRPr="00DB3459">
        <w:rPr>
          <w:b/>
        </w:rPr>
        <w:t>de</w:t>
      </w:r>
      <w:r w:rsidRPr="00DB3459">
        <w:rPr>
          <w:b/>
          <w:spacing w:val="-20"/>
        </w:rPr>
        <w:t xml:space="preserve"> </w:t>
      </w:r>
      <w:r w:rsidRPr="00DB3459">
        <w:rPr>
          <w:b/>
        </w:rPr>
        <w:t>las</w:t>
      </w:r>
      <w:r w:rsidRPr="00DB3459">
        <w:rPr>
          <w:b/>
          <w:spacing w:val="-20"/>
        </w:rPr>
        <w:t xml:space="preserve"> </w:t>
      </w:r>
      <w:r w:rsidR="005A2A1A">
        <w:rPr>
          <w:b/>
        </w:rPr>
        <w:t>e</w:t>
      </w:r>
      <w:r w:rsidRPr="00DB3459">
        <w:rPr>
          <w:b/>
        </w:rPr>
        <w:t>ntidades</w:t>
      </w:r>
      <w:r w:rsidRPr="00DB3459">
        <w:rPr>
          <w:b/>
          <w:spacing w:val="-17"/>
        </w:rPr>
        <w:t xml:space="preserve"> </w:t>
      </w:r>
      <w:r w:rsidR="005A2A1A">
        <w:rPr>
          <w:b/>
        </w:rPr>
        <w:t>f</w:t>
      </w:r>
      <w:r w:rsidRPr="00DB3459">
        <w:rPr>
          <w:b/>
        </w:rPr>
        <w:t>ederativas.</w:t>
      </w:r>
    </w:p>
    <w:p w14:paraId="6D51396A" w14:textId="4625ECE7" w:rsidR="00CA4B96" w:rsidRDefault="00CA4B96">
      <w:pPr>
        <w:pStyle w:val="Textoindependiente"/>
        <w:rPr>
          <w:b/>
          <w:sz w:val="22"/>
        </w:rPr>
      </w:pPr>
    </w:p>
    <w:p w14:paraId="37FE44D7" w14:textId="77777777" w:rsidR="005A2A1A" w:rsidRPr="00DB3459" w:rsidRDefault="005A2A1A">
      <w:pPr>
        <w:pStyle w:val="Textoindependiente"/>
        <w:rPr>
          <w:b/>
          <w:sz w:val="22"/>
        </w:rPr>
      </w:pPr>
    </w:p>
    <w:p w14:paraId="60149755" w14:textId="080F21B6" w:rsidR="00CA4B96" w:rsidRPr="00DB3459" w:rsidRDefault="00823A6B" w:rsidP="00F033CB">
      <w:pPr>
        <w:pStyle w:val="Textoindependiente"/>
        <w:ind w:right="117"/>
        <w:jc w:val="both"/>
      </w:pPr>
      <w:r w:rsidRPr="00DB3459">
        <w:t>El Instituto Nacional de Estadística y Geografía (INEGI) da a conocer hoy la información del Censo Nacional de Impartición de Justicia Estatal (CNIJE) 201</w:t>
      </w:r>
      <w:r w:rsidR="00DB3459" w:rsidRPr="00DB3459">
        <w:t>9</w:t>
      </w:r>
      <w:r w:rsidRPr="00DB3459">
        <w:t>.</w:t>
      </w:r>
    </w:p>
    <w:p w14:paraId="10FE9397" w14:textId="77777777" w:rsidR="00CA4B96" w:rsidRPr="00DB3459" w:rsidRDefault="00CA4B96">
      <w:pPr>
        <w:pStyle w:val="Textoindependiente"/>
        <w:spacing w:before="11"/>
        <w:rPr>
          <w:sz w:val="23"/>
        </w:rPr>
      </w:pPr>
    </w:p>
    <w:p w14:paraId="1170B710" w14:textId="152EBDB5" w:rsidR="00CA4B96" w:rsidRPr="005A2A1A" w:rsidRDefault="00823A6B" w:rsidP="004C4EC7">
      <w:pPr>
        <w:pStyle w:val="Textoindependiente"/>
        <w:ind w:right="102"/>
        <w:jc w:val="both"/>
      </w:pPr>
      <w:bookmarkStart w:id="2" w:name="_Hlk21599973"/>
      <w:r w:rsidRPr="00DB3459">
        <w:t>E</w:t>
      </w:r>
      <w:r w:rsidR="00DB3459" w:rsidRPr="00DB3459">
        <w:t xml:space="preserve">l </w:t>
      </w:r>
      <w:r w:rsidR="00DB3459" w:rsidRPr="00DB3459">
        <w:rPr>
          <w:b/>
          <w:bCs/>
        </w:rPr>
        <w:t>Censo Nacional de Impartición de Justicia Estatal (CNIJE) 2019</w:t>
      </w:r>
      <w:r w:rsidR="00DB3459" w:rsidRPr="00DB3459">
        <w:t xml:space="preserve"> </w:t>
      </w:r>
      <w:r w:rsidRPr="00DB3459">
        <w:t>tiene por objet</w:t>
      </w:r>
      <w:r w:rsidR="00C378EB">
        <w:t>iv</w:t>
      </w:r>
      <w:r w:rsidRPr="00DB3459">
        <w:t>o</w:t>
      </w:r>
      <w:bookmarkStart w:id="3" w:name="_GoBack"/>
      <w:bookmarkEnd w:id="2"/>
      <w:bookmarkEnd w:id="3"/>
      <w:r w:rsidRPr="00DB3459">
        <w:t xml:space="preserve"> generar información estadística y geográfica de la gestión y desempeño</w:t>
      </w:r>
      <w:r w:rsidRPr="00DB3459">
        <w:rPr>
          <w:spacing w:val="-14"/>
        </w:rPr>
        <w:t xml:space="preserve"> </w:t>
      </w:r>
      <w:r w:rsidRPr="00DB3459">
        <w:t>de</w:t>
      </w:r>
      <w:r w:rsidRPr="00DB3459">
        <w:rPr>
          <w:spacing w:val="-12"/>
        </w:rPr>
        <w:t xml:space="preserve"> </w:t>
      </w:r>
      <w:r w:rsidRPr="00DB3459">
        <w:t>las</w:t>
      </w:r>
      <w:r w:rsidRPr="00DB3459">
        <w:rPr>
          <w:spacing w:val="-13"/>
        </w:rPr>
        <w:t xml:space="preserve"> </w:t>
      </w:r>
      <w:r w:rsidRPr="00DB3459">
        <w:t>instituciones</w:t>
      </w:r>
      <w:r w:rsidRPr="00DB3459">
        <w:rPr>
          <w:spacing w:val="-13"/>
        </w:rPr>
        <w:t xml:space="preserve"> </w:t>
      </w:r>
      <w:r w:rsidRPr="00DB3459">
        <w:t>que</w:t>
      </w:r>
      <w:r w:rsidRPr="00DB3459">
        <w:rPr>
          <w:spacing w:val="-14"/>
        </w:rPr>
        <w:t xml:space="preserve"> </w:t>
      </w:r>
      <w:r w:rsidRPr="00DB3459">
        <w:t>integran</w:t>
      </w:r>
      <w:r w:rsidRPr="00DB3459">
        <w:rPr>
          <w:spacing w:val="-14"/>
        </w:rPr>
        <w:t xml:space="preserve"> </w:t>
      </w:r>
      <w:r w:rsidRPr="00DB3459">
        <w:t>al</w:t>
      </w:r>
      <w:r w:rsidRPr="00DB3459">
        <w:rPr>
          <w:spacing w:val="-15"/>
        </w:rPr>
        <w:t xml:space="preserve"> </w:t>
      </w:r>
      <w:r w:rsidRPr="00DB3459">
        <w:t>Tribunal</w:t>
      </w:r>
      <w:r w:rsidRPr="00DB3459">
        <w:rPr>
          <w:spacing w:val="-13"/>
        </w:rPr>
        <w:t xml:space="preserve"> </w:t>
      </w:r>
      <w:r w:rsidRPr="00DB3459">
        <w:t>Superior</w:t>
      </w:r>
      <w:r w:rsidRPr="00DB3459">
        <w:rPr>
          <w:spacing w:val="-13"/>
        </w:rPr>
        <w:t xml:space="preserve"> </w:t>
      </w:r>
      <w:r w:rsidRPr="00DB3459">
        <w:t>de</w:t>
      </w:r>
      <w:r w:rsidRPr="00DB3459">
        <w:rPr>
          <w:spacing w:val="-14"/>
        </w:rPr>
        <w:t xml:space="preserve"> </w:t>
      </w:r>
      <w:r w:rsidRPr="00DB3459">
        <w:t>Justicia</w:t>
      </w:r>
      <w:r w:rsidRPr="00DB3459">
        <w:rPr>
          <w:spacing w:val="-12"/>
        </w:rPr>
        <w:t xml:space="preserve"> </w:t>
      </w:r>
      <w:r w:rsidRPr="00DB3459">
        <w:t>y</w:t>
      </w:r>
      <w:r w:rsidRPr="00DB3459">
        <w:rPr>
          <w:spacing w:val="-15"/>
        </w:rPr>
        <w:t xml:space="preserve"> </w:t>
      </w:r>
      <w:r w:rsidRPr="00DB3459">
        <w:t>al</w:t>
      </w:r>
      <w:r w:rsidRPr="00DB3459">
        <w:rPr>
          <w:spacing w:val="-15"/>
        </w:rPr>
        <w:t xml:space="preserve"> </w:t>
      </w:r>
      <w:r w:rsidRPr="00DB3459">
        <w:t xml:space="preserve">Consejo de la Judicatura de cada </w:t>
      </w:r>
      <w:r w:rsidR="00DB3459" w:rsidRPr="00DB3459">
        <w:t>e</w:t>
      </w:r>
      <w:r w:rsidRPr="00DB3459">
        <w:t xml:space="preserve">ntidad </w:t>
      </w:r>
      <w:r w:rsidR="00DB3459" w:rsidRPr="00DB3459">
        <w:t>f</w:t>
      </w:r>
      <w:r w:rsidRPr="00DB3459">
        <w:t>ederativa, específicamente en las funciones de gobierno, impartición de justicia, justicia para adolescentes y justicia alternativa</w:t>
      </w:r>
      <w:r w:rsidR="00C378EB">
        <w:t>. Su</w:t>
      </w:r>
      <w:r w:rsidRPr="00DB3459">
        <w:t xml:space="preserve"> finalidad </w:t>
      </w:r>
      <w:r w:rsidR="00C378EB">
        <w:t>es</w:t>
      </w:r>
      <w:r w:rsidRPr="00DB3459">
        <w:t xml:space="preserve"> vincul</w:t>
      </w:r>
      <w:r w:rsidR="00C378EB">
        <w:t>arse</w:t>
      </w:r>
      <w:r w:rsidRPr="00DB3459">
        <w:t xml:space="preserve"> </w:t>
      </w:r>
      <w:r w:rsidRPr="005A2A1A">
        <w:t xml:space="preserve">con el quehacer gubernamental dentro de los procesos de diseño, implementación, monitoreo y evaluación de políticas públicas </w:t>
      </w:r>
      <w:r w:rsidR="00B46398" w:rsidRPr="005A2A1A">
        <w:t>de alcance nacional en los referidos temas de interés nacional</w:t>
      </w:r>
      <w:r w:rsidRPr="005A2A1A">
        <w:t>.</w:t>
      </w:r>
      <w:r w:rsidR="00DB3459" w:rsidRPr="005A2A1A">
        <w:t xml:space="preserve"> Los datos de dicho </w:t>
      </w:r>
      <w:r w:rsidR="00C378EB">
        <w:t>programa</w:t>
      </w:r>
      <w:r w:rsidR="00C378EB" w:rsidRPr="005A2A1A">
        <w:t xml:space="preserve"> </w:t>
      </w:r>
      <w:r w:rsidR="00DB3459" w:rsidRPr="005A2A1A">
        <w:t>fueron declarados Información de Interés Nacional por la Junta de Gobierno del INEGI en diciembre de 2012</w:t>
      </w:r>
      <w:r w:rsidR="00B46398" w:rsidRPr="005A2A1A">
        <w:t>.</w:t>
      </w:r>
    </w:p>
    <w:p w14:paraId="2C2BA4ED" w14:textId="7E318B8D" w:rsidR="00CA4B96" w:rsidRDefault="00CA4B96">
      <w:pPr>
        <w:pStyle w:val="Textoindependiente"/>
      </w:pPr>
    </w:p>
    <w:p w14:paraId="24D49B31" w14:textId="61B0D8F7" w:rsidR="004C4EC7" w:rsidRDefault="004C4EC7" w:rsidP="004C4EC7">
      <w:pPr>
        <w:pStyle w:val="Textoindependiente"/>
        <w:jc w:val="both"/>
      </w:pPr>
      <w:r>
        <w:t>En esta novena edición, el CNIJE integra información correspondiente a 2018 y 2019</w:t>
      </w:r>
      <w:r>
        <w:rPr>
          <w:rStyle w:val="Refdenotaalpie"/>
        </w:rPr>
        <w:footnoteReference w:id="5"/>
      </w:r>
      <w:r>
        <w:t xml:space="preserve"> en</w:t>
      </w:r>
      <w:r w:rsidR="00830891">
        <w:t xml:space="preserve"> 65</w:t>
      </w:r>
      <w:r>
        <w:t xml:space="preserve"> tabulados, mismos que se organizan en cinco apartados conforme a la siguiente estructura temática:</w:t>
      </w:r>
    </w:p>
    <w:p w14:paraId="164CE908" w14:textId="77777777" w:rsidR="00CA4B96" w:rsidRPr="00DB3459" w:rsidRDefault="00CA4B96">
      <w:pPr>
        <w:pStyle w:val="Textoindependiente"/>
      </w:pPr>
    </w:p>
    <w:p w14:paraId="1F949ABF" w14:textId="13AD3696" w:rsidR="00CA4B96" w:rsidRPr="00DB3459" w:rsidRDefault="00823A6B" w:rsidP="00F033CB">
      <w:pPr>
        <w:pStyle w:val="Textoindependiente"/>
        <w:ind w:right="114"/>
        <w:jc w:val="both"/>
      </w:pPr>
      <w:r w:rsidRPr="00DB3459">
        <w:t>1) Estructura organizacional y recursos; 2) Impartición de justicia en materia penal; 3) Justicia para adolescentes; 4) Impartición de justicia en todas las materias (excepto penal); y 5) Justicia alternativa</w:t>
      </w:r>
      <w:r w:rsidR="006404E8">
        <w:t xml:space="preserve"> y/o Mecanismos Alternativos de Solución de Controversias</w:t>
      </w:r>
      <w:r w:rsidRPr="00DB3459">
        <w:t>.</w:t>
      </w:r>
    </w:p>
    <w:p w14:paraId="230145C4" w14:textId="0D19E4DD" w:rsidR="00CA4B96" w:rsidRDefault="00CA4B96">
      <w:pPr>
        <w:pStyle w:val="Textoindependiente"/>
      </w:pPr>
    </w:p>
    <w:p w14:paraId="5281BF9E" w14:textId="77777777" w:rsidR="00CD6C1F" w:rsidRDefault="00CD6C1F">
      <w:pPr>
        <w:pStyle w:val="Textoindependiente"/>
        <w:rPr>
          <w:b/>
          <w:bCs/>
        </w:rPr>
      </w:pPr>
    </w:p>
    <w:p w14:paraId="356DB5DF" w14:textId="5E956A1F" w:rsidR="004C4EC7" w:rsidRPr="00CD6C1F" w:rsidRDefault="00CD6C1F">
      <w:pPr>
        <w:pStyle w:val="Textoindependiente"/>
        <w:rPr>
          <w:b/>
          <w:bCs/>
        </w:rPr>
      </w:pPr>
      <w:r>
        <w:rPr>
          <w:b/>
          <w:bCs/>
        </w:rPr>
        <w:t>Estr</w:t>
      </w:r>
      <w:r w:rsidR="00BF1B06">
        <w:rPr>
          <w:b/>
          <w:bCs/>
        </w:rPr>
        <w:t>uctura organizacional y recursos humanos</w:t>
      </w:r>
    </w:p>
    <w:p w14:paraId="0E0956BE" w14:textId="77777777" w:rsidR="00CD6C1F" w:rsidRPr="00DB3459" w:rsidRDefault="00CD6C1F">
      <w:pPr>
        <w:pStyle w:val="Textoindependiente"/>
      </w:pPr>
    </w:p>
    <w:p w14:paraId="1D245408" w14:textId="2D0D5864" w:rsidR="00350143" w:rsidRDefault="00823A6B" w:rsidP="00F033CB">
      <w:pPr>
        <w:pStyle w:val="Textoindependiente"/>
        <w:ind w:right="121"/>
        <w:jc w:val="both"/>
      </w:pPr>
      <w:r w:rsidRPr="00DB3459">
        <w:t xml:space="preserve">Entre </w:t>
      </w:r>
      <w:r w:rsidR="005A2A1A">
        <w:t>la información que se puede consultar en los tabulados es posible conocer las características de</w:t>
      </w:r>
      <w:r w:rsidR="004F1283">
        <w:t xml:space="preserve"> l</w:t>
      </w:r>
      <w:r w:rsidR="005A2A1A">
        <w:t xml:space="preserve">a estructura organizacional y los recursos con los que contaron </w:t>
      </w:r>
      <w:r w:rsidRPr="00DB3459">
        <w:t xml:space="preserve">los </w:t>
      </w:r>
      <w:r w:rsidR="005A2A1A" w:rsidRPr="005A2A1A">
        <w:t>Tribunales Superiores de Justicia y Consejos de la Judicatura de las entidades federativas</w:t>
      </w:r>
      <w:r w:rsidR="00C378EB">
        <w:t>. Así, destaca</w:t>
      </w:r>
      <w:r w:rsidRPr="00DB3459">
        <w:t xml:space="preserve"> que en 201</w:t>
      </w:r>
      <w:r w:rsidR="005A2A1A">
        <w:t>8</w:t>
      </w:r>
      <w:r w:rsidR="00043939">
        <w:t xml:space="preserve"> </w:t>
      </w:r>
      <w:r w:rsidRPr="00DB3459">
        <w:t xml:space="preserve">se reportaron </w:t>
      </w:r>
      <w:r w:rsidR="007F6734" w:rsidRPr="007F6734">
        <w:t>4</w:t>
      </w:r>
      <w:r w:rsidR="007F6734">
        <w:t xml:space="preserve"> mil </w:t>
      </w:r>
      <w:r w:rsidR="007F6734" w:rsidRPr="007F6734">
        <w:t>099</w:t>
      </w:r>
      <w:r w:rsidR="007F6734">
        <w:t xml:space="preserve"> </w:t>
      </w:r>
      <w:r w:rsidRPr="00DB3459">
        <w:t>órganos jurisdiccionales en los Poderes Judiciales Estatales</w:t>
      </w:r>
      <w:r w:rsidR="00350143">
        <w:t xml:space="preserve">, </w:t>
      </w:r>
      <w:r w:rsidR="00C378EB">
        <w:t>los cuales</w:t>
      </w:r>
      <w:r w:rsidR="00350143">
        <w:t xml:space="preserve"> en su mayoría fueron juzgados (88.2%). Del total de órganos jurisdiccionales, 2</w:t>
      </w:r>
      <w:r w:rsidR="00830891">
        <w:t>2</w:t>
      </w:r>
      <w:r w:rsidR="00350143">
        <w:t>.</w:t>
      </w:r>
      <w:r w:rsidR="00320033">
        <w:t>2</w:t>
      </w:r>
      <w:r w:rsidR="00350143">
        <w:t xml:space="preserve">% de ellos atendió asuntos </w:t>
      </w:r>
      <w:r w:rsidR="00320033">
        <w:t>en materia penal</w:t>
      </w:r>
      <w:r w:rsidR="00C378EB">
        <w:t>. L</w:t>
      </w:r>
      <w:r w:rsidR="00350143">
        <w:t>a distribución por materia se presente en la siguiente gráfica</w:t>
      </w:r>
      <w:r w:rsidR="00AC4807">
        <w:rPr>
          <w:rStyle w:val="Refdenotaalpie"/>
        </w:rPr>
        <w:footnoteReference w:id="6"/>
      </w:r>
      <w:r w:rsidR="00350143">
        <w:t>:</w:t>
      </w:r>
    </w:p>
    <w:p w14:paraId="0521501E" w14:textId="68DD04D3" w:rsidR="00CA4B96" w:rsidRDefault="00823A6B" w:rsidP="00D10B5B">
      <w:pPr>
        <w:ind w:left="218"/>
        <w:jc w:val="center"/>
        <w:rPr>
          <w:i/>
          <w:sz w:val="24"/>
        </w:rPr>
      </w:pPr>
      <w:r w:rsidRPr="00DB3459">
        <w:rPr>
          <w:i/>
          <w:sz w:val="24"/>
        </w:rPr>
        <w:lastRenderedPageBreak/>
        <w:t>Gráfica 1. Distribución porcentual de los órganos jurisdiccionales de los Poderes Judiciales Estatales, por materia</w:t>
      </w:r>
      <w:r w:rsidRPr="004D6A81">
        <w:rPr>
          <w:i/>
          <w:sz w:val="24"/>
        </w:rPr>
        <w:t>, 201</w:t>
      </w:r>
      <w:r w:rsidR="00D10B5B" w:rsidRPr="004D6A81">
        <w:rPr>
          <w:i/>
          <w:sz w:val="24"/>
        </w:rPr>
        <w:t>8</w:t>
      </w:r>
    </w:p>
    <w:p w14:paraId="6A0B4FDC" w14:textId="6155FBE8" w:rsidR="00CA4B96" w:rsidRPr="00DB3459" w:rsidRDefault="00320033" w:rsidP="00DD53DF">
      <w:pPr>
        <w:pStyle w:val="Textoindependiente"/>
        <w:jc w:val="center"/>
        <w:rPr>
          <w:i/>
          <w:sz w:val="20"/>
        </w:rPr>
      </w:pPr>
      <w:r>
        <w:rPr>
          <w:noProof/>
          <w:lang w:eastAsia="es-MX"/>
        </w:rPr>
        <w:drawing>
          <wp:inline distT="0" distB="0" distL="0" distR="0" wp14:anchorId="3AADD79C" wp14:editId="0AA539F8">
            <wp:extent cx="4572000" cy="2355494"/>
            <wp:effectExtent l="0" t="0" r="0" b="6985"/>
            <wp:docPr id="2" name="Gráfico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7852FB-F237-43C1-B6D3-5E7053C672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28ACB49" w14:textId="77777777" w:rsidR="007D7E89" w:rsidRDefault="007D7E89" w:rsidP="005653A8">
      <w:pPr>
        <w:jc w:val="both"/>
        <w:rPr>
          <w:bCs/>
          <w:color w:val="000000" w:themeColor="text1"/>
          <w:sz w:val="16"/>
          <w:szCs w:val="24"/>
        </w:rPr>
      </w:pPr>
    </w:p>
    <w:p w14:paraId="2C14DA47" w14:textId="58A87B30" w:rsidR="005653A8" w:rsidRDefault="000829A2" w:rsidP="005653A8">
      <w:pPr>
        <w:jc w:val="both"/>
        <w:rPr>
          <w:bCs/>
          <w:color w:val="000000" w:themeColor="text1"/>
          <w:sz w:val="16"/>
          <w:szCs w:val="24"/>
        </w:rPr>
      </w:pPr>
      <w:r w:rsidRPr="000829A2">
        <w:rPr>
          <w:bCs/>
          <w:color w:val="000000" w:themeColor="text1"/>
          <w:sz w:val="16"/>
          <w:szCs w:val="24"/>
        </w:rPr>
        <w:t>*</w:t>
      </w:r>
      <w:r>
        <w:rPr>
          <w:bCs/>
          <w:color w:val="000000" w:themeColor="text1"/>
          <w:sz w:val="16"/>
          <w:szCs w:val="24"/>
        </w:rPr>
        <w:t xml:space="preserve"> </w:t>
      </w:r>
      <w:r w:rsidR="005653A8">
        <w:rPr>
          <w:bCs/>
          <w:color w:val="000000" w:themeColor="text1"/>
          <w:sz w:val="16"/>
          <w:szCs w:val="24"/>
        </w:rPr>
        <w:t>Incluye J</w:t>
      </w:r>
      <w:r w:rsidR="005653A8" w:rsidRPr="000829A2">
        <w:rPr>
          <w:bCs/>
          <w:color w:val="000000" w:themeColor="text1"/>
          <w:sz w:val="16"/>
          <w:szCs w:val="24"/>
        </w:rPr>
        <w:t xml:space="preserve">uzgados del Sistema Tradicional y del Sistema Penal Acusatorio, de Control o Garantías, de Ejecución, de Ejecución en el Sistema Tradicional y en el Sistema Penal Acusatorio; las salas Penal, Penal del Sistema Tradicional y del Sistema Penal Acusatorio; así como Tribunales de enjuiciamiento. </w:t>
      </w:r>
    </w:p>
    <w:p w14:paraId="21809235" w14:textId="14C386BE" w:rsidR="000829A2" w:rsidRDefault="000829A2" w:rsidP="000829A2">
      <w:pPr>
        <w:jc w:val="both"/>
        <w:rPr>
          <w:bCs/>
          <w:color w:val="000000" w:themeColor="text1"/>
          <w:sz w:val="16"/>
          <w:szCs w:val="24"/>
        </w:rPr>
      </w:pPr>
      <w:r>
        <w:rPr>
          <w:bCs/>
          <w:color w:val="000000" w:themeColor="text1"/>
          <w:sz w:val="16"/>
          <w:szCs w:val="24"/>
        </w:rPr>
        <w:t>**</w:t>
      </w:r>
      <w:r w:rsidR="005653A8" w:rsidRPr="005653A8">
        <w:rPr>
          <w:bCs/>
          <w:color w:val="000000" w:themeColor="text1"/>
          <w:sz w:val="16"/>
          <w:szCs w:val="24"/>
        </w:rPr>
        <w:t xml:space="preserve"> </w:t>
      </w:r>
      <w:r w:rsidR="005653A8">
        <w:rPr>
          <w:bCs/>
          <w:color w:val="000000" w:themeColor="text1"/>
          <w:sz w:val="16"/>
          <w:szCs w:val="24"/>
        </w:rPr>
        <w:t xml:space="preserve">Incluye </w:t>
      </w:r>
      <w:r w:rsidR="005653A8" w:rsidRPr="000829A2">
        <w:rPr>
          <w:bCs/>
          <w:color w:val="000000" w:themeColor="text1"/>
          <w:sz w:val="16"/>
          <w:szCs w:val="24"/>
        </w:rPr>
        <w:t>Menor cuantía y/o Paz civil, penal y mixto.</w:t>
      </w:r>
      <w:r w:rsidR="00794512" w:rsidRPr="000829A2">
        <w:rPr>
          <w:bCs/>
          <w:color w:val="000000" w:themeColor="text1"/>
          <w:sz w:val="16"/>
          <w:szCs w:val="24"/>
        </w:rPr>
        <w:t xml:space="preserve"> </w:t>
      </w:r>
    </w:p>
    <w:p w14:paraId="5A30C62F" w14:textId="0F05FD23" w:rsidR="00794512" w:rsidRPr="000829A2" w:rsidRDefault="000829A2" w:rsidP="000829A2">
      <w:pPr>
        <w:jc w:val="both"/>
        <w:rPr>
          <w:bCs/>
          <w:color w:val="000000" w:themeColor="text1"/>
          <w:sz w:val="16"/>
          <w:szCs w:val="24"/>
        </w:rPr>
      </w:pPr>
      <w:r>
        <w:rPr>
          <w:bCs/>
          <w:color w:val="000000" w:themeColor="text1"/>
          <w:sz w:val="16"/>
          <w:szCs w:val="24"/>
        </w:rPr>
        <w:t>***I</w:t>
      </w:r>
      <w:r w:rsidR="00C12FC7" w:rsidRPr="000829A2">
        <w:rPr>
          <w:bCs/>
          <w:color w:val="000000" w:themeColor="text1"/>
          <w:sz w:val="16"/>
          <w:szCs w:val="24"/>
        </w:rPr>
        <w:t>ncluye</w:t>
      </w:r>
      <w:r>
        <w:rPr>
          <w:bCs/>
          <w:color w:val="000000" w:themeColor="text1"/>
          <w:sz w:val="16"/>
          <w:szCs w:val="24"/>
        </w:rPr>
        <w:t xml:space="preserve"> </w:t>
      </w:r>
      <w:r w:rsidR="00BB0A05" w:rsidRPr="000829A2">
        <w:rPr>
          <w:bCs/>
          <w:color w:val="000000" w:themeColor="text1"/>
          <w:sz w:val="16"/>
          <w:szCs w:val="24"/>
        </w:rPr>
        <w:t>juzgados, salas y tribunales de</w:t>
      </w:r>
      <w:r w:rsidR="00C12FC7" w:rsidRPr="000829A2">
        <w:rPr>
          <w:bCs/>
          <w:color w:val="000000" w:themeColor="text1"/>
          <w:sz w:val="16"/>
          <w:szCs w:val="24"/>
        </w:rPr>
        <w:t xml:space="preserve"> las materias: mercantil, justicia especializada para adolescentes, indígena, de extinción de dominio, juicio oral en otras materias y otras materias.</w:t>
      </w:r>
    </w:p>
    <w:p w14:paraId="74788D1F" w14:textId="77777777" w:rsidR="00794512" w:rsidRDefault="00794512" w:rsidP="007C19FF">
      <w:pPr>
        <w:jc w:val="both"/>
        <w:rPr>
          <w:bCs/>
          <w:color w:val="000000" w:themeColor="text1"/>
          <w:sz w:val="16"/>
          <w:szCs w:val="24"/>
        </w:rPr>
      </w:pPr>
    </w:p>
    <w:p w14:paraId="337D9BB9" w14:textId="77777777" w:rsidR="00794512" w:rsidRDefault="00794512" w:rsidP="007C19FF">
      <w:pPr>
        <w:jc w:val="both"/>
        <w:rPr>
          <w:bCs/>
          <w:color w:val="000000" w:themeColor="text1"/>
          <w:sz w:val="16"/>
          <w:szCs w:val="24"/>
        </w:rPr>
      </w:pPr>
    </w:p>
    <w:p w14:paraId="5DB28320" w14:textId="1F69C81F" w:rsidR="00CA4B96" w:rsidRPr="00DB3459" w:rsidRDefault="0063184E" w:rsidP="00C12284">
      <w:pPr>
        <w:pStyle w:val="Textoindependiente"/>
        <w:spacing w:before="92"/>
        <w:ind w:right="120"/>
        <w:jc w:val="both"/>
      </w:pPr>
      <w:r w:rsidRPr="0063184E">
        <w:t>En 2018 se reportaron 66 mil 648 servidores públicos en los Poderes Judiciales Estatales: 59.4% fueron mujeres y 40.6% hombres. La mayor parte del personal laboró en los órganos jurisdiccionales (47 mil 671 personas equivalentes a 71.5%)</w:t>
      </w:r>
      <w:r w:rsidR="00C378EB">
        <w:t>,</w:t>
      </w:r>
      <w:r w:rsidRPr="0063184E">
        <w:t xml:space="preserve"> y el resto en sus unidades u órganos administrativos (18 mil 977 que proporci</w:t>
      </w:r>
      <w:r w:rsidR="00C378EB">
        <w:t>onalmente</w:t>
      </w:r>
      <w:r w:rsidRPr="0063184E">
        <w:t xml:space="preserve"> alcanzan el 28.5%).</w:t>
      </w:r>
      <w:r w:rsidR="008E0BFF">
        <w:t xml:space="preserve"> </w:t>
      </w:r>
      <w:r w:rsidR="0083101C">
        <w:t>A continuación</w:t>
      </w:r>
      <w:r w:rsidR="00C378EB">
        <w:t>,</w:t>
      </w:r>
      <w:r w:rsidR="0083101C">
        <w:t xml:space="preserve"> se presenta </w:t>
      </w:r>
      <w:r w:rsidR="00823A6B" w:rsidRPr="00DB3459">
        <w:t>la distribución por cargo y/o función desempeñada</w:t>
      </w:r>
      <w:r w:rsidR="0083101C">
        <w:t xml:space="preserve"> por el personal en los órganos jurisdiccionales</w:t>
      </w:r>
      <w:r w:rsidR="00823A6B" w:rsidRPr="00DB3459">
        <w:t>:</w:t>
      </w:r>
    </w:p>
    <w:p w14:paraId="27727814" w14:textId="34B3CF46" w:rsidR="00CA4B96" w:rsidRDefault="00823A6B" w:rsidP="00D10B5B">
      <w:pPr>
        <w:spacing w:before="152"/>
        <w:ind w:left="242" w:right="92"/>
        <w:jc w:val="center"/>
        <w:rPr>
          <w:i/>
          <w:sz w:val="24"/>
        </w:rPr>
      </w:pPr>
      <w:r w:rsidRPr="00DB3459">
        <w:rPr>
          <w:i/>
          <w:sz w:val="24"/>
        </w:rPr>
        <w:t xml:space="preserve">Gráfica 2. Distribución porcentual del personal en órganos jurisdiccionales de los Poderes Judiciales Estatales, </w:t>
      </w:r>
      <w:r w:rsidRPr="0063219A">
        <w:rPr>
          <w:i/>
          <w:sz w:val="24"/>
        </w:rPr>
        <w:t>por cargo, 201</w:t>
      </w:r>
      <w:r w:rsidR="00D10B5B" w:rsidRPr="0063219A">
        <w:rPr>
          <w:i/>
          <w:sz w:val="24"/>
        </w:rPr>
        <w:t>8</w:t>
      </w:r>
    </w:p>
    <w:p w14:paraId="19A50715" w14:textId="01898153" w:rsidR="00976FC5" w:rsidRPr="00DB3459" w:rsidRDefault="0063219A" w:rsidP="00D10B5B">
      <w:pPr>
        <w:spacing w:before="152"/>
        <w:ind w:left="242" w:right="92"/>
        <w:jc w:val="center"/>
        <w:rPr>
          <w:i/>
          <w:sz w:val="24"/>
        </w:rPr>
      </w:pPr>
      <w:r>
        <w:rPr>
          <w:noProof/>
          <w:lang w:eastAsia="es-MX"/>
        </w:rPr>
        <w:drawing>
          <wp:inline distT="0" distB="0" distL="0" distR="0" wp14:anchorId="13330FD7" wp14:editId="6748C0CD">
            <wp:extent cx="4569460" cy="2574951"/>
            <wp:effectExtent l="0" t="0" r="2540" b="0"/>
            <wp:docPr id="547" name="Gráfico 54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9EF19F-DDCE-4404-8510-17727B7F51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0F8FB06" w14:textId="77777777" w:rsidR="00BD53A6" w:rsidRDefault="00BD53A6" w:rsidP="00C12284">
      <w:pPr>
        <w:pStyle w:val="Textoindependiente"/>
        <w:spacing w:before="7"/>
        <w:ind w:right="141"/>
        <w:jc w:val="both"/>
      </w:pPr>
    </w:p>
    <w:p w14:paraId="150D027F" w14:textId="0E5F16C3" w:rsidR="004B1E88" w:rsidRDefault="004B1E88" w:rsidP="00C12284">
      <w:pPr>
        <w:pStyle w:val="Textoindependiente"/>
        <w:spacing w:before="7"/>
        <w:ind w:right="141"/>
        <w:jc w:val="both"/>
      </w:pPr>
      <w:r>
        <w:lastRenderedPageBreak/>
        <w:t>En cuanto a la relación entre servidores públicos y órganos jurisdiccionales,</w:t>
      </w:r>
      <w:r w:rsidR="0064441D">
        <w:t xml:space="preserve"> </w:t>
      </w:r>
      <w:r>
        <w:t>destaca Morelos c</w:t>
      </w:r>
      <w:r w:rsidR="00CD6C1F">
        <w:t>omo la entidad c</w:t>
      </w:r>
      <w:r>
        <w:t>on</w:t>
      </w:r>
      <w:r w:rsidR="00CD6C1F">
        <w:t xml:space="preserve"> el promedio más alto</w:t>
      </w:r>
      <w:r>
        <w:t xml:space="preserve"> </w:t>
      </w:r>
      <w:r w:rsidR="00CD6C1F">
        <w:t>(</w:t>
      </w:r>
      <w:r>
        <w:t>26</w:t>
      </w:r>
      <w:r w:rsidR="000232E3">
        <w:t>.4</w:t>
      </w:r>
      <w:r w:rsidR="00CD6C1F">
        <w:t>)</w:t>
      </w:r>
      <w:r>
        <w:t>.</w:t>
      </w:r>
    </w:p>
    <w:p w14:paraId="12353E69" w14:textId="77777777" w:rsidR="0064441D" w:rsidRDefault="0064441D" w:rsidP="00D06B0A">
      <w:pPr>
        <w:pStyle w:val="Textoindependiente"/>
        <w:spacing w:before="7"/>
        <w:jc w:val="both"/>
      </w:pPr>
    </w:p>
    <w:p w14:paraId="0A10A03B" w14:textId="4E773941" w:rsidR="0064441D" w:rsidRDefault="004B1E88" w:rsidP="004B1E88">
      <w:pPr>
        <w:pStyle w:val="Textoindependiente"/>
        <w:spacing w:before="7"/>
        <w:jc w:val="center"/>
        <w:rPr>
          <w:i/>
          <w:iCs/>
        </w:rPr>
      </w:pPr>
      <w:r>
        <w:rPr>
          <w:i/>
          <w:iCs/>
        </w:rPr>
        <w:t xml:space="preserve">Gráfica </w:t>
      </w:r>
      <w:r w:rsidR="00F0313D">
        <w:rPr>
          <w:i/>
          <w:iCs/>
        </w:rPr>
        <w:t>3</w:t>
      </w:r>
      <w:r w:rsidRPr="004B1E88">
        <w:rPr>
          <w:i/>
          <w:iCs/>
        </w:rPr>
        <w:t xml:space="preserve">. Promedio de servidores públicos por órgano jurisdiccional, </w:t>
      </w:r>
    </w:p>
    <w:p w14:paraId="1DE584F7" w14:textId="5697FD58" w:rsidR="004B1E88" w:rsidRPr="0044066A" w:rsidRDefault="004B1E88" w:rsidP="004B1E88">
      <w:pPr>
        <w:pStyle w:val="Textoindependiente"/>
        <w:spacing w:before="7"/>
        <w:jc w:val="center"/>
        <w:rPr>
          <w:i/>
          <w:iCs/>
        </w:rPr>
      </w:pPr>
      <w:r w:rsidRPr="004B1E88">
        <w:rPr>
          <w:i/>
          <w:iCs/>
        </w:rPr>
        <w:t>por entidad federativa, 2018</w:t>
      </w:r>
      <w:r w:rsidR="009E4B48">
        <w:rPr>
          <w:rStyle w:val="Refdenotaalpie"/>
          <w:i/>
          <w:iCs/>
        </w:rPr>
        <w:footnoteReference w:id="7"/>
      </w:r>
    </w:p>
    <w:p w14:paraId="16ED20EA" w14:textId="4B1EAA73" w:rsidR="004B1E88" w:rsidRDefault="001C08BC" w:rsidP="001C08BC">
      <w:pPr>
        <w:pStyle w:val="Textoindependiente"/>
        <w:spacing w:before="7"/>
        <w:jc w:val="center"/>
      </w:pPr>
      <w:r>
        <w:rPr>
          <w:noProof/>
          <w:lang w:eastAsia="es-MX"/>
        </w:rPr>
        <w:drawing>
          <wp:inline distT="0" distB="0" distL="0" distR="0" wp14:anchorId="727DDCEF" wp14:editId="20231947">
            <wp:extent cx="4448175" cy="6781800"/>
            <wp:effectExtent l="0" t="0" r="0" b="0"/>
            <wp:docPr id="3" name="Gráfico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2BD81D-A510-4589-96F4-7C67647A45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507912A" w14:textId="77777777" w:rsidR="00BD53A6" w:rsidRDefault="00BD53A6" w:rsidP="00EB00B4">
      <w:pPr>
        <w:pStyle w:val="Textoindependiente"/>
        <w:spacing w:before="92"/>
        <w:ind w:right="115"/>
        <w:jc w:val="both"/>
      </w:pPr>
    </w:p>
    <w:p w14:paraId="359200EF" w14:textId="1AC2FA43" w:rsidR="00591B50" w:rsidRDefault="006404E8" w:rsidP="00EB00B4">
      <w:pPr>
        <w:pStyle w:val="Textoindependiente"/>
        <w:spacing w:before="92"/>
        <w:ind w:right="115"/>
        <w:jc w:val="both"/>
      </w:pPr>
      <w:r>
        <w:lastRenderedPageBreak/>
        <w:t>Respecto de los magistrados y jueces</w:t>
      </w:r>
      <w:r w:rsidR="00A93A58">
        <w:t>,</w:t>
      </w:r>
      <w:r w:rsidR="00B5064D">
        <w:t xml:space="preserve"> 59.3% fueron hombres y 40.7% mujeres. </w:t>
      </w:r>
      <w:r w:rsidR="00591B50">
        <w:t>La entidad federativa con el mayor porcentaje de mujeres en dichos cargos fue Yucatán con 60.6%.</w:t>
      </w:r>
      <w:r w:rsidR="00823A6B" w:rsidRPr="00DB3459">
        <w:t xml:space="preserve"> </w:t>
      </w:r>
    </w:p>
    <w:p w14:paraId="0BBAAA17" w14:textId="77777777" w:rsidR="00EB00B4" w:rsidRDefault="00EB00B4" w:rsidP="00EB00B4">
      <w:pPr>
        <w:pStyle w:val="Textoindependiente"/>
        <w:spacing w:before="92"/>
        <w:ind w:right="115"/>
        <w:jc w:val="both"/>
        <w:rPr>
          <w:i/>
        </w:rPr>
      </w:pPr>
    </w:p>
    <w:p w14:paraId="71AB31C1" w14:textId="2EA57E8E" w:rsidR="00591B50" w:rsidRDefault="00A403ED" w:rsidP="00A403ED">
      <w:pPr>
        <w:pStyle w:val="Textoindependiente"/>
        <w:jc w:val="center"/>
        <w:rPr>
          <w:i/>
        </w:rPr>
      </w:pPr>
      <w:r w:rsidRPr="00DB3459">
        <w:rPr>
          <w:i/>
        </w:rPr>
        <w:t xml:space="preserve">Gráfica </w:t>
      </w:r>
      <w:r w:rsidR="00EB00B4">
        <w:rPr>
          <w:i/>
        </w:rPr>
        <w:t>4</w:t>
      </w:r>
      <w:r w:rsidRPr="00DB3459">
        <w:rPr>
          <w:i/>
        </w:rPr>
        <w:t>. Distribución porcentual de magistrados y jueces</w:t>
      </w:r>
      <w:r>
        <w:rPr>
          <w:i/>
        </w:rPr>
        <w:t xml:space="preserve"> </w:t>
      </w:r>
      <w:r w:rsidRPr="00DB3459">
        <w:rPr>
          <w:i/>
        </w:rPr>
        <w:t>por sexo</w:t>
      </w:r>
      <w:r>
        <w:rPr>
          <w:i/>
        </w:rPr>
        <w:t xml:space="preserve">, </w:t>
      </w:r>
    </w:p>
    <w:p w14:paraId="16BCB653" w14:textId="2494EDFA" w:rsidR="00CA4B96" w:rsidRDefault="00A403ED" w:rsidP="00A403ED">
      <w:pPr>
        <w:pStyle w:val="Textoindependiente"/>
        <w:jc w:val="center"/>
        <w:rPr>
          <w:i/>
        </w:rPr>
      </w:pPr>
      <w:r>
        <w:rPr>
          <w:i/>
        </w:rPr>
        <w:t xml:space="preserve">por entidad </w:t>
      </w:r>
      <w:r w:rsidRPr="00591B50">
        <w:rPr>
          <w:i/>
        </w:rPr>
        <w:t>federativa 2018</w:t>
      </w:r>
    </w:p>
    <w:p w14:paraId="007A5F06" w14:textId="77777777" w:rsidR="00591B50" w:rsidRDefault="00591B50" w:rsidP="00A403ED">
      <w:pPr>
        <w:pStyle w:val="Textoindependiente"/>
        <w:jc w:val="center"/>
        <w:rPr>
          <w:i/>
        </w:rPr>
      </w:pPr>
    </w:p>
    <w:p w14:paraId="6BD3523A" w14:textId="3F458A30" w:rsidR="00A403ED" w:rsidRDefault="00251BAE">
      <w:pPr>
        <w:pStyle w:val="Textoindependiente"/>
        <w:rPr>
          <w:i/>
        </w:rPr>
      </w:pPr>
      <w:r>
        <w:rPr>
          <w:noProof/>
          <w:lang w:eastAsia="es-MX"/>
        </w:rPr>
        <w:drawing>
          <wp:inline distT="0" distB="0" distL="0" distR="0" wp14:anchorId="69D32183" wp14:editId="24C749C3">
            <wp:extent cx="6210000" cy="5932800"/>
            <wp:effectExtent l="0" t="0" r="635" b="0"/>
            <wp:docPr id="9" name="Gráfico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44FEBD-48F5-4B66-B930-9E1AB508DF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0E58391" w14:textId="797246B0" w:rsidR="00A403ED" w:rsidRDefault="00A403ED">
      <w:pPr>
        <w:pStyle w:val="Textoindependiente"/>
        <w:rPr>
          <w:i/>
        </w:rPr>
      </w:pPr>
    </w:p>
    <w:p w14:paraId="7E532A84" w14:textId="77777777" w:rsidR="002B78A4" w:rsidRDefault="002B78A4" w:rsidP="00BB0A05">
      <w:pPr>
        <w:pStyle w:val="Textoindependiente"/>
        <w:spacing w:before="7"/>
        <w:jc w:val="both"/>
      </w:pPr>
    </w:p>
    <w:p w14:paraId="76F01E51" w14:textId="77777777" w:rsidR="00EB00B4" w:rsidRDefault="00EB00B4" w:rsidP="00BB0A05">
      <w:pPr>
        <w:pStyle w:val="Textoindependiente"/>
        <w:spacing w:before="7"/>
        <w:jc w:val="both"/>
      </w:pPr>
    </w:p>
    <w:p w14:paraId="3976B39D" w14:textId="77777777" w:rsidR="00EB00B4" w:rsidRDefault="00EB00B4" w:rsidP="00BB0A05">
      <w:pPr>
        <w:pStyle w:val="Textoindependiente"/>
        <w:spacing w:before="7"/>
        <w:jc w:val="both"/>
      </w:pPr>
    </w:p>
    <w:p w14:paraId="2BF0432F" w14:textId="77777777" w:rsidR="00EB00B4" w:rsidRDefault="00EB00B4" w:rsidP="00BB0A05">
      <w:pPr>
        <w:pStyle w:val="Textoindependiente"/>
        <w:spacing w:before="7"/>
        <w:jc w:val="both"/>
      </w:pPr>
    </w:p>
    <w:p w14:paraId="43299402" w14:textId="77777777" w:rsidR="00EB00B4" w:rsidRDefault="00EB00B4" w:rsidP="00BB0A05">
      <w:pPr>
        <w:pStyle w:val="Textoindependiente"/>
        <w:spacing w:before="7"/>
        <w:jc w:val="both"/>
      </w:pPr>
    </w:p>
    <w:p w14:paraId="43CA8408" w14:textId="3762018F" w:rsidR="00BB0A05" w:rsidRDefault="00BB0A05" w:rsidP="00BB0A05">
      <w:pPr>
        <w:pStyle w:val="Textoindependiente"/>
        <w:spacing w:before="7"/>
        <w:jc w:val="both"/>
      </w:pPr>
      <w:r>
        <w:lastRenderedPageBreak/>
        <w:t xml:space="preserve">Por lo que respecta al personal en </w:t>
      </w:r>
      <w:r w:rsidRPr="0063184E">
        <w:t>unidades u órganos administrativos</w:t>
      </w:r>
      <w:r>
        <w:t>,</w:t>
      </w:r>
      <w:r w:rsidR="005C774C">
        <w:t xml:space="preserve"> </w:t>
      </w:r>
      <w:r w:rsidR="00EB00B4">
        <w:t>e</w:t>
      </w:r>
      <w:r>
        <w:t xml:space="preserve">l principal régimen de contratación fue </w:t>
      </w:r>
      <w:r w:rsidR="006A4353">
        <w:t xml:space="preserve">de </w:t>
      </w:r>
      <w:r>
        <w:t>confianza con 57.7%</w:t>
      </w:r>
      <w:r w:rsidR="00C65FD3">
        <w:t>, seguido del personal sindicalizado con 34.4%:</w:t>
      </w:r>
    </w:p>
    <w:p w14:paraId="4B37FB93" w14:textId="77777777" w:rsidR="00BB0A05" w:rsidRDefault="00BB0A05" w:rsidP="00BB0A05">
      <w:pPr>
        <w:pStyle w:val="Textoindependiente"/>
        <w:spacing w:before="7"/>
        <w:jc w:val="both"/>
      </w:pPr>
    </w:p>
    <w:p w14:paraId="4DE09B62" w14:textId="5587A77A" w:rsidR="00BB0A05" w:rsidRDefault="00BB0A05" w:rsidP="00BB0A05">
      <w:pPr>
        <w:spacing w:before="152"/>
        <w:ind w:left="242" w:right="92"/>
        <w:jc w:val="center"/>
        <w:rPr>
          <w:i/>
          <w:sz w:val="24"/>
        </w:rPr>
      </w:pPr>
      <w:r w:rsidRPr="00DB3459">
        <w:rPr>
          <w:i/>
          <w:sz w:val="24"/>
        </w:rPr>
        <w:t xml:space="preserve">Gráfica </w:t>
      </w:r>
      <w:r w:rsidR="00EB00B4">
        <w:rPr>
          <w:i/>
          <w:sz w:val="24"/>
        </w:rPr>
        <w:t>5</w:t>
      </w:r>
      <w:r w:rsidRPr="00DB3459">
        <w:rPr>
          <w:i/>
          <w:sz w:val="24"/>
        </w:rPr>
        <w:t xml:space="preserve">. Distribución porcentual del personal en </w:t>
      </w:r>
      <w:r w:rsidRPr="00B9056F">
        <w:rPr>
          <w:i/>
          <w:sz w:val="24"/>
        </w:rPr>
        <w:t>unidades u órganos administrativos</w:t>
      </w:r>
      <w:r w:rsidRPr="00DB3459">
        <w:rPr>
          <w:i/>
          <w:sz w:val="24"/>
        </w:rPr>
        <w:t xml:space="preserve"> de los Poderes Judiciales Estatales, </w:t>
      </w:r>
      <w:r w:rsidRPr="0063219A">
        <w:rPr>
          <w:i/>
          <w:sz w:val="24"/>
        </w:rPr>
        <w:t xml:space="preserve">por </w:t>
      </w:r>
      <w:r>
        <w:rPr>
          <w:i/>
          <w:sz w:val="24"/>
        </w:rPr>
        <w:t>régimen de contratación</w:t>
      </w:r>
      <w:r w:rsidRPr="0063219A">
        <w:rPr>
          <w:i/>
          <w:sz w:val="24"/>
        </w:rPr>
        <w:t>, 2018</w:t>
      </w:r>
    </w:p>
    <w:p w14:paraId="300ED33C" w14:textId="2AB853E9" w:rsidR="00BB0A05" w:rsidRDefault="00BB0A05">
      <w:pPr>
        <w:pStyle w:val="Textoindependiente"/>
        <w:rPr>
          <w:i/>
        </w:rPr>
      </w:pPr>
    </w:p>
    <w:p w14:paraId="7C77C857" w14:textId="1A4DA260" w:rsidR="00BB0A05" w:rsidRDefault="00BB0A05" w:rsidP="00BB0A05">
      <w:pPr>
        <w:pStyle w:val="Textoindependiente"/>
        <w:jc w:val="center"/>
        <w:rPr>
          <w:i/>
        </w:rPr>
      </w:pPr>
      <w:r>
        <w:rPr>
          <w:noProof/>
          <w:lang w:eastAsia="es-MX"/>
        </w:rPr>
        <w:drawing>
          <wp:inline distT="0" distB="0" distL="0" distR="0" wp14:anchorId="2F5AFE97" wp14:editId="046042BC">
            <wp:extent cx="4373245" cy="2446317"/>
            <wp:effectExtent l="0" t="0" r="8255" b="0"/>
            <wp:docPr id="602" name="Gráfico 60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F9AA898-4CE8-47DD-A4A7-FC89A0BB44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931C4D2" w14:textId="77777777" w:rsidR="00D56788" w:rsidRDefault="00D56788">
      <w:pPr>
        <w:pStyle w:val="Textoindependiente"/>
        <w:rPr>
          <w:b/>
          <w:bCs/>
          <w:iCs/>
        </w:rPr>
      </w:pPr>
    </w:p>
    <w:p w14:paraId="20EC481B" w14:textId="03E46B5D" w:rsidR="000A325E" w:rsidRDefault="000A325E">
      <w:pPr>
        <w:pStyle w:val="Textoindependiente"/>
        <w:rPr>
          <w:b/>
          <w:bCs/>
          <w:iCs/>
        </w:rPr>
      </w:pPr>
    </w:p>
    <w:p w14:paraId="77FF6F39" w14:textId="0306E847" w:rsidR="00356188" w:rsidRDefault="00356188">
      <w:pPr>
        <w:pStyle w:val="Textoindependiente"/>
        <w:rPr>
          <w:b/>
          <w:bCs/>
          <w:iCs/>
        </w:rPr>
      </w:pPr>
    </w:p>
    <w:p w14:paraId="413EF84D" w14:textId="2E475EA7" w:rsidR="00D22C09" w:rsidRDefault="00D22C09">
      <w:pPr>
        <w:pStyle w:val="Textoindependiente"/>
        <w:rPr>
          <w:b/>
          <w:bCs/>
          <w:iCs/>
        </w:rPr>
      </w:pPr>
    </w:p>
    <w:p w14:paraId="27C887CD" w14:textId="764CEE9D" w:rsidR="00D22C09" w:rsidRDefault="00D22C09">
      <w:pPr>
        <w:pStyle w:val="Textoindependiente"/>
        <w:rPr>
          <w:b/>
          <w:bCs/>
          <w:iCs/>
        </w:rPr>
      </w:pPr>
    </w:p>
    <w:p w14:paraId="530E978B" w14:textId="6A9BBB93" w:rsidR="00D22C09" w:rsidRDefault="00D22C09">
      <w:pPr>
        <w:pStyle w:val="Textoindependiente"/>
        <w:rPr>
          <w:b/>
          <w:bCs/>
          <w:iCs/>
        </w:rPr>
      </w:pPr>
    </w:p>
    <w:p w14:paraId="71D881B1" w14:textId="73E719DE" w:rsidR="00D22C09" w:rsidRDefault="00D22C09">
      <w:pPr>
        <w:pStyle w:val="Textoindependiente"/>
        <w:rPr>
          <w:b/>
          <w:bCs/>
          <w:iCs/>
        </w:rPr>
      </w:pPr>
    </w:p>
    <w:p w14:paraId="19F4471C" w14:textId="1C7FA403" w:rsidR="00D22C09" w:rsidRDefault="00D22C09">
      <w:pPr>
        <w:pStyle w:val="Textoindependiente"/>
        <w:rPr>
          <w:b/>
          <w:bCs/>
          <w:iCs/>
        </w:rPr>
      </w:pPr>
    </w:p>
    <w:p w14:paraId="4B58AE8D" w14:textId="0CDC0723" w:rsidR="00D22C09" w:rsidRDefault="00D22C09">
      <w:pPr>
        <w:pStyle w:val="Textoindependiente"/>
        <w:rPr>
          <w:b/>
          <w:bCs/>
          <w:iCs/>
        </w:rPr>
      </w:pPr>
    </w:p>
    <w:p w14:paraId="242D259A" w14:textId="7AA8B19A" w:rsidR="00D22C09" w:rsidRDefault="00D22C09">
      <w:pPr>
        <w:pStyle w:val="Textoindependiente"/>
        <w:rPr>
          <w:b/>
          <w:bCs/>
          <w:iCs/>
        </w:rPr>
      </w:pPr>
    </w:p>
    <w:p w14:paraId="73083845" w14:textId="386516CD" w:rsidR="00D22C09" w:rsidRDefault="00D22C09">
      <w:pPr>
        <w:pStyle w:val="Textoindependiente"/>
        <w:rPr>
          <w:b/>
          <w:bCs/>
          <w:iCs/>
        </w:rPr>
      </w:pPr>
    </w:p>
    <w:p w14:paraId="1D63992B" w14:textId="1D155B47" w:rsidR="00D22C09" w:rsidRDefault="00D22C09">
      <w:pPr>
        <w:pStyle w:val="Textoindependiente"/>
        <w:rPr>
          <w:b/>
          <w:bCs/>
          <w:iCs/>
        </w:rPr>
      </w:pPr>
    </w:p>
    <w:p w14:paraId="10F7C1E4" w14:textId="250E3D7D" w:rsidR="00D22C09" w:rsidRDefault="00D22C09">
      <w:pPr>
        <w:pStyle w:val="Textoindependiente"/>
        <w:rPr>
          <w:b/>
          <w:bCs/>
          <w:iCs/>
        </w:rPr>
      </w:pPr>
    </w:p>
    <w:p w14:paraId="0BD6154F" w14:textId="22514641" w:rsidR="00D22C09" w:rsidRDefault="00D22C09">
      <w:pPr>
        <w:pStyle w:val="Textoindependiente"/>
        <w:rPr>
          <w:b/>
          <w:bCs/>
          <w:iCs/>
        </w:rPr>
      </w:pPr>
    </w:p>
    <w:p w14:paraId="2EFC2422" w14:textId="5DAF3510" w:rsidR="00D22C09" w:rsidRDefault="00D22C09">
      <w:pPr>
        <w:pStyle w:val="Textoindependiente"/>
        <w:rPr>
          <w:b/>
          <w:bCs/>
          <w:iCs/>
        </w:rPr>
      </w:pPr>
    </w:p>
    <w:p w14:paraId="1A02FB2E" w14:textId="6E68D0CB" w:rsidR="00D22C09" w:rsidRDefault="00D22C09">
      <w:pPr>
        <w:pStyle w:val="Textoindependiente"/>
        <w:rPr>
          <w:b/>
          <w:bCs/>
          <w:iCs/>
        </w:rPr>
      </w:pPr>
    </w:p>
    <w:p w14:paraId="7F6ACA7B" w14:textId="4E20424D" w:rsidR="00D22C09" w:rsidRDefault="00D22C09">
      <w:pPr>
        <w:pStyle w:val="Textoindependiente"/>
        <w:rPr>
          <w:b/>
          <w:bCs/>
          <w:iCs/>
        </w:rPr>
      </w:pPr>
    </w:p>
    <w:p w14:paraId="3EE6C86B" w14:textId="2E210A49" w:rsidR="00D22C09" w:rsidRDefault="00D22C09">
      <w:pPr>
        <w:pStyle w:val="Textoindependiente"/>
        <w:rPr>
          <w:b/>
          <w:bCs/>
          <w:iCs/>
        </w:rPr>
      </w:pPr>
    </w:p>
    <w:p w14:paraId="36A394E7" w14:textId="4798567F" w:rsidR="00D22C09" w:rsidRDefault="00D22C09">
      <w:pPr>
        <w:pStyle w:val="Textoindependiente"/>
        <w:rPr>
          <w:b/>
          <w:bCs/>
          <w:iCs/>
        </w:rPr>
      </w:pPr>
    </w:p>
    <w:p w14:paraId="3C942834" w14:textId="4763B5F5" w:rsidR="00D22C09" w:rsidRDefault="00D22C09">
      <w:pPr>
        <w:pStyle w:val="Textoindependiente"/>
        <w:rPr>
          <w:b/>
          <w:bCs/>
          <w:iCs/>
        </w:rPr>
      </w:pPr>
    </w:p>
    <w:p w14:paraId="1AD714E8" w14:textId="5ABF642C" w:rsidR="00D22C09" w:rsidRDefault="00D22C09">
      <w:pPr>
        <w:pStyle w:val="Textoindependiente"/>
        <w:rPr>
          <w:b/>
          <w:bCs/>
          <w:iCs/>
        </w:rPr>
      </w:pPr>
    </w:p>
    <w:p w14:paraId="4849BCBB" w14:textId="21E85242" w:rsidR="00D22C09" w:rsidRDefault="00D22C09">
      <w:pPr>
        <w:pStyle w:val="Textoindependiente"/>
        <w:rPr>
          <w:b/>
          <w:bCs/>
          <w:iCs/>
        </w:rPr>
      </w:pPr>
    </w:p>
    <w:p w14:paraId="4FDA3177" w14:textId="1B594739" w:rsidR="00D22C09" w:rsidRDefault="00D22C09">
      <w:pPr>
        <w:pStyle w:val="Textoindependiente"/>
        <w:rPr>
          <w:b/>
          <w:bCs/>
          <w:iCs/>
        </w:rPr>
      </w:pPr>
    </w:p>
    <w:p w14:paraId="00A892C7" w14:textId="2E7BE75A" w:rsidR="00D22C09" w:rsidRDefault="00D22C09">
      <w:pPr>
        <w:pStyle w:val="Textoindependiente"/>
        <w:rPr>
          <w:b/>
          <w:bCs/>
          <w:iCs/>
        </w:rPr>
      </w:pPr>
    </w:p>
    <w:p w14:paraId="1CED5C87" w14:textId="1CA9A0A2" w:rsidR="00012D3F" w:rsidRPr="00591B50" w:rsidRDefault="00591B50">
      <w:pPr>
        <w:pStyle w:val="Textoindependiente"/>
        <w:rPr>
          <w:b/>
          <w:bCs/>
          <w:iCs/>
        </w:rPr>
      </w:pPr>
      <w:r>
        <w:rPr>
          <w:b/>
          <w:bCs/>
          <w:iCs/>
        </w:rPr>
        <w:lastRenderedPageBreak/>
        <w:t>Ejercicio de la función de impartición de justicia</w:t>
      </w:r>
      <w:r w:rsidR="00D21A12">
        <w:rPr>
          <w:rStyle w:val="Refdenotaalpie"/>
          <w:b/>
          <w:bCs/>
          <w:iCs/>
        </w:rPr>
        <w:footnoteReference w:id="8"/>
      </w:r>
    </w:p>
    <w:p w14:paraId="7FEB7544" w14:textId="77777777" w:rsidR="00A403ED" w:rsidRPr="00DB3459" w:rsidRDefault="00A403ED">
      <w:pPr>
        <w:pStyle w:val="Textoindependiente"/>
        <w:rPr>
          <w:b/>
        </w:rPr>
      </w:pPr>
    </w:p>
    <w:p w14:paraId="5C5850EC" w14:textId="14224E5B" w:rsidR="00E55AC9" w:rsidRDefault="00823A6B" w:rsidP="00D22C09">
      <w:pPr>
        <w:pStyle w:val="Textoindependiente"/>
        <w:ind w:right="101"/>
        <w:jc w:val="both"/>
      </w:pPr>
      <w:r w:rsidRPr="00E55AC9">
        <w:t>En cuanto a la información del ejercicio de la función, resalta que durante 201</w:t>
      </w:r>
      <w:r w:rsidR="004F1283" w:rsidRPr="00E55AC9">
        <w:t>8</w:t>
      </w:r>
      <w:r w:rsidRPr="00E55AC9">
        <w:t xml:space="preserve"> ingresaron</w:t>
      </w:r>
      <w:r w:rsidR="00D22C09">
        <w:t xml:space="preserve"> </w:t>
      </w:r>
      <w:r w:rsidR="006A4353">
        <w:t>a</w:t>
      </w:r>
      <w:r w:rsidR="006A4353" w:rsidRPr="00E55AC9">
        <w:t xml:space="preserve"> los diferentes órganos jurisdiccionales de los Poderes Judiciales Estatales </w:t>
      </w:r>
      <w:r w:rsidRPr="00E55AC9">
        <w:t xml:space="preserve">en primera instancia </w:t>
      </w:r>
      <w:r w:rsidR="00240B0E" w:rsidRPr="00E55AC9">
        <w:t xml:space="preserve">2 millones 126 mil 005 </w:t>
      </w:r>
      <w:r w:rsidR="00BC186A" w:rsidRPr="00E55AC9">
        <w:t>causas penales y expedientes</w:t>
      </w:r>
      <w:r w:rsidR="00DC62AB" w:rsidRPr="00E55AC9">
        <w:t xml:space="preserve"> judiciales</w:t>
      </w:r>
      <w:r w:rsidRPr="00E55AC9">
        <w:t xml:space="preserve"> </w:t>
      </w:r>
      <w:r w:rsidR="00D22C09">
        <w:t>en otras materias</w:t>
      </w:r>
      <w:r w:rsidR="009D3A98">
        <w:t xml:space="preserve"> (distintas a la penal)</w:t>
      </w:r>
      <w:r w:rsidRPr="00E55AC9">
        <w:t>.</w:t>
      </w:r>
      <w:r w:rsidR="00F60A7B" w:rsidRPr="00E55AC9">
        <w:t xml:space="preserve"> La mayoría de </w:t>
      </w:r>
      <w:r w:rsidR="009F2D4A" w:rsidRPr="00E55AC9">
        <w:t xml:space="preserve">los ingresos </w:t>
      </w:r>
      <w:r w:rsidR="006A4353">
        <w:t>correspondieron a la</w:t>
      </w:r>
      <w:r w:rsidR="00F60A7B" w:rsidRPr="00E55AC9">
        <w:t xml:space="preserve"> materia familiar con 38.4%</w:t>
      </w:r>
      <w:r w:rsidR="000F530C" w:rsidRPr="00E55AC9">
        <w:t xml:space="preserve">, seguida de la materia civil con </w:t>
      </w:r>
      <w:r w:rsidR="00DA7D09" w:rsidRPr="00E55AC9">
        <w:t>2</w:t>
      </w:r>
      <w:r w:rsidR="000F530C" w:rsidRPr="00E55AC9">
        <w:t>9.7%</w:t>
      </w:r>
      <w:r w:rsidRPr="00E55AC9">
        <w:t>:</w:t>
      </w:r>
    </w:p>
    <w:p w14:paraId="0914FA1F" w14:textId="77777777" w:rsidR="00E55AC9" w:rsidRDefault="00E55AC9" w:rsidP="007C4691">
      <w:pPr>
        <w:ind w:left="284"/>
        <w:jc w:val="center"/>
        <w:rPr>
          <w:sz w:val="24"/>
        </w:rPr>
      </w:pPr>
    </w:p>
    <w:p w14:paraId="25EF9916" w14:textId="77777777" w:rsidR="00E55AC9" w:rsidRDefault="00E55AC9" w:rsidP="007C4691">
      <w:pPr>
        <w:ind w:left="284"/>
        <w:jc w:val="center"/>
        <w:rPr>
          <w:sz w:val="24"/>
        </w:rPr>
      </w:pPr>
    </w:p>
    <w:p w14:paraId="63107ED2" w14:textId="49C8FEB1" w:rsidR="00CA4B96" w:rsidRPr="00D22C09" w:rsidRDefault="00823A6B" w:rsidP="007C4691">
      <w:pPr>
        <w:ind w:left="284"/>
        <w:jc w:val="center"/>
        <w:rPr>
          <w:i/>
          <w:sz w:val="24"/>
        </w:rPr>
      </w:pPr>
      <w:r w:rsidRPr="00D22C09">
        <w:rPr>
          <w:i/>
          <w:sz w:val="24"/>
        </w:rPr>
        <w:t xml:space="preserve">Gráfica </w:t>
      </w:r>
      <w:r w:rsidR="00EB00B4" w:rsidRPr="00D22C09">
        <w:rPr>
          <w:i/>
          <w:sz w:val="24"/>
        </w:rPr>
        <w:t>6</w:t>
      </w:r>
      <w:r w:rsidRPr="00D22C09">
        <w:rPr>
          <w:i/>
          <w:sz w:val="24"/>
        </w:rPr>
        <w:t xml:space="preserve">. </w:t>
      </w:r>
      <w:r w:rsidR="00D22C09" w:rsidRPr="00D22C09">
        <w:rPr>
          <w:i/>
          <w:sz w:val="24"/>
        </w:rPr>
        <w:t>Distribución porcentual de c</w:t>
      </w:r>
      <w:r w:rsidR="00722EA9" w:rsidRPr="00D22C09">
        <w:rPr>
          <w:i/>
          <w:sz w:val="24"/>
        </w:rPr>
        <w:t>ausas</w:t>
      </w:r>
      <w:r w:rsidR="00B06A11" w:rsidRPr="00D22C09">
        <w:rPr>
          <w:i/>
          <w:sz w:val="24"/>
        </w:rPr>
        <w:t xml:space="preserve"> penales y </w:t>
      </w:r>
      <w:r w:rsidRPr="00D22C09">
        <w:rPr>
          <w:i/>
          <w:sz w:val="24"/>
        </w:rPr>
        <w:t>expedientes</w:t>
      </w:r>
      <w:r w:rsidR="00D22C09" w:rsidRPr="00D22C09">
        <w:rPr>
          <w:i/>
          <w:sz w:val="24"/>
        </w:rPr>
        <w:t xml:space="preserve"> judiciales</w:t>
      </w:r>
      <w:r w:rsidRPr="00D22C09">
        <w:rPr>
          <w:i/>
          <w:sz w:val="24"/>
        </w:rPr>
        <w:t xml:space="preserve"> </w:t>
      </w:r>
      <w:r w:rsidR="00722EA9" w:rsidRPr="00D22C09">
        <w:rPr>
          <w:i/>
          <w:sz w:val="24"/>
        </w:rPr>
        <w:t xml:space="preserve">ingresados en los </w:t>
      </w:r>
      <w:r w:rsidRPr="00D22C09">
        <w:rPr>
          <w:i/>
          <w:sz w:val="24"/>
        </w:rPr>
        <w:t>órganos jurisdiccionales de los Poderes Judiciales Estatales</w:t>
      </w:r>
      <w:r w:rsidR="00D10B5B" w:rsidRPr="00D22C09">
        <w:rPr>
          <w:i/>
          <w:sz w:val="24"/>
        </w:rPr>
        <w:t xml:space="preserve">, </w:t>
      </w:r>
      <w:r w:rsidR="00D22C09" w:rsidRPr="00D22C09">
        <w:rPr>
          <w:i/>
          <w:sz w:val="24"/>
        </w:rPr>
        <w:t xml:space="preserve">por materia </w:t>
      </w:r>
      <w:r w:rsidR="00D10B5B" w:rsidRPr="00D22C09">
        <w:rPr>
          <w:i/>
          <w:sz w:val="24"/>
        </w:rPr>
        <w:t>2018</w:t>
      </w:r>
    </w:p>
    <w:p w14:paraId="2EBD2A75" w14:textId="2A1296B5" w:rsidR="00D21A12" w:rsidRPr="00D21A12" w:rsidRDefault="00D21A12" w:rsidP="00D21A12">
      <w:pPr>
        <w:rPr>
          <w:sz w:val="24"/>
        </w:rPr>
      </w:pPr>
    </w:p>
    <w:p w14:paraId="3B09E8C8" w14:textId="55A38511" w:rsidR="00012D3F" w:rsidRPr="00012D3F" w:rsidRDefault="0059305C" w:rsidP="009101C5">
      <w:pPr>
        <w:jc w:val="center"/>
        <w:rPr>
          <w:sz w:val="18"/>
        </w:rPr>
      </w:pPr>
      <w:r>
        <w:rPr>
          <w:noProof/>
          <w:lang w:eastAsia="es-MX"/>
        </w:rPr>
        <w:drawing>
          <wp:inline distT="0" distB="0" distL="0" distR="0" wp14:anchorId="7D34BF41" wp14:editId="6844DF02">
            <wp:extent cx="4572000" cy="2612572"/>
            <wp:effectExtent l="0" t="0" r="0" b="0"/>
            <wp:docPr id="15" name="Gráfico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586105-2C1C-41B6-8E55-93FDE6A77C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0F5DCEF" w14:textId="77777777" w:rsidR="00E55AC9" w:rsidRDefault="00E55AC9" w:rsidP="00235635">
      <w:pPr>
        <w:pStyle w:val="Textoindependiente"/>
        <w:spacing w:before="8"/>
        <w:jc w:val="both"/>
        <w:rPr>
          <w:sz w:val="23"/>
        </w:rPr>
      </w:pPr>
    </w:p>
    <w:p w14:paraId="40FE7073" w14:textId="77777777" w:rsidR="00E55AC9" w:rsidRDefault="00E55AC9" w:rsidP="00235635">
      <w:pPr>
        <w:pStyle w:val="Textoindependiente"/>
        <w:spacing w:before="8"/>
        <w:jc w:val="both"/>
        <w:rPr>
          <w:sz w:val="23"/>
        </w:rPr>
      </w:pPr>
    </w:p>
    <w:p w14:paraId="5ED976B9" w14:textId="77777777" w:rsidR="00E55AC9" w:rsidRDefault="00E55AC9" w:rsidP="00235635">
      <w:pPr>
        <w:pStyle w:val="Textoindependiente"/>
        <w:spacing w:before="8"/>
        <w:jc w:val="both"/>
        <w:rPr>
          <w:sz w:val="23"/>
        </w:rPr>
      </w:pPr>
    </w:p>
    <w:p w14:paraId="761A1ED6" w14:textId="77777777" w:rsidR="00D22C09" w:rsidRDefault="00D22C09" w:rsidP="00235635">
      <w:pPr>
        <w:pStyle w:val="Textoindependiente"/>
        <w:spacing w:before="8"/>
        <w:jc w:val="both"/>
        <w:rPr>
          <w:sz w:val="23"/>
        </w:rPr>
      </w:pPr>
    </w:p>
    <w:p w14:paraId="631DE01E" w14:textId="77777777" w:rsidR="00D22C09" w:rsidRDefault="00D22C09" w:rsidP="00235635">
      <w:pPr>
        <w:pStyle w:val="Textoindependiente"/>
        <w:spacing w:before="8"/>
        <w:jc w:val="both"/>
        <w:rPr>
          <w:sz w:val="23"/>
        </w:rPr>
      </w:pPr>
    </w:p>
    <w:p w14:paraId="0C2BB9CA" w14:textId="77777777" w:rsidR="00D22C09" w:rsidRDefault="00D22C09" w:rsidP="00235635">
      <w:pPr>
        <w:pStyle w:val="Textoindependiente"/>
        <w:spacing w:before="8"/>
        <w:jc w:val="both"/>
        <w:rPr>
          <w:sz w:val="23"/>
        </w:rPr>
      </w:pPr>
    </w:p>
    <w:p w14:paraId="04833A86" w14:textId="77777777" w:rsidR="00D22C09" w:rsidRDefault="00D22C09" w:rsidP="00235635">
      <w:pPr>
        <w:pStyle w:val="Textoindependiente"/>
        <w:spacing w:before="8"/>
        <w:jc w:val="both"/>
        <w:rPr>
          <w:sz w:val="23"/>
        </w:rPr>
      </w:pPr>
    </w:p>
    <w:p w14:paraId="3968ECBD" w14:textId="77777777" w:rsidR="00D22C09" w:rsidRDefault="00D22C09" w:rsidP="00235635">
      <w:pPr>
        <w:pStyle w:val="Textoindependiente"/>
        <w:spacing w:before="8"/>
        <w:jc w:val="both"/>
        <w:rPr>
          <w:sz w:val="23"/>
        </w:rPr>
      </w:pPr>
    </w:p>
    <w:p w14:paraId="094EE222" w14:textId="77777777" w:rsidR="00D22C09" w:rsidRDefault="00D22C09" w:rsidP="00235635">
      <w:pPr>
        <w:pStyle w:val="Textoindependiente"/>
        <w:spacing w:before="8"/>
        <w:jc w:val="both"/>
        <w:rPr>
          <w:sz w:val="23"/>
        </w:rPr>
      </w:pPr>
    </w:p>
    <w:p w14:paraId="3245F32A" w14:textId="77777777" w:rsidR="00D22C09" w:rsidRDefault="00D22C09" w:rsidP="00235635">
      <w:pPr>
        <w:pStyle w:val="Textoindependiente"/>
        <w:spacing w:before="8"/>
        <w:jc w:val="both"/>
        <w:rPr>
          <w:sz w:val="23"/>
        </w:rPr>
      </w:pPr>
    </w:p>
    <w:p w14:paraId="03B04662" w14:textId="5F961A10" w:rsidR="00CA4B96" w:rsidRDefault="00F60A7B" w:rsidP="00235635">
      <w:pPr>
        <w:pStyle w:val="Textoindependiente"/>
        <w:spacing w:before="8"/>
        <w:jc w:val="both"/>
        <w:rPr>
          <w:sz w:val="23"/>
        </w:rPr>
      </w:pPr>
      <w:r>
        <w:rPr>
          <w:sz w:val="23"/>
        </w:rPr>
        <w:lastRenderedPageBreak/>
        <w:t>Durante 2018 se abrieron</w:t>
      </w:r>
      <w:r w:rsidR="00800389" w:rsidRPr="00800389">
        <w:t xml:space="preserve"> </w:t>
      </w:r>
      <w:r w:rsidR="00800389" w:rsidRPr="00800389">
        <w:rPr>
          <w:sz w:val="23"/>
        </w:rPr>
        <w:t>1</w:t>
      </w:r>
      <w:r w:rsidR="00800389">
        <w:rPr>
          <w:sz w:val="23"/>
        </w:rPr>
        <w:t xml:space="preserve"> millón </w:t>
      </w:r>
      <w:r w:rsidR="00800389" w:rsidRPr="00800389">
        <w:rPr>
          <w:sz w:val="23"/>
        </w:rPr>
        <w:t>961</w:t>
      </w:r>
      <w:r w:rsidR="00800389">
        <w:rPr>
          <w:sz w:val="23"/>
        </w:rPr>
        <w:t xml:space="preserve"> mil </w:t>
      </w:r>
      <w:r w:rsidR="00800389" w:rsidRPr="00800389">
        <w:rPr>
          <w:sz w:val="23"/>
        </w:rPr>
        <w:t>517</w:t>
      </w:r>
      <w:r>
        <w:rPr>
          <w:sz w:val="23"/>
        </w:rPr>
        <w:t xml:space="preserve"> expedientes en </w:t>
      </w:r>
      <w:r w:rsidR="00800389">
        <w:rPr>
          <w:sz w:val="23"/>
        </w:rPr>
        <w:t xml:space="preserve">las materias civil, mercantil, familiar y otras. En el mismo periodo se concluyeron </w:t>
      </w:r>
      <w:r w:rsidR="00800389" w:rsidRPr="00800389">
        <w:rPr>
          <w:sz w:val="23"/>
        </w:rPr>
        <w:t>1</w:t>
      </w:r>
      <w:r w:rsidR="00800389">
        <w:rPr>
          <w:sz w:val="23"/>
        </w:rPr>
        <w:t xml:space="preserve"> millón </w:t>
      </w:r>
      <w:r w:rsidR="00800389" w:rsidRPr="00800389">
        <w:rPr>
          <w:sz w:val="23"/>
        </w:rPr>
        <w:t>153</w:t>
      </w:r>
      <w:r w:rsidR="00800389">
        <w:rPr>
          <w:sz w:val="23"/>
        </w:rPr>
        <w:t xml:space="preserve"> mil </w:t>
      </w:r>
      <w:r w:rsidR="00800389" w:rsidRPr="00800389">
        <w:rPr>
          <w:sz w:val="23"/>
        </w:rPr>
        <w:t>542</w:t>
      </w:r>
      <w:r w:rsidR="00800389">
        <w:rPr>
          <w:sz w:val="23"/>
        </w:rPr>
        <w:t xml:space="preserve"> y </w:t>
      </w:r>
      <w:r w:rsidR="00800389" w:rsidRPr="00800389">
        <w:rPr>
          <w:sz w:val="23"/>
        </w:rPr>
        <w:t>3</w:t>
      </w:r>
      <w:r w:rsidR="00800389">
        <w:rPr>
          <w:sz w:val="23"/>
        </w:rPr>
        <w:t xml:space="preserve"> millones </w:t>
      </w:r>
      <w:r w:rsidR="00800389" w:rsidRPr="00800389">
        <w:rPr>
          <w:sz w:val="23"/>
        </w:rPr>
        <w:t>066</w:t>
      </w:r>
      <w:r w:rsidR="00800389">
        <w:rPr>
          <w:sz w:val="23"/>
        </w:rPr>
        <w:t xml:space="preserve"> mi</w:t>
      </w:r>
      <w:r w:rsidR="00235635">
        <w:rPr>
          <w:sz w:val="23"/>
        </w:rPr>
        <w:t>l</w:t>
      </w:r>
      <w:r w:rsidR="00800389">
        <w:rPr>
          <w:sz w:val="23"/>
        </w:rPr>
        <w:t xml:space="preserve"> </w:t>
      </w:r>
      <w:r w:rsidR="00800389" w:rsidRPr="00800389">
        <w:rPr>
          <w:sz w:val="23"/>
        </w:rPr>
        <w:t>386</w:t>
      </w:r>
      <w:r w:rsidR="00800389">
        <w:rPr>
          <w:sz w:val="23"/>
        </w:rPr>
        <w:t xml:space="preserve"> quedaron pendientes al cierre del año.</w:t>
      </w:r>
    </w:p>
    <w:p w14:paraId="71E1338D" w14:textId="4E58D445" w:rsidR="00D22C09" w:rsidRDefault="00D22C09" w:rsidP="00800389">
      <w:pPr>
        <w:ind w:left="284"/>
        <w:jc w:val="center"/>
        <w:rPr>
          <w:i/>
          <w:iCs/>
          <w:sz w:val="24"/>
        </w:rPr>
      </w:pPr>
    </w:p>
    <w:p w14:paraId="40D43701" w14:textId="77777777" w:rsidR="00BD53A6" w:rsidRDefault="00BD53A6" w:rsidP="00800389">
      <w:pPr>
        <w:ind w:left="284"/>
        <w:jc w:val="center"/>
        <w:rPr>
          <w:i/>
          <w:iCs/>
          <w:sz w:val="24"/>
        </w:rPr>
      </w:pPr>
    </w:p>
    <w:p w14:paraId="501192DF" w14:textId="0A9D6456" w:rsidR="00800389" w:rsidRDefault="00800389" w:rsidP="00800389">
      <w:pPr>
        <w:ind w:left="284"/>
        <w:jc w:val="center"/>
        <w:rPr>
          <w:i/>
          <w:iCs/>
          <w:sz w:val="24"/>
        </w:rPr>
      </w:pPr>
      <w:r w:rsidRPr="00235635">
        <w:rPr>
          <w:i/>
          <w:iCs/>
          <w:sz w:val="24"/>
        </w:rPr>
        <w:t xml:space="preserve">Gráfica </w:t>
      </w:r>
      <w:r w:rsidR="00EB00B4">
        <w:rPr>
          <w:i/>
          <w:iCs/>
          <w:sz w:val="24"/>
        </w:rPr>
        <w:t>7</w:t>
      </w:r>
      <w:r w:rsidRPr="00235635">
        <w:rPr>
          <w:i/>
          <w:iCs/>
          <w:sz w:val="24"/>
        </w:rPr>
        <w:t>. Flujo de expedientes conocidos</w:t>
      </w:r>
      <w:r w:rsidR="00C90FE6">
        <w:rPr>
          <w:i/>
          <w:iCs/>
          <w:sz w:val="24"/>
        </w:rPr>
        <w:t xml:space="preserve"> en otras</w:t>
      </w:r>
      <w:r w:rsidR="00A35836">
        <w:rPr>
          <w:i/>
          <w:iCs/>
          <w:sz w:val="24"/>
        </w:rPr>
        <w:t xml:space="preserve"> materias</w:t>
      </w:r>
      <w:r w:rsidR="00C90FE6">
        <w:rPr>
          <w:i/>
          <w:iCs/>
          <w:sz w:val="24"/>
        </w:rPr>
        <w:t>,</w:t>
      </w:r>
      <w:r w:rsidR="00235635" w:rsidRPr="00235635">
        <w:rPr>
          <w:i/>
          <w:iCs/>
          <w:sz w:val="24"/>
        </w:rPr>
        <w:t xml:space="preserve"> por </w:t>
      </w:r>
      <w:r w:rsidRPr="00235635">
        <w:rPr>
          <w:i/>
          <w:iCs/>
          <w:sz w:val="24"/>
        </w:rPr>
        <w:t>los órganos jurisdiccionales de los Poderes Judiciales Estatales, 2018</w:t>
      </w:r>
    </w:p>
    <w:p w14:paraId="7BA60450" w14:textId="1E4B4DE6" w:rsidR="00800389" w:rsidRPr="00235635" w:rsidRDefault="00D7151F" w:rsidP="00235635">
      <w:pPr>
        <w:pStyle w:val="Textoindependiente"/>
        <w:spacing w:before="8"/>
        <w:jc w:val="center"/>
        <w:rPr>
          <w:i/>
          <w:iCs/>
          <w:sz w:val="23"/>
        </w:rPr>
      </w:pPr>
      <w:r>
        <w:rPr>
          <w:noProof/>
          <w:lang w:eastAsia="es-MX"/>
        </w:rPr>
        <w:drawing>
          <wp:inline distT="0" distB="0" distL="0" distR="0" wp14:anchorId="49F82621" wp14:editId="75AF0D22">
            <wp:extent cx="4572000" cy="1923690"/>
            <wp:effectExtent l="0" t="0" r="0" b="635"/>
            <wp:docPr id="23" name="Gráfico 2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3E060F-CE28-415C-A69D-49BBA99AEE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2940F68" w14:textId="77777777" w:rsidR="00235635" w:rsidRDefault="00235635">
      <w:pPr>
        <w:pStyle w:val="Textoindependiente"/>
        <w:spacing w:before="8"/>
        <w:rPr>
          <w:iCs/>
          <w:sz w:val="16"/>
          <w:szCs w:val="22"/>
        </w:rPr>
      </w:pPr>
    </w:p>
    <w:p w14:paraId="37DE7E37" w14:textId="322C0D4A" w:rsidR="00235635" w:rsidRDefault="00235635">
      <w:pPr>
        <w:pStyle w:val="Textoindependiente"/>
        <w:spacing w:before="8"/>
        <w:rPr>
          <w:sz w:val="23"/>
        </w:rPr>
      </w:pPr>
      <w:r>
        <w:rPr>
          <w:iCs/>
          <w:sz w:val="16"/>
          <w:szCs w:val="22"/>
        </w:rPr>
        <w:t xml:space="preserve">Nota: </w:t>
      </w:r>
      <w:r w:rsidR="00A35836">
        <w:rPr>
          <w:iCs/>
          <w:sz w:val="16"/>
          <w:szCs w:val="22"/>
        </w:rPr>
        <w:t xml:space="preserve">incluye </w:t>
      </w:r>
      <w:r>
        <w:rPr>
          <w:sz w:val="16"/>
          <w:szCs w:val="16"/>
        </w:rPr>
        <w:t>las materias civil, mercantil, familiar y otras</w:t>
      </w:r>
      <w:r w:rsidR="00A35836">
        <w:rPr>
          <w:sz w:val="16"/>
          <w:szCs w:val="16"/>
        </w:rPr>
        <w:t xml:space="preserve"> en los Sistemas </w:t>
      </w:r>
      <w:r w:rsidR="00A35836" w:rsidRPr="00235635">
        <w:rPr>
          <w:sz w:val="16"/>
          <w:szCs w:val="16"/>
        </w:rPr>
        <w:t>Escrito y Oral</w:t>
      </w:r>
      <w:r w:rsidR="00A35836">
        <w:rPr>
          <w:sz w:val="16"/>
          <w:szCs w:val="16"/>
        </w:rPr>
        <w:t>.</w:t>
      </w:r>
    </w:p>
    <w:p w14:paraId="565E1F5C" w14:textId="173EEDD0" w:rsidR="00C215A9" w:rsidRDefault="00C215A9">
      <w:pPr>
        <w:pStyle w:val="Textoindependiente"/>
        <w:spacing w:before="8"/>
        <w:rPr>
          <w:sz w:val="23"/>
        </w:rPr>
      </w:pPr>
    </w:p>
    <w:p w14:paraId="643604A0" w14:textId="075C5395" w:rsidR="00225306" w:rsidRDefault="00225306">
      <w:pPr>
        <w:pStyle w:val="Textoindependiente"/>
        <w:spacing w:before="8"/>
        <w:rPr>
          <w:sz w:val="23"/>
        </w:rPr>
      </w:pPr>
    </w:p>
    <w:p w14:paraId="7BFF2C5A" w14:textId="075585DD" w:rsidR="00225306" w:rsidRDefault="00225306">
      <w:pPr>
        <w:pStyle w:val="Textoindependiente"/>
        <w:spacing w:before="8"/>
        <w:rPr>
          <w:sz w:val="23"/>
        </w:rPr>
      </w:pPr>
    </w:p>
    <w:p w14:paraId="76FD2ADA" w14:textId="6961D68B" w:rsidR="00225306" w:rsidRDefault="00225306">
      <w:pPr>
        <w:pStyle w:val="Textoindependiente"/>
        <w:spacing w:before="8"/>
        <w:rPr>
          <w:sz w:val="23"/>
        </w:rPr>
      </w:pPr>
    </w:p>
    <w:p w14:paraId="69707B52" w14:textId="1B37D70D" w:rsidR="00225306" w:rsidRDefault="00225306">
      <w:pPr>
        <w:pStyle w:val="Textoindependiente"/>
        <w:spacing w:before="8"/>
        <w:rPr>
          <w:sz w:val="23"/>
        </w:rPr>
      </w:pPr>
    </w:p>
    <w:p w14:paraId="4841D488" w14:textId="208331D6" w:rsidR="00225306" w:rsidRDefault="00225306">
      <w:pPr>
        <w:pStyle w:val="Textoindependiente"/>
        <w:spacing w:before="8"/>
        <w:rPr>
          <w:sz w:val="23"/>
        </w:rPr>
      </w:pPr>
    </w:p>
    <w:p w14:paraId="641B9CB5" w14:textId="1257ADEA" w:rsidR="00225306" w:rsidRDefault="00225306">
      <w:pPr>
        <w:pStyle w:val="Textoindependiente"/>
        <w:spacing w:before="8"/>
        <w:rPr>
          <w:sz w:val="23"/>
        </w:rPr>
      </w:pPr>
    </w:p>
    <w:p w14:paraId="48B79B89" w14:textId="46D6B315" w:rsidR="00225306" w:rsidRDefault="00225306">
      <w:pPr>
        <w:pStyle w:val="Textoindependiente"/>
        <w:spacing w:before="8"/>
        <w:rPr>
          <w:sz w:val="23"/>
        </w:rPr>
      </w:pPr>
    </w:p>
    <w:p w14:paraId="35A0FE14" w14:textId="7C4009BF" w:rsidR="00225306" w:rsidRDefault="00225306">
      <w:pPr>
        <w:pStyle w:val="Textoindependiente"/>
        <w:spacing w:before="8"/>
        <w:rPr>
          <w:sz w:val="23"/>
        </w:rPr>
      </w:pPr>
    </w:p>
    <w:p w14:paraId="3FC2E557" w14:textId="32E5054F" w:rsidR="00225306" w:rsidRDefault="00225306">
      <w:pPr>
        <w:pStyle w:val="Textoindependiente"/>
        <w:spacing w:before="8"/>
        <w:rPr>
          <w:sz w:val="23"/>
        </w:rPr>
      </w:pPr>
    </w:p>
    <w:p w14:paraId="17098536" w14:textId="63483677" w:rsidR="00225306" w:rsidRDefault="00225306">
      <w:pPr>
        <w:pStyle w:val="Textoindependiente"/>
        <w:spacing w:before="8"/>
        <w:rPr>
          <w:sz w:val="23"/>
        </w:rPr>
      </w:pPr>
    </w:p>
    <w:p w14:paraId="645E68DE" w14:textId="14E9ED3C" w:rsidR="00225306" w:rsidRDefault="00225306">
      <w:pPr>
        <w:pStyle w:val="Textoindependiente"/>
        <w:spacing w:before="8"/>
        <w:rPr>
          <w:sz w:val="23"/>
        </w:rPr>
      </w:pPr>
    </w:p>
    <w:p w14:paraId="6D3ECF71" w14:textId="1DA9082E" w:rsidR="00225306" w:rsidRDefault="00225306">
      <w:pPr>
        <w:pStyle w:val="Textoindependiente"/>
        <w:spacing w:before="8"/>
        <w:rPr>
          <w:sz w:val="23"/>
        </w:rPr>
      </w:pPr>
    </w:p>
    <w:p w14:paraId="78AB965D" w14:textId="69B45CD4" w:rsidR="00225306" w:rsidRDefault="00225306">
      <w:pPr>
        <w:pStyle w:val="Textoindependiente"/>
        <w:spacing w:before="8"/>
        <w:rPr>
          <w:sz w:val="23"/>
        </w:rPr>
      </w:pPr>
    </w:p>
    <w:p w14:paraId="475A1259" w14:textId="657EB84C" w:rsidR="00225306" w:rsidRDefault="00225306">
      <w:pPr>
        <w:pStyle w:val="Textoindependiente"/>
        <w:spacing w:before="8"/>
        <w:rPr>
          <w:sz w:val="23"/>
        </w:rPr>
      </w:pPr>
    </w:p>
    <w:p w14:paraId="49711EE4" w14:textId="13BADE28" w:rsidR="00225306" w:rsidRDefault="00225306">
      <w:pPr>
        <w:pStyle w:val="Textoindependiente"/>
        <w:spacing w:before="8"/>
        <w:rPr>
          <w:sz w:val="23"/>
        </w:rPr>
      </w:pPr>
    </w:p>
    <w:p w14:paraId="02E96965" w14:textId="4F7CF865" w:rsidR="00225306" w:rsidRDefault="00225306">
      <w:pPr>
        <w:pStyle w:val="Textoindependiente"/>
        <w:spacing w:before="8"/>
        <w:rPr>
          <w:sz w:val="23"/>
        </w:rPr>
      </w:pPr>
    </w:p>
    <w:p w14:paraId="08521716" w14:textId="504C49AF" w:rsidR="00225306" w:rsidRDefault="00225306">
      <w:pPr>
        <w:pStyle w:val="Textoindependiente"/>
        <w:spacing w:before="8"/>
        <w:rPr>
          <w:sz w:val="23"/>
        </w:rPr>
      </w:pPr>
    </w:p>
    <w:p w14:paraId="19B39C3D" w14:textId="1A7D8596" w:rsidR="00225306" w:rsidRDefault="00225306">
      <w:pPr>
        <w:pStyle w:val="Textoindependiente"/>
        <w:spacing w:before="8"/>
        <w:rPr>
          <w:sz w:val="23"/>
        </w:rPr>
      </w:pPr>
    </w:p>
    <w:p w14:paraId="5C7A9286" w14:textId="65540002" w:rsidR="00225306" w:rsidRDefault="00225306">
      <w:pPr>
        <w:pStyle w:val="Textoindependiente"/>
        <w:spacing w:before="8"/>
        <w:rPr>
          <w:sz w:val="23"/>
        </w:rPr>
      </w:pPr>
    </w:p>
    <w:p w14:paraId="62914B0E" w14:textId="7AF93B5D" w:rsidR="00225306" w:rsidRDefault="00225306">
      <w:pPr>
        <w:pStyle w:val="Textoindependiente"/>
        <w:spacing w:before="8"/>
        <w:rPr>
          <w:sz w:val="23"/>
        </w:rPr>
      </w:pPr>
    </w:p>
    <w:p w14:paraId="46675279" w14:textId="04D3D72F" w:rsidR="00225306" w:rsidRDefault="00225306">
      <w:pPr>
        <w:pStyle w:val="Textoindependiente"/>
        <w:spacing w:before="8"/>
        <w:rPr>
          <w:sz w:val="23"/>
        </w:rPr>
      </w:pPr>
    </w:p>
    <w:p w14:paraId="4DF2D6C7" w14:textId="78266CAD" w:rsidR="00225306" w:rsidRDefault="00225306">
      <w:pPr>
        <w:pStyle w:val="Textoindependiente"/>
        <w:spacing w:before="8"/>
        <w:rPr>
          <w:sz w:val="23"/>
        </w:rPr>
      </w:pPr>
    </w:p>
    <w:p w14:paraId="752427A0" w14:textId="07110BDB" w:rsidR="00225306" w:rsidRDefault="00225306">
      <w:pPr>
        <w:pStyle w:val="Textoindependiente"/>
        <w:spacing w:before="8"/>
        <w:rPr>
          <w:sz w:val="23"/>
        </w:rPr>
      </w:pPr>
    </w:p>
    <w:p w14:paraId="3400853C" w14:textId="13041CE0" w:rsidR="00225306" w:rsidRDefault="00225306">
      <w:pPr>
        <w:pStyle w:val="Textoindependiente"/>
        <w:spacing w:before="8"/>
        <w:rPr>
          <w:sz w:val="23"/>
        </w:rPr>
      </w:pPr>
    </w:p>
    <w:p w14:paraId="1FD47B31" w14:textId="3586DB05" w:rsidR="00225306" w:rsidRDefault="00225306">
      <w:pPr>
        <w:pStyle w:val="Textoindependiente"/>
        <w:spacing w:before="8"/>
        <w:rPr>
          <w:sz w:val="23"/>
        </w:rPr>
      </w:pPr>
    </w:p>
    <w:p w14:paraId="118D2EF4" w14:textId="704EFBD6" w:rsidR="00225306" w:rsidRDefault="00225306">
      <w:pPr>
        <w:pStyle w:val="Textoindependiente"/>
        <w:spacing w:before="8"/>
        <w:rPr>
          <w:sz w:val="23"/>
        </w:rPr>
      </w:pPr>
    </w:p>
    <w:p w14:paraId="4D96EDF9" w14:textId="4549AE21" w:rsidR="00840E76" w:rsidRPr="00355A6C" w:rsidRDefault="00D22C09" w:rsidP="00840E76">
      <w:pPr>
        <w:pStyle w:val="Textoindependiente"/>
        <w:spacing w:before="8"/>
        <w:jc w:val="both"/>
        <w:rPr>
          <w:spacing w:val="-2"/>
          <w:sz w:val="23"/>
        </w:rPr>
      </w:pPr>
      <w:r>
        <w:rPr>
          <w:spacing w:val="-2"/>
          <w:sz w:val="23"/>
        </w:rPr>
        <w:lastRenderedPageBreak/>
        <w:t>Respecto de</w:t>
      </w:r>
      <w:r w:rsidR="00840E76" w:rsidRPr="00355A6C">
        <w:rPr>
          <w:spacing w:val="-2"/>
          <w:sz w:val="23"/>
        </w:rPr>
        <w:t xml:space="preserve"> </w:t>
      </w:r>
      <w:r w:rsidR="005960F7" w:rsidRPr="00355A6C">
        <w:rPr>
          <w:spacing w:val="-2"/>
          <w:sz w:val="23"/>
        </w:rPr>
        <w:t xml:space="preserve">los ingresos en </w:t>
      </w:r>
      <w:r w:rsidR="00840E76" w:rsidRPr="00355A6C">
        <w:rPr>
          <w:spacing w:val="-2"/>
          <w:sz w:val="23"/>
        </w:rPr>
        <w:t xml:space="preserve">el Sistema Tradicional </w:t>
      </w:r>
      <w:r w:rsidR="005960F7" w:rsidRPr="00355A6C">
        <w:rPr>
          <w:spacing w:val="-2"/>
          <w:sz w:val="23"/>
        </w:rPr>
        <w:t>y en</w:t>
      </w:r>
      <w:r w:rsidR="00840E76" w:rsidRPr="00355A6C">
        <w:rPr>
          <w:spacing w:val="-2"/>
          <w:sz w:val="23"/>
        </w:rPr>
        <w:t xml:space="preserve"> </w:t>
      </w:r>
      <w:r w:rsidR="005960F7" w:rsidRPr="00355A6C">
        <w:rPr>
          <w:spacing w:val="-2"/>
          <w:sz w:val="23"/>
        </w:rPr>
        <w:t>el</w:t>
      </w:r>
      <w:r w:rsidR="00840E76" w:rsidRPr="00355A6C">
        <w:rPr>
          <w:spacing w:val="-2"/>
          <w:sz w:val="23"/>
        </w:rPr>
        <w:t xml:space="preserve"> Sistema</w:t>
      </w:r>
      <w:r w:rsidR="005960F7" w:rsidRPr="00355A6C">
        <w:rPr>
          <w:spacing w:val="-2"/>
          <w:sz w:val="23"/>
        </w:rPr>
        <w:t xml:space="preserve"> </w:t>
      </w:r>
      <w:r w:rsidR="00840E76" w:rsidRPr="00355A6C">
        <w:rPr>
          <w:spacing w:val="-2"/>
          <w:sz w:val="23"/>
        </w:rPr>
        <w:t>Escrito o Mixto y Sistema Oral</w:t>
      </w:r>
      <w:r w:rsidR="005960F7" w:rsidRPr="00355A6C">
        <w:rPr>
          <w:spacing w:val="-2"/>
          <w:sz w:val="23"/>
        </w:rPr>
        <w:t>, 95.</w:t>
      </w:r>
      <w:r w:rsidR="00D04F78" w:rsidRPr="00355A6C">
        <w:rPr>
          <w:spacing w:val="-2"/>
          <w:sz w:val="23"/>
        </w:rPr>
        <w:t>9</w:t>
      </w:r>
      <w:r w:rsidR="003D59E1">
        <w:rPr>
          <w:spacing w:val="-2"/>
          <w:sz w:val="23"/>
        </w:rPr>
        <w:t>% correspondió a adultos</w:t>
      </w:r>
      <w:r w:rsidR="005960F7" w:rsidRPr="00355A6C">
        <w:rPr>
          <w:spacing w:val="-2"/>
          <w:sz w:val="23"/>
        </w:rPr>
        <w:t xml:space="preserve"> y 4.1% a adolescentes.</w:t>
      </w:r>
      <w:r w:rsidR="00840E76" w:rsidRPr="00355A6C">
        <w:rPr>
          <w:spacing w:val="-2"/>
          <w:sz w:val="23"/>
        </w:rPr>
        <w:t xml:space="preserve"> </w:t>
      </w:r>
      <w:r w:rsidR="005960F7" w:rsidRPr="00355A6C">
        <w:rPr>
          <w:spacing w:val="-2"/>
          <w:sz w:val="23"/>
        </w:rPr>
        <w:t>E</w:t>
      </w:r>
      <w:r w:rsidR="00840E76" w:rsidRPr="00355A6C">
        <w:rPr>
          <w:spacing w:val="-2"/>
          <w:sz w:val="23"/>
        </w:rPr>
        <w:t>n los</w:t>
      </w:r>
      <w:r w:rsidR="003D59E1">
        <w:rPr>
          <w:spacing w:val="-2"/>
          <w:sz w:val="23"/>
        </w:rPr>
        <w:t xml:space="preserve"> ingresos a los</w:t>
      </w:r>
      <w:r w:rsidR="00840E76" w:rsidRPr="00355A6C">
        <w:rPr>
          <w:spacing w:val="-2"/>
          <w:sz w:val="23"/>
        </w:rPr>
        <w:t xml:space="preserve"> Juzgados de Control o Garantías</w:t>
      </w:r>
      <w:r w:rsidR="003D59E1">
        <w:rPr>
          <w:spacing w:val="-2"/>
          <w:sz w:val="23"/>
        </w:rPr>
        <w:t xml:space="preserve"> </w:t>
      </w:r>
      <w:r w:rsidR="00427532" w:rsidRPr="00355A6C">
        <w:rPr>
          <w:spacing w:val="-2"/>
          <w:sz w:val="23"/>
        </w:rPr>
        <w:t>de</w:t>
      </w:r>
      <w:r w:rsidR="00840E76" w:rsidRPr="00355A6C">
        <w:rPr>
          <w:spacing w:val="-2"/>
          <w:sz w:val="23"/>
        </w:rPr>
        <w:t>l Sistema Penal Acusatorio</w:t>
      </w:r>
      <w:r w:rsidR="003D59E1">
        <w:rPr>
          <w:spacing w:val="-2"/>
          <w:sz w:val="23"/>
        </w:rPr>
        <w:t xml:space="preserve"> y </w:t>
      </w:r>
      <w:r w:rsidR="00427532" w:rsidRPr="00355A6C">
        <w:rPr>
          <w:spacing w:val="-2"/>
          <w:sz w:val="23"/>
        </w:rPr>
        <w:t xml:space="preserve">del Sistema Integral de Justicia Penal para Adolescentes, 97.4% </w:t>
      </w:r>
      <w:r w:rsidR="003D59E1">
        <w:rPr>
          <w:spacing w:val="-2"/>
          <w:sz w:val="23"/>
        </w:rPr>
        <w:t xml:space="preserve">fue de adultos </w:t>
      </w:r>
      <w:r w:rsidR="00427532" w:rsidRPr="00355A6C">
        <w:rPr>
          <w:spacing w:val="-2"/>
          <w:sz w:val="23"/>
        </w:rPr>
        <w:t>y 2.6%</w:t>
      </w:r>
      <w:r w:rsidR="003D59E1">
        <w:rPr>
          <w:spacing w:val="-2"/>
          <w:sz w:val="23"/>
        </w:rPr>
        <w:t xml:space="preserve"> de adolescentes</w:t>
      </w:r>
      <w:r w:rsidR="00427532" w:rsidRPr="00355A6C">
        <w:rPr>
          <w:spacing w:val="-2"/>
          <w:sz w:val="23"/>
        </w:rPr>
        <w:t xml:space="preserve">. </w:t>
      </w:r>
      <w:r w:rsidR="003D59E1">
        <w:rPr>
          <w:spacing w:val="-2"/>
          <w:sz w:val="23"/>
        </w:rPr>
        <w:t>Finalmente, de las causas ingresadas a</w:t>
      </w:r>
      <w:r w:rsidR="00840E76" w:rsidRPr="00355A6C">
        <w:rPr>
          <w:spacing w:val="-2"/>
          <w:sz w:val="23"/>
        </w:rPr>
        <w:t xml:space="preserve"> los Tribunales de Enjuiciamiento o Juzgados de Juicio Oral </w:t>
      </w:r>
      <w:r w:rsidR="00427532" w:rsidRPr="00355A6C">
        <w:rPr>
          <w:spacing w:val="-2"/>
          <w:sz w:val="23"/>
        </w:rPr>
        <w:t>(Sistema Penal Acusatorio y Sistema Integral de Justicia Penal para Adolescentes)</w:t>
      </w:r>
      <w:r w:rsidR="00840E76" w:rsidRPr="00355A6C">
        <w:rPr>
          <w:spacing w:val="-2"/>
          <w:sz w:val="23"/>
        </w:rPr>
        <w:t>,</w:t>
      </w:r>
      <w:r w:rsidR="00D04F78" w:rsidRPr="00355A6C">
        <w:rPr>
          <w:spacing w:val="-2"/>
          <w:sz w:val="23"/>
        </w:rPr>
        <w:t xml:space="preserve"> la materia penal </w:t>
      </w:r>
      <w:r w:rsidR="003D59E1">
        <w:rPr>
          <w:spacing w:val="-2"/>
          <w:sz w:val="23"/>
        </w:rPr>
        <w:t xml:space="preserve">para adultos </w:t>
      </w:r>
      <w:r w:rsidR="00D04F78" w:rsidRPr="00355A6C">
        <w:rPr>
          <w:spacing w:val="-2"/>
          <w:sz w:val="23"/>
        </w:rPr>
        <w:t>alcanzó</w:t>
      </w:r>
      <w:r w:rsidR="00840E76" w:rsidRPr="00355A6C">
        <w:rPr>
          <w:spacing w:val="-2"/>
          <w:sz w:val="23"/>
        </w:rPr>
        <w:t xml:space="preserve"> 94.7%</w:t>
      </w:r>
      <w:r w:rsidR="00D04F78" w:rsidRPr="00355A6C">
        <w:rPr>
          <w:spacing w:val="-2"/>
          <w:sz w:val="23"/>
        </w:rPr>
        <w:t xml:space="preserve"> y justicia para adolescentes 5.3%. </w:t>
      </w:r>
      <w:r w:rsidR="00840E76" w:rsidRPr="00355A6C">
        <w:rPr>
          <w:spacing w:val="-2"/>
          <w:sz w:val="23"/>
        </w:rPr>
        <w:t>A continuación</w:t>
      </w:r>
      <w:r w:rsidR="006A4353">
        <w:rPr>
          <w:spacing w:val="-2"/>
          <w:sz w:val="23"/>
        </w:rPr>
        <w:t>,</w:t>
      </w:r>
      <w:r w:rsidR="00840E76" w:rsidRPr="00355A6C">
        <w:rPr>
          <w:spacing w:val="-2"/>
          <w:sz w:val="23"/>
        </w:rPr>
        <w:t xml:space="preserve"> se presenta el flujo de causas penales conocidas por los órganos jurisdiccionales en cada sistema: </w:t>
      </w:r>
    </w:p>
    <w:p w14:paraId="1F7BCFEE" w14:textId="77777777" w:rsidR="00C90FE6" w:rsidRDefault="00C90FE6" w:rsidP="00D16ECC">
      <w:pPr>
        <w:ind w:right="-1"/>
        <w:jc w:val="center"/>
        <w:rPr>
          <w:i/>
          <w:sz w:val="24"/>
        </w:rPr>
      </w:pPr>
    </w:p>
    <w:p w14:paraId="1C88CB3C" w14:textId="61A1FDD5" w:rsidR="00CA4B96" w:rsidRPr="00DB3459" w:rsidRDefault="00823A6B" w:rsidP="00D04F78">
      <w:pPr>
        <w:jc w:val="center"/>
        <w:rPr>
          <w:i/>
          <w:sz w:val="24"/>
        </w:rPr>
      </w:pPr>
      <w:r w:rsidRPr="00DB3459">
        <w:rPr>
          <w:i/>
          <w:sz w:val="24"/>
        </w:rPr>
        <w:t xml:space="preserve">Gráfica </w:t>
      </w:r>
      <w:r w:rsidR="00EB00B4">
        <w:rPr>
          <w:i/>
          <w:sz w:val="24"/>
        </w:rPr>
        <w:t>8</w:t>
      </w:r>
      <w:r w:rsidRPr="00DB3459">
        <w:rPr>
          <w:i/>
          <w:sz w:val="24"/>
        </w:rPr>
        <w:t xml:space="preserve">. </w:t>
      </w:r>
      <w:r w:rsidR="0094367D">
        <w:rPr>
          <w:i/>
          <w:sz w:val="24"/>
        </w:rPr>
        <w:t xml:space="preserve">Flujo de </w:t>
      </w:r>
      <w:r w:rsidR="0090549E">
        <w:rPr>
          <w:i/>
          <w:sz w:val="24"/>
        </w:rPr>
        <w:t xml:space="preserve">causas penales </w:t>
      </w:r>
      <w:r w:rsidRPr="00DB3459">
        <w:rPr>
          <w:i/>
          <w:sz w:val="24"/>
        </w:rPr>
        <w:t>conocid</w:t>
      </w:r>
      <w:r w:rsidR="0094367D">
        <w:rPr>
          <w:i/>
          <w:sz w:val="24"/>
        </w:rPr>
        <w:t>a</w:t>
      </w:r>
      <w:r w:rsidRPr="00DB3459">
        <w:rPr>
          <w:i/>
          <w:sz w:val="24"/>
        </w:rPr>
        <w:t>s por los órganos jurisdiccionales de los Poderes Judiciales Estatales,</w:t>
      </w:r>
      <w:r w:rsidR="00D10B5B" w:rsidRPr="00615BC9">
        <w:rPr>
          <w:i/>
          <w:sz w:val="24"/>
        </w:rPr>
        <w:t xml:space="preserve"> 2018</w:t>
      </w:r>
    </w:p>
    <w:p w14:paraId="46E98806" w14:textId="1F5C5658" w:rsidR="00CA4B96" w:rsidRDefault="00CA4B96">
      <w:pPr>
        <w:pStyle w:val="Textoindependiente"/>
        <w:rPr>
          <w:i/>
          <w:sz w:val="20"/>
        </w:rPr>
      </w:pPr>
    </w:p>
    <w:p w14:paraId="0814361C" w14:textId="7B11DB75" w:rsidR="00CA4B96" w:rsidRPr="00DB3459" w:rsidRDefault="00D7151F" w:rsidP="00692748">
      <w:pPr>
        <w:pStyle w:val="Textoindependiente"/>
        <w:spacing w:before="11"/>
        <w:jc w:val="center"/>
        <w:rPr>
          <w:i/>
          <w:sz w:val="15"/>
        </w:rPr>
      </w:pPr>
      <w:r>
        <w:rPr>
          <w:noProof/>
          <w:lang w:eastAsia="es-MX"/>
        </w:rPr>
        <w:drawing>
          <wp:inline distT="0" distB="0" distL="0" distR="0" wp14:anchorId="771D1BE6" wp14:editId="01F93391">
            <wp:extent cx="5667153" cy="2562447"/>
            <wp:effectExtent l="0" t="0" r="0" b="0"/>
            <wp:docPr id="21" name="Gráfico 2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CC83B0-F3E0-42E7-BB58-997DEC2A10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C7BE9BE" w14:textId="77777777" w:rsidR="00BD53A6" w:rsidRDefault="00BD53A6" w:rsidP="00D04F78">
      <w:pPr>
        <w:jc w:val="both"/>
        <w:rPr>
          <w:iCs/>
          <w:sz w:val="23"/>
          <w:szCs w:val="23"/>
        </w:rPr>
      </w:pPr>
    </w:p>
    <w:p w14:paraId="5CD49084" w14:textId="44780C47" w:rsidR="00D04F78" w:rsidRDefault="003D59E1" w:rsidP="00D04F78">
      <w:pPr>
        <w:jc w:val="both"/>
        <w:rPr>
          <w:iCs/>
          <w:sz w:val="23"/>
          <w:szCs w:val="23"/>
        </w:rPr>
      </w:pPr>
      <w:r>
        <w:rPr>
          <w:iCs/>
          <w:sz w:val="23"/>
          <w:szCs w:val="23"/>
        </w:rPr>
        <w:t>En 2018</w:t>
      </w:r>
      <w:r w:rsidR="00F274C4">
        <w:rPr>
          <w:iCs/>
          <w:sz w:val="23"/>
          <w:szCs w:val="23"/>
        </w:rPr>
        <w:t>,</w:t>
      </w:r>
      <w:r w:rsidR="00F274C4" w:rsidRPr="00F25448">
        <w:rPr>
          <w:iCs/>
          <w:sz w:val="23"/>
          <w:szCs w:val="23"/>
        </w:rPr>
        <w:t xml:space="preserve"> </w:t>
      </w:r>
      <w:r w:rsidR="00F274C4">
        <w:rPr>
          <w:iCs/>
          <w:sz w:val="23"/>
          <w:szCs w:val="23"/>
        </w:rPr>
        <w:t>e</w:t>
      </w:r>
      <w:r w:rsidR="00C215A9" w:rsidRPr="00F25448">
        <w:rPr>
          <w:iCs/>
          <w:sz w:val="23"/>
          <w:szCs w:val="23"/>
        </w:rPr>
        <w:t xml:space="preserve">n los Sistemas Penal Acusatorio e Integral </w:t>
      </w:r>
      <w:r w:rsidR="00F274C4">
        <w:rPr>
          <w:iCs/>
          <w:sz w:val="23"/>
          <w:szCs w:val="23"/>
        </w:rPr>
        <w:t>d</w:t>
      </w:r>
      <w:r w:rsidR="00C215A9" w:rsidRPr="00F25448">
        <w:rPr>
          <w:iCs/>
          <w:sz w:val="23"/>
          <w:szCs w:val="23"/>
        </w:rPr>
        <w:t>e Justicia Penal para Adolescentes</w:t>
      </w:r>
      <w:r w:rsidR="009D3A98">
        <w:rPr>
          <w:iCs/>
          <w:sz w:val="23"/>
          <w:szCs w:val="23"/>
        </w:rPr>
        <w:t>,</w:t>
      </w:r>
      <w:r w:rsidR="00C215A9" w:rsidRPr="00F25448">
        <w:rPr>
          <w:iCs/>
          <w:sz w:val="23"/>
          <w:szCs w:val="23"/>
        </w:rPr>
        <w:t xml:space="preserve"> </w:t>
      </w:r>
      <w:r w:rsidR="00F25448">
        <w:rPr>
          <w:iCs/>
          <w:sz w:val="23"/>
          <w:szCs w:val="23"/>
        </w:rPr>
        <w:t>se presentó el sig</w:t>
      </w:r>
      <w:r>
        <w:rPr>
          <w:iCs/>
          <w:sz w:val="23"/>
          <w:szCs w:val="23"/>
        </w:rPr>
        <w:t>uiente comportamiento de causas penales</w:t>
      </w:r>
      <w:r w:rsidR="009C1899">
        <w:rPr>
          <w:iCs/>
          <w:sz w:val="23"/>
          <w:szCs w:val="23"/>
        </w:rPr>
        <w:t xml:space="preserve"> que</w:t>
      </w:r>
      <w:r w:rsidR="00F25448">
        <w:rPr>
          <w:iCs/>
          <w:sz w:val="23"/>
          <w:szCs w:val="23"/>
        </w:rPr>
        <w:t xml:space="preserve"> ingresa</w:t>
      </w:r>
      <w:r w:rsidR="009C1899">
        <w:rPr>
          <w:iCs/>
          <w:sz w:val="23"/>
          <w:szCs w:val="23"/>
        </w:rPr>
        <w:t>ron</w:t>
      </w:r>
      <w:r>
        <w:rPr>
          <w:iCs/>
          <w:sz w:val="23"/>
          <w:szCs w:val="23"/>
        </w:rPr>
        <w:t xml:space="preserve"> a los </w:t>
      </w:r>
      <w:r w:rsidR="00F25448">
        <w:rPr>
          <w:iCs/>
          <w:sz w:val="23"/>
          <w:szCs w:val="23"/>
        </w:rPr>
        <w:t>Juzgados o Tribunales de Juicio Oral</w:t>
      </w:r>
      <w:r w:rsidR="00563552">
        <w:rPr>
          <w:iCs/>
          <w:sz w:val="23"/>
          <w:szCs w:val="23"/>
        </w:rPr>
        <w:t xml:space="preserve"> respecto de las ingresada</w:t>
      </w:r>
      <w:r>
        <w:rPr>
          <w:iCs/>
          <w:sz w:val="23"/>
          <w:szCs w:val="23"/>
        </w:rPr>
        <w:t>s a los Juzgados de Control</w:t>
      </w:r>
      <w:r w:rsidR="009C1899">
        <w:rPr>
          <w:iCs/>
          <w:sz w:val="23"/>
          <w:szCs w:val="23"/>
        </w:rPr>
        <w:t>, donde</w:t>
      </w:r>
      <w:r w:rsidR="006A4353">
        <w:rPr>
          <w:iCs/>
          <w:sz w:val="23"/>
          <w:szCs w:val="23"/>
        </w:rPr>
        <w:t xml:space="preserve"> estado de</w:t>
      </w:r>
      <w:r w:rsidR="00F25448">
        <w:rPr>
          <w:iCs/>
          <w:sz w:val="23"/>
          <w:szCs w:val="23"/>
        </w:rPr>
        <w:t xml:space="preserve"> M</w:t>
      </w:r>
      <w:r w:rsidR="00A672CE">
        <w:rPr>
          <w:iCs/>
          <w:sz w:val="23"/>
          <w:szCs w:val="23"/>
        </w:rPr>
        <w:t>éxico y Tamaulipas</w:t>
      </w:r>
      <w:r w:rsidR="00F25448">
        <w:rPr>
          <w:iCs/>
          <w:sz w:val="23"/>
          <w:szCs w:val="23"/>
        </w:rPr>
        <w:t xml:space="preserve"> fue</w:t>
      </w:r>
      <w:r w:rsidR="00A672CE">
        <w:rPr>
          <w:iCs/>
          <w:sz w:val="23"/>
          <w:szCs w:val="23"/>
        </w:rPr>
        <w:t>ron</w:t>
      </w:r>
      <w:r w:rsidR="00563552">
        <w:rPr>
          <w:iCs/>
          <w:sz w:val="23"/>
          <w:szCs w:val="23"/>
        </w:rPr>
        <w:t xml:space="preserve"> l</w:t>
      </w:r>
      <w:r w:rsidR="006A4353">
        <w:rPr>
          <w:iCs/>
          <w:sz w:val="23"/>
          <w:szCs w:val="23"/>
        </w:rPr>
        <w:t>a</w:t>
      </w:r>
      <w:r w:rsidR="00563552">
        <w:rPr>
          <w:iCs/>
          <w:sz w:val="23"/>
          <w:szCs w:val="23"/>
        </w:rPr>
        <w:t xml:space="preserve">s </w:t>
      </w:r>
      <w:r w:rsidR="006A4353">
        <w:rPr>
          <w:iCs/>
          <w:sz w:val="23"/>
          <w:szCs w:val="23"/>
        </w:rPr>
        <w:t xml:space="preserve">entidades </w:t>
      </w:r>
      <w:r w:rsidR="00563552">
        <w:rPr>
          <w:iCs/>
          <w:sz w:val="23"/>
          <w:szCs w:val="23"/>
        </w:rPr>
        <w:t xml:space="preserve">con </w:t>
      </w:r>
      <w:r w:rsidR="00F25448">
        <w:rPr>
          <w:iCs/>
          <w:sz w:val="23"/>
          <w:szCs w:val="23"/>
        </w:rPr>
        <w:t>porcentaje</w:t>
      </w:r>
      <w:r w:rsidR="00A672CE">
        <w:rPr>
          <w:iCs/>
          <w:sz w:val="23"/>
          <w:szCs w:val="23"/>
        </w:rPr>
        <w:t xml:space="preserve">s </w:t>
      </w:r>
      <w:r w:rsidR="00F25448">
        <w:rPr>
          <w:iCs/>
          <w:sz w:val="23"/>
          <w:szCs w:val="23"/>
        </w:rPr>
        <w:t>más alto</w:t>
      </w:r>
      <w:r w:rsidR="00A672CE">
        <w:rPr>
          <w:iCs/>
          <w:sz w:val="23"/>
          <w:szCs w:val="23"/>
        </w:rPr>
        <w:t>s</w:t>
      </w:r>
      <w:r w:rsidR="00563552">
        <w:rPr>
          <w:iCs/>
          <w:sz w:val="23"/>
          <w:szCs w:val="23"/>
        </w:rPr>
        <w:t xml:space="preserve">, </w:t>
      </w:r>
      <w:r w:rsidR="00F25448">
        <w:rPr>
          <w:iCs/>
          <w:sz w:val="23"/>
          <w:szCs w:val="23"/>
        </w:rPr>
        <w:t>22.4%</w:t>
      </w:r>
      <w:r w:rsidR="00A672CE">
        <w:rPr>
          <w:iCs/>
          <w:sz w:val="23"/>
          <w:szCs w:val="23"/>
        </w:rPr>
        <w:t xml:space="preserve"> y 23.1%, respectivamente</w:t>
      </w:r>
      <w:r w:rsidR="00A22F58">
        <w:rPr>
          <w:iCs/>
          <w:sz w:val="23"/>
          <w:szCs w:val="23"/>
        </w:rPr>
        <w:t>:</w:t>
      </w:r>
    </w:p>
    <w:p w14:paraId="2A7276B5" w14:textId="77777777" w:rsidR="00A672CE" w:rsidRDefault="00A672CE" w:rsidP="00D04F78">
      <w:pPr>
        <w:jc w:val="both"/>
        <w:rPr>
          <w:iCs/>
          <w:sz w:val="23"/>
          <w:szCs w:val="23"/>
        </w:rPr>
      </w:pPr>
    </w:p>
    <w:p w14:paraId="4DD81737" w14:textId="1B30D060" w:rsidR="00CA4B96" w:rsidRPr="00D04F78" w:rsidRDefault="00823A6B" w:rsidP="00A672CE">
      <w:pPr>
        <w:jc w:val="center"/>
        <w:rPr>
          <w:iCs/>
          <w:sz w:val="23"/>
          <w:szCs w:val="23"/>
        </w:rPr>
      </w:pPr>
      <w:r w:rsidRPr="00760516">
        <w:rPr>
          <w:i/>
        </w:rPr>
        <w:t xml:space="preserve">Gráfica </w:t>
      </w:r>
      <w:r w:rsidR="00EB00B4">
        <w:rPr>
          <w:i/>
        </w:rPr>
        <w:t>9</w:t>
      </w:r>
      <w:r w:rsidR="003D59E1">
        <w:rPr>
          <w:i/>
        </w:rPr>
        <w:t>. Porcentaje de causas penales ingresada</w:t>
      </w:r>
      <w:r w:rsidRPr="00760516">
        <w:rPr>
          <w:i/>
        </w:rPr>
        <w:t>s a los Juzgados o Tribunales de Juicio Oral</w:t>
      </w:r>
      <w:r w:rsidR="003D59E1">
        <w:rPr>
          <w:i/>
        </w:rPr>
        <w:t xml:space="preserve"> respecto de los ingresados a </w:t>
      </w:r>
      <w:r w:rsidR="003D59E1" w:rsidRPr="00760516">
        <w:rPr>
          <w:i/>
        </w:rPr>
        <w:t>Juzgados de Control o Garantías</w:t>
      </w:r>
      <w:r w:rsidR="003D59E1">
        <w:rPr>
          <w:i/>
        </w:rPr>
        <w:t>, por</w:t>
      </w:r>
      <w:r w:rsidRPr="00760516">
        <w:rPr>
          <w:i/>
        </w:rPr>
        <w:t xml:space="preserve"> entidad federativa</w:t>
      </w:r>
      <w:r w:rsidR="00D10B5B" w:rsidRPr="00760516">
        <w:rPr>
          <w:i/>
        </w:rPr>
        <w:t>, 2018</w:t>
      </w:r>
    </w:p>
    <w:p w14:paraId="323AA1D4" w14:textId="284EF655" w:rsidR="00BD53A6" w:rsidRDefault="00A672CE">
      <w:pPr>
        <w:spacing w:before="171"/>
        <w:ind w:left="118"/>
        <w:jc w:val="both"/>
        <w:rPr>
          <w:i/>
          <w:sz w:val="24"/>
          <w:u w:val="single"/>
        </w:rPr>
      </w:pPr>
      <w:r>
        <w:rPr>
          <w:noProof/>
          <w:lang w:eastAsia="es-MX"/>
        </w:rPr>
        <w:drawing>
          <wp:inline distT="0" distB="0" distL="0" distR="0" wp14:anchorId="02CB104C" wp14:editId="17A2F886">
            <wp:extent cx="6184900" cy="1740535"/>
            <wp:effectExtent l="0" t="0" r="6350" b="0"/>
            <wp:docPr id="4" name="Gráfico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416A32A-BF92-45E0-AEAE-4391FAA597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9D8E17A" w14:textId="42BCFC46" w:rsidR="00F25448" w:rsidRDefault="00F25448" w:rsidP="00F25448">
      <w:pPr>
        <w:jc w:val="both"/>
        <w:rPr>
          <w:iCs/>
          <w:sz w:val="16"/>
        </w:rPr>
      </w:pPr>
      <w:r>
        <w:rPr>
          <w:iCs/>
          <w:sz w:val="16"/>
        </w:rPr>
        <w:t>Nota: incluye materia pen</w:t>
      </w:r>
      <w:r w:rsidR="003D59E1">
        <w:rPr>
          <w:iCs/>
          <w:sz w:val="16"/>
        </w:rPr>
        <w:t>al y justicia para adolescentes.</w:t>
      </w:r>
      <w:r w:rsidR="00563552">
        <w:rPr>
          <w:iCs/>
          <w:sz w:val="16"/>
        </w:rPr>
        <w:t xml:space="preserve"> Los ingresos a Juzgados o Tribunales de Juicio Oral pueden corresponder a causas ingresadas a Juzgados de Control </w:t>
      </w:r>
      <w:r w:rsidR="00E56127">
        <w:rPr>
          <w:iCs/>
          <w:sz w:val="16"/>
        </w:rPr>
        <w:t>durante</w:t>
      </w:r>
      <w:r w:rsidR="00563552">
        <w:rPr>
          <w:iCs/>
          <w:sz w:val="16"/>
        </w:rPr>
        <w:t xml:space="preserve"> el mismo año o anteriores.</w:t>
      </w:r>
    </w:p>
    <w:p w14:paraId="0CC23EE4" w14:textId="471114DB" w:rsidR="00C215A9" w:rsidRDefault="00563552" w:rsidP="00C215A9">
      <w:pPr>
        <w:pStyle w:val="Textoindependiente"/>
        <w:spacing w:before="8"/>
        <w:jc w:val="both"/>
        <w:rPr>
          <w:sz w:val="23"/>
        </w:rPr>
      </w:pPr>
      <w:r>
        <w:rPr>
          <w:sz w:val="23"/>
        </w:rPr>
        <w:lastRenderedPageBreak/>
        <w:t>En el mismo periodo</w:t>
      </w:r>
      <w:r w:rsidR="00C215A9">
        <w:rPr>
          <w:sz w:val="23"/>
        </w:rPr>
        <w:t xml:space="preserve"> se registraron </w:t>
      </w:r>
      <w:r w:rsidR="006F1DB2" w:rsidRPr="006F1DB2">
        <w:rPr>
          <w:sz w:val="23"/>
        </w:rPr>
        <w:t>193</w:t>
      </w:r>
      <w:r w:rsidR="006F1DB2">
        <w:rPr>
          <w:sz w:val="23"/>
        </w:rPr>
        <w:t xml:space="preserve"> mil </w:t>
      </w:r>
      <w:r w:rsidR="006F1DB2" w:rsidRPr="006F1DB2">
        <w:rPr>
          <w:sz w:val="23"/>
        </w:rPr>
        <w:t xml:space="preserve">636 </w:t>
      </w:r>
      <w:r w:rsidR="00C215A9">
        <w:rPr>
          <w:sz w:val="23"/>
        </w:rPr>
        <w:t>delitos en las causas penales ingresadas</w:t>
      </w:r>
      <w:r w:rsidR="00336847">
        <w:rPr>
          <w:sz w:val="23"/>
        </w:rPr>
        <w:t>, 188 mil 620 correspondieron a adultos (97.</w:t>
      </w:r>
      <w:r w:rsidR="006F1DB2">
        <w:rPr>
          <w:sz w:val="23"/>
        </w:rPr>
        <w:t>4</w:t>
      </w:r>
      <w:r w:rsidR="00336847">
        <w:rPr>
          <w:sz w:val="23"/>
        </w:rPr>
        <w:t xml:space="preserve">%) y </w:t>
      </w:r>
      <w:r w:rsidR="006F1DB2" w:rsidRPr="006F1DB2">
        <w:rPr>
          <w:sz w:val="23"/>
        </w:rPr>
        <w:t>5</w:t>
      </w:r>
      <w:r w:rsidR="006F1DB2">
        <w:rPr>
          <w:sz w:val="23"/>
        </w:rPr>
        <w:t xml:space="preserve"> mil </w:t>
      </w:r>
      <w:r w:rsidR="006F1DB2" w:rsidRPr="006F1DB2">
        <w:rPr>
          <w:sz w:val="23"/>
        </w:rPr>
        <w:t xml:space="preserve">016 </w:t>
      </w:r>
      <w:r w:rsidR="00336847">
        <w:rPr>
          <w:sz w:val="23"/>
        </w:rPr>
        <w:t>a adolescentes (2.</w:t>
      </w:r>
      <w:r w:rsidR="006F1DB2">
        <w:rPr>
          <w:sz w:val="23"/>
        </w:rPr>
        <w:t>6</w:t>
      </w:r>
      <w:r w:rsidR="00336847">
        <w:rPr>
          <w:sz w:val="23"/>
        </w:rPr>
        <w:t>%)</w:t>
      </w:r>
      <w:r w:rsidR="004A60EC">
        <w:rPr>
          <w:sz w:val="23"/>
        </w:rPr>
        <w:t>. E</w:t>
      </w:r>
      <w:r w:rsidR="00C215A9">
        <w:rPr>
          <w:sz w:val="23"/>
        </w:rPr>
        <w:t xml:space="preserve">l delito cometido con mayor frecuencia fue robo con 27.7%. Como se observa en la siguiente gráfica, dicho delito representó 56.8% de los delitos registrados en la Ciudad de México: </w:t>
      </w:r>
    </w:p>
    <w:p w14:paraId="21D9CDCA" w14:textId="77777777" w:rsidR="00C215A9" w:rsidRDefault="00C215A9" w:rsidP="00563552">
      <w:pPr>
        <w:ind w:right="-1"/>
        <w:rPr>
          <w:i/>
          <w:sz w:val="24"/>
        </w:rPr>
      </w:pPr>
    </w:p>
    <w:p w14:paraId="489014E5" w14:textId="61FA6549" w:rsidR="00C215A9" w:rsidRPr="00563552" w:rsidRDefault="00C215A9" w:rsidP="00563552">
      <w:pPr>
        <w:ind w:right="-1"/>
        <w:jc w:val="center"/>
        <w:rPr>
          <w:i/>
          <w:sz w:val="24"/>
        </w:rPr>
      </w:pPr>
      <w:r w:rsidRPr="00DB3459">
        <w:rPr>
          <w:i/>
          <w:sz w:val="24"/>
        </w:rPr>
        <w:t xml:space="preserve">Gráfica </w:t>
      </w:r>
      <w:r w:rsidR="00EB00B4">
        <w:rPr>
          <w:i/>
          <w:sz w:val="24"/>
        </w:rPr>
        <w:t>10</w:t>
      </w:r>
      <w:r w:rsidRPr="00DB3459">
        <w:rPr>
          <w:i/>
          <w:sz w:val="24"/>
        </w:rPr>
        <w:t xml:space="preserve">. </w:t>
      </w:r>
      <w:r>
        <w:rPr>
          <w:i/>
          <w:sz w:val="24"/>
        </w:rPr>
        <w:t xml:space="preserve">Delitos registrados en las causas penales para adultos y adolescentes ingresadas en los </w:t>
      </w:r>
      <w:r w:rsidRPr="00DB3459">
        <w:rPr>
          <w:i/>
          <w:sz w:val="24"/>
        </w:rPr>
        <w:t>órganos jurisdiccionales de los Poderes Judiciales Estatales</w:t>
      </w:r>
      <w:r>
        <w:rPr>
          <w:i/>
          <w:sz w:val="24"/>
        </w:rPr>
        <w:t>,</w:t>
      </w:r>
      <w:r w:rsidRPr="00DB3459">
        <w:rPr>
          <w:i/>
          <w:sz w:val="24"/>
        </w:rPr>
        <w:t xml:space="preserve"> por </w:t>
      </w:r>
      <w:r>
        <w:rPr>
          <w:i/>
          <w:sz w:val="24"/>
        </w:rPr>
        <w:t>tipo</w:t>
      </w:r>
      <w:r w:rsidR="006A4353">
        <w:rPr>
          <w:i/>
          <w:sz w:val="24"/>
        </w:rPr>
        <w:t xml:space="preserve"> y por</w:t>
      </w:r>
      <w:r>
        <w:rPr>
          <w:i/>
          <w:sz w:val="24"/>
        </w:rPr>
        <w:t xml:space="preserve"> entidad</w:t>
      </w:r>
      <w:r w:rsidR="006A4353">
        <w:rPr>
          <w:i/>
          <w:sz w:val="24"/>
        </w:rPr>
        <w:t>,</w:t>
      </w:r>
      <w:r>
        <w:rPr>
          <w:i/>
          <w:sz w:val="24"/>
        </w:rPr>
        <w:t xml:space="preserve"> </w:t>
      </w:r>
      <w:r w:rsidRPr="00615BC9">
        <w:rPr>
          <w:i/>
          <w:sz w:val="24"/>
        </w:rPr>
        <w:t>2018</w:t>
      </w:r>
    </w:p>
    <w:p w14:paraId="5A7E7360" w14:textId="138475C1" w:rsidR="00C215A9" w:rsidRDefault="005866BD" w:rsidP="00C215A9">
      <w:pPr>
        <w:ind w:left="118"/>
        <w:jc w:val="both"/>
        <w:rPr>
          <w:iCs/>
          <w:sz w:val="24"/>
          <w:u w:val="single"/>
        </w:rPr>
      </w:pPr>
      <w:r>
        <w:rPr>
          <w:noProof/>
          <w:lang w:eastAsia="es-MX"/>
        </w:rPr>
        <w:drawing>
          <wp:inline distT="0" distB="0" distL="0" distR="0" wp14:anchorId="5BA637BE" wp14:editId="6B9F19CE">
            <wp:extent cx="5934075" cy="6067425"/>
            <wp:effectExtent l="0" t="0" r="0" b="0"/>
            <wp:docPr id="5" name="Gráfico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94A7A8-833F-4BBB-9526-8F6CD123F5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5FE9FD1" w14:textId="77777777" w:rsidR="00C215A9" w:rsidRDefault="00C215A9" w:rsidP="00C215A9">
      <w:pPr>
        <w:ind w:left="118"/>
        <w:jc w:val="both"/>
        <w:rPr>
          <w:iCs/>
          <w:sz w:val="24"/>
          <w:u w:val="single"/>
        </w:rPr>
      </w:pPr>
    </w:p>
    <w:p w14:paraId="0445D285" w14:textId="77777777" w:rsidR="00C215A9" w:rsidRDefault="00C215A9" w:rsidP="00563552">
      <w:pPr>
        <w:jc w:val="both"/>
        <w:rPr>
          <w:iCs/>
          <w:sz w:val="16"/>
        </w:rPr>
      </w:pPr>
      <w:r>
        <w:rPr>
          <w:iCs/>
          <w:sz w:val="16"/>
        </w:rPr>
        <w:t>*</w:t>
      </w:r>
      <w:r w:rsidRPr="00B03B45">
        <w:rPr>
          <w:iCs/>
          <w:sz w:val="16"/>
        </w:rPr>
        <w:t>Delitos contra la salud relacionados con narcóticos en su modalidad de narcomenudeo</w:t>
      </w:r>
      <w:r>
        <w:rPr>
          <w:iCs/>
          <w:sz w:val="16"/>
        </w:rPr>
        <w:t>.</w:t>
      </w:r>
    </w:p>
    <w:p w14:paraId="648DC7FC" w14:textId="3B8EB1EA" w:rsidR="00C215A9" w:rsidRDefault="00C215A9" w:rsidP="00A81EBD">
      <w:pPr>
        <w:jc w:val="both"/>
        <w:rPr>
          <w:iCs/>
          <w:sz w:val="24"/>
          <w:u w:val="single"/>
        </w:rPr>
      </w:pPr>
      <w:r>
        <w:rPr>
          <w:iCs/>
          <w:sz w:val="16"/>
        </w:rPr>
        <w:t>Nota:</w:t>
      </w:r>
      <w:r w:rsidR="00563552">
        <w:rPr>
          <w:iCs/>
          <w:sz w:val="16"/>
        </w:rPr>
        <w:t xml:space="preserve"> para adultos se </w:t>
      </w:r>
      <w:r w:rsidRPr="008E7045">
        <w:rPr>
          <w:iCs/>
          <w:sz w:val="16"/>
        </w:rPr>
        <w:t xml:space="preserve">incluyen </w:t>
      </w:r>
      <w:r w:rsidR="00563552">
        <w:rPr>
          <w:iCs/>
          <w:sz w:val="16"/>
        </w:rPr>
        <w:t xml:space="preserve">el Sistema Tradicional y </w:t>
      </w:r>
      <w:r w:rsidRPr="008E7045">
        <w:rPr>
          <w:iCs/>
          <w:sz w:val="16"/>
        </w:rPr>
        <w:t>Penal Acusatorio (solo Juzgados de Control o Garantías)</w:t>
      </w:r>
      <w:r w:rsidR="00563552">
        <w:rPr>
          <w:iCs/>
          <w:sz w:val="16"/>
        </w:rPr>
        <w:t>. Para adolescentes se incluye el Sistema</w:t>
      </w:r>
      <w:r w:rsidRPr="008E7045">
        <w:rPr>
          <w:iCs/>
          <w:sz w:val="16"/>
        </w:rPr>
        <w:t xml:space="preserve"> Escrito o Mixto y Oral, así como</w:t>
      </w:r>
      <w:r w:rsidR="00563552">
        <w:rPr>
          <w:iCs/>
          <w:sz w:val="16"/>
        </w:rPr>
        <w:t xml:space="preserve"> el Sistema</w:t>
      </w:r>
      <w:r w:rsidRPr="008E7045">
        <w:rPr>
          <w:iCs/>
          <w:sz w:val="16"/>
        </w:rPr>
        <w:t xml:space="preserve"> Integral de Justicia Penal para Adolescentes (Juzgados de Control o Garantías y Tribunales de Enjuiciamiento o Juzgados de Juicio Oral)</w:t>
      </w:r>
      <w:r>
        <w:rPr>
          <w:iCs/>
          <w:sz w:val="16"/>
        </w:rPr>
        <w:t>.</w:t>
      </w:r>
    </w:p>
    <w:p w14:paraId="63754110" w14:textId="49C5994E" w:rsidR="002735A5" w:rsidRPr="002735A5" w:rsidRDefault="002735A5" w:rsidP="002735A5">
      <w:pPr>
        <w:pStyle w:val="Textoindependiente"/>
        <w:spacing w:before="182"/>
        <w:ind w:left="118" w:right="274"/>
        <w:jc w:val="both"/>
      </w:pPr>
      <w:r>
        <w:lastRenderedPageBreak/>
        <w:t>De los delitos registrados en las sentencias condenatorias y absolutorias, se presentó el siguiente comportamiento para los delitos de homicidio y feminicidio.</w:t>
      </w:r>
    </w:p>
    <w:p w14:paraId="6C99CDB3" w14:textId="244DF887" w:rsidR="002735A5" w:rsidRPr="002735A5" w:rsidRDefault="002735A5" w:rsidP="002735A5">
      <w:pPr>
        <w:pStyle w:val="Textoindependiente"/>
        <w:spacing w:before="182"/>
        <w:ind w:left="118" w:right="274"/>
        <w:jc w:val="center"/>
        <w:rPr>
          <w:i/>
        </w:rPr>
      </w:pPr>
      <w:r w:rsidRPr="002735A5">
        <w:rPr>
          <w:i/>
        </w:rPr>
        <w:t>Cuadro 1. Distribución porcentual de las sentencias registradas en causas penales concluidas, por tipo de delito seleccionado, 2018</w:t>
      </w:r>
    </w:p>
    <w:tbl>
      <w:tblPr>
        <w:tblW w:w="4249" w:type="pct"/>
        <w:tblInd w:w="675" w:type="dxa"/>
        <w:tblCellMar>
          <w:left w:w="70" w:type="dxa"/>
          <w:right w:w="70" w:type="dxa"/>
        </w:tblCellMar>
        <w:tblLook w:val="04A0" w:firstRow="1" w:lastRow="0" w:firstColumn="1" w:lastColumn="0" w:noHBand="0" w:noVBand="1"/>
      </w:tblPr>
      <w:tblGrid>
        <w:gridCol w:w="2170"/>
        <w:gridCol w:w="1981"/>
        <w:gridCol w:w="2153"/>
        <w:gridCol w:w="1965"/>
      </w:tblGrid>
      <w:tr w:rsidR="002F477D" w:rsidRPr="002735A5" w14:paraId="56582059" w14:textId="77777777" w:rsidTr="002F477D">
        <w:trPr>
          <w:trHeight w:val="315"/>
        </w:trPr>
        <w:tc>
          <w:tcPr>
            <w:tcW w:w="251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4B4EBEB" w14:textId="0FD1BF2A" w:rsidR="002F477D" w:rsidRPr="002735A5" w:rsidRDefault="002F477D" w:rsidP="002735A5">
            <w:pPr>
              <w:widowControl/>
              <w:autoSpaceDE/>
              <w:autoSpaceDN/>
              <w:jc w:val="center"/>
              <w:rPr>
                <w:rFonts w:ascii="Calibri" w:eastAsia="Times New Roman" w:hAnsi="Calibri" w:cs="Times New Roman"/>
                <w:b/>
                <w:color w:val="FFFFFF" w:themeColor="background1"/>
                <w:lang w:eastAsia="es-MX"/>
              </w:rPr>
            </w:pPr>
            <w:r w:rsidRPr="002735A5">
              <w:rPr>
                <w:rFonts w:ascii="Calibri" w:eastAsia="Times New Roman" w:hAnsi="Calibri" w:cs="Times New Roman"/>
                <w:b/>
                <w:color w:val="FFFFFF" w:themeColor="background1"/>
                <w:lang w:eastAsia="es-MX"/>
              </w:rPr>
              <w:t>HOMICIDIO</w:t>
            </w:r>
            <w:r>
              <w:rPr>
                <w:rFonts w:ascii="Calibri" w:eastAsia="Times New Roman" w:hAnsi="Calibri" w:cs="Times New Roman"/>
                <w:b/>
                <w:color w:val="FFFFFF" w:themeColor="background1"/>
                <w:lang w:eastAsia="es-MX"/>
              </w:rPr>
              <w:t xml:space="preserve"> DOLOSO</w:t>
            </w:r>
          </w:p>
        </w:tc>
        <w:tc>
          <w:tcPr>
            <w:tcW w:w="2490" w:type="pct"/>
            <w:gridSpan w:val="2"/>
            <w:tcBorders>
              <w:top w:val="single" w:sz="4" w:space="0" w:color="auto"/>
              <w:left w:val="nil"/>
              <w:bottom w:val="single" w:sz="4" w:space="0" w:color="auto"/>
              <w:right w:val="single" w:sz="4" w:space="0" w:color="auto"/>
            </w:tcBorders>
            <w:shd w:val="clear" w:color="auto" w:fill="002060"/>
            <w:noWrap/>
            <w:vAlign w:val="center"/>
            <w:hideMark/>
          </w:tcPr>
          <w:p w14:paraId="5645FF18" w14:textId="77777777" w:rsidR="002F477D" w:rsidRPr="002735A5" w:rsidRDefault="002F477D" w:rsidP="002735A5">
            <w:pPr>
              <w:widowControl/>
              <w:autoSpaceDE/>
              <w:autoSpaceDN/>
              <w:jc w:val="center"/>
              <w:rPr>
                <w:rFonts w:ascii="Calibri" w:eastAsia="Times New Roman" w:hAnsi="Calibri" w:cs="Times New Roman"/>
                <w:b/>
                <w:color w:val="FFFFFF" w:themeColor="background1"/>
                <w:lang w:eastAsia="es-MX"/>
              </w:rPr>
            </w:pPr>
            <w:r w:rsidRPr="002735A5">
              <w:rPr>
                <w:rFonts w:ascii="Calibri" w:eastAsia="Times New Roman" w:hAnsi="Calibri" w:cs="Times New Roman"/>
                <w:b/>
                <w:color w:val="FFFFFF" w:themeColor="background1"/>
                <w:lang w:eastAsia="es-MX"/>
              </w:rPr>
              <w:t>FEMINICIDIO</w:t>
            </w:r>
          </w:p>
        </w:tc>
      </w:tr>
      <w:tr w:rsidR="002F477D" w:rsidRPr="002735A5" w14:paraId="0EE86975" w14:textId="77777777" w:rsidTr="002F477D">
        <w:trPr>
          <w:trHeight w:val="628"/>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14:paraId="5FCDC5BD" w14:textId="77777777" w:rsidR="002F477D" w:rsidRDefault="002F477D" w:rsidP="002735A5">
            <w:pPr>
              <w:widowControl/>
              <w:autoSpaceDE/>
              <w:autoSpaceDN/>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Sentencia</w:t>
            </w:r>
          </w:p>
          <w:p w14:paraId="0DDDCE00" w14:textId="7427C3CA" w:rsidR="002F477D" w:rsidRPr="002735A5" w:rsidRDefault="002F477D" w:rsidP="002735A5">
            <w:pPr>
              <w:widowControl/>
              <w:autoSpaceDE/>
              <w:autoSpaceDN/>
              <w:jc w:val="center"/>
              <w:rPr>
                <w:rFonts w:ascii="Calibri" w:eastAsia="Times New Roman" w:hAnsi="Calibri" w:cs="Times New Roman"/>
                <w:color w:val="000000"/>
                <w:lang w:eastAsia="es-MX"/>
              </w:rPr>
            </w:pPr>
            <w:r w:rsidRPr="002735A5">
              <w:rPr>
                <w:rFonts w:ascii="Calibri" w:eastAsia="Times New Roman" w:hAnsi="Calibri" w:cs="Times New Roman"/>
                <w:color w:val="000000"/>
                <w:lang w:eastAsia="es-MX"/>
              </w:rPr>
              <w:t>condenatoria</w:t>
            </w:r>
          </w:p>
        </w:tc>
        <w:tc>
          <w:tcPr>
            <w:tcW w:w="1198" w:type="pct"/>
            <w:tcBorders>
              <w:top w:val="nil"/>
              <w:left w:val="nil"/>
              <w:bottom w:val="single" w:sz="4" w:space="0" w:color="auto"/>
              <w:right w:val="single" w:sz="4" w:space="0" w:color="auto"/>
            </w:tcBorders>
            <w:shd w:val="clear" w:color="auto" w:fill="auto"/>
            <w:noWrap/>
            <w:vAlign w:val="center"/>
            <w:hideMark/>
          </w:tcPr>
          <w:p w14:paraId="718A9556" w14:textId="77777777" w:rsidR="002F477D" w:rsidRDefault="002F477D" w:rsidP="002735A5">
            <w:pPr>
              <w:widowControl/>
              <w:autoSpaceDE/>
              <w:autoSpaceDN/>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Sentencia</w:t>
            </w:r>
          </w:p>
          <w:p w14:paraId="11349D69" w14:textId="348F1E4F" w:rsidR="002F477D" w:rsidRPr="002735A5" w:rsidRDefault="002F477D" w:rsidP="002735A5">
            <w:pPr>
              <w:widowControl/>
              <w:autoSpaceDE/>
              <w:autoSpaceDN/>
              <w:jc w:val="center"/>
              <w:rPr>
                <w:rFonts w:ascii="Calibri" w:eastAsia="Times New Roman" w:hAnsi="Calibri" w:cs="Times New Roman"/>
                <w:color w:val="000000"/>
                <w:lang w:eastAsia="es-MX"/>
              </w:rPr>
            </w:pPr>
            <w:r w:rsidRPr="002735A5">
              <w:rPr>
                <w:rFonts w:ascii="Calibri" w:eastAsia="Times New Roman" w:hAnsi="Calibri" w:cs="Times New Roman"/>
                <w:color w:val="000000"/>
                <w:lang w:eastAsia="es-MX"/>
              </w:rPr>
              <w:t>absolutoria</w:t>
            </w:r>
          </w:p>
        </w:tc>
        <w:tc>
          <w:tcPr>
            <w:tcW w:w="1302" w:type="pct"/>
            <w:tcBorders>
              <w:top w:val="nil"/>
              <w:left w:val="nil"/>
              <w:bottom w:val="single" w:sz="4" w:space="0" w:color="auto"/>
              <w:right w:val="single" w:sz="4" w:space="0" w:color="auto"/>
            </w:tcBorders>
            <w:shd w:val="clear" w:color="auto" w:fill="auto"/>
            <w:noWrap/>
            <w:vAlign w:val="center"/>
            <w:hideMark/>
          </w:tcPr>
          <w:p w14:paraId="57E64215" w14:textId="77777777" w:rsidR="002F477D" w:rsidRDefault="002F477D" w:rsidP="002735A5">
            <w:pPr>
              <w:widowControl/>
              <w:autoSpaceDE/>
              <w:autoSpaceDN/>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Sentencia</w:t>
            </w:r>
          </w:p>
          <w:p w14:paraId="2AC39695" w14:textId="0B80666E" w:rsidR="002F477D" w:rsidRPr="002735A5" w:rsidRDefault="002F477D" w:rsidP="002735A5">
            <w:pPr>
              <w:widowControl/>
              <w:autoSpaceDE/>
              <w:autoSpaceDN/>
              <w:jc w:val="center"/>
              <w:rPr>
                <w:rFonts w:ascii="Calibri" w:eastAsia="Times New Roman" w:hAnsi="Calibri" w:cs="Times New Roman"/>
                <w:color w:val="000000"/>
                <w:lang w:eastAsia="es-MX"/>
              </w:rPr>
            </w:pPr>
            <w:r w:rsidRPr="002735A5">
              <w:rPr>
                <w:rFonts w:ascii="Calibri" w:eastAsia="Times New Roman" w:hAnsi="Calibri" w:cs="Times New Roman"/>
                <w:color w:val="000000"/>
                <w:lang w:eastAsia="es-MX"/>
              </w:rPr>
              <w:t>condenatoria</w:t>
            </w:r>
          </w:p>
        </w:tc>
        <w:tc>
          <w:tcPr>
            <w:tcW w:w="1188" w:type="pct"/>
            <w:tcBorders>
              <w:top w:val="nil"/>
              <w:left w:val="nil"/>
              <w:bottom w:val="single" w:sz="4" w:space="0" w:color="auto"/>
              <w:right w:val="single" w:sz="4" w:space="0" w:color="auto"/>
            </w:tcBorders>
            <w:shd w:val="clear" w:color="auto" w:fill="auto"/>
            <w:noWrap/>
            <w:vAlign w:val="center"/>
            <w:hideMark/>
          </w:tcPr>
          <w:p w14:paraId="1D775B5D" w14:textId="77777777" w:rsidR="002F477D" w:rsidRDefault="002F477D" w:rsidP="002735A5">
            <w:pPr>
              <w:widowControl/>
              <w:autoSpaceDE/>
              <w:autoSpaceDN/>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Sentencia</w:t>
            </w:r>
          </w:p>
          <w:p w14:paraId="2C7490EC" w14:textId="10941F09" w:rsidR="002F477D" w:rsidRPr="002735A5" w:rsidRDefault="002F477D" w:rsidP="002735A5">
            <w:pPr>
              <w:widowControl/>
              <w:autoSpaceDE/>
              <w:autoSpaceDN/>
              <w:jc w:val="center"/>
              <w:rPr>
                <w:rFonts w:ascii="Calibri" w:eastAsia="Times New Roman" w:hAnsi="Calibri" w:cs="Times New Roman"/>
                <w:color w:val="000000"/>
                <w:lang w:eastAsia="es-MX"/>
              </w:rPr>
            </w:pPr>
            <w:r w:rsidRPr="002735A5">
              <w:rPr>
                <w:rFonts w:ascii="Calibri" w:eastAsia="Times New Roman" w:hAnsi="Calibri" w:cs="Times New Roman"/>
                <w:color w:val="000000"/>
                <w:lang w:eastAsia="es-MX"/>
              </w:rPr>
              <w:t>absolutoria</w:t>
            </w:r>
          </w:p>
        </w:tc>
      </w:tr>
      <w:tr w:rsidR="002F477D" w:rsidRPr="002735A5" w14:paraId="5B78F782" w14:textId="77777777" w:rsidTr="002F477D">
        <w:trPr>
          <w:trHeight w:val="410"/>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14:paraId="05225811" w14:textId="4BFFC949" w:rsidR="002F477D" w:rsidRPr="002735A5" w:rsidRDefault="002F477D" w:rsidP="002F477D">
            <w:pPr>
              <w:widowControl/>
              <w:autoSpaceDE/>
              <w:autoSpaceDN/>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82.9</w:t>
            </w:r>
            <w:r w:rsidRPr="002735A5">
              <w:rPr>
                <w:rFonts w:ascii="Calibri" w:eastAsia="Times New Roman" w:hAnsi="Calibri" w:cs="Times New Roman"/>
                <w:color w:val="000000"/>
                <w:lang w:eastAsia="es-MX"/>
              </w:rPr>
              <w:t>%</w:t>
            </w:r>
          </w:p>
        </w:tc>
        <w:tc>
          <w:tcPr>
            <w:tcW w:w="1198" w:type="pct"/>
            <w:tcBorders>
              <w:top w:val="nil"/>
              <w:left w:val="nil"/>
              <w:bottom w:val="single" w:sz="4" w:space="0" w:color="auto"/>
              <w:right w:val="single" w:sz="4" w:space="0" w:color="auto"/>
            </w:tcBorders>
            <w:shd w:val="clear" w:color="auto" w:fill="auto"/>
            <w:noWrap/>
            <w:vAlign w:val="center"/>
            <w:hideMark/>
          </w:tcPr>
          <w:p w14:paraId="11993E40" w14:textId="7847A7CF" w:rsidR="002F477D" w:rsidRPr="002735A5" w:rsidRDefault="002F477D" w:rsidP="002735A5">
            <w:pPr>
              <w:widowControl/>
              <w:autoSpaceDE/>
              <w:autoSpaceDN/>
              <w:jc w:val="center"/>
              <w:rPr>
                <w:rFonts w:ascii="Calibri" w:eastAsia="Times New Roman" w:hAnsi="Calibri" w:cs="Times New Roman"/>
                <w:color w:val="000000"/>
                <w:lang w:eastAsia="es-MX"/>
              </w:rPr>
            </w:pPr>
            <w:r w:rsidRPr="002735A5">
              <w:rPr>
                <w:rFonts w:ascii="Calibri" w:eastAsia="Times New Roman" w:hAnsi="Calibri" w:cs="Times New Roman"/>
                <w:color w:val="000000"/>
                <w:lang w:eastAsia="es-MX"/>
              </w:rPr>
              <w:t>1</w:t>
            </w:r>
            <w:r>
              <w:rPr>
                <w:rFonts w:ascii="Calibri" w:eastAsia="Times New Roman" w:hAnsi="Calibri" w:cs="Times New Roman"/>
                <w:color w:val="000000"/>
                <w:lang w:eastAsia="es-MX"/>
              </w:rPr>
              <w:t>7.1</w:t>
            </w:r>
            <w:r w:rsidRPr="002735A5">
              <w:rPr>
                <w:rFonts w:ascii="Calibri" w:eastAsia="Times New Roman" w:hAnsi="Calibri" w:cs="Times New Roman"/>
                <w:color w:val="000000"/>
                <w:lang w:eastAsia="es-MX"/>
              </w:rPr>
              <w:t>%</w:t>
            </w:r>
          </w:p>
        </w:tc>
        <w:tc>
          <w:tcPr>
            <w:tcW w:w="1302" w:type="pct"/>
            <w:tcBorders>
              <w:top w:val="nil"/>
              <w:left w:val="nil"/>
              <w:bottom w:val="single" w:sz="4" w:space="0" w:color="auto"/>
              <w:right w:val="single" w:sz="4" w:space="0" w:color="auto"/>
            </w:tcBorders>
            <w:shd w:val="clear" w:color="auto" w:fill="auto"/>
            <w:noWrap/>
            <w:vAlign w:val="center"/>
            <w:hideMark/>
          </w:tcPr>
          <w:p w14:paraId="7604F05F" w14:textId="77777777" w:rsidR="002F477D" w:rsidRPr="002735A5" w:rsidRDefault="002F477D" w:rsidP="002735A5">
            <w:pPr>
              <w:widowControl/>
              <w:autoSpaceDE/>
              <w:autoSpaceDN/>
              <w:jc w:val="center"/>
              <w:rPr>
                <w:rFonts w:ascii="Calibri" w:eastAsia="Times New Roman" w:hAnsi="Calibri" w:cs="Times New Roman"/>
                <w:color w:val="000000"/>
                <w:lang w:eastAsia="es-MX"/>
              </w:rPr>
            </w:pPr>
            <w:r w:rsidRPr="002735A5">
              <w:rPr>
                <w:rFonts w:ascii="Calibri" w:eastAsia="Times New Roman" w:hAnsi="Calibri" w:cs="Times New Roman"/>
                <w:color w:val="000000"/>
                <w:lang w:eastAsia="es-MX"/>
              </w:rPr>
              <w:t>85.1%</w:t>
            </w:r>
          </w:p>
        </w:tc>
        <w:tc>
          <w:tcPr>
            <w:tcW w:w="1188" w:type="pct"/>
            <w:tcBorders>
              <w:top w:val="nil"/>
              <w:left w:val="nil"/>
              <w:bottom w:val="single" w:sz="4" w:space="0" w:color="auto"/>
              <w:right w:val="single" w:sz="4" w:space="0" w:color="auto"/>
            </w:tcBorders>
            <w:shd w:val="clear" w:color="auto" w:fill="auto"/>
            <w:noWrap/>
            <w:vAlign w:val="center"/>
            <w:hideMark/>
          </w:tcPr>
          <w:p w14:paraId="36865BB5" w14:textId="77777777" w:rsidR="002F477D" w:rsidRPr="002735A5" w:rsidRDefault="002F477D" w:rsidP="002735A5">
            <w:pPr>
              <w:widowControl/>
              <w:autoSpaceDE/>
              <w:autoSpaceDN/>
              <w:jc w:val="center"/>
              <w:rPr>
                <w:rFonts w:ascii="Calibri" w:eastAsia="Times New Roman" w:hAnsi="Calibri" w:cs="Times New Roman"/>
                <w:color w:val="000000"/>
                <w:lang w:eastAsia="es-MX"/>
              </w:rPr>
            </w:pPr>
            <w:r w:rsidRPr="002735A5">
              <w:rPr>
                <w:rFonts w:ascii="Calibri" w:eastAsia="Times New Roman" w:hAnsi="Calibri" w:cs="Times New Roman"/>
                <w:color w:val="000000"/>
                <w:lang w:eastAsia="es-MX"/>
              </w:rPr>
              <w:t>14.9%</w:t>
            </w:r>
          </w:p>
        </w:tc>
      </w:tr>
    </w:tbl>
    <w:p w14:paraId="51621D9F" w14:textId="7C9F6D32" w:rsidR="002735A5" w:rsidRPr="002735A5" w:rsidRDefault="002F477D">
      <w:pPr>
        <w:pStyle w:val="Textoindependiente"/>
        <w:spacing w:before="182"/>
        <w:ind w:left="118" w:right="274"/>
        <w:jc w:val="both"/>
        <w:rPr>
          <w:sz w:val="16"/>
          <w:szCs w:val="16"/>
        </w:rPr>
      </w:pPr>
      <w:r>
        <w:rPr>
          <w:sz w:val="16"/>
          <w:szCs w:val="16"/>
        </w:rPr>
        <w:t xml:space="preserve">            </w:t>
      </w:r>
      <w:r w:rsidR="002735A5" w:rsidRPr="002735A5">
        <w:rPr>
          <w:sz w:val="16"/>
          <w:szCs w:val="16"/>
        </w:rPr>
        <w:t>Nota: incluye cifras de adultos y adolescentes en todos los tipos de sistema penal.</w:t>
      </w:r>
    </w:p>
    <w:p w14:paraId="646AE306" w14:textId="77777777" w:rsidR="002735A5" w:rsidRPr="002735A5" w:rsidRDefault="002735A5">
      <w:pPr>
        <w:pStyle w:val="Textoindependiente"/>
        <w:spacing w:before="182"/>
        <w:ind w:left="118" w:right="274"/>
        <w:jc w:val="both"/>
        <w:rPr>
          <w:sz w:val="16"/>
          <w:szCs w:val="16"/>
        </w:rPr>
      </w:pPr>
    </w:p>
    <w:p w14:paraId="11D53C92" w14:textId="1D805AA2" w:rsidR="00CA4B96" w:rsidRDefault="00823A6B">
      <w:pPr>
        <w:pStyle w:val="Textoindependiente"/>
        <w:spacing w:before="182"/>
        <w:ind w:left="118" w:right="274"/>
        <w:jc w:val="both"/>
      </w:pPr>
      <w:r w:rsidRPr="00DB3459">
        <w:t>Del 1 de enero al 31 de diciembre de 201</w:t>
      </w:r>
      <w:r w:rsidR="00A3324C">
        <w:t>8</w:t>
      </w:r>
      <w:r w:rsidRPr="00DB3459">
        <w:t xml:space="preserve"> se concluyeron </w:t>
      </w:r>
      <w:r w:rsidR="00181135" w:rsidRPr="00181135">
        <w:t>22</w:t>
      </w:r>
      <w:r w:rsidR="00181135">
        <w:t xml:space="preserve"> mil </w:t>
      </w:r>
      <w:r w:rsidR="00181135" w:rsidRPr="00181135">
        <w:t>250</w:t>
      </w:r>
      <w:r w:rsidR="00181135">
        <w:t xml:space="preserve"> </w:t>
      </w:r>
      <w:r w:rsidRPr="00DB3459">
        <w:t xml:space="preserve">causas penales </w:t>
      </w:r>
      <w:r w:rsidR="00181135">
        <w:t>en los Sistemas Tradici</w:t>
      </w:r>
      <w:r w:rsidR="00563552">
        <w:t>onal y Escrito o Mixto y Oral. En cuanto a los s</w:t>
      </w:r>
      <w:r w:rsidR="00181135">
        <w:t>istemas Penal Acusatorio e Integral de Justicia Penal para Adolescentes,</w:t>
      </w:r>
      <w:r w:rsidRPr="00DB3459">
        <w:t xml:space="preserve"> </w:t>
      </w:r>
      <w:r w:rsidR="00181135" w:rsidRPr="00181135">
        <w:t>76</w:t>
      </w:r>
      <w:r w:rsidR="00181135">
        <w:t xml:space="preserve"> mil </w:t>
      </w:r>
      <w:r w:rsidR="00181135" w:rsidRPr="00181135">
        <w:t>103</w:t>
      </w:r>
      <w:r w:rsidR="00181135">
        <w:t xml:space="preserve"> </w:t>
      </w:r>
      <w:r w:rsidR="00563552">
        <w:t xml:space="preserve">causas </w:t>
      </w:r>
      <w:r w:rsidR="00181135">
        <w:t xml:space="preserve">se concluyeron en los Juzgados de Control o Garantías y </w:t>
      </w:r>
      <w:r w:rsidR="0094116E" w:rsidRPr="0094116E">
        <w:t>8</w:t>
      </w:r>
      <w:r w:rsidR="0094116E">
        <w:t xml:space="preserve"> </w:t>
      </w:r>
      <w:r w:rsidR="00F749A6">
        <w:t>mil</w:t>
      </w:r>
      <w:r w:rsidR="0094116E">
        <w:t xml:space="preserve"> </w:t>
      </w:r>
      <w:r w:rsidR="0094116E" w:rsidRPr="0094116E">
        <w:t>354</w:t>
      </w:r>
      <w:r w:rsidR="00563552">
        <w:t xml:space="preserve">, </w:t>
      </w:r>
      <w:r w:rsidR="00181135">
        <w:t>en los Tribunales de Enjuiciamiento o Juzgados de Juicio Oral.</w:t>
      </w:r>
    </w:p>
    <w:p w14:paraId="7AE153B0" w14:textId="29863811" w:rsidR="00181135" w:rsidRPr="00DB3459" w:rsidRDefault="00181135">
      <w:pPr>
        <w:pStyle w:val="Textoindependiente"/>
        <w:spacing w:before="182"/>
        <w:ind w:left="118" w:right="274"/>
        <w:jc w:val="both"/>
      </w:pPr>
      <w:r>
        <w:t xml:space="preserve">De </w:t>
      </w:r>
      <w:r w:rsidR="00891185">
        <w:t>las causas penales concluidas en los Sistemas Tradicional y Escrito o Mixto y Oral</w:t>
      </w:r>
      <w:r w:rsidR="00EF43E1">
        <w:t xml:space="preserve">, </w:t>
      </w:r>
      <w:r w:rsidR="009C1899">
        <w:t>93.</w:t>
      </w:r>
      <w:r w:rsidR="00314158">
        <w:t>5% correspondió a adultos</w:t>
      </w:r>
      <w:r w:rsidR="009C1899">
        <w:t xml:space="preserve"> y 6.5% a adolescentes. Del total</w:t>
      </w:r>
      <w:r w:rsidR="00F749A6">
        <w:t>,</w:t>
      </w:r>
      <w:r w:rsidR="009C1899">
        <w:t xml:space="preserve"> 36.8% </w:t>
      </w:r>
      <w:r w:rsidR="003A3554">
        <w:t xml:space="preserve">concluyó </w:t>
      </w:r>
      <w:r w:rsidR="00314158">
        <w:t>por prescripción* y 26.3% por sentencia condenatoria/sancionatoria</w:t>
      </w:r>
      <w:r w:rsidR="009C1899">
        <w:t xml:space="preserve">: </w:t>
      </w:r>
    </w:p>
    <w:p w14:paraId="3C816B01" w14:textId="77777777" w:rsidR="00CA4B96" w:rsidRPr="00DB3459" w:rsidRDefault="00CA4B96">
      <w:pPr>
        <w:pStyle w:val="Textoindependiente"/>
        <w:rPr>
          <w:sz w:val="26"/>
        </w:rPr>
      </w:pPr>
    </w:p>
    <w:p w14:paraId="4BF2E785" w14:textId="22019E6E" w:rsidR="00CA4B96" w:rsidRDefault="00823A6B" w:rsidP="00D10B5B">
      <w:pPr>
        <w:spacing w:before="154"/>
        <w:ind w:left="284" w:right="312"/>
        <w:jc w:val="center"/>
        <w:rPr>
          <w:i/>
          <w:sz w:val="24"/>
        </w:rPr>
      </w:pPr>
      <w:r w:rsidRPr="00F749A6">
        <w:rPr>
          <w:i/>
          <w:sz w:val="24"/>
        </w:rPr>
        <w:t xml:space="preserve">Gráfica </w:t>
      </w:r>
      <w:r w:rsidR="00EB00B4">
        <w:rPr>
          <w:i/>
          <w:sz w:val="24"/>
        </w:rPr>
        <w:t>11</w:t>
      </w:r>
      <w:r w:rsidRPr="00F749A6">
        <w:rPr>
          <w:i/>
          <w:sz w:val="24"/>
        </w:rPr>
        <w:t>. Distribución porcentual de l</w:t>
      </w:r>
      <w:r w:rsidR="00D16ECC" w:rsidRPr="00F749A6">
        <w:rPr>
          <w:i/>
          <w:sz w:val="24"/>
        </w:rPr>
        <w:t>as causa</w:t>
      </w:r>
      <w:r w:rsidRPr="00F749A6">
        <w:rPr>
          <w:i/>
          <w:sz w:val="24"/>
        </w:rPr>
        <w:t>s</w:t>
      </w:r>
      <w:r w:rsidR="00D16ECC" w:rsidRPr="00F749A6">
        <w:rPr>
          <w:i/>
          <w:sz w:val="24"/>
        </w:rPr>
        <w:t xml:space="preserve"> penales </w:t>
      </w:r>
      <w:r w:rsidR="00F749A6">
        <w:rPr>
          <w:i/>
          <w:sz w:val="24"/>
        </w:rPr>
        <w:t>en materia penal y justicia para</w:t>
      </w:r>
      <w:r w:rsidR="00D16ECC" w:rsidRPr="00F749A6">
        <w:rPr>
          <w:i/>
          <w:sz w:val="24"/>
        </w:rPr>
        <w:t xml:space="preserve"> adolescentes</w:t>
      </w:r>
      <w:r w:rsidRPr="00F749A6">
        <w:rPr>
          <w:i/>
          <w:sz w:val="24"/>
        </w:rPr>
        <w:t xml:space="preserve"> concluid</w:t>
      </w:r>
      <w:r w:rsidR="00F749A6" w:rsidRPr="00F749A6">
        <w:rPr>
          <w:i/>
          <w:sz w:val="24"/>
        </w:rPr>
        <w:t>a</w:t>
      </w:r>
      <w:r w:rsidRPr="00F749A6">
        <w:rPr>
          <w:i/>
          <w:sz w:val="24"/>
        </w:rPr>
        <w:t xml:space="preserve">s </w:t>
      </w:r>
      <w:r w:rsidR="00F749A6" w:rsidRPr="00F749A6">
        <w:rPr>
          <w:i/>
          <w:sz w:val="24"/>
        </w:rPr>
        <w:t>en el Sistema Tradicional y Sistema Escrito o Mixto y Oral,</w:t>
      </w:r>
      <w:r w:rsidRPr="00F749A6">
        <w:rPr>
          <w:i/>
          <w:spacing w:val="-9"/>
          <w:sz w:val="24"/>
        </w:rPr>
        <w:t xml:space="preserve"> </w:t>
      </w:r>
      <w:r w:rsidRPr="00F749A6">
        <w:rPr>
          <w:i/>
          <w:sz w:val="24"/>
        </w:rPr>
        <w:t>por</w:t>
      </w:r>
      <w:r w:rsidRPr="00F749A6">
        <w:rPr>
          <w:i/>
          <w:spacing w:val="-8"/>
          <w:sz w:val="24"/>
        </w:rPr>
        <w:t xml:space="preserve"> </w:t>
      </w:r>
      <w:r w:rsidRPr="00F749A6">
        <w:rPr>
          <w:i/>
          <w:sz w:val="24"/>
        </w:rPr>
        <w:t>tipo</w:t>
      </w:r>
      <w:r w:rsidRPr="00F749A6">
        <w:rPr>
          <w:i/>
          <w:spacing w:val="-9"/>
          <w:sz w:val="24"/>
        </w:rPr>
        <w:t xml:space="preserve"> </w:t>
      </w:r>
      <w:r w:rsidRPr="00F749A6">
        <w:rPr>
          <w:i/>
          <w:sz w:val="24"/>
        </w:rPr>
        <w:t>de</w:t>
      </w:r>
      <w:r w:rsidR="00F749A6" w:rsidRPr="00F749A6">
        <w:rPr>
          <w:i/>
          <w:spacing w:val="-7"/>
          <w:sz w:val="24"/>
        </w:rPr>
        <w:t xml:space="preserve"> conclusión</w:t>
      </w:r>
      <w:r w:rsidRPr="00F749A6">
        <w:rPr>
          <w:i/>
          <w:sz w:val="24"/>
        </w:rPr>
        <w:t>,</w:t>
      </w:r>
      <w:r w:rsidR="00D10B5B" w:rsidRPr="00F749A6">
        <w:rPr>
          <w:i/>
          <w:sz w:val="24"/>
        </w:rPr>
        <w:t xml:space="preserve"> 2018</w:t>
      </w:r>
      <w:r w:rsidR="009C2B43">
        <w:rPr>
          <w:i/>
          <w:sz w:val="24"/>
        </w:rPr>
        <w:t xml:space="preserve"> </w:t>
      </w:r>
    </w:p>
    <w:p w14:paraId="1697E693" w14:textId="3FDB8955" w:rsidR="00F749A6" w:rsidRDefault="009177B4" w:rsidP="00F749A6">
      <w:pPr>
        <w:spacing w:before="154"/>
        <w:ind w:left="284" w:right="312"/>
        <w:jc w:val="center"/>
        <w:rPr>
          <w:i/>
          <w:sz w:val="24"/>
        </w:rPr>
      </w:pPr>
      <w:r>
        <w:rPr>
          <w:noProof/>
          <w:lang w:eastAsia="es-MX"/>
        </w:rPr>
        <w:drawing>
          <wp:inline distT="0" distB="0" distL="0" distR="0" wp14:anchorId="64306B73" wp14:editId="3097185C">
            <wp:extent cx="4572000" cy="2743200"/>
            <wp:effectExtent l="0" t="0" r="0" b="0"/>
            <wp:docPr id="7" name="Gráfico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256E227-ABA8-4389-AD1D-B7DFEC98DB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C93001A" w14:textId="77777777" w:rsidR="00F749A6" w:rsidRDefault="00F749A6" w:rsidP="00F749A6">
      <w:pPr>
        <w:ind w:left="118"/>
        <w:jc w:val="both"/>
        <w:rPr>
          <w:iCs/>
          <w:sz w:val="16"/>
        </w:rPr>
      </w:pPr>
    </w:p>
    <w:p w14:paraId="35BDE4FD" w14:textId="77777777" w:rsidR="00F749A6" w:rsidRDefault="00F749A6" w:rsidP="00F749A6">
      <w:pPr>
        <w:ind w:left="118"/>
        <w:jc w:val="both"/>
        <w:rPr>
          <w:iCs/>
          <w:sz w:val="16"/>
        </w:rPr>
      </w:pPr>
    </w:p>
    <w:p w14:paraId="193D2D02" w14:textId="4BC0CF29" w:rsidR="00F749A6" w:rsidRDefault="00F749A6" w:rsidP="00F749A6">
      <w:pPr>
        <w:ind w:left="118"/>
        <w:jc w:val="both"/>
        <w:rPr>
          <w:iCs/>
          <w:sz w:val="16"/>
        </w:rPr>
      </w:pPr>
      <w:r>
        <w:rPr>
          <w:iCs/>
          <w:sz w:val="16"/>
        </w:rPr>
        <w:t>*</w:t>
      </w:r>
      <w:r w:rsidR="006D3D8A">
        <w:rPr>
          <w:iCs/>
          <w:sz w:val="16"/>
        </w:rPr>
        <w:t>Aplica</w:t>
      </w:r>
      <w:r w:rsidR="00314158">
        <w:rPr>
          <w:iCs/>
          <w:sz w:val="16"/>
        </w:rPr>
        <w:t xml:space="preserve"> solo</w:t>
      </w:r>
      <w:r w:rsidR="006D3D8A">
        <w:rPr>
          <w:iCs/>
          <w:sz w:val="16"/>
        </w:rPr>
        <w:t xml:space="preserve"> al Sistema Tradicional</w:t>
      </w:r>
      <w:r w:rsidR="00314158">
        <w:rPr>
          <w:iCs/>
          <w:sz w:val="16"/>
        </w:rPr>
        <w:t xml:space="preserve"> para adultos</w:t>
      </w:r>
      <w:r w:rsidR="006D3D8A">
        <w:rPr>
          <w:iCs/>
          <w:sz w:val="16"/>
        </w:rPr>
        <w:t xml:space="preserve">. </w:t>
      </w:r>
    </w:p>
    <w:p w14:paraId="6D5454BB" w14:textId="4A061E26" w:rsidR="006D3D8A" w:rsidRDefault="006D3D8A" w:rsidP="00F749A6">
      <w:pPr>
        <w:ind w:left="118"/>
        <w:jc w:val="both"/>
        <w:rPr>
          <w:iCs/>
          <w:sz w:val="16"/>
        </w:rPr>
      </w:pPr>
      <w:r>
        <w:rPr>
          <w:iCs/>
          <w:sz w:val="16"/>
        </w:rPr>
        <w:t xml:space="preserve">** Incluye las categorías: </w:t>
      </w:r>
      <w:r w:rsidR="009347BB">
        <w:rPr>
          <w:iCs/>
          <w:sz w:val="16"/>
        </w:rPr>
        <w:t>“</w:t>
      </w:r>
      <w:r w:rsidR="009177B4">
        <w:rPr>
          <w:iCs/>
          <w:sz w:val="16"/>
        </w:rPr>
        <w:t>C</w:t>
      </w:r>
      <w:r>
        <w:rPr>
          <w:iCs/>
          <w:sz w:val="16"/>
        </w:rPr>
        <w:t>aducidad</w:t>
      </w:r>
      <w:r w:rsidR="009347BB">
        <w:rPr>
          <w:iCs/>
          <w:sz w:val="16"/>
        </w:rPr>
        <w:t>”</w:t>
      </w:r>
      <w:r w:rsidR="009177B4">
        <w:rPr>
          <w:iCs/>
          <w:sz w:val="16"/>
        </w:rPr>
        <w:t xml:space="preserve"> (0.04%)</w:t>
      </w:r>
      <w:r>
        <w:rPr>
          <w:iCs/>
          <w:sz w:val="16"/>
        </w:rPr>
        <w:t xml:space="preserve">, </w:t>
      </w:r>
      <w:r w:rsidR="009347BB">
        <w:rPr>
          <w:iCs/>
          <w:sz w:val="16"/>
        </w:rPr>
        <w:t>“</w:t>
      </w:r>
      <w:r w:rsidR="009177B4">
        <w:rPr>
          <w:iCs/>
          <w:sz w:val="16"/>
        </w:rPr>
        <w:t>S</w:t>
      </w:r>
      <w:r>
        <w:rPr>
          <w:iCs/>
          <w:sz w:val="16"/>
        </w:rPr>
        <w:t>entencia de tipo no especificado</w:t>
      </w:r>
      <w:r w:rsidR="009347BB">
        <w:rPr>
          <w:iCs/>
          <w:sz w:val="16"/>
        </w:rPr>
        <w:t>”</w:t>
      </w:r>
      <w:r>
        <w:rPr>
          <w:iCs/>
          <w:sz w:val="16"/>
        </w:rPr>
        <w:t xml:space="preserve"> </w:t>
      </w:r>
      <w:r w:rsidR="009177B4">
        <w:rPr>
          <w:iCs/>
          <w:sz w:val="16"/>
        </w:rPr>
        <w:t>(0.1%)</w:t>
      </w:r>
      <w:r w:rsidR="00E26692">
        <w:rPr>
          <w:iCs/>
          <w:sz w:val="16"/>
        </w:rPr>
        <w:t xml:space="preserve"> </w:t>
      </w:r>
      <w:r>
        <w:rPr>
          <w:iCs/>
          <w:sz w:val="16"/>
        </w:rPr>
        <w:t xml:space="preserve">y </w:t>
      </w:r>
      <w:r w:rsidR="009347BB">
        <w:rPr>
          <w:iCs/>
          <w:sz w:val="16"/>
        </w:rPr>
        <w:t>“O</w:t>
      </w:r>
      <w:r>
        <w:rPr>
          <w:iCs/>
          <w:sz w:val="16"/>
        </w:rPr>
        <w:t>tro tipo de conclusión</w:t>
      </w:r>
      <w:r w:rsidR="009347BB">
        <w:rPr>
          <w:iCs/>
          <w:sz w:val="16"/>
        </w:rPr>
        <w:t>”</w:t>
      </w:r>
      <w:r w:rsidR="009177B4">
        <w:rPr>
          <w:iCs/>
          <w:sz w:val="16"/>
        </w:rPr>
        <w:t xml:space="preserve"> (15.4%)</w:t>
      </w:r>
      <w:r w:rsidR="00CE1A56">
        <w:rPr>
          <w:iCs/>
          <w:sz w:val="16"/>
        </w:rPr>
        <w:t>.</w:t>
      </w:r>
    </w:p>
    <w:p w14:paraId="66E3BE3D" w14:textId="37800CB7" w:rsidR="00CE1A56" w:rsidRDefault="00CE1A56" w:rsidP="00F749A6">
      <w:pPr>
        <w:ind w:left="118"/>
        <w:jc w:val="both"/>
        <w:rPr>
          <w:iCs/>
          <w:sz w:val="16"/>
        </w:rPr>
      </w:pPr>
      <w:r>
        <w:rPr>
          <w:iCs/>
          <w:sz w:val="16"/>
        </w:rPr>
        <w:t>Nota: la medición se hace a nivel de procesado y/o imputado.</w:t>
      </w:r>
    </w:p>
    <w:p w14:paraId="0F65A5C5" w14:textId="77777777" w:rsidR="004A60EC" w:rsidRDefault="004A60EC" w:rsidP="004A60EC">
      <w:pPr>
        <w:ind w:left="118"/>
        <w:jc w:val="both"/>
        <w:rPr>
          <w:iCs/>
          <w:sz w:val="16"/>
        </w:rPr>
      </w:pPr>
    </w:p>
    <w:p w14:paraId="32F78E1E" w14:textId="1D2FFC83" w:rsidR="004A60EC" w:rsidRDefault="004A60EC" w:rsidP="00CE1A56">
      <w:pPr>
        <w:pStyle w:val="Textoindependiente"/>
        <w:spacing w:before="182"/>
        <w:ind w:right="274"/>
        <w:jc w:val="both"/>
      </w:pPr>
      <w:r>
        <w:lastRenderedPageBreak/>
        <w:t>Con respecto a las conclusiones en los Juzgados de Control o Garantías</w:t>
      </w:r>
      <w:r w:rsidR="009D3A98">
        <w:t>,</w:t>
      </w:r>
      <w:r>
        <w:t xml:space="preserve"> </w:t>
      </w:r>
      <w:r w:rsidR="00705831">
        <w:t>95.7% correspond</w:t>
      </w:r>
      <w:r w:rsidR="00CE1A56">
        <w:t>ió</w:t>
      </w:r>
      <w:r w:rsidR="00705831">
        <w:t xml:space="preserve"> a </w:t>
      </w:r>
      <w:r w:rsidR="009D3A98">
        <w:t xml:space="preserve">causas de </w:t>
      </w:r>
      <w:r w:rsidR="00705831">
        <w:t>adultos y el 4</w:t>
      </w:r>
      <w:r w:rsidR="00A81EBD">
        <w:t>.</w:t>
      </w:r>
      <w:r w:rsidR="00705831">
        <w:t xml:space="preserve">3% restante a adolescentes. </w:t>
      </w:r>
      <w:r w:rsidR="009D3A98">
        <w:t xml:space="preserve">El </w:t>
      </w:r>
      <w:r w:rsidR="00705831">
        <w:t>17.9% de las causas penales se concluyó por sentencia condenatoria</w:t>
      </w:r>
      <w:r w:rsidR="009D3A98">
        <w:t>,</w:t>
      </w:r>
      <w:r w:rsidR="002F79B0">
        <w:t xml:space="preserve"> </w:t>
      </w:r>
      <w:r w:rsidR="003A3554">
        <w:t>mediante</w:t>
      </w:r>
      <w:r w:rsidR="002F79B0">
        <w:t xml:space="preserve"> procedimiento abreviado</w:t>
      </w:r>
      <w:r w:rsidR="00705831">
        <w:t>, mientras que 17.3% por suspensión condicional del proceso. A continuación se pres</w:t>
      </w:r>
      <w:r w:rsidR="00CE1A56">
        <w:t>enta la distribución po</w:t>
      </w:r>
      <w:r w:rsidR="009D3A98">
        <w:t>rcentual</w:t>
      </w:r>
      <w:r w:rsidR="002D13B6">
        <w:rPr>
          <w:rStyle w:val="Refdenotaalpie"/>
        </w:rPr>
        <w:footnoteReference w:id="9"/>
      </w:r>
      <w:r w:rsidR="009D3A98">
        <w:t>:</w:t>
      </w:r>
    </w:p>
    <w:p w14:paraId="3CAEB6E8" w14:textId="77777777" w:rsidR="002D13B6" w:rsidRDefault="002D13B6" w:rsidP="00705831">
      <w:pPr>
        <w:spacing w:before="154"/>
        <w:ind w:left="284" w:right="312"/>
        <w:jc w:val="center"/>
        <w:rPr>
          <w:i/>
          <w:sz w:val="24"/>
        </w:rPr>
      </w:pPr>
    </w:p>
    <w:p w14:paraId="61F895A2" w14:textId="7E4F20EA" w:rsidR="00705831" w:rsidRDefault="00705831" w:rsidP="00705831">
      <w:pPr>
        <w:spacing w:before="154"/>
        <w:ind w:left="284" w:right="312"/>
        <w:jc w:val="center"/>
        <w:rPr>
          <w:i/>
          <w:sz w:val="24"/>
        </w:rPr>
      </w:pPr>
      <w:r w:rsidRPr="00F749A6">
        <w:rPr>
          <w:i/>
          <w:sz w:val="24"/>
        </w:rPr>
        <w:t xml:space="preserve">Gráfica </w:t>
      </w:r>
      <w:r w:rsidR="00040964">
        <w:rPr>
          <w:i/>
          <w:sz w:val="24"/>
        </w:rPr>
        <w:t>1</w:t>
      </w:r>
      <w:r w:rsidR="00EB00B4">
        <w:rPr>
          <w:i/>
          <w:sz w:val="24"/>
        </w:rPr>
        <w:t>2</w:t>
      </w:r>
      <w:r w:rsidRPr="00F749A6">
        <w:rPr>
          <w:i/>
          <w:sz w:val="24"/>
        </w:rPr>
        <w:t xml:space="preserve">. Distribución porcentual de las causas penales </w:t>
      </w:r>
      <w:r>
        <w:rPr>
          <w:i/>
          <w:sz w:val="24"/>
        </w:rPr>
        <w:t>en materia penal y justicia para</w:t>
      </w:r>
      <w:r w:rsidRPr="00F749A6">
        <w:rPr>
          <w:i/>
          <w:sz w:val="24"/>
        </w:rPr>
        <w:t xml:space="preserve"> adolescentes concluidas en </w:t>
      </w:r>
      <w:r w:rsidR="00040964">
        <w:rPr>
          <w:i/>
          <w:sz w:val="24"/>
        </w:rPr>
        <w:t xml:space="preserve">los </w:t>
      </w:r>
      <w:r>
        <w:rPr>
          <w:i/>
          <w:sz w:val="24"/>
        </w:rPr>
        <w:t xml:space="preserve">Juzgados de Control o </w:t>
      </w:r>
      <w:r w:rsidR="000E48DC">
        <w:rPr>
          <w:i/>
          <w:sz w:val="24"/>
        </w:rPr>
        <w:t>Garantías</w:t>
      </w:r>
      <w:r w:rsidRPr="00F749A6">
        <w:rPr>
          <w:i/>
          <w:sz w:val="24"/>
        </w:rPr>
        <w:t>,</w:t>
      </w:r>
      <w:r w:rsidRPr="00F749A6">
        <w:rPr>
          <w:i/>
          <w:spacing w:val="-9"/>
          <w:sz w:val="24"/>
        </w:rPr>
        <w:t xml:space="preserve"> </w:t>
      </w:r>
      <w:r w:rsidRPr="00F749A6">
        <w:rPr>
          <w:i/>
          <w:sz w:val="24"/>
        </w:rPr>
        <w:t>por</w:t>
      </w:r>
      <w:r w:rsidRPr="00F749A6">
        <w:rPr>
          <w:i/>
          <w:spacing w:val="-8"/>
          <w:sz w:val="24"/>
        </w:rPr>
        <w:t xml:space="preserve"> </w:t>
      </w:r>
      <w:r w:rsidRPr="00F749A6">
        <w:rPr>
          <w:i/>
          <w:sz w:val="24"/>
        </w:rPr>
        <w:t>tipo</w:t>
      </w:r>
      <w:r w:rsidRPr="00F749A6">
        <w:rPr>
          <w:i/>
          <w:spacing w:val="-9"/>
          <w:sz w:val="24"/>
        </w:rPr>
        <w:t xml:space="preserve"> </w:t>
      </w:r>
      <w:r w:rsidRPr="00F749A6">
        <w:rPr>
          <w:i/>
          <w:sz w:val="24"/>
        </w:rPr>
        <w:t>de</w:t>
      </w:r>
      <w:r w:rsidRPr="00F749A6">
        <w:rPr>
          <w:i/>
          <w:spacing w:val="-7"/>
          <w:sz w:val="24"/>
        </w:rPr>
        <w:t xml:space="preserve"> conclusión</w:t>
      </w:r>
      <w:r w:rsidRPr="00F749A6">
        <w:rPr>
          <w:i/>
          <w:sz w:val="24"/>
        </w:rPr>
        <w:t>, 2018</w:t>
      </w:r>
      <w:r>
        <w:rPr>
          <w:i/>
          <w:sz w:val="24"/>
        </w:rPr>
        <w:t xml:space="preserve"> </w:t>
      </w:r>
    </w:p>
    <w:p w14:paraId="12665838" w14:textId="5B76D8C3" w:rsidR="00697123" w:rsidRDefault="00697123" w:rsidP="00F749A6">
      <w:pPr>
        <w:spacing w:before="154"/>
        <w:ind w:left="284" w:right="312"/>
        <w:jc w:val="center"/>
        <w:rPr>
          <w:i/>
          <w:sz w:val="24"/>
        </w:rPr>
      </w:pPr>
    </w:p>
    <w:p w14:paraId="1BFB1A9A" w14:textId="77777777" w:rsidR="00040964" w:rsidRDefault="00040964" w:rsidP="00040964">
      <w:pPr>
        <w:ind w:left="118"/>
        <w:jc w:val="both"/>
        <w:rPr>
          <w:iCs/>
          <w:sz w:val="16"/>
        </w:rPr>
      </w:pPr>
    </w:p>
    <w:p w14:paraId="011698DE" w14:textId="2EE3066C" w:rsidR="006317C5" w:rsidRDefault="002D13B6" w:rsidP="002D13B6">
      <w:pPr>
        <w:ind w:left="118"/>
        <w:jc w:val="center"/>
        <w:rPr>
          <w:iCs/>
          <w:sz w:val="16"/>
        </w:rPr>
      </w:pPr>
      <w:r>
        <w:rPr>
          <w:noProof/>
          <w:lang w:eastAsia="es-MX"/>
        </w:rPr>
        <w:drawing>
          <wp:inline distT="0" distB="0" distL="0" distR="0" wp14:anchorId="567A20D2" wp14:editId="439CB95C">
            <wp:extent cx="5533902" cy="3313215"/>
            <wp:effectExtent l="0" t="0" r="0" b="1905"/>
            <wp:docPr id="531" name="Gráfico 53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D28CF1-403A-461C-903D-DC84061D7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C9BA38B" w14:textId="77777777" w:rsidR="006317C5" w:rsidRDefault="006317C5" w:rsidP="00040964">
      <w:pPr>
        <w:ind w:left="118"/>
        <w:jc w:val="both"/>
        <w:rPr>
          <w:iCs/>
          <w:sz w:val="16"/>
        </w:rPr>
      </w:pPr>
    </w:p>
    <w:p w14:paraId="089B50AB" w14:textId="77777777" w:rsidR="002D13B6" w:rsidRDefault="002D13B6" w:rsidP="00040964">
      <w:pPr>
        <w:ind w:left="118"/>
        <w:jc w:val="both"/>
        <w:rPr>
          <w:iCs/>
          <w:sz w:val="16"/>
        </w:rPr>
      </w:pPr>
    </w:p>
    <w:p w14:paraId="41DA137B" w14:textId="77777777" w:rsidR="002D13B6" w:rsidRDefault="002D13B6" w:rsidP="00040964">
      <w:pPr>
        <w:ind w:left="118"/>
        <w:jc w:val="both"/>
        <w:rPr>
          <w:iCs/>
          <w:sz w:val="16"/>
        </w:rPr>
      </w:pPr>
    </w:p>
    <w:p w14:paraId="7CF4E7C3" w14:textId="77777777" w:rsidR="002D13B6" w:rsidRDefault="002D13B6" w:rsidP="00040964">
      <w:pPr>
        <w:ind w:left="118"/>
        <w:jc w:val="both"/>
        <w:rPr>
          <w:iCs/>
          <w:sz w:val="16"/>
        </w:rPr>
      </w:pPr>
    </w:p>
    <w:p w14:paraId="0B384A82" w14:textId="09A48230" w:rsidR="00040964" w:rsidRDefault="00040964" w:rsidP="00040964">
      <w:pPr>
        <w:ind w:left="118"/>
        <w:jc w:val="both"/>
        <w:rPr>
          <w:iCs/>
          <w:sz w:val="16"/>
        </w:rPr>
      </w:pPr>
      <w:r>
        <w:rPr>
          <w:iCs/>
          <w:sz w:val="16"/>
        </w:rPr>
        <w:t xml:space="preserve">*Aplica </w:t>
      </w:r>
      <w:r w:rsidR="002F79B0">
        <w:rPr>
          <w:iCs/>
          <w:sz w:val="16"/>
        </w:rPr>
        <w:t xml:space="preserve">solo </w:t>
      </w:r>
      <w:r>
        <w:rPr>
          <w:iCs/>
          <w:sz w:val="16"/>
        </w:rPr>
        <w:t>al Sistema Penal Acusatorio</w:t>
      </w:r>
      <w:r w:rsidR="002F79B0">
        <w:rPr>
          <w:iCs/>
          <w:sz w:val="16"/>
        </w:rPr>
        <w:t xml:space="preserve"> para adultos</w:t>
      </w:r>
      <w:r>
        <w:rPr>
          <w:iCs/>
          <w:sz w:val="16"/>
        </w:rPr>
        <w:t>.</w:t>
      </w:r>
    </w:p>
    <w:p w14:paraId="098F186C" w14:textId="21AF3B30" w:rsidR="00040964" w:rsidRDefault="00040964" w:rsidP="00040964">
      <w:pPr>
        <w:ind w:left="118"/>
        <w:jc w:val="both"/>
        <w:rPr>
          <w:iCs/>
          <w:sz w:val="16"/>
        </w:rPr>
      </w:pPr>
      <w:r>
        <w:rPr>
          <w:iCs/>
          <w:sz w:val="16"/>
        </w:rPr>
        <w:t xml:space="preserve">** Incluye las categorías: </w:t>
      </w:r>
      <w:r w:rsidR="009347BB">
        <w:rPr>
          <w:iCs/>
          <w:sz w:val="16"/>
        </w:rPr>
        <w:t>“</w:t>
      </w:r>
      <w:r w:rsidR="002D13B6">
        <w:rPr>
          <w:iCs/>
          <w:sz w:val="16"/>
        </w:rPr>
        <w:t>S</w:t>
      </w:r>
      <w:r>
        <w:rPr>
          <w:iCs/>
          <w:sz w:val="16"/>
        </w:rPr>
        <w:t>entencia absolutoria</w:t>
      </w:r>
      <w:r w:rsidR="009347BB">
        <w:rPr>
          <w:iCs/>
          <w:sz w:val="16"/>
        </w:rPr>
        <w:t>”</w:t>
      </w:r>
      <w:r w:rsidR="002D13B6">
        <w:rPr>
          <w:iCs/>
          <w:sz w:val="16"/>
        </w:rPr>
        <w:t xml:space="preserve"> (0.04%) y</w:t>
      </w:r>
      <w:r>
        <w:rPr>
          <w:iCs/>
          <w:sz w:val="16"/>
        </w:rPr>
        <w:t xml:space="preserve"> </w:t>
      </w:r>
      <w:r w:rsidR="009347BB">
        <w:rPr>
          <w:iCs/>
          <w:sz w:val="16"/>
        </w:rPr>
        <w:t>“</w:t>
      </w:r>
      <w:r w:rsidR="002D13B6">
        <w:rPr>
          <w:iCs/>
          <w:sz w:val="16"/>
        </w:rPr>
        <w:t>S</w:t>
      </w:r>
      <w:r>
        <w:rPr>
          <w:iCs/>
          <w:sz w:val="16"/>
        </w:rPr>
        <w:t>entencia mixta</w:t>
      </w:r>
      <w:r w:rsidR="009347BB">
        <w:rPr>
          <w:iCs/>
          <w:sz w:val="16"/>
        </w:rPr>
        <w:t>”</w:t>
      </w:r>
      <w:r>
        <w:rPr>
          <w:iCs/>
          <w:sz w:val="16"/>
        </w:rPr>
        <w:t xml:space="preserve"> (</w:t>
      </w:r>
      <w:r w:rsidR="002D13B6">
        <w:rPr>
          <w:iCs/>
          <w:sz w:val="16"/>
        </w:rPr>
        <w:t>0.0</w:t>
      </w:r>
      <w:r w:rsidR="009347BB">
        <w:rPr>
          <w:iCs/>
          <w:sz w:val="16"/>
        </w:rPr>
        <w:t>0</w:t>
      </w:r>
      <w:r w:rsidR="002D13B6">
        <w:rPr>
          <w:iCs/>
          <w:sz w:val="16"/>
        </w:rPr>
        <w:t>3</w:t>
      </w:r>
      <w:r w:rsidR="009347BB">
        <w:rPr>
          <w:iCs/>
          <w:sz w:val="16"/>
        </w:rPr>
        <w:t>%</w:t>
      </w:r>
      <w:r w:rsidR="002D13B6">
        <w:rPr>
          <w:iCs/>
          <w:sz w:val="16"/>
        </w:rPr>
        <w:t xml:space="preserve">), </w:t>
      </w:r>
      <w:r>
        <w:rPr>
          <w:iCs/>
          <w:sz w:val="16"/>
        </w:rPr>
        <w:t>a</w:t>
      </w:r>
      <w:r w:rsidR="002D13B6">
        <w:rPr>
          <w:iCs/>
          <w:sz w:val="16"/>
        </w:rPr>
        <w:t>mbas a</w:t>
      </w:r>
      <w:r>
        <w:rPr>
          <w:iCs/>
          <w:sz w:val="16"/>
        </w:rPr>
        <w:t>plica</w:t>
      </w:r>
      <w:r w:rsidR="002D13B6">
        <w:rPr>
          <w:iCs/>
          <w:sz w:val="16"/>
        </w:rPr>
        <w:t>n</w:t>
      </w:r>
      <w:r w:rsidR="002F79B0">
        <w:rPr>
          <w:iCs/>
          <w:sz w:val="16"/>
        </w:rPr>
        <w:t xml:space="preserve"> únicamente para adultos</w:t>
      </w:r>
      <w:r>
        <w:rPr>
          <w:iCs/>
          <w:sz w:val="16"/>
        </w:rPr>
        <w:t xml:space="preserve">, </w:t>
      </w:r>
      <w:r w:rsidR="002D13B6">
        <w:rPr>
          <w:iCs/>
          <w:sz w:val="16"/>
        </w:rPr>
        <w:t xml:space="preserve">así como </w:t>
      </w:r>
      <w:r w:rsidR="009347BB">
        <w:rPr>
          <w:iCs/>
          <w:sz w:val="16"/>
        </w:rPr>
        <w:t>“</w:t>
      </w:r>
      <w:r w:rsidR="002D13B6">
        <w:rPr>
          <w:iCs/>
          <w:sz w:val="16"/>
        </w:rPr>
        <w:t>O</w:t>
      </w:r>
      <w:r>
        <w:rPr>
          <w:iCs/>
          <w:sz w:val="16"/>
        </w:rPr>
        <w:t>tro tipo de conclusión</w:t>
      </w:r>
      <w:r w:rsidR="009347BB">
        <w:rPr>
          <w:iCs/>
          <w:sz w:val="16"/>
        </w:rPr>
        <w:t>”</w:t>
      </w:r>
      <w:r w:rsidR="002D13B6">
        <w:rPr>
          <w:iCs/>
          <w:sz w:val="16"/>
        </w:rPr>
        <w:t xml:space="preserve"> (41.7%)</w:t>
      </w:r>
      <w:r>
        <w:rPr>
          <w:iCs/>
          <w:sz w:val="16"/>
        </w:rPr>
        <w:t xml:space="preserve"> y </w:t>
      </w:r>
      <w:r w:rsidR="009347BB">
        <w:rPr>
          <w:iCs/>
          <w:sz w:val="16"/>
        </w:rPr>
        <w:t>“</w:t>
      </w:r>
      <w:r w:rsidR="002D13B6">
        <w:rPr>
          <w:iCs/>
          <w:sz w:val="16"/>
        </w:rPr>
        <w:t>N</w:t>
      </w:r>
      <w:r>
        <w:rPr>
          <w:iCs/>
          <w:sz w:val="16"/>
        </w:rPr>
        <w:t>o especificado</w:t>
      </w:r>
      <w:r w:rsidR="009347BB">
        <w:rPr>
          <w:iCs/>
          <w:sz w:val="16"/>
        </w:rPr>
        <w:t>”</w:t>
      </w:r>
      <w:r w:rsidR="002D13B6">
        <w:rPr>
          <w:iCs/>
          <w:sz w:val="16"/>
        </w:rPr>
        <w:t xml:space="preserve"> (0.04%)</w:t>
      </w:r>
      <w:r>
        <w:rPr>
          <w:iCs/>
          <w:sz w:val="16"/>
        </w:rPr>
        <w:t>,</w:t>
      </w:r>
    </w:p>
    <w:p w14:paraId="3B46DF5A" w14:textId="70281F23" w:rsidR="00CE1A56" w:rsidRDefault="00CE1A56" w:rsidP="00040964">
      <w:pPr>
        <w:ind w:left="118"/>
        <w:jc w:val="both"/>
        <w:rPr>
          <w:iCs/>
          <w:sz w:val="16"/>
        </w:rPr>
      </w:pPr>
      <w:r>
        <w:rPr>
          <w:iCs/>
          <w:sz w:val="16"/>
        </w:rPr>
        <w:t>Nota: la medición se hace a nivel de procesado y/o imputado.</w:t>
      </w:r>
      <w:r w:rsidR="002F79B0">
        <w:rPr>
          <w:iCs/>
          <w:sz w:val="16"/>
        </w:rPr>
        <w:t xml:space="preserve"> Las categorías de sentencia condenatoria, absolutoria y mixta corresponden a las conclusiones por procedimiento abreviado, únicamente para adultos.</w:t>
      </w:r>
    </w:p>
    <w:p w14:paraId="1237A813" w14:textId="77777777" w:rsidR="00040964" w:rsidRDefault="00040964" w:rsidP="00040964">
      <w:pPr>
        <w:ind w:left="118"/>
        <w:jc w:val="both"/>
        <w:rPr>
          <w:iCs/>
          <w:sz w:val="16"/>
        </w:rPr>
      </w:pPr>
    </w:p>
    <w:p w14:paraId="09AC119A" w14:textId="760DF900" w:rsidR="006317C5" w:rsidRDefault="006317C5" w:rsidP="003C5FC4">
      <w:pPr>
        <w:ind w:left="118"/>
        <w:jc w:val="both"/>
      </w:pPr>
    </w:p>
    <w:p w14:paraId="76B24123" w14:textId="77777777" w:rsidR="002F5FD7" w:rsidRDefault="002F5FD7" w:rsidP="006317C5">
      <w:pPr>
        <w:spacing w:before="154"/>
        <w:ind w:right="37"/>
        <w:jc w:val="both"/>
      </w:pPr>
    </w:p>
    <w:p w14:paraId="1949E579" w14:textId="77777777" w:rsidR="002D13B6" w:rsidRDefault="002D13B6" w:rsidP="006317C5">
      <w:pPr>
        <w:spacing w:before="154"/>
        <w:ind w:right="37"/>
        <w:jc w:val="both"/>
      </w:pPr>
    </w:p>
    <w:p w14:paraId="4FD061CB" w14:textId="77777777" w:rsidR="002D13B6" w:rsidRDefault="002D13B6" w:rsidP="006317C5">
      <w:pPr>
        <w:spacing w:before="154"/>
        <w:ind w:right="37"/>
        <w:jc w:val="both"/>
      </w:pPr>
    </w:p>
    <w:p w14:paraId="48B41642" w14:textId="77777777" w:rsidR="002D13B6" w:rsidRDefault="002D13B6" w:rsidP="006317C5">
      <w:pPr>
        <w:spacing w:before="154"/>
        <w:ind w:right="37"/>
        <w:jc w:val="both"/>
      </w:pPr>
    </w:p>
    <w:p w14:paraId="3BFDB2D7" w14:textId="6B199728" w:rsidR="006317C5" w:rsidRDefault="00490FE3" w:rsidP="006317C5">
      <w:pPr>
        <w:spacing w:before="154"/>
        <w:ind w:right="37"/>
        <w:jc w:val="both"/>
      </w:pPr>
      <w:r>
        <w:lastRenderedPageBreak/>
        <w:t>E</w:t>
      </w:r>
      <w:r w:rsidR="002F79B0">
        <w:t>n relación con</w:t>
      </w:r>
      <w:r w:rsidR="00040964">
        <w:t xml:space="preserve"> las causas penales concluidas en los Tribunales de Enjuiciamiento o Juzgados de Juicio Oral, 94.7% refieren a adultos y 5.3% a adolescentes. </w:t>
      </w:r>
      <w:r w:rsidR="006317C5">
        <w:t>La mayoría de ellas se concluyeron por sentencia condenatoria (75.8%).</w:t>
      </w:r>
      <w:r w:rsidR="002D13B6">
        <w:rPr>
          <w:rStyle w:val="Refdenotaalpie"/>
        </w:rPr>
        <w:footnoteReference w:id="10"/>
      </w:r>
    </w:p>
    <w:p w14:paraId="6B81BD42" w14:textId="22B80523" w:rsidR="006317C5" w:rsidRDefault="006317C5" w:rsidP="006317C5">
      <w:pPr>
        <w:spacing w:before="154"/>
        <w:ind w:right="37"/>
        <w:jc w:val="both"/>
      </w:pPr>
    </w:p>
    <w:p w14:paraId="09889072" w14:textId="3887CF4E" w:rsidR="00040964" w:rsidRDefault="00040964" w:rsidP="006317C5">
      <w:pPr>
        <w:spacing w:before="154"/>
        <w:ind w:right="37"/>
        <w:jc w:val="center"/>
        <w:rPr>
          <w:i/>
          <w:sz w:val="24"/>
        </w:rPr>
      </w:pPr>
      <w:r w:rsidRPr="00F749A6">
        <w:rPr>
          <w:i/>
          <w:sz w:val="24"/>
        </w:rPr>
        <w:t xml:space="preserve">Gráfica </w:t>
      </w:r>
      <w:r>
        <w:rPr>
          <w:i/>
          <w:sz w:val="24"/>
        </w:rPr>
        <w:t>1</w:t>
      </w:r>
      <w:r w:rsidR="00EB00B4">
        <w:rPr>
          <w:i/>
          <w:sz w:val="24"/>
        </w:rPr>
        <w:t>3</w:t>
      </w:r>
      <w:r w:rsidRPr="00F749A6">
        <w:rPr>
          <w:i/>
          <w:sz w:val="24"/>
        </w:rPr>
        <w:t xml:space="preserve">. Distribución porcentual de las causas penales </w:t>
      </w:r>
      <w:r>
        <w:rPr>
          <w:i/>
          <w:sz w:val="24"/>
        </w:rPr>
        <w:t>en materia penal y justicia para</w:t>
      </w:r>
      <w:r w:rsidRPr="00F749A6">
        <w:rPr>
          <w:i/>
          <w:sz w:val="24"/>
        </w:rPr>
        <w:t xml:space="preserve"> adolescentes concluidas en </w:t>
      </w:r>
      <w:r>
        <w:rPr>
          <w:i/>
          <w:sz w:val="24"/>
        </w:rPr>
        <w:t>los Tribunales de Enjuiciamiento o Juzgados de Juicio Oral</w:t>
      </w:r>
      <w:r w:rsidRPr="00F749A6">
        <w:rPr>
          <w:i/>
          <w:sz w:val="24"/>
        </w:rPr>
        <w:t>,</w:t>
      </w:r>
      <w:r w:rsidRPr="00F749A6">
        <w:rPr>
          <w:i/>
          <w:spacing w:val="-9"/>
          <w:sz w:val="24"/>
        </w:rPr>
        <w:t xml:space="preserve"> </w:t>
      </w:r>
      <w:r w:rsidRPr="00F749A6">
        <w:rPr>
          <w:i/>
          <w:sz w:val="24"/>
        </w:rPr>
        <w:t>por</w:t>
      </w:r>
      <w:r w:rsidRPr="00F749A6">
        <w:rPr>
          <w:i/>
          <w:spacing w:val="-8"/>
          <w:sz w:val="24"/>
        </w:rPr>
        <w:t xml:space="preserve"> </w:t>
      </w:r>
      <w:r w:rsidRPr="00F749A6">
        <w:rPr>
          <w:i/>
          <w:sz w:val="24"/>
        </w:rPr>
        <w:t>tipo</w:t>
      </w:r>
      <w:r w:rsidRPr="00F749A6">
        <w:rPr>
          <w:i/>
          <w:spacing w:val="-9"/>
          <w:sz w:val="24"/>
        </w:rPr>
        <w:t xml:space="preserve"> </w:t>
      </w:r>
      <w:r w:rsidRPr="00F749A6">
        <w:rPr>
          <w:i/>
          <w:sz w:val="24"/>
        </w:rPr>
        <w:t>de</w:t>
      </w:r>
      <w:r w:rsidRPr="00F749A6">
        <w:rPr>
          <w:i/>
          <w:spacing w:val="-7"/>
          <w:sz w:val="24"/>
        </w:rPr>
        <w:t xml:space="preserve"> conclusión</w:t>
      </w:r>
      <w:r w:rsidRPr="00F749A6">
        <w:rPr>
          <w:i/>
          <w:sz w:val="24"/>
        </w:rPr>
        <w:t>, 2018</w:t>
      </w:r>
    </w:p>
    <w:p w14:paraId="4D1BEC37" w14:textId="1E32116B" w:rsidR="00E43674" w:rsidRDefault="00040964" w:rsidP="00040964">
      <w:pPr>
        <w:pStyle w:val="Textoindependiente"/>
        <w:jc w:val="center"/>
        <w:rPr>
          <w:i/>
          <w:sz w:val="20"/>
        </w:rPr>
      </w:pPr>
      <w:r>
        <w:rPr>
          <w:noProof/>
          <w:lang w:eastAsia="es-MX"/>
        </w:rPr>
        <w:drawing>
          <wp:inline distT="0" distB="0" distL="0" distR="0" wp14:anchorId="01D2F3D7" wp14:editId="7388C378">
            <wp:extent cx="4239491" cy="2790701"/>
            <wp:effectExtent l="0" t="0" r="8890" b="0"/>
            <wp:docPr id="532" name="Gráfico 53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17A6FAB-3C63-4351-BF2D-24F0B98864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E653C9A" w14:textId="1CD2AC99" w:rsidR="00E43674" w:rsidRDefault="00E43674" w:rsidP="00D16ECC">
      <w:pPr>
        <w:pStyle w:val="Textoindependiente"/>
        <w:rPr>
          <w:i/>
          <w:sz w:val="20"/>
        </w:rPr>
      </w:pPr>
    </w:p>
    <w:p w14:paraId="59343C74" w14:textId="440003EF" w:rsidR="00E43674" w:rsidRDefault="00E43674" w:rsidP="00D16ECC">
      <w:pPr>
        <w:pStyle w:val="Textoindependiente"/>
        <w:rPr>
          <w:i/>
          <w:sz w:val="20"/>
        </w:rPr>
      </w:pPr>
    </w:p>
    <w:p w14:paraId="486841DF" w14:textId="16DBDAFB" w:rsidR="00691F07" w:rsidRDefault="006317C5" w:rsidP="00691F07">
      <w:pPr>
        <w:ind w:left="118"/>
        <w:jc w:val="both"/>
        <w:rPr>
          <w:iCs/>
          <w:sz w:val="16"/>
        </w:rPr>
      </w:pPr>
      <w:r>
        <w:rPr>
          <w:iCs/>
          <w:sz w:val="16"/>
        </w:rPr>
        <w:t>Nota:</w:t>
      </w:r>
      <w:r w:rsidR="003C5FC4">
        <w:rPr>
          <w:sz w:val="16"/>
          <w:szCs w:val="16"/>
        </w:rPr>
        <w:t xml:space="preserve"> </w:t>
      </w:r>
      <w:r w:rsidR="009347BB">
        <w:rPr>
          <w:sz w:val="16"/>
          <w:szCs w:val="16"/>
        </w:rPr>
        <w:t>n</w:t>
      </w:r>
      <w:r w:rsidR="003C5FC4" w:rsidRPr="00E11179">
        <w:rPr>
          <w:sz w:val="16"/>
          <w:szCs w:val="16"/>
        </w:rPr>
        <w:t>o se incluye la categoría</w:t>
      </w:r>
      <w:r w:rsidR="003C5FC4">
        <w:rPr>
          <w:sz w:val="16"/>
          <w:szCs w:val="16"/>
        </w:rPr>
        <w:t xml:space="preserve"> “no especificado” que equivale a 0.01%.</w:t>
      </w:r>
      <w:r w:rsidR="00691F07">
        <w:rPr>
          <w:sz w:val="16"/>
          <w:szCs w:val="16"/>
        </w:rPr>
        <w:t xml:space="preserve"> L</w:t>
      </w:r>
      <w:r w:rsidR="00691F07">
        <w:rPr>
          <w:iCs/>
          <w:sz w:val="16"/>
        </w:rPr>
        <w:t>a medición se hace a nivel de procesado y/o imputado.</w:t>
      </w:r>
    </w:p>
    <w:p w14:paraId="71614ED9" w14:textId="23F9FCE9" w:rsidR="006317C5" w:rsidRDefault="006317C5" w:rsidP="00490FE3">
      <w:pPr>
        <w:jc w:val="both"/>
        <w:rPr>
          <w:sz w:val="16"/>
          <w:szCs w:val="16"/>
        </w:rPr>
      </w:pPr>
    </w:p>
    <w:p w14:paraId="1AF429F3" w14:textId="77777777" w:rsidR="00691F07" w:rsidRDefault="00691F07" w:rsidP="00490FE3">
      <w:pPr>
        <w:jc w:val="both"/>
        <w:rPr>
          <w:iCs/>
          <w:sz w:val="24"/>
          <w:u w:val="single"/>
        </w:rPr>
      </w:pPr>
    </w:p>
    <w:p w14:paraId="3D1AD33E" w14:textId="77777777" w:rsidR="006317C5" w:rsidRDefault="006317C5" w:rsidP="006317C5">
      <w:pPr>
        <w:ind w:left="118"/>
        <w:jc w:val="both"/>
        <w:rPr>
          <w:iCs/>
          <w:sz w:val="16"/>
        </w:rPr>
      </w:pPr>
    </w:p>
    <w:p w14:paraId="39478F6E" w14:textId="0956376C" w:rsidR="00E43674" w:rsidRDefault="00E43674" w:rsidP="00D16ECC">
      <w:pPr>
        <w:pStyle w:val="Textoindependiente"/>
        <w:rPr>
          <w:i/>
          <w:sz w:val="20"/>
        </w:rPr>
      </w:pPr>
    </w:p>
    <w:p w14:paraId="7A9BA24A" w14:textId="77777777" w:rsidR="00490FE3" w:rsidRDefault="00490FE3" w:rsidP="00D16ECC">
      <w:pPr>
        <w:pStyle w:val="Textoindependiente"/>
      </w:pPr>
    </w:p>
    <w:p w14:paraId="1010ED17" w14:textId="77777777" w:rsidR="009347BB" w:rsidRDefault="009347BB" w:rsidP="00490FE3">
      <w:pPr>
        <w:pStyle w:val="Textoindependiente"/>
        <w:jc w:val="both"/>
      </w:pPr>
    </w:p>
    <w:p w14:paraId="468E8EBF" w14:textId="77777777" w:rsidR="009347BB" w:rsidRDefault="009347BB" w:rsidP="00490FE3">
      <w:pPr>
        <w:pStyle w:val="Textoindependiente"/>
        <w:jc w:val="both"/>
      </w:pPr>
    </w:p>
    <w:p w14:paraId="3897ED77" w14:textId="77777777" w:rsidR="009347BB" w:rsidRDefault="009347BB" w:rsidP="00490FE3">
      <w:pPr>
        <w:pStyle w:val="Textoindependiente"/>
        <w:jc w:val="both"/>
      </w:pPr>
    </w:p>
    <w:p w14:paraId="7017E4B5" w14:textId="77777777" w:rsidR="009347BB" w:rsidRDefault="009347BB" w:rsidP="00490FE3">
      <w:pPr>
        <w:pStyle w:val="Textoindependiente"/>
        <w:jc w:val="both"/>
      </w:pPr>
    </w:p>
    <w:p w14:paraId="2E105FCA" w14:textId="77777777" w:rsidR="009347BB" w:rsidRDefault="009347BB" w:rsidP="00490FE3">
      <w:pPr>
        <w:pStyle w:val="Textoindependiente"/>
        <w:jc w:val="both"/>
      </w:pPr>
    </w:p>
    <w:p w14:paraId="7F68F821" w14:textId="77777777" w:rsidR="009347BB" w:rsidRDefault="009347BB" w:rsidP="00490FE3">
      <w:pPr>
        <w:pStyle w:val="Textoindependiente"/>
        <w:jc w:val="both"/>
      </w:pPr>
    </w:p>
    <w:p w14:paraId="2B2D29CB" w14:textId="77777777" w:rsidR="009347BB" w:rsidRDefault="009347BB" w:rsidP="00490FE3">
      <w:pPr>
        <w:pStyle w:val="Textoindependiente"/>
        <w:jc w:val="both"/>
      </w:pPr>
    </w:p>
    <w:p w14:paraId="387DA911" w14:textId="77777777" w:rsidR="009347BB" w:rsidRDefault="009347BB" w:rsidP="00490FE3">
      <w:pPr>
        <w:pStyle w:val="Textoindependiente"/>
        <w:jc w:val="both"/>
      </w:pPr>
    </w:p>
    <w:p w14:paraId="6C66D618" w14:textId="77777777" w:rsidR="009347BB" w:rsidRDefault="009347BB" w:rsidP="00490FE3">
      <w:pPr>
        <w:pStyle w:val="Textoindependiente"/>
        <w:jc w:val="both"/>
      </w:pPr>
    </w:p>
    <w:p w14:paraId="16B4CDD1" w14:textId="77777777" w:rsidR="009347BB" w:rsidRDefault="009347BB" w:rsidP="00490FE3">
      <w:pPr>
        <w:pStyle w:val="Textoindependiente"/>
        <w:jc w:val="both"/>
      </w:pPr>
    </w:p>
    <w:p w14:paraId="454B6569" w14:textId="77777777" w:rsidR="009347BB" w:rsidRDefault="009347BB" w:rsidP="00490FE3">
      <w:pPr>
        <w:pStyle w:val="Textoindependiente"/>
        <w:jc w:val="both"/>
      </w:pPr>
    </w:p>
    <w:p w14:paraId="1D1D3E40" w14:textId="77777777" w:rsidR="009347BB" w:rsidRDefault="009347BB" w:rsidP="00490FE3">
      <w:pPr>
        <w:pStyle w:val="Textoindependiente"/>
        <w:jc w:val="both"/>
      </w:pPr>
    </w:p>
    <w:p w14:paraId="7882E403" w14:textId="77777777" w:rsidR="009347BB" w:rsidRDefault="009347BB" w:rsidP="00490FE3">
      <w:pPr>
        <w:pStyle w:val="Textoindependiente"/>
        <w:jc w:val="both"/>
      </w:pPr>
    </w:p>
    <w:p w14:paraId="497C6D22" w14:textId="77777777" w:rsidR="009347BB" w:rsidRDefault="009347BB" w:rsidP="00490FE3">
      <w:pPr>
        <w:pStyle w:val="Textoindependiente"/>
        <w:jc w:val="both"/>
      </w:pPr>
    </w:p>
    <w:p w14:paraId="4B98D026" w14:textId="4C7985F3" w:rsidR="00E43674" w:rsidRDefault="00490FE3" w:rsidP="00490FE3">
      <w:pPr>
        <w:pStyle w:val="Textoindependiente"/>
        <w:jc w:val="both"/>
        <w:rPr>
          <w:i/>
          <w:sz w:val="20"/>
        </w:rPr>
      </w:pPr>
      <w:r>
        <w:lastRenderedPageBreak/>
        <w:t>Por último, se registraron</w:t>
      </w:r>
      <w:r w:rsidR="009D3A98">
        <w:t xml:space="preserve"> 28,</w:t>
      </w:r>
      <w:r w:rsidR="009B6EEF">
        <w:t>710 sentenciados (adultos y adolescentes), de ellos</w:t>
      </w:r>
      <w:r w:rsidR="009D3A98">
        <w:t>:</w:t>
      </w:r>
      <w:r w:rsidR="009B6EEF">
        <w:t xml:space="preserve"> 25.4% correspondió a </w:t>
      </w:r>
      <w:r>
        <w:t xml:space="preserve">los Sistemas Tradicional y Escrito o Mixto y Oral; </w:t>
      </w:r>
      <w:r w:rsidR="009B6EEF">
        <w:t>47.6% a</w:t>
      </w:r>
      <w:r>
        <w:t xml:space="preserve"> Juzgados de Control</w:t>
      </w:r>
      <w:r w:rsidR="003C5FC4">
        <w:t xml:space="preserve"> (solo en el Sistema Penal Acusatorio)</w:t>
      </w:r>
      <w:r>
        <w:t xml:space="preserve">; y, </w:t>
      </w:r>
      <w:r w:rsidR="009B6EEF">
        <w:t xml:space="preserve">27.0% a </w:t>
      </w:r>
      <w:r>
        <w:t>Tribunales de Enjuiciamiento</w:t>
      </w:r>
      <w:r w:rsidR="003C5FC4">
        <w:t xml:space="preserve"> (en los Sistemas Penal Acusatorio e Integral de Justicia Penal para Adolescentes)</w:t>
      </w:r>
      <w:r>
        <w:t>. En los tres casos,</w:t>
      </w:r>
      <w:r w:rsidR="009B6EEF">
        <w:t xml:space="preserve"> el mayor porcentaje de</w:t>
      </w:r>
      <w:r>
        <w:t xml:space="preserve"> las sentencias fue en sentido condenatorio: </w:t>
      </w:r>
    </w:p>
    <w:p w14:paraId="787470BA" w14:textId="26157AB8" w:rsidR="00490FE3" w:rsidRDefault="00490FE3" w:rsidP="00D16ECC">
      <w:pPr>
        <w:pStyle w:val="Textoindependiente"/>
        <w:rPr>
          <w:i/>
          <w:sz w:val="20"/>
        </w:rPr>
      </w:pPr>
    </w:p>
    <w:p w14:paraId="1E4C63E1" w14:textId="77777777" w:rsidR="003C5FC4" w:rsidRDefault="003C5FC4" w:rsidP="00490FE3">
      <w:pPr>
        <w:spacing w:before="154"/>
        <w:ind w:right="37"/>
        <w:jc w:val="center"/>
        <w:rPr>
          <w:i/>
          <w:sz w:val="24"/>
        </w:rPr>
      </w:pPr>
    </w:p>
    <w:p w14:paraId="3F5D21CD" w14:textId="2DAC4781" w:rsidR="00490FE3" w:rsidRDefault="00490FE3" w:rsidP="00490FE3">
      <w:pPr>
        <w:spacing w:before="154"/>
        <w:ind w:right="37"/>
        <w:jc w:val="center"/>
        <w:rPr>
          <w:i/>
          <w:sz w:val="24"/>
        </w:rPr>
      </w:pPr>
      <w:r w:rsidRPr="00F749A6">
        <w:rPr>
          <w:i/>
          <w:sz w:val="24"/>
        </w:rPr>
        <w:t xml:space="preserve">Gráfica </w:t>
      </w:r>
      <w:r>
        <w:rPr>
          <w:i/>
          <w:sz w:val="24"/>
        </w:rPr>
        <w:t>1</w:t>
      </w:r>
      <w:r w:rsidR="00EB00B4">
        <w:rPr>
          <w:i/>
          <w:sz w:val="24"/>
        </w:rPr>
        <w:t>4</w:t>
      </w:r>
      <w:r w:rsidRPr="00F749A6">
        <w:rPr>
          <w:i/>
          <w:sz w:val="24"/>
        </w:rPr>
        <w:t xml:space="preserve">. </w:t>
      </w:r>
      <w:r>
        <w:rPr>
          <w:i/>
          <w:sz w:val="24"/>
        </w:rPr>
        <w:t xml:space="preserve">Sentenciados registrados en las causas penales concluidas por sistema y tipo de sentencia, </w:t>
      </w:r>
      <w:r w:rsidRPr="00F749A6">
        <w:rPr>
          <w:i/>
          <w:sz w:val="24"/>
        </w:rPr>
        <w:t>2018</w:t>
      </w:r>
    </w:p>
    <w:p w14:paraId="130FF5F6" w14:textId="51EA8320" w:rsidR="00490FE3" w:rsidRDefault="00314EE2" w:rsidP="00490FE3">
      <w:pPr>
        <w:spacing w:before="154"/>
        <w:ind w:right="37"/>
        <w:jc w:val="center"/>
        <w:rPr>
          <w:i/>
          <w:sz w:val="24"/>
        </w:rPr>
      </w:pPr>
      <w:r>
        <w:rPr>
          <w:noProof/>
          <w:lang w:eastAsia="es-MX"/>
        </w:rPr>
        <w:drawing>
          <wp:inline distT="0" distB="0" distL="0" distR="0" wp14:anchorId="2CB53353" wp14:editId="74CA0FB8">
            <wp:extent cx="6026150" cy="2035834"/>
            <wp:effectExtent l="0" t="0" r="0" b="2540"/>
            <wp:docPr id="16" name="Gráfico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B82040-B945-449B-B29E-2EF091EB19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DF2752C" w14:textId="77777777" w:rsidR="003C5FC4" w:rsidRDefault="003C5FC4" w:rsidP="003C5FC4">
      <w:pPr>
        <w:pStyle w:val="Ttulo2"/>
        <w:spacing w:before="92"/>
        <w:rPr>
          <w:b w:val="0"/>
          <w:bCs w:val="0"/>
          <w:iCs/>
          <w:sz w:val="16"/>
          <w:szCs w:val="22"/>
        </w:rPr>
      </w:pPr>
    </w:p>
    <w:p w14:paraId="2DDB4B49" w14:textId="3FD31B34" w:rsidR="00490FE3" w:rsidRDefault="00490FE3" w:rsidP="003C5FC4">
      <w:pPr>
        <w:pStyle w:val="Ttulo2"/>
        <w:spacing w:before="92"/>
        <w:rPr>
          <w:b w:val="0"/>
          <w:bCs w:val="0"/>
          <w:iCs/>
          <w:sz w:val="16"/>
          <w:szCs w:val="22"/>
        </w:rPr>
      </w:pPr>
      <w:r>
        <w:rPr>
          <w:b w:val="0"/>
          <w:bCs w:val="0"/>
          <w:iCs/>
          <w:sz w:val="16"/>
          <w:szCs w:val="22"/>
        </w:rPr>
        <w:t>*</w:t>
      </w:r>
      <w:r w:rsidR="00691F07">
        <w:rPr>
          <w:b w:val="0"/>
          <w:bCs w:val="0"/>
          <w:iCs/>
          <w:sz w:val="16"/>
          <w:szCs w:val="22"/>
        </w:rPr>
        <w:t xml:space="preserve"> L</w:t>
      </w:r>
      <w:r>
        <w:rPr>
          <w:b w:val="0"/>
          <w:bCs w:val="0"/>
          <w:iCs/>
          <w:sz w:val="16"/>
          <w:szCs w:val="22"/>
        </w:rPr>
        <w:t xml:space="preserve">a sentencia mixta aplica </w:t>
      </w:r>
      <w:r w:rsidR="00691F07">
        <w:rPr>
          <w:b w:val="0"/>
          <w:bCs w:val="0"/>
          <w:iCs/>
          <w:sz w:val="16"/>
          <w:szCs w:val="22"/>
        </w:rPr>
        <w:t xml:space="preserve">tanto </w:t>
      </w:r>
      <w:r w:rsidR="00314EE2">
        <w:rPr>
          <w:b w:val="0"/>
          <w:bCs w:val="0"/>
          <w:iCs/>
          <w:sz w:val="16"/>
          <w:szCs w:val="22"/>
        </w:rPr>
        <w:t>para adultos</w:t>
      </w:r>
      <w:r w:rsidR="00691F07">
        <w:rPr>
          <w:b w:val="0"/>
          <w:bCs w:val="0"/>
          <w:iCs/>
          <w:sz w:val="16"/>
          <w:szCs w:val="22"/>
        </w:rPr>
        <w:t xml:space="preserve"> como para</w:t>
      </w:r>
      <w:r w:rsidR="00314EE2">
        <w:rPr>
          <w:b w:val="0"/>
          <w:bCs w:val="0"/>
          <w:iCs/>
          <w:sz w:val="16"/>
          <w:szCs w:val="22"/>
        </w:rPr>
        <w:t xml:space="preserve"> adolescentes</w:t>
      </w:r>
      <w:r w:rsidR="00691F07">
        <w:rPr>
          <w:b w:val="0"/>
          <w:bCs w:val="0"/>
          <w:iCs/>
          <w:sz w:val="16"/>
          <w:szCs w:val="22"/>
        </w:rPr>
        <w:t xml:space="preserve"> únicamente en los Tribunales de Enjuiciamiento o Juzgados de Juicio Oral. </w:t>
      </w:r>
    </w:p>
    <w:p w14:paraId="30A17641" w14:textId="60DDE563" w:rsidR="003C5FC4" w:rsidRPr="003C5FC4" w:rsidRDefault="003C5FC4" w:rsidP="003C5FC4">
      <w:pPr>
        <w:pStyle w:val="Ttulo2"/>
        <w:spacing w:before="92"/>
        <w:rPr>
          <w:b w:val="0"/>
          <w:bCs w:val="0"/>
          <w:iCs/>
          <w:sz w:val="16"/>
          <w:szCs w:val="22"/>
        </w:rPr>
      </w:pPr>
      <w:r w:rsidRPr="003C5FC4">
        <w:rPr>
          <w:b w:val="0"/>
          <w:bCs w:val="0"/>
          <w:iCs/>
          <w:sz w:val="16"/>
        </w:rPr>
        <w:t xml:space="preserve">Nota: </w:t>
      </w:r>
      <w:r w:rsidR="00B20345">
        <w:rPr>
          <w:b w:val="0"/>
          <w:bCs w:val="0"/>
          <w:iCs/>
          <w:sz w:val="16"/>
          <w:szCs w:val="22"/>
        </w:rPr>
        <w:t>las cifras</w:t>
      </w:r>
      <w:r w:rsidRPr="003C5FC4">
        <w:rPr>
          <w:b w:val="0"/>
          <w:bCs w:val="0"/>
          <w:iCs/>
          <w:sz w:val="16"/>
          <w:szCs w:val="22"/>
        </w:rPr>
        <w:t xml:space="preserve"> Juzgados de Control o Garantías </w:t>
      </w:r>
      <w:r w:rsidR="00B20345">
        <w:rPr>
          <w:b w:val="0"/>
          <w:bCs w:val="0"/>
          <w:iCs/>
          <w:sz w:val="16"/>
          <w:szCs w:val="22"/>
        </w:rPr>
        <w:t xml:space="preserve">solo corresponden a adultos. Además, en este mismo rubro </w:t>
      </w:r>
      <w:r w:rsidRPr="003C5FC4">
        <w:rPr>
          <w:b w:val="0"/>
          <w:bCs w:val="0"/>
          <w:iCs/>
          <w:sz w:val="16"/>
          <w:szCs w:val="22"/>
        </w:rPr>
        <w:t>no se agregó la categoría “</w:t>
      </w:r>
      <w:r w:rsidR="00B20345">
        <w:rPr>
          <w:b w:val="0"/>
          <w:bCs w:val="0"/>
          <w:iCs/>
          <w:sz w:val="16"/>
          <w:szCs w:val="22"/>
        </w:rPr>
        <w:t>Mixta” que corresponde a 0.4%.</w:t>
      </w:r>
    </w:p>
    <w:p w14:paraId="332BDC89" w14:textId="758B85A4" w:rsidR="00824A32" w:rsidRDefault="00824A32">
      <w:pPr>
        <w:pStyle w:val="Ttulo2"/>
        <w:spacing w:before="92"/>
        <w:ind w:left="142"/>
      </w:pPr>
    </w:p>
    <w:p w14:paraId="1DDF4756" w14:textId="77777777" w:rsidR="00824A32" w:rsidRDefault="00824A32">
      <w:pPr>
        <w:pStyle w:val="Ttulo2"/>
        <w:spacing w:before="92"/>
        <w:ind w:left="142"/>
      </w:pPr>
    </w:p>
    <w:p w14:paraId="6228A861" w14:textId="518F62D4" w:rsidR="00356188" w:rsidRDefault="00356188">
      <w:pPr>
        <w:pStyle w:val="Ttulo2"/>
        <w:spacing w:before="92"/>
        <w:ind w:left="142"/>
      </w:pPr>
    </w:p>
    <w:p w14:paraId="04CF4B37" w14:textId="1F853B8C" w:rsidR="00356188" w:rsidRDefault="00356188">
      <w:pPr>
        <w:pStyle w:val="Ttulo2"/>
        <w:spacing w:before="92"/>
        <w:ind w:left="142"/>
      </w:pPr>
    </w:p>
    <w:p w14:paraId="554A3709" w14:textId="1B2E318F" w:rsidR="00356188" w:rsidRDefault="00356188">
      <w:pPr>
        <w:pStyle w:val="Ttulo2"/>
        <w:spacing w:before="92"/>
        <w:ind w:left="142"/>
      </w:pPr>
    </w:p>
    <w:p w14:paraId="562FF3E5" w14:textId="08AC73D5" w:rsidR="00356188" w:rsidRDefault="00356188">
      <w:pPr>
        <w:pStyle w:val="Ttulo2"/>
        <w:spacing w:before="92"/>
        <w:ind w:left="142"/>
      </w:pPr>
    </w:p>
    <w:p w14:paraId="5AE46B79" w14:textId="07FBEA89" w:rsidR="00356188" w:rsidRDefault="00356188">
      <w:pPr>
        <w:pStyle w:val="Ttulo2"/>
        <w:spacing w:before="92"/>
        <w:ind w:left="142"/>
      </w:pPr>
    </w:p>
    <w:p w14:paraId="66613A9F" w14:textId="3B12D016" w:rsidR="00356188" w:rsidRDefault="00356188">
      <w:pPr>
        <w:pStyle w:val="Ttulo2"/>
        <w:spacing w:before="92"/>
        <w:ind w:left="142"/>
      </w:pPr>
    </w:p>
    <w:p w14:paraId="5BC5AC2A" w14:textId="496AAEBC" w:rsidR="00356188" w:rsidRDefault="00356188">
      <w:pPr>
        <w:pStyle w:val="Ttulo2"/>
        <w:spacing w:before="92"/>
        <w:ind w:left="142"/>
      </w:pPr>
    </w:p>
    <w:p w14:paraId="1CBE3638" w14:textId="4832C69A" w:rsidR="00356188" w:rsidRDefault="00356188">
      <w:pPr>
        <w:pStyle w:val="Ttulo2"/>
        <w:spacing w:before="92"/>
        <w:ind w:left="142"/>
      </w:pPr>
    </w:p>
    <w:p w14:paraId="5EF9EDFE" w14:textId="352C0044" w:rsidR="00356188" w:rsidRDefault="00356188">
      <w:pPr>
        <w:pStyle w:val="Ttulo2"/>
        <w:spacing w:before="92"/>
        <w:ind w:left="142"/>
      </w:pPr>
    </w:p>
    <w:p w14:paraId="7413061E" w14:textId="77777777" w:rsidR="00356188" w:rsidRDefault="00356188">
      <w:pPr>
        <w:pStyle w:val="Ttulo2"/>
        <w:spacing w:before="92"/>
        <w:ind w:left="142"/>
      </w:pPr>
    </w:p>
    <w:p w14:paraId="7776F895" w14:textId="77777777" w:rsidR="00356188" w:rsidRDefault="00356188">
      <w:pPr>
        <w:pStyle w:val="Ttulo2"/>
        <w:spacing w:before="92"/>
        <w:ind w:left="142"/>
      </w:pPr>
    </w:p>
    <w:p w14:paraId="3C9718CE" w14:textId="77777777" w:rsidR="002735A5" w:rsidRDefault="002735A5">
      <w:pPr>
        <w:pStyle w:val="Ttulo2"/>
        <w:spacing w:before="92"/>
        <w:ind w:left="142"/>
      </w:pPr>
    </w:p>
    <w:p w14:paraId="5EF909D9" w14:textId="77777777" w:rsidR="00356188" w:rsidRDefault="00356188">
      <w:pPr>
        <w:pStyle w:val="Ttulo2"/>
        <w:spacing w:before="92"/>
        <w:ind w:left="142"/>
      </w:pPr>
    </w:p>
    <w:p w14:paraId="26E30989" w14:textId="54F6FE36" w:rsidR="00CA4B96" w:rsidRPr="00DB3459" w:rsidRDefault="00823A6B">
      <w:pPr>
        <w:pStyle w:val="Ttulo2"/>
        <w:spacing w:before="92"/>
        <w:ind w:left="142"/>
      </w:pPr>
      <w:r w:rsidRPr="00DB3459">
        <w:lastRenderedPageBreak/>
        <w:t>Justicia Alternativa</w:t>
      </w:r>
      <w:r w:rsidR="006404E8">
        <w:t xml:space="preserve"> y/o Mecanismos Alternativos de Solución de Controversias</w:t>
      </w:r>
    </w:p>
    <w:p w14:paraId="473B4439" w14:textId="03C62BF3" w:rsidR="00CA4B96" w:rsidRDefault="00823A6B" w:rsidP="0004118D">
      <w:pPr>
        <w:spacing w:before="179"/>
        <w:ind w:left="118" w:right="114"/>
        <w:jc w:val="both"/>
        <w:rPr>
          <w:spacing w:val="-4"/>
          <w:sz w:val="24"/>
        </w:rPr>
      </w:pPr>
      <w:r w:rsidRPr="00DB3459">
        <w:rPr>
          <w:sz w:val="24"/>
        </w:rPr>
        <w:t>Durante</w:t>
      </w:r>
      <w:r w:rsidRPr="00DB3459">
        <w:rPr>
          <w:spacing w:val="-14"/>
          <w:sz w:val="24"/>
        </w:rPr>
        <w:t xml:space="preserve"> </w:t>
      </w:r>
      <w:r w:rsidRPr="00DB3459">
        <w:rPr>
          <w:sz w:val="24"/>
        </w:rPr>
        <w:t>201</w:t>
      </w:r>
      <w:r w:rsidR="002F5245">
        <w:rPr>
          <w:sz w:val="24"/>
        </w:rPr>
        <w:t>8</w:t>
      </w:r>
      <w:r w:rsidRPr="00DB3459">
        <w:rPr>
          <w:sz w:val="24"/>
        </w:rPr>
        <w:t>,</w:t>
      </w:r>
      <w:r w:rsidRPr="00DB3459">
        <w:rPr>
          <w:spacing w:val="-14"/>
          <w:sz w:val="24"/>
        </w:rPr>
        <w:t xml:space="preserve"> </w:t>
      </w:r>
      <w:r w:rsidRPr="00DB3459">
        <w:rPr>
          <w:sz w:val="24"/>
        </w:rPr>
        <w:t>los</w:t>
      </w:r>
      <w:r w:rsidRPr="00DB3459">
        <w:rPr>
          <w:spacing w:val="-12"/>
          <w:sz w:val="24"/>
        </w:rPr>
        <w:t xml:space="preserve"> </w:t>
      </w:r>
      <w:r w:rsidRPr="00DB3459">
        <w:rPr>
          <w:sz w:val="24"/>
        </w:rPr>
        <w:t>Poderes</w:t>
      </w:r>
      <w:r w:rsidRPr="00DB3459">
        <w:rPr>
          <w:spacing w:val="-12"/>
          <w:sz w:val="24"/>
        </w:rPr>
        <w:t xml:space="preserve"> </w:t>
      </w:r>
      <w:r w:rsidRPr="00DB3459">
        <w:rPr>
          <w:sz w:val="24"/>
        </w:rPr>
        <w:t>Judiciales</w:t>
      </w:r>
      <w:r w:rsidRPr="00DB3459">
        <w:rPr>
          <w:spacing w:val="-13"/>
          <w:sz w:val="24"/>
        </w:rPr>
        <w:t xml:space="preserve"> </w:t>
      </w:r>
      <w:r w:rsidRPr="00DB3459">
        <w:rPr>
          <w:sz w:val="24"/>
        </w:rPr>
        <w:t>de</w:t>
      </w:r>
      <w:r w:rsidRPr="00DB3459">
        <w:rPr>
          <w:spacing w:val="-12"/>
          <w:sz w:val="24"/>
        </w:rPr>
        <w:t xml:space="preserve"> </w:t>
      </w:r>
      <w:r w:rsidRPr="00DB3459">
        <w:rPr>
          <w:sz w:val="24"/>
        </w:rPr>
        <w:t>las</w:t>
      </w:r>
      <w:r w:rsidRPr="00DB3459">
        <w:rPr>
          <w:spacing w:val="-14"/>
          <w:sz w:val="24"/>
        </w:rPr>
        <w:t xml:space="preserve"> </w:t>
      </w:r>
      <w:r w:rsidR="00D10B5B">
        <w:rPr>
          <w:sz w:val="24"/>
        </w:rPr>
        <w:t>e</w:t>
      </w:r>
      <w:r w:rsidRPr="00DB3459">
        <w:rPr>
          <w:sz w:val="24"/>
        </w:rPr>
        <w:t>ntidades</w:t>
      </w:r>
      <w:r w:rsidRPr="00DB3459">
        <w:rPr>
          <w:spacing w:val="-13"/>
          <w:sz w:val="24"/>
        </w:rPr>
        <w:t xml:space="preserve"> </w:t>
      </w:r>
      <w:r w:rsidR="00D10B5B">
        <w:rPr>
          <w:sz w:val="24"/>
        </w:rPr>
        <w:t>f</w:t>
      </w:r>
      <w:r w:rsidRPr="00DB3459">
        <w:rPr>
          <w:sz w:val="24"/>
        </w:rPr>
        <w:t>ederativas</w:t>
      </w:r>
      <w:r w:rsidRPr="00DB3459">
        <w:rPr>
          <w:spacing w:val="-13"/>
          <w:sz w:val="24"/>
        </w:rPr>
        <w:t xml:space="preserve"> </w:t>
      </w:r>
      <w:r w:rsidRPr="00DB3459">
        <w:rPr>
          <w:sz w:val="24"/>
        </w:rPr>
        <w:t>reportaron</w:t>
      </w:r>
      <w:r w:rsidRPr="00DB3459">
        <w:rPr>
          <w:spacing w:val="-4"/>
          <w:sz w:val="24"/>
        </w:rPr>
        <w:t xml:space="preserve"> </w:t>
      </w:r>
      <w:r w:rsidR="0004118D" w:rsidRPr="0004118D">
        <w:rPr>
          <w:spacing w:val="-4"/>
          <w:sz w:val="24"/>
        </w:rPr>
        <w:t>176</w:t>
      </w:r>
      <w:r w:rsidR="0004118D">
        <w:rPr>
          <w:spacing w:val="-4"/>
          <w:sz w:val="24"/>
        </w:rPr>
        <w:t xml:space="preserve"> mil </w:t>
      </w:r>
      <w:r w:rsidR="0004118D" w:rsidRPr="0004118D">
        <w:rPr>
          <w:spacing w:val="-4"/>
          <w:sz w:val="24"/>
        </w:rPr>
        <w:t>682</w:t>
      </w:r>
      <w:r w:rsidRPr="00DB3459">
        <w:rPr>
          <w:sz w:val="24"/>
        </w:rPr>
        <w:t xml:space="preserve"> expedientes </w:t>
      </w:r>
      <w:r w:rsidR="00351FAB" w:rsidRPr="0004118D">
        <w:rPr>
          <w:sz w:val="24"/>
        </w:rPr>
        <w:t xml:space="preserve">abiertos </w:t>
      </w:r>
      <w:r w:rsidR="0004118D" w:rsidRPr="0004118D">
        <w:rPr>
          <w:sz w:val="24"/>
        </w:rPr>
        <w:t xml:space="preserve">en todas las materias </w:t>
      </w:r>
      <w:r w:rsidR="00351FAB" w:rsidRPr="0004118D">
        <w:rPr>
          <w:sz w:val="24"/>
        </w:rPr>
        <w:t xml:space="preserve">por </w:t>
      </w:r>
      <w:r w:rsidRPr="0004118D">
        <w:rPr>
          <w:sz w:val="24"/>
        </w:rPr>
        <w:t>los órganos</w:t>
      </w:r>
      <w:r w:rsidR="0004118D" w:rsidRPr="0004118D">
        <w:rPr>
          <w:sz w:val="24"/>
        </w:rPr>
        <w:t xml:space="preserve"> o </w:t>
      </w:r>
      <w:r w:rsidRPr="0004118D">
        <w:rPr>
          <w:sz w:val="24"/>
        </w:rPr>
        <w:t xml:space="preserve">centros </w:t>
      </w:r>
      <w:r w:rsidR="0004118D" w:rsidRPr="0004118D">
        <w:rPr>
          <w:sz w:val="24"/>
        </w:rPr>
        <w:t>encargados de la aplicación de Ju</w:t>
      </w:r>
      <w:r w:rsidRPr="0004118D">
        <w:rPr>
          <w:sz w:val="24"/>
        </w:rPr>
        <w:t xml:space="preserve">sticia Alternativa y/o </w:t>
      </w:r>
      <w:r w:rsidR="00511D02">
        <w:rPr>
          <w:sz w:val="24"/>
        </w:rPr>
        <w:t>M</w:t>
      </w:r>
      <w:r w:rsidRPr="0004118D">
        <w:rPr>
          <w:sz w:val="24"/>
        </w:rPr>
        <w:t xml:space="preserve">ecanismos </w:t>
      </w:r>
      <w:r w:rsidR="00511D02">
        <w:rPr>
          <w:sz w:val="24"/>
        </w:rPr>
        <w:t>A</w:t>
      </w:r>
      <w:r w:rsidRPr="0004118D">
        <w:rPr>
          <w:sz w:val="24"/>
        </w:rPr>
        <w:t xml:space="preserve">lternativos de </w:t>
      </w:r>
      <w:r w:rsidR="00511D02">
        <w:rPr>
          <w:sz w:val="24"/>
        </w:rPr>
        <w:t>S</w:t>
      </w:r>
      <w:r w:rsidRPr="0004118D">
        <w:rPr>
          <w:sz w:val="24"/>
        </w:rPr>
        <w:t xml:space="preserve">olución de </w:t>
      </w:r>
      <w:r w:rsidR="00511D02">
        <w:rPr>
          <w:sz w:val="24"/>
        </w:rPr>
        <w:t>C</w:t>
      </w:r>
      <w:r w:rsidRPr="0004118D">
        <w:rPr>
          <w:sz w:val="24"/>
        </w:rPr>
        <w:t>ontroversias</w:t>
      </w:r>
      <w:r w:rsidR="009D3A98">
        <w:rPr>
          <w:sz w:val="24"/>
        </w:rPr>
        <w:t>. En este</w:t>
      </w:r>
      <w:r w:rsidR="0004118D">
        <w:rPr>
          <w:sz w:val="24"/>
        </w:rPr>
        <w:t xml:space="preserve"> mismo periodo</w:t>
      </w:r>
      <w:r w:rsidR="009D3A98">
        <w:rPr>
          <w:sz w:val="24"/>
        </w:rPr>
        <w:t>,</w:t>
      </w:r>
      <w:r w:rsidR="0004118D">
        <w:rPr>
          <w:sz w:val="24"/>
        </w:rPr>
        <w:t xml:space="preserve"> </w:t>
      </w:r>
      <w:r w:rsidR="0004118D" w:rsidRPr="0004118D">
        <w:rPr>
          <w:sz w:val="24"/>
        </w:rPr>
        <w:t>se concluyeron</w:t>
      </w:r>
      <w:r w:rsidR="0004118D" w:rsidRPr="0004118D">
        <w:t xml:space="preserve"> </w:t>
      </w:r>
      <w:r w:rsidR="0004118D" w:rsidRPr="0004118D">
        <w:rPr>
          <w:sz w:val="24"/>
        </w:rPr>
        <w:t>158</w:t>
      </w:r>
      <w:r w:rsidR="0004118D">
        <w:rPr>
          <w:sz w:val="24"/>
        </w:rPr>
        <w:t xml:space="preserve"> mil </w:t>
      </w:r>
      <w:r w:rsidR="0004118D" w:rsidRPr="0004118D">
        <w:rPr>
          <w:sz w:val="24"/>
        </w:rPr>
        <w:t>748</w:t>
      </w:r>
      <w:r w:rsidR="00AE1B74">
        <w:rPr>
          <w:sz w:val="24"/>
        </w:rPr>
        <w:t xml:space="preserve"> expedientes</w:t>
      </w:r>
      <w:r w:rsidR="0004118D">
        <w:rPr>
          <w:sz w:val="24"/>
        </w:rPr>
        <w:t xml:space="preserve"> y </w:t>
      </w:r>
      <w:r w:rsidR="0004118D" w:rsidRPr="0004118D">
        <w:rPr>
          <w:spacing w:val="-4"/>
          <w:sz w:val="24"/>
        </w:rPr>
        <w:t>22</w:t>
      </w:r>
      <w:r w:rsidR="0004118D">
        <w:rPr>
          <w:spacing w:val="-4"/>
          <w:sz w:val="24"/>
        </w:rPr>
        <w:t xml:space="preserve"> mil </w:t>
      </w:r>
      <w:r w:rsidR="0004118D" w:rsidRPr="0004118D">
        <w:rPr>
          <w:spacing w:val="-4"/>
          <w:sz w:val="24"/>
        </w:rPr>
        <w:t>415</w:t>
      </w:r>
      <w:r w:rsidR="003A3554">
        <w:rPr>
          <w:spacing w:val="-4"/>
          <w:sz w:val="24"/>
        </w:rPr>
        <w:t xml:space="preserve"> </w:t>
      </w:r>
      <w:r w:rsidR="00AE1B74">
        <w:rPr>
          <w:spacing w:val="-4"/>
          <w:sz w:val="24"/>
        </w:rPr>
        <w:t>permanecieron pendientes de concluir al cierre del año</w:t>
      </w:r>
      <w:r w:rsidR="009D3A98">
        <w:rPr>
          <w:rStyle w:val="Refdenotaalpie"/>
          <w:spacing w:val="-4"/>
          <w:sz w:val="24"/>
        </w:rPr>
        <w:footnoteReference w:id="11"/>
      </w:r>
      <w:r w:rsidR="00AE1B74">
        <w:rPr>
          <w:spacing w:val="-4"/>
          <w:sz w:val="24"/>
        </w:rPr>
        <w:t xml:space="preserve">. </w:t>
      </w:r>
    </w:p>
    <w:p w14:paraId="395D6D54" w14:textId="77777777" w:rsidR="006812BD" w:rsidRDefault="006812BD" w:rsidP="00D10B5B">
      <w:pPr>
        <w:ind w:left="284" w:right="70"/>
        <w:jc w:val="center"/>
        <w:rPr>
          <w:i/>
          <w:sz w:val="24"/>
        </w:rPr>
      </w:pPr>
    </w:p>
    <w:p w14:paraId="543ED113" w14:textId="4277FEC5" w:rsidR="00AE1B74" w:rsidRPr="006812BD" w:rsidRDefault="00823A6B" w:rsidP="00D10B5B">
      <w:pPr>
        <w:ind w:left="284" w:right="70"/>
        <w:jc w:val="center"/>
        <w:rPr>
          <w:i/>
          <w:sz w:val="24"/>
        </w:rPr>
      </w:pPr>
      <w:r w:rsidRPr="006812BD">
        <w:rPr>
          <w:i/>
          <w:sz w:val="24"/>
        </w:rPr>
        <w:t>Gráfica 1</w:t>
      </w:r>
      <w:r w:rsidR="00EB00B4">
        <w:rPr>
          <w:i/>
          <w:sz w:val="24"/>
        </w:rPr>
        <w:t>5</w:t>
      </w:r>
      <w:r w:rsidR="00351FAB" w:rsidRPr="006812BD">
        <w:rPr>
          <w:i/>
          <w:sz w:val="24"/>
        </w:rPr>
        <w:t xml:space="preserve">. </w:t>
      </w:r>
      <w:r w:rsidR="00757253" w:rsidRPr="006812BD">
        <w:rPr>
          <w:i/>
          <w:sz w:val="24"/>
        </w:rPr>
        <w:t>Flujo de e</w:t>
      </w:r>
      <w:r w:rsidR="00B06A11" w:rsidRPr="006812BD">
        <w:rPr>
          <w:i/>
          <w:sz w:val="24"/>
        </w:rPr>
        <w:t xml:space="preserve">xpedientes </w:t>
      </w:r>
      <w:r w:rsidR="00AE1B74" w:rsidRPr="006812BD">
        <w:rPr>
          <w:i/>
          <w:sz w:val="24"/>
        </w:rPr>
        <w:t xml:space="preserve">conocidos por los órganos o centros encargados </w:t>
      </w:r>
    </w:p>
    <w:p w14:paraId="47B520A3" w14:textId="5D4FD674" w:rsidR="00CA4B96" w:rsidRPr="00DB3459" w:rsidRDefault="00AE1B74" w:rsidP="006B4F4F">
      <w:pPr>
        <w:ind w:right="70"/>
        <w:jc w:val="center"/>
        <w:rPr>
          <w:i/>
          <w:sz w:val="24"/>
        </w:rPr>
      </w:pPr>
      <w:r w:rsidRPr="006812BD">
        <w:rPr>
          <w:i/>
          <w:sz w:val="24"/>
        </w:rPr>
        <w:t xml:space="preserve">de la aplicación de Justicia Alternativa y/o mecanismos alternativos </w:t>
      </w:r>
      <w:r w:rsidR="006B4F4F" w:rsidRPr="006B4F4F">
        <w:rPr>
          <w:i/>
          <w:iCs/>
          <w:sz w:val="24"/>
        </w:rPr>
        <w:t>de solución de controversias</w:t>
      </w:r>
      <w:r w:rsidR="006B4F4F">
        <w:rPr>
          <w:i/>
          <w:iCs/>
          <w:sz w:val="24"/>
        </w:rPr>
        <w:t xml:space="preserve"> </w:t>
      </w:r>
      <w:r w:rsidRPr="006812BD">
        <w:rPr>
          <w:i/>
          <w:sz w:val="24"/>
        </w:rPr>
        <w:t>en</w:t>
      </w:r>
      <w:r w:rsidR="00823A6B" w:rsidRPr="006812BD">
        <w:rPr>
          <w:i/>
          <w:sz w:val="24"/>
        </w:rPr>
        <w:t xml:space="preserve"> los Poderes Judiciales Estatales, 201</w:t>
      </w:r>
      <w:r w:rsidR="00D10B5B" w:rsidRPr="006812BD">
        <w:rPr>
          <w:i/>
          <w:sz w:val="24"/>
        </w:rPr>
        <w:t>8</w:t>
      </w:r>
    </w:p>
    <w:p w14:paraId="0AB1F691" w14:textId="77777777" w:rsidR="00CA4B96" w:rsidRPr="00DB3459" w:rsidRDefault="00CA4B96">
      <w:pPr>
        <w:pStyle w:val="Textoindependiente"/>
        <w:rPr>
          <w:i/>
          <w:sz w:val="20"/>
        </w:rPr>
      </w:pPr>
    </w:p>
    <w:p w14:paraId="79810D52" w14:textId="4302DD14" w:rsidR="00CA4B96" w:rsidRPr="00DB3459" w:rsidRDefault="00AE1B74" w:rsidP="00AE1B74">
      <w:pPr>
        <w:pStyle w:val="Textoindependiente"/>
        <w:jc w:val="center"/>
        <w:rPr>
          <w:sz w:val="20"/>
        </w:rPr>
      </w:pPr>
      <w:r>
        <w:rPr>
          <w:noProof/>
          <w:lang w:eastAsia="es-MX"/>
        </w:rPr>
        <w:drawing>
          <wp:inline distT="0" distB="0" distL="0" distR="0" wp14:anchorId="5FE8222E" wp14:editId="494A22A7">
            <wp:extent cx="4572000" cy="1856096"/>
            <wp:effectExtent l="0" t="0" r="0" b="0"/>
            <wp:docPr id="1" name="Gráfico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CC07145-0464-4ABA-8622-E2C05ED13A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6E8F1AE" w14:textId="77777777" w:rsidR="00CA4B96" w:rsidRPr="00DB3459" w:rsidRDefault="00CA4B96">
      <w:pPr>
        <w:pStyle w:val="Textoindependiente"/>
        <w:rPr>
          <w:sz w:val="20"/>
        </w:rPr>
      </w:pPr>
    </w:p>
    <w:p w14:paraId="59F5DF8F" w14:textId="5D09751F" w:rsidR="00CA4B96" w:rsidRDefault="00511D02" w:rsidP="00E458A4">
      <w:pPr>
        <w:pStyle w:val="Textoindependiente"/>
        <w:jc w:val="both"/>
        <w:rPr>
          <w:szCs w:val="22"/>
        </w:rPr>
      </w:pPr>
      <w:r>
        <w:rPr>
          <w:szCs w:val="22"/>
        </w:rPr>
        <w:t>Respecto de</w:t>
      </w:r>
      <w:r w:rsidR="00AE1B74" w:rsidRPr="00AE1B74">
        <w:rPr>
          <w:szCs w:val="22"/>
        </w:rPr>
        <w:t xml:space="preserve"> los expedientes iniciados, </w:t>
      </w:r>
      <w:r w:rsidR="00E458A4">
        <w:rPr>
          <w:szCs w:val="22"/>
        </w:rPr>
        <w:t>la mayoría de ellos c</w:t>
      </w:r>
      <w:r w:rsidR="00AE1B74">
        <w:rPr>
          <w:szCs w:val="22"/>
        </w:rPr>
        <w:t>orrespondieron a</w:t>
      </w:r>
      <w:r w:rsidR="00E458A4">
        <w:rPr>
          <w:szCs w:val="22"/>
        </w:rPr>
        <w:t xml:space="preserve"> las materias </w:t>
      </w:r>
      <w:r w:rsidR="00AE1B74">
        <w:rPr>
          <w:szCs w:val="22"/>
        </w:rPr>
        <w:t>familiar</w:t>
      </w:r>
      <w:r w:rsidR="00E458A4">
        <w:rPr>
          <w:szCs w:val="22"/>
        </w:rPr>
        <w:t xml:space="preserve"> y civil, con 3</w:t>
      </w:r>
      <w:r w:rsidR="006B4F4F">
        <w:rPr>
          <w:szCs w:val="22"/>
        </w:rPr>
        <w:t>9</w:t>
      </w:r>
      <w:r w:rsidR="00E458A4">
        <w:rPr>
          <w:szCs w:val="22"/>
        </w:rPr>
        <w:t>.</w:t>
      </w:r>
      <w:r w:rsidR="006B4F4F">
        <w:rPr>
          <w:szCs w:val="22"/>
        </w:rPr>
        <w:t>5</w:t>
      </w:r>
      <w:r w:rsidR="00E458A4">
        <w:rPr>
          <w:szCs w:val="22"/>
        </w:rPr>
        <w:t>% y 29.</w:t>
      </w:r>
      <w:r w:rsidR="006B4F4F">
        <w:rPr>
          <w:szCs w:val="22"/>
        </w:rPr>
        <w:t>9</w:t>
      </w:r>
      <w:r w:rsidR="00E458A4">
        <w:rPr>
          <w:szCs w:val="22"/>
        </w:rPr>
        <w:t>%</w:t>
      </w:r>
      <w:r w:rsidR="00AE1B74">
        <w:rPr>
          <w:szCs w:val="22"/>
        </w:rPr>
        <w:t>,</w:t>
      </w:r>
      <w:r w:rsidR="00E458A4">
        <w:rPr>
          <w:szCs w:val="22"/>
        </w:rPr>
        <w:t xml:space="preserve"> respectivamente. E</w:t>
      </w:r>
      <w:r w:rsidR="00AE1B74">
        <w:rPr>
          <w:szCs w:val="22"/>
        </w:rPr>
        <w:t>n</w:t>
      </w:r>
      <w:r w:rsidR="009D3A98">
        <w:rPr>
          <w:szCs w:val="22"/>
        </w:rPr>
        <w:t xml:space="preserve"> la gráfica siguiente</w:t>
      </w:r>
      <w:r w:rsidR="00AE1B74">
        <w:rPr>
          <w:szCs w:val="22"/>
        </w:rPr>
        <w:t xml:space="preserve"> se presenta la distribución porcentual por materia:</w:t>
      </w:r>
    </w:p>
    <w:p w14:paraId="792E11FD" w14:textId="77777777" w:rsidR="005F4C20" w:rsidRPr="00AE1B74" w:rsidRDefault="005F4C20">
      <w:pPr>
        <w:pStyle w:val="Textoindependiente"/>
        <w:rPr>
          <w:szCs w:val="22"/>
        </w:rPr>
      </w:pPr>
    </w:p>
    <w:p w14:paraId="35C7E23D" w14:textId="3D97B842" w:rsidR="00F54CFC" w:rsidRDefault="00AE1B74" w:rsidP="00AE1B74">
      <w:pPr>
        <w:ind w:left="284" w:right="70"/>
        <w:jc w:val="center"/>
        <w:rPr>
          <w:i/>
          <w:sz w:val="24"/>
        </w:rPr>
      </w:pPr>
      <w:r w:rsidRPr="006812BD">
        <w:rPr>
          <w:i/>
          <w:sz w:val="24"/>
        </w:rPr>
        <w:t>Gráfica 1</w:t>
      </w:r>
      <w:r w:rsidR="00EB00B4">
        <w:rPr>
          <w:i/>
          <w:sz w:val="24"/>
        </w:rPr>
        <w:t>6</w:t>
      </w:r>
      <w:r w:rsidRPr="006812BD">
        <w:rPr>
          <w:i/>
          <w:sz w:val="24"/>
        </w:rPr>
        <w:t>. Expedientes iniciados por los órganos o centros encargados de la aplicación de Justicia Alternativa</w:t>
      </w:r>
      <w:r w:rsidR="00511D02">
        <w:rPr>
          <w:i/>
          <w:sz w:val="24"/>
        </w:rPr>
        <w:t xml:space="preserve"> y/o Mecanismos A</w:t>
      </w:r>
      <w:r w:rsidRPr="00AE1B74">
        <w:rPr>
          <w:i/>
          <w:sz w:val="24"/>
        </w:rPr>
        <w:t>lternativos</w:t>
      </w:r>
      <w:r w:rsidR="00F54CFC">
        <w:rPr>
          <w:i/>
          <w:sz w:val="24"/>
        </w:rPr>
        <w:t xml:space="preserve"> </w:t>
      </w:r>
      <w:r w:rsidR="00511D02">
        <w:rPr>
          <w:i/>
          <w:iCs/>
          <w:sz w:val="24"/>
        </w:rPr>
        <w:t>de Solución de C</w:t>
      </w:r>
      <w:r w:rsidR="00F54CFC" w:rsidRPr="006B4F4F">
        <w:rPr>
          <w:i/>
          <w:iCs/>
          <w:sz w:val="24"/>
        </w:rPr>
        <w:t>ontroversias</w:t>
      </w:r>
      <w:r w:rsidRPr="00AE1B74">
        <w:rPr>
          <w:i/>
          <w:sz w:val="24"/>
        </w:rPr>
        <w:t xml:space="preserve"> </w:t>
      </w:r>
    </w:p>
    <w:p w14:paraId="4B7AF820" w14:textId="4C2EADA1" w:rsidR="00AE1B74" w:rsidRPr="00DB3459" w:rsidRDefault="00AE1B74" w:rsidP="00AE1B74">
      <w:pPr>
        <w:ind w:left="284" w:right="70"/>
        <w:jc w:val="center"/>
        <w:rPr>
          <w:i/>
          <w:sz w:val="24"/>
        </w:rPr>
      </w:pPr>
      <w:r>
        <w:rPr>
          <w:i/>
          <w:sz w:val="24"/>
        </w:rPr>
        <w:t>en</w:t>
      </w:r>
      <w:r w:rsidRPr="00DB3459">
        <w:rPr>
          <w:i/>
          <w:sz w:val="24"/>
        </w:rPr>
        <w:t xml:space="preserve"> los Poderes Judiciales Estatales</w:t>
      </w:r>
      <w:r w:rsidRPr="00AE1B74">
        <w:rPr>
          <w:i/>
          <w:sz w:val="24"/>
        </w:rPr>
        <w:t>,</w:t>
      </w:r>
      <w:r w:rsidR="005F4C20">
        <w:rPr>
          <w:i/>
          <w:sz w:val="24"/>
        </w:rPr>
        <w:t xml:space="preserve"> por materia,</w:t>
      </w:r>
      <w:r w:rsidRPr="00AE1B74">
        <w:rPr>
          <w:i/>
          <w:sz w:val="24"/>
        </w:rPr>
        <w:t xml:space="preserve"> 2018</w:t>
      </w:r>
    </w:p>
    <w:p w14:paraId="4DF8488F" w14:textId="2425FB65" w:rsidR="00AE1B74" w:rsidRPr="00DB3459" w:rsidRDefault="006B4F4F" w:rsidP="005F4C20">
      <w:pPr>
        <w:pStyle w:val="Textoindependiente"/>
        <w:jc w:val="center"/>
        <w:rPr>
          <w:sz w:val="20"/>
        </w:rPr>
      </w:pPr>
      <w:r>
        <w:rPr>
          <w:noProof/>
          <w:lang w:eastAsia="es-MX"/>
        </w:rPr>
        <w:drawing>
          <wp:inline distT="0" distB="0" distL="0" distR="0" wp14:anchorId="602A22FD" wp14:editId="4C2A7CFD">
            <wp:extent cx="4572000" cy="2442949"/>
            <wp:effectExtent l="0" t="0" r="0" b="0"/>
            <wp:docPr id="11" name="Gráfico 1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E4DC8D2-60C8-4F6B-8174-F5231E4F8D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43A4122" w14:textId="045ED8F1" w:rsidR="006812BD" w:rsidRDefault="00757A9A" w:rsidP="00757A9A">
      <w:pPr>
        <w:spacing w:before="1"/>
        <w:ind w:right="3248"/>
        <w:jc w:val="center"/>
        <w:rPr>
          <w:rFonts w:ascii="Calibri"/>
          <w:b/>
        </w:rPr>
      </w:pPr>
      <w:r>
        <w:rPr>
          <w:rFonts w:ascii="Calibri"/>
          <w:b/>
        </w:rPr>
        <w:t xml:space="preserve">                                                 </w:t>
      </w:r>
      <w:r w:rsidR="00823A6B" w:rsidRPr="00DB3459">
        <w:rPr>
          <w:rFonts w:ascii="Calibri"/>
          <w:b/>
        </w:rPr>
        <w:t>* * * * * *</w:t>
      </w:r>
    </w:p>
    <w:sectPr w:rsidR="006812BD" w:rsidSect="00BD53A6">
      <w:headerReference w:type="default" r:id="rId38"/>
      <w:footerReference w:type="default" r:id="rId39"/>
      <w:pgSz w:w="12240" w:h="15840"/>
      <w:pgMar w:top="160" w:right="1200" w:bottom="993" w:left="1300" w:header="0" w:footer="4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F1EF3" w14:textId="77777777" w:rsidR="003028EF" w:rsidRDefault="003028EF">
      <w:r>
        <w:separator/>
      </w:r>
    </w:p>
  </w:endnote>
  <w:endnote w:type="continuationSeparator" w:id="0">
    <w:p w14:paraId="696F017F" w14:textId="77777777" w:rsidR="003028EF" w:rsidRDefault="0030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4D42F" w14:textId="3E37B94D" w:rsidR="00952955" w:rsidRPr="00952955" w:rsidRDefault="00952955" w:rsidP="00952955">
    <w:pPr>
      <w:pStyle w:val="Piedepgina"/>
      <w:jc w:val="center"/>
      <w:rPr>
        <w:b/>
        <w:bCs/>
        <w:color w:val="002060"/>
        <w:sz w:val="20"/>
        <w:szCs w:val="20"/>
      </w:rPr>
    </w:pPr>
    <w:r w:rsidRPr="00952955">
      <w:rPr>
        <w:b/>
        <w:bCs/>
        <w:color w:val="002060"/>
        <w:sz w:val="20"/>
        <w:szCs w:val="20"/>
      </w:rPr>
      <w:t>COMUNICACI</w:t>
    </w:r>
    <w:r>
      <w:rPr>
        <w:b/>
        <w:bCs/>
        <w:color w:val="002060"/>
        <w:sz w:val="20"/>
        <w:szCs w:val="20"/>
      </w:rPr>
      <w:t>Ó</w:t>
    </w:r>
    <w:r w:rsidRPr="00952955">
      <w:rPr>
        <w:b/>
        <w:bCs/>
        <w:color w:val="002060"/>
        <w:sz w:val="20"/>
        <w:szCs w:val="20"/>
      </w:rPr>
      <w:t>N SOCIAL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37147" w14:textId="2EE926A1" w:rsidR="00227D00" w:rsidRPr="004F7088" w:rsidRDefault="004F7088" w:rsidP="004F7088">
    <w:pPr>
      <w:pStyle w:val="Piedepgina"/>
      <w:jc w:val="center"/>
      <w:rPr>
        <w:b/>
        <w:bCs/>
        <w:color w:val="002060"/>
      </w:rPr>
    </w:pPr>
    <w:r w:rsidRPr="004F7088">
      <w:rPr>
        <w:b/>
        <w:bCs/>
        <w:color w:val="002060"/>
      </w:rPr>
      <w:t>COMUNICACIÓN SOCIAL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4053B" w14:textId="77777777" w:rsidR="003028EF" w:rsidRDefault="003028EF">
      <w:r>
        <w:separator/>
      </w:r>
    </w:p>
  </w:footnote>
  <w:footnote w:type="continuationSeparator" w:id="0">
    <w:p w14:paraId="35C22689" w14:textId="77777777" w:rsidR="003028EF" w:rsidRDefault="003028EF">
      <w:r>
        <w:continuationSeparator/>
      </w:r>
    </w:p>
  </w:footnote>
  <w:footnote w:id="1">
    <w:p w14:paraId="18B4F62E" w14:textId="4E559AB7" w:rsidR="00CD1AA6" w:rsidRPr="005C1A46" w:rsidRDefault="00CD1AA6" w:rsidP="00952955">
      <w:pPr>
        <w:pStyle w:val="Textonotapie"/>
        <w:ind w:left="-426" w:hanging="141"/>
        <w:jc w:val="both"/>
        <w:rPr>
          <w:rFonts w:ascii="Arial" w:hAnsi="Arial" w:cs="Arial"/>
          <w:sz w:val="16"/>
          <w:szCs w:val="16"/>
        </w:rPr>
      </w:pPr>
      <w:r w:rsidRPr="005C1A46">
        <w:rPr>
          <w:rStyle w:val="Refdenotaalpie"/>
          <w:rFonts w:ascii="Arial" w:hAnsi="Arial" w:cs="Arial"/>
          <w:sz w:val="16"/>
          <w:szCs w:val="16"/>
        </w:rPr>
        <w:footnoteRef/>
      </w:r>
      <w:r w:rsidRPr="005C1A46">
        <w:rPr>
          <w:rFonts w:ascii="Arial" w:hAnsi="Arial" w:cs="Arial"/>
          <w:sz w:val="16"/>
          <w:szCs w:val="16"/>
        </w:rPr>
        <w:t xml:space="preserve"> </w:t>
      </w:r>
      <w:r w:rsidRPr="005C1A46">
        <w:rPr>
          <w:rFonts w:ascii="Arial" w:hAnsi="Arial" w:cs="Arial"/>
          <w:iCs/>
          <w:sz w:val="16"/>
          <w:szCs w:val="16"/>
        </w:rPr>
        <w:t xml:space="preserve">En los ingresos en </w:t>
      </w:r>
      <w:r w:rsidR="00AD204A">
        <w:rPr>
          <w:rFonts w:ascii="Arial" w:hAnsi="Arial" w:cs="Arial"/>
          <w:iCs/>
          <w:sz w:val="16"/>
          <w:szCs w:val="16"/>
        </w:rPr>
        <w:t>materia penal y justicia para adolescentes s</w:t>
      </w:r>
      <w:r w:rsidRPr="005C1A46">
        <w:rPr>
          <w:rFonts w:ascii="Arial" w:hAnsi="Arial" w:cs="Arial"/>
          <w:iCs/>
          <w:sz w:val="16"/>
          <w:szCs w:val="16"/>
        </w:rPr>
        <w:t>e consideran las causas penales y/o consign</w:t>
      </w:r>
      <w:r w:rsidR="00AD204A">
        <w:rPr>
          <w:rFonts w:ascii="Arial" w:hAnsi="Arial" w:cs="Arial"/>
          <w:iCs/>
          <w:sz w:val="16"/>
          <w:szCs w:val="16"/>
        </w:rPr>
        <w:t>aciones competentes</w:t>
      </w:r>
      <w:r w:rsidR="00AB020B">
        <w:rPr>
          <w:rFonts w:ascii="Arial" w:hAnsi="Arial" w:cs="Arial"/>
          <w:iCs/>
          <w:sz w:val="16"/>
          <w:szCs w:val="16"/>
        </w:rPr>
        <w:t>;</w:t>
      </w:r>
      <w:r w:rsidR="00AD204A">
        <w:rPr>
          <w:rFonts w:ascii="Arial" w:hAnsi="Arial" w:cs="Arial"/>
          <w:iCs/>
          <w:sz w:val="16"/>
          <w:szCs w:val="16"/>
        </w:rPr>
        <w:t xml:space="preserve"> asimismo, se incluyen cifras del Sistema Tradicional y Sistema Penal Acusatorio (Juzgados de Control o Garantías) para adultos y del Sistema Escrito o Mixto y Oral y Sistema Integral de Justicia Penal para Adolescentes (Juzgados de Control o Garantías) en adolescentes</w:t>
      </w:r>
      <w:r w:rsidRPr="005C1A46">
        <w:rPr>
          <w:rFonts w:ascii="Arial" w:hAnsi="Arial" w:cs="Arial"/>
          <w:iCs/>
          <w:sz w:val="16"/>
          <w:szCs w:val="16"/>
        </w:rPr>
        <w:t xml:space="preserve">. En el resto de las materias se incluyen los Sistemas Escrito y Oral. </w:t>
      </w:r>
      <w:r w:rsidRPr="005C1A46">
        <w:rPr>
          <w:rFonts w:ascii="Arial" w:hAnsi="Arial" w:cs="Arial"/>
          <w:sz w:val="16"/>
          <w:szCs w:val="16"/>
        </w:rPr>
        <w:t>Para los estados de Puebla (en materia de justicia para adolescentes) y Sinaloa (en materia penal para adultos y justicia para adolescentes) las cifras son preliminares, debido a que a la fecha de corte para la publicación de los presentes resultados no ha concluido en su totalidad el proceso de generación de información estadística con estas entidades federativas, encontrándose en la fase de validación y procesamiento. Las cifras definitivas serán publicadas en una actualización posterior.</w:t>
      </w:r>
    </w:p>
  </w:footnote>
  <w:footnote w:id="2">
    <w:p w14:paraId="762F5364" w14:textId="0019E20A" w:rsidR="005C1A46" w:rsidRPr="005C1A46" w:rsidRDefault="005C1A46" w:rsidP="00952955">
      <w:pPr>
        <w:ind w:left="-426" w:hanging="141"/>
        <w:jc w:val="both"/>
        <w:rPr>
          <w:bCs/>
          <w:color w:val="000000" w:themeColor="text1"/>
          <w:sz w:val="16"/>
          <w:szCs w:val="16"/>
        </w:rPr>
      </w:pPr>
      <w:r w:rsidRPr="005C1A46">
        <w:rPr>
          <w:rStyle w:val="Refdenotaalpie"/>
          <w:sz w:val="16"/>
          <w:szCs w:val="16"/>
        </w:rPr>
        <w:footnoteRef/>
      </w:r>
      <w:r w:rsidRPr="005C1A46">
        <w:rPr>
          <w:sz w:val="16"/>
          <w:szCs w:val="16"/>
        </w:rPr>
        <w:t xml:space="preserve"> </w:t>
      </w:r>
      <w:r w:rsidR="00AC4807">
        <w:rPr>
          <w:sz w:val="16"/>
          <w:szCs w:val="16"/>
        </w:rPr>
        <w:t xml:space="preserve">En materia penal se </w:t>
      </w:r>
      <w:r w:rsidRPr="005C1A46">
        <w:rPr>
          <w:bCs/>
          <w:color w:val="000000" w:themeColor="text1"/>
          <w:sz w:val="16"/>
          <w:szCs w:val="16"/>
        </w:rPr>
        <w:t>Incluye</w:t>
      </w:r>
      <w:r w:rsidR="00AC4807">
        <w:rPr>
          <w:bCs/>
          <w:color w:val="000000" w:themeColor="text1"/>
          <w:sz w:val="16"/>
          <w:szCs w:val="16"/>
        </w:rPr>
        <w:t>n:</w:t>
      </w:r>
      <w:r w:rsidRPr="005C1A46">
        <w:rPr>
          <w:bCs/>
          <w:color w:val="000000" w:themeColor="text1"/>
          <w:sz w:val="16"/>
          <w:szCs w:val="16"/>
        </w:rPr>
        <w:t xml:space="preserve"> Juzgados del Sistema Tradicional y del Sistema Penal Acusatorio, de Control o Garantías, de Ejecución, de Ejecución en el Sistema Tradicional y en el Sistema Penal Acusatorio; las salas</w:t>
      </w:r>
      <w:r w:rsidR="00AC4807">
        <w:rPr>
          <w:bCs/>
          <w:color w:val="000000" w:themeColor="text1"/>
          <w:sz w:val="16"/>
          <w:szCs w:val="16"/>
        </w:rPr>
        <w:t xml:space="preserve"> </w:t>
      </w:r>
      <w:r w:rsidRPr="005C1A46">
        <w:rPr>
          <w:bCs/>
          <w:color w:val="000000" w:themeColor="text1"/>
          <w:sz w:val="16"/>
          <w:szCs w:val="16"/>
        </w:rPr>
        <w:t xml:space="preserve">Penal, Penal del Sistema Tradicional y del Sistema Penal Acusatorio; así como Tribunales de enjuiciamiento. </w:t>
      </w:r>
    </w:p>
    <w:p w14:paraId="3BC7D2DD" w14:textId="6EDC35D1" w:rsidR="005C1A46" w:rsidRDefault="005C1A46">
      <w:pPr>
        <w:pStyle w:val="Textonotapie"/>
      </w:pPr>
    </w:p>
  </w:footnote>
  <w:footnote w:id="3">
    <w:p w14:paraId="0952496A" w14:textId="6FB2DE25" w:rsidR="00480F08" w:rsidRPr="00480F08" w:rsidRDefault="00480F08" w:rsidP="00952955">
      <w:pPr>
        <w:pStyle w:val="Textonotapie"/>
        <w:ind w:left="-426" w:hanging="141"/>
        <w:jc w:val="both"/>
        <w:rPr>
          <w:rFonts w:ascii="Arial" w:hAnsi="Arial" w:cs="Arial"/>
          <w:sz w:val="16"/>
          <w:szCs w:val="16"/>
        </w:rPr>
      </w:pPr>
      <w:r w:rsidRPr="00480F08">
        <w:rPr>
          <w:rStyle w:val="Refdenotaalpie"/>
          <w:rFonts w:ascii="Arial" w:hAnsi="Arial" w:cs="Arial"/>
          <w:sz w:val="16"/>
          <w:szCs w:val="16"/>
        </w:rPr>
        <w:footnoteRef/>
      </w:r>
      <w:r w:rsidRPr="00480F08">
        <w:rPr>
          <w:rFonts w:ascii="Arial" w:hAnsi="Arial" w:cs="Arial"/>
          <w:sz w:val="16"/>
          <w:szCs w:val="16"/>
        </w:rPr>
        <w:t xml:space="preserve"> En materia penal y justicia para adolescentes solo se consideran las causas penales y/o consignaciones competentes en los Sistemas Tradicional y Escrito o Mixto y Oral, así como las causas penales ingresadas en los Juzgados de Control en los Sistemas Penal Acusatorio e Integral de Justicia penal para adolescentes, no se incluyen los ingresos a los Tribunales de Enjuiciamiento. Para el resto de las materias se incluyen tanto el Sistema Escrito como el Oral.</w:t>
      </w:r>
    </w:p>
  </w:footnote>
  <w:footnote w:id="4">
    <w:p w14:paraId="1FE8F3DA" w14:textId="02EC96AD" w:rsidR="006E10DA" w:rsidRDefault="006E10DA" w:rsidP="00952955">
      <w:pPr>
        <w:pStyle w:val="Textonotapie"/>
        <w:ind w:left="-426" w:hanging="141"/>
        <w:jc w:val="both"/>
      </w:pPr>
      <w:r>
        <w:rPr>
          <w:rStyle w:val="Refdenotaalpie"/>
        </w:rPr>
        <w:footnoteRef/>
      </w:r>
      <w:r>
        <w:t xml:space="preserve"> </w:t>
      </w:r>
      <w:r>
        <w:rPr>
          <w:rFonts w:ascii="Arial" w:hAnsi="Arial" w:cs="Arial"/>
          <w:sz w:val="16"/>
          <w:szCs w:val="16"/>
        </w:rPr>
        <w:t>S</w:t>
      </w:r>
      <w:r w:rsidRPr="009B058D">
        <w:rPr>
          <w:rFonts w:ascii="Arial" w:hAnsi="Arial" w:cs="Arial"/>
          <w:sz w:val="16"/>
          <w:szCs w:val="16"/>
        </w:rPr>
        <w:t>e incluyen los Sistemas Tradicional, Escrito o Mixto y Oral, así como</w:t>
      </w:r>
      <w:r>
        <w:rPr>
          <w:rFonts w:ascii="Arial" w:hAnsi="Arial" w:cs="Arial"/>
          <w:sz w:val="16"/>
          <w:szCs w:val="16"/>
        </w:rPr>
        <w:t xml:space="preserve"> el Sistema Penal Acusatorio y el Sistema</w:t>
      </w:r>
      <w:r w:rsidRPr="009B058D">
        <w:rPr>
          <w:rFonts w:ascii="Arial" w:hAnsi="Arial" w:cs="Arial"/>
          <w:sz w:val="16"/>
          <w:szCs w:val="16"/>
        </w:rPr>
        <w:t xml:space="preserve"> Integral de Justicia Penal para Adolescentes (</w:t>
      </w:r>
      <w:r>
        <w:rPr>
          <w:rFonts w:ascii="Arial" w:hAnsi="Arial" w:cs="Arial"/>
          <w:sz w:val="16"/>
          <w:szCs w:val="16"/>
        </w:rPr>
        <w:t xml:space="preserve">para estos últimos solo se consideran los </w:t>
      </w:r>
      <w:r w:rsidRPr="009B058D">
        <w:rPr>
          <w:rFonts w:ascii="Arial" w:hAnsi="Arial" w:cs="Arial"/>
          <w:sz w:val="16"/>
          <w:szCs w:val="16"/>
        </w:rPr>
        <w:t>Juzgados de Control o Garantía</w:t>
      </w:r>
      <w:r>
        <w:rPr>
          <w:rFonts w:ascii="Arial" w:hAnsi="Arial" w:cs="Arial"/>
          <w:sz w:val="16"/>
          <w:szCs w:val="16"/>
        </w:rPr>
        <w:t>s)</w:t>
      </w:r>
      <w:r w:rsidRPr="009B058D">
        <w:rPr>
          <w:rFonts w:ascii="Arial" w:hAnsi="Arial" w:cs="Arial"/>
          <w:sz w:val="16"/>
          <w:szCs w:val="16"/>
        </w:rPr>
        <w:t>.</w:t>
      </w:r>
    </w:p>
  </w:footnote>
  <w:footnote w:id="5">
    <w:p w14:paraId="4F1C5B70" w14:textId="1CB9D642" w:rsidR="00227D00" w:rsidRPr="00536906" w:rsidRDefault="00227D00" w:rsidP="00536906">
      <w:pPr>
        <w:pStyle w:val="Textonotapie"/>
        <w:jc w:val="both"/>
        <w:rPr>
          <w:rFonts w:ascii="Arial" w:hAnsi="Arial" w:cs="Arial"/>
          <w:sz w:val="16"/>
          <w:szCs w:val="16"/>
        </w:rPr>
      </w:pPr>
      <w:r w:rsidRPr="00536906">
        <w:rPr>
          <w:rStyle w:val="Refdenotaalpie"/>
          <w:rFonts w:ascii="Arial" w:hAnsi="Arial" w:cs="Arial"/>
          <w:sz w:val="16"/>
          <w:szCs w:val="16"/>
        </w:rPr>
        <w:footnoteRef/>
      </w:r>
      <w:r w:rsidRPr="00536906">
        <w:rPr>
          <w:rFonts w:ascii="Arial" w:hAnsi="Arial" w:cs="Arial"/>
          <w:sz w:val="16"/>
          <w:szCs w:val="16"/>
        </w:rPr>
        <w:t xml:space="preserve"> Aplica sólo para las preguntas que solicitan datos al momento de la aplicación del cuestionario.</w:t>
      </w:r>
    </w:p>
  </w:footnote>
  <w:footnote w:id="6">
    <w:p w14:paraId="2E9A0908" w14:textId="5CA31823" w:rsidR="00AC4807" w:rsidRPr="00AC4807" w:rsidRDefault="00AC4807" w:rsidP="00AC4807">
      <w:pPr>
        <w:pStyle w:val="Textonotapie"/>
        <w:jc w:val="both"/>
        <w:rPr>
          <w:rFonts w:ascii="Arial" w:hAnsi="Arial" w:cs="Arial"/>
          <w:sz w:val="16"/>
          <w:szCs w:val="16"/>
        </w:rPr>
      </w:pPr>
      <w:r w:rsidRPr="00AC4807">
        <w:rPr>
          <w:rStyle w:val="Refdenotaalpie"/>
          <w:rFonts w:ascii="Arial" w:hAnsi="Arial" w:cs="Arial"/>
          <w:sz w:val="16"/>
          <w:szCs w:val="16"/>
        </w:rPr>
        <w:footnoteRef/>
      </w:r>
      <w:r w:rsidRPr="00AC4807">
        <w:rPr>
          <w:rFonts w:ascii="Arial" w:hAnsi="Arial" w:cs="Arial"/>
          <w:sz w:val="16"/>
          <w:szCs w:val="16"/>
        </w:rPr>
        <w:t xml:space="preserve"> En materia penal se Incluyen: Juzgados del Sistema Tradicional y del Sistema Penal Acusatorio, de Control o Garantías, de Ejecución, de Ejecución en el Sistema Tradicional y en el Sistema Penal Acusatorio; las salas Penal, Penal del Sistema Tradicional y del Sistema Penal Acusatorio; así como Tribunales de enjuiciamiento.</w:t>
      </w:r>
    </w:p>
  </w:footnote>
  <w:footnote w:id="7">
    <w:p w14:paraId="1FDEF85B" w14:textId="6CE813FF" w:rsidR="00227D00" w:rsidRPr="00536906" w:rsidRDefault="00227D00">
      <w:pPr>
        <w:pStyle w:val="Textonotapie"/>
        <w:rPr>
          <w:rFonts w:ascii="Arial" w:hAnsi="Arial" w:cs="Arial"/>
          <w:sz w:val="16"/>
          <w:szCs w:val="16"/>
        </w:rPr>
      </w:pPr>
      <w:r w:rsidRPr="00536906">
        <w:rPr>
          <w:rStyle w:val="Refdenotaalpie"/>
          <w:rFonts w:ascii="Arial" w:hAnsi="Arial" w:cs="Arial"/>
          <w:sz w:val="16"/>
          <w:szCs w:val="16"/>
        </w:rPr>
        <w:footnoteRef/>
      </w:r>
      <w:r w:rsidRPr="00536906">
        <w:rPr>
          <w:rFonts w:ascii="Arial" w:hAnsi="Arial" w:cs="Arial"/>
          <w:sz w:val="16"/>
          <w:szCs w:val="16"/>
        </w:rPr>
        <w:t xml:space="preserve"> Las cifras incluyen magistrados y jueces.</w:t>
      </w:r>
    </w:p>
  </w:footnote>
  <w:footnote w:id="8">
    <w:p w14:paraId="5FFD2D64" w14:textId="642091BB" w:rsidR="00D21A12" w:rsidRPr="00D21A12" w:rsidRDefault="00D21A12" w:rsidP="00D21A12">
      <w:pPr>
        <w:pStyle w:val="Textonotapie"/>
        <w:jc w:val="both"/>
        <w:rPr>
          <w:rFonts w:ascii="Arial" w:hAnsi="Arial" w:cs="Arial"/>
          <w:sz w:val="16"/>
          <w:szCs w:val="16"/>
        </w:rPr>
      </w:pPr>
      <w:r w:rsidRPr="006404E8">
        <w:rPr>
          <w:rStyle w:val="Refdenotaalpie"/>
          <w:rFonts w:ascii="Arial" w:hAnsi="Arial" w:cs="Arial"/>
          <w:sz w:val="16"/>
          <w:szCs w:val="16"/>
        </w:rPr>
        <w:footnoteRef/>
      </w:r>
      <w:r w:rsidRPr="006404E8">
        <w:rPr>
          <w:rFonts w:ascii="Arial" w:hAnsi="Arial" w:cs="Arial"/>
          <w:sz w:val="16"/>
          <w:szCs w:val="16"/>
        </w:rPr>
        <w:t xml:space="preserve"> </w:t>
      </w:r>
      <w:r w:rsidR="00E55AC9" w:rsidRPr="006404E8">
        <w:rPr>
          <w:rFonts w:ascii="Arial" w:hAnsi="Arial" w:cs="Arial"/>
          <w:sz w:val="16"/>
          <w:szCs w:val="16"/>
        </w:rPr>
        <w:t>Los ingresos en</w:t>
      </w:r>
      <w:r w:rsidR="00E55AC9">
        <w:t xml:space="preserve"> </w:t>
      </w:r>
      <w:r w:rsidR="00E55AC9" w:rsidRPr="00D21A12">
        <w:rPr>
          <w:rFonts w:ascii="Arial" w:hAnsi="Arial" w:cs="Arial"/>
          <w:sz w:val="16"/>
          <w:szCs w:val="16"/>
        </w:rPr>
        <w:t xml:space="preserve">materia penal y justicia para adolescentes solo consideran las causas penales y/o consignaciones competentes en los Sistemas Tradicional y Escrito o Mixto y Oral, así como las causas penales ingresadas en los Juzgados de Control </w:t>
      </w:r>
      <w:r w:rsidR="00E55AC9">
        <w:rPr>
          <w:rFonts w:ascii="Arial" w:hAnsi="Arial" w:cs="Arial"/>
          <w:sz w:val="16"/>
          <w:szCs w:val="16"/>
        </w:rPr>
        <w:t xml:space="preserve">o Garantías </w:t>
      </w:r>
      <w:r w:rsidR="00E55AC9" w:rsidRPr="00D21A12">
        <w:rPr>
          <w:rFonts w:ascii="Arial" w:hAnsi="Arial" w:cs="Arial"/>
          <w:sz w:val="16"/>
          <w:szCs w:val="16"/>
        </w:rPr>
        <w:t xml:space="preserve">en </w:t>
      </w:r>
      <w:r w:rsidR="00E55AC9">
        <w:rPr>
          <w:rFonts w:ascii="Arial" w:hAnsi="Arial" w:cs="Arial"/>
          <w:sz w:val="16"/>
          <w:szCs w:val="16"/>
        </w:rPr>
        <w:t>el Sistema</w:t>
      </w:r>
      <w:r w:rsidR="00E55AC9" w:rsidRPr="00D21A12">
        <w:rPr>
          <w:rFonts w:ascii="Arial" w:hAnsi="Arial" w:cs="Arial"/>
          <w:sz w:val="16"/>
          <w:szCs w:val="16"/>
        </w:rPr>
        <w:t xml:space="preserve"> Penal Acusatorio </w:t>
      </w:r>
      <w:r w:rsidR="00E55AC9">
        <w:rPr>
          <w:rFonts w:ascii="Arial" w:hAnsi="Arial" w:cs="Arial"/>
          <w:sz w:val="16"/>
          <w:szCs w:val="16"/>
        </w:rPr>
        <w:t>y en el Sistema</w:t>
      </w:r>
      <w:r w:rsidR="00E55AC9" w:rsidRPr="00D21A12">
        <w:rPr>
          <w:rFonts w:ascii="Arial" w:hAnsi="Arial" w:cs="Arial"/>
          <w:sz w:val="16"/>
          <w:szCs w:val="16"/>
        </w:rPr>
        <w:t xml:space="preserve"> Integral de Justicia penal para adolescentes, no se incluyen los ingresos a los Tribunales de Enjuiciamiento</w:t>
      </w:r>
      <w:r w:rsidR="00CE1A56">
        <w:rPr>
          <w:rFonts w:ascii="Arial" w:hAnsi="Arial" w:cs="Arial"/>
          <w:sz w:val="16"/>
          <w:szCs w:val="16"/>
        </w:rPr>
        <w:t>. Para</w:t>
      </w:r>
      <w:r w:rsidR="00E55AC9">
        <w:rPr>
          <w:rFonts w:ascii="Arial" w:hAnsi="Arial" w:cs="Arial"/>
          <w:sz w:val="16"/>
          <w:szCs w:val="16"/>
        </w:rPr>
        <w:t xml:space="preserve"> las causas penales </w:t>
      </w:r>
      <w:r w:rsidR="00D22C09">
        <w:rPr>
          <w:rFonts w:ascii="Arial" w:hAnsi="Arial" w:cs="Arial"/>
          <w:sz w:val="16"/>
          <w:szCs w:val="16"/>
        </w:rPr>
        <w:t xml:space="preserve">concluidas y pendientes </w:t>
      </w:r>
      <w:r w:rsidR="00E55AC9" w:rsidRPr="00C33BF0">
        <w:rPr>
          <w:rFonts w:ascii="Arial" w:hAnsi="Arial" w:cs="Arial"/>
          <w:sz w:val="16"/>
          <w:szCs w:val="16"/>
        </w:rPr>
        <w:t xml:space="preserve">de concluir </w:t>
      </w:r>
      <w:r w:rsidR="00E55AC9">
        <w:rPr>
          <w:rFonts w:ascii="Arial" w:hAnsi="Arial" w:cs="Arial"/>
          <w:sz w:val="16"/>
          <w:szCs w:val="16"/>
        </w:rPr>
        <w:t xml:space="preserve">la medición </w:t>
      </w:r>
      <w:r w:rsidR="00E55AC9" w:rsidRPr="00C33BF0">
        <w:rPr>
          <w:rFonts w:ascii="Arial" w:hAnsi="Arial" w:cs="Arial"/>
          <w:sz w:val="16"/>
          <w:szCs w:val="16"/>
        </w:rPr>
        <w:t xml:space="preserve">se realiza de manera individual, es decir, por procesado o imputado, debido a que una causa penal puede, en algunos casos, contener más de un tipo de conclusión o estatus jurídico por tener más de un procesado o imputado. Por lo anterior, es importante tener presente esta precisión para la apropiada interpretación de la información. </w:t>
      </w:r>
      <w:r w:rsidR="00E55AC9">
        <w:rPr>
          <w:rFonts w:ascii="Arial" w:hAnsi="Arial" w:cs="Arial"/>
          <w:sz w:val="16"/>
          <w:szCs w:val="16"/>
        </w:rPr>
        <w:t>E</w:t>
      </w:r>
      <w:r w:rsidR="00E55AC9" w:rsidRPr="00D21A12">
        <w:rPr>
          <w:rFonts w:ascii="Arial" w:hAnsi="Arial" w:cs="Arial"/>
          <w:sz w:val="16"/>
          <w:szCs w:val="16"/>
        </w:rPr>
        <w:t>l rest</w:t>
      </w:r>
      <w:r w:rsidR="00D22C09">
        <w:rPr>
          <w:rFonts w:ascii="Arial" w:hAnsi="Arial" w:cs="Arial"/>
          <w:sz w:val="16"/>
          <w:szCs w:val="16"/>
        </w:rPr>
        <w:t>o de las materias incluyen</w:t>
      </w:r>
      <w:r w:rsidR="00E55AC9" w:rsidRPr="00D21A12">
        <w:rPr>
          <w:rFonts w:ascii="Arial" w:hAnsi="Arial" w:cs="Arial"/>
          <w:sz w:val="16"/>
          <w:szCs w:val="16"/>
        </w:rPr>
        <w:t xml:space="preserve"> </w:t>
      </w:r>
      <w:r w:rsidR="00E55AC9">
        <w:rPr>
          <w:rFonts w:ascii="Arial" w:hAnsi="Arial" w:cs="Arial"/>
          <w:sz w:val="16"/>
          <w:szCs w:val="16"/>
        </w:rPr>
        <w:t xml:space="preserve">expedientes tanto en </w:t>
      </w:r>
      <w:r w:rsidR="00E55AC9" w:rsidRPr="00D21A12">
        <w:rPr>
          <w:rFonts w:ascii="Arial" w:hAnsi="Arial" w:cs="Arial"/>
          <w:sz w:val="16"/>
          <w:szCs w:val="16"/>
        </w:rPr>
        <w:t xml:space="preserve">el Sistema Escrito como </w:t>
      </w:r>
      <w:r w:rsidR="00E55AC9">
        <w:rPr>
          <w:rFonts w:ascii="Arial" w:hAnsi="Arial" w:cs="Arial"/>
          <w:sz w:val="16"/>
          <w:szCs w:val="16"/>
        </w:rPr>
        <w:t xml:space="preserve">en </w:t>
      </w:r>
      <w:r w:rsidR="00E55AC9" w:rsidRPr="00D21A12">
        <w:rPr>
          <w:rFonts w:ascii="Arial" w:hAnsi="Arial" w:cs="Arial"/>
          <w:sz w:val="16"/>
          <w:szCs w:val="16"/>
        </w:rPr>
        <w:t xml:space="preserve">el </w:t>
      </w:r>
      <w:r w:rsidR="00D22C09">
        <w:rPr>
          <w:rFonts w:ascii="Arial" w:hAnsi="Arial" w:cs="Arial"/>
          <w:sz w:val="16"/>
          <w:szCs w:val="16"/>
        </w:rPr>
        <w:t xml:space="preserve">Sistema </w:t>
      </w:r>
      <w:r w:rsidR="00E55AC9" w:rsidRPr="00D21A12">
        <w:rPr>
          <w:rFonts w:ascii="Arial" w:hAnsi="Arial" w:cs="Arial"/>
          <w:sz w:val="16"/>
          <w:szCs w:val="16"/>
        </w:rPr>
        <w:t>Oral.</w:t>
      </w:r>
      <w:r w:rsidR="00E55AC9">
        <w:rPr>
          <w:rFonts w:ascii="Arial" w:hAnsi="Arial" w:cs="Arial"/>
          <w:sz w:val="16"/>
          <w:szCs w:val="16"/>
        </w:rPr>
        <w:t xml:space="preserve"> </w:t>
      </w:r>
      <w:r w:rsidR="00E55AC9" w:rsidRPr="00D21A12">
        <w:rPr>
          <w:rFonts w:ascii="Arial" w:hAnsi="Arial" w:cs="Arial"/>
          <w:sz w:val="16"/>
          <w:szCs w:val="16"/>
        </w:rPr>
        <w:t xml:space="preserve">Para los estados de Puebla (en materia de justicia para adolescentes) y Sinaloa (en materia penal para adultos y justicia para adolescentes) las cifras son preliminares, debido a que a la fecha de corte para la publicación de los presentes resultados no ha concluido en su totalidad el proceso de generación de información estadística con </w:t>
      </w:r>
      <w:r w:rsidR="00E55AC9">
        <w:rPr>
          <w:rFonts w:ascii="Arial" w:hAnsi="Arial" w:cs="Arial"/>
          <w:sz w:val="16"/>
          <w:szCs w:val="16"/>
        </w:rPr>
        <w:t xml:space="preserve">estas </w:t>
      </w:r>
      <w:r w:rsidR="00E55AC9" w:rsidRPr="00D21A12">
        <w:rPr>
          <w:rFonts w:ascii="Arial" w:hAnsi="Arial" w:cs="Arial"/>
          <w:sz w:val="16"/>
          <w:szCs w:val="16"/>
        </w:rPr>
        <w:t>entidades federativas, encontrándose en la fase de validación y procesamiento, por lo que las cifras definitivas serán publicadas en una actualización posterior.</w:t>
      </w:r>
    </w:p>
  </w:footnote>
  <w:footnote w:id="9">
    <w:p w14:paraId="04CEAEF1" w14:textId="7EBC451D" w:rsidR="002D13B6" w:rsidRDefault="002D13B6">
      <w:pPr>
        <w:pStyle w:val="Textonotapie"/>
      </w:pPr>
      <w:r>
        <w:rPr>
          <w:rStyle w:val="Refdenotaalpie"/>
        </w:rPr>
        <w:footnoteRef/>
      </w:r>
      <w:r>
        <w:t xml:space="preserve"> </w:t>
      </w:r>
      <w:r w:rsidRPr="00705831">
        <w:rPr>
          <w:rFonts w:ascii="Arial" w:hAnsi="Arial" w:cs="Arial"/>
          <w:sz w:val="16"/>
          <w:szCs w:val="16"/>
        </w:rPr>
        <w:t>Incluye los Sistemas Penal Acusatorio e Integral de Justicia Penal para Adolescentes.</w:t>
      </w:r>
    </w:p>
  </w:footnote>
  <w:footnote w:id="10">
    <w:p w14:paraId="46FEFC1B" w14:textId="34AE3E70" w:rsidR="002D13B6" w:rsidRDefault="002D13B6">
      <w:pPr>
        <w:pStyle w:val="Textonotapie"/>
      </w:pPr>
      <w:r>
        <w:rPr>
          <w:rStyle w:val="Refdenotaalpie"/>
        </w:rPr>
        <w:footnoteRef/>
      </w:r>
      <w:r>
        <w:t xml:space="preserve"> </w:t>
      </w:r>
      <w:r w:rsidRPr="00705831">
        <w:rPr>
          <w:rFonts w:ascii="Arial" w:hAnsi="Arial" w:cs="Arial"/>
          <w:sz w:val="16"/>
          <w:szCs w:val="16"/>
        </w:rPr>
        <w:t>Incluye los Sistemas Penal Acusatorio e Integral de Justicia Penal para Adolescentes.</w:t>
      </w:r>
    </w:p>
  </w:footnote>
  <w:footnote w:id="11">
    <w:p w14:paraId="31C5D5DD" w14:textId="77777777" w:rsidR="009D3A98" w:rsidRDefault="009D3A98" w:rsidP="009D3A98">
      <w:pPr>
        <w:pStyle w:val="Textonotapie"/>
      </w:pPr>
      <w:r>
        <w:rPr>
          <w:rStyle w:val="Refdenotaalpie"/>
        </w:rPr>
        <w:footnoteRef/>
      </w:r>
      <w:r>
        <w:t xml:space="preserve"> </w:t>
      </w:r>
      <w:r w:rsidRPr="00F4248F">
        <w:rPr>
          <w:rFonts w:ascii="Arial" w:hAnsi="Arial" w:cs="Arial"/>
          <w:sz w:val="16"/>
          <w:szCs w:val="16"/>
        </w:rPr>
        <w:t>In</w:t>
      </w:r>
      <w:r>
        <w:rPr>
          <w:rFonts w:ascii="Arial" w:hAnsi="Arial" w:cs="Arial"/>
          <w:sz w:val="16"/>
          <w:szCs w:val="16"/>
        </w:rPr>
        <w:t>cluye solicitudes en revisión de admisibilidad</w:t>
      </w:r>
      <w:r w:rsidRPr="00F4248F">
        <w:rPr>
          <w:rFonts w:ascii="Arial" w:hAnsi="Arial" w:cs="Arial"/>
          <w:sz w:val="16"/>
          <w:szCs w:val="16"/>
        </w:rPr>
        <w:t xml:space="preserve"> al cierre del año.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4578D" w14:textId="530A1E0D" w:rsidR="00227D00" w:rsidRDefault="00227D00" w:rsidP="00823A6B">
    <w:pPr>
      <w:adjustRightInd w:val="0"/>
      <w:jc w:val="right"/>
      <w:rPr>
        <w:b/>
        <w:bCs/>
        <w:color w:val="001F5F"/>
        <w:sz w:val="23"/>
        <w:szCs w:val="23"/>
      </w:rPr>
    </w:pPr>
  </w:p>
  <w:p w14:paraId="77A40110" w14:textId="3FDEFA52" w:rsidR="00227D00" w:rsidRDefault="00227D00" w:rsidP="00823A6B">
    <w:pPr>
      <w:adjustRightInd w:val="0"/>
      <w:jc w:val="right"/>
      <w:rPr>
        <w:b/>
        <w:bCs/>
        <w:color w:val="001F5F"/>
        <w:sz w:val="23"/>
        <w:szCs w:val="23"/>
      </w:rPr>
    </w:pPr>
  </w:p>
  <w:p w14:paraId="3C955E01" w14:textId="6572560E" w:rsidR="00952955" w:rsidRPr="00DD51B3" w:rsidRDefault="00952955" w:rsidP="00952955">
    <w:pPr>
      <w:pStyle w:val="Encabezado"/>
      <w:framePr w:w="5318" w:hSpace="141" w:wrap="auto" w:vAnchor="text" w:hAnchor="page" w:x="5680" w:y="28"/>
      <w:ind w:left="567" w:hanging="11"/>
      <w:jc w:val="right"/>
      <w:rPr>
        <w:b/>
        <w:color w:val="002060"/>
        <w:sz w:val="24"/>
        <w:szCs w:val="24"/>
      </w:rPr>
    </w:pPr>
    <w:bookmarkStart w:id="1" w:name="_Hlk21432501"/>
    <w:r w:rsidRPr="00DD51B3">
      <w:rPr>
        <w:b/>
        <w:color w:val="002060"/>
        <w:sz w:val="24"/>
        <w:szCs w:val="24"/>
      </w:rPr>
      <w:t>COMUNICADO DE PRENSA NÚM. 4</w:t>
    </w:r>
    <w:r>
      <w:rPr>
        <w:b/>
        <w:color w:val="002060"/>
        <w:sz w:val="24"/>
        <w:szCs w:val="24"/>
      </w:rPr>
      <w:t>99</w:t>
    </w:r>
    <w:r w:rsidRPr="00DD51B3">
      <w:rPr>
        <w:b/>
        <w:color w:val="002060"/>
        <w:sz w:val="24"/>
        <w:szCs w:val="24"/>
      </w:rPr>
      <w:t>/19</w:t>
    </w:r>
  </w:p>
  <w:p w14:paraId="49443304" w14:textId="77777777" w:rsidR="00952955" w:rsidRPr="00DD51B3" w:rsidRDefault="00952955" w:rsidP="00952955">
    <w:pPr>
      <w:pStyle w:val="Encabezado"/>
      <w:framePr w:w="5318" w:hSpace="141" w:wrap="auto" w:vAnchor="text" w:hAnchor="page" w:x="5680" w:y="28"/>
      <w:ind w:left="567" w:hanging="11"/>
      <w:jc w:val="right"/>
      <w:rPr>
        <w:b/>
        <w:color w:val="002060"/>
        <w:sz w:val="24"/>
        <w:szCs w:val="24"/>
        <w:lang w:val="pt-BR"/>
      </w:rPr>
    </w:pPr>
    <w:r w:rsidRPr="00DD51B3">
      <w:rPr>
        <w:b/>
        <w:color w:val="002060"/>
        <w:sz w:val="24"/>
        <w:szCs w:val="24"/>
        <w:lang w:val="pt-BR"/>
      </w:rPr>
      <w:t>2</w:t>
    </w:r>
    <w:r>
      <w:rPr>
        <w:b/>
        <w:color w:val="002060"/>
        <w:sz w:val="24"/>
        <w:szCs w:val="24"/>
        <w:lang w:val="pt-BR"/>
      </w:rPr>
      <w:t>5</w:t>
    </w:r>
    <w:r w:rsidRPr="00DD51B3">
      <w:rPr>
        <w:b/>
        <w:color w:val="002060"/>
        <w:sz w:val="24"/>
        <w:szCs w:val="24"/>
        <w:lang w:val="pt-BR"/>
      </w:rPr>
      <w:t xml:space="preserve"> DE OCTUBRE DE 2019</w:t>
    </w:r>
  </w:p>
  <w:p w14:paraId="5865F472" w14:textId="77777777" w:rsidR="00952955" w:rsidRPr="00DD51B3" w:rsidRDefault="00952955" w:rsidP="00952955">
    <w:pPr>
      <w:pStyle w:val="Encabezado"/>
      <w:framePr w:w="5318" w:hSpace="141" w:wrap="auto" w:vAnchor="text" w:hAnchor="page" w:x="5680" w:y="28"/>
      <w:ind w:left="567" w:hanging="11"/>
      <w:jc w:val="right"/>
      <w:rPr>
        <w:b/>
        <w:color w:val="002060"/>
        <w:sz w:val="24"/>
        <w:szCs w:val="24"/>
        <w:lang w:val="pt-BR"/>
      </w:rPr>
    </w:pPr>
    <w:r w:rsidRPr="00DD51B3">
      <w:rPr>
        <w:b/>
        <w:color w:val="002060"/>
        <w:sz w:val="24"/>
        <w:szCs w:val="24"/>
        <w:lang w:val="pt-BR"/>
      </w:rPr>
      <w:t xml:space="preserve">PÁGINA </w:t>
    </w:r>
    <w:r w:rsidRPr="00DD51B3">
      <w:rPr>
        <w:b/>
        <w:color w:val="002060"/>
        <w:sz w:val="24"/>
        <w:szCs w:val="24"/>
      </w:rPr>
      <w:fldChar w:fldCharType="begin"/>
    </w:r>
    <w:r w:rsidRPr="00DD51B3">
      <w:rPr>
        <w:b/>
        <w:color w:val="002060"/>
        <w:sz w:val="24"/>
        <w:szCs w:val="24"/>
        <w:lang w:val="pt-BR"/>
      </w:rPr>
      <w:instrText xml:space="preserve">\PAGE </w:instrText>
    </w:r>
    <w:r w:rsidRPr="00DD51B3">
      <w:rPr>
        <w:color w:val="002060"/>
        <w:sz w:val="24"/>
        <w:szCs w:val="24"/>
      </w:rPr>
      <w:fldChar w:fldCharType="separate"/>
    </w:r>
    <w:r w:rsidR="005B04AB">
      <w:rPr>
        <w:b/>
        <w:noProof/>
        <w:color w:val="002060"/>
        <w:sz w:val="24"/>
        <w:szCs w:val="24"/>
        <w:lang w:val="pt-BR"/>
      </w:rPr>
      <w:t>2</w:t>
    </w:r>
    <w:r w:rsidRPr="00DD51B3">
      <w:rPr>
        <w:color w:val="002060"/>
        <w:sz w:val="24"/>
        <w:szCs w:val="24"/>
      </w:rPr>
      <w:fldChar w:fldCharType="end"/>
    </w:r>
    <w:r w:rsidRPr="00DD51B3">
      <w:rPr>
        <w:b/>
        <w:color w:val="002060"/>
        <w:sz w:val="24"/>
        <w:szCs w:val="24"/>
        <w:lang w:val="pt-BR"/>
      </w:rPr>
      <w:t>/2</w:t>
    </w:r>
  </w:p>
  <w:p w14:paraId="5A5FAB01" w14:textId="77777777" w:rsidR="00952955" w:rsidRDefault="00952955" w:rsidP="00952955">
    <w:pPr>
      <w:pStyle w:val="Encabezado"/>
      <w:ind w:left="-993" w:firstLine="993"/>
    </w:pPr>
    <w:r>
      <w:rPr>
        <w:noProof/>
        <w:lang w:eastAsia="es-MX"/>
      </w:rPr>
      <w:drawing>
        <wp:inline distT="0" distB="0" distL="0" distR="0" wp14:anchorId="23302D4A" wp14:editId="0A464741">
          <wp:extent cx="733586" cy="762000"/>
          <wp:effectExtent l="0" t="0" r="9525"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50" cy="787412"/>
                  </a:xfrm>
                  <a:prstGeom prst="rect">
                    <a:avLst/>
                  </a:prstGeom>
                  <a:noFill/>
                  <a:ln>
                    <a:noFill/>
                  </a:ln>
                </pic:spPr>
              </pic:pic>
            </a:graphicData>
          </a:graphic>
        </wp:inline>
      </w:drawing>
    </w:r>
  </w:p>
  <w:bookmarkEnd w:id="1"/>
  <w:p w14:paraId="085A1FFE" w14:textId="0D5210A3" w:rsidR="00227D00" w:rsidRDefault="00227D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DC3C1" w14:textId="77777777" w:rsidR="005A5931" w:rsidRDefault="005A5931" w:rsidP="00823A6B">
    <w:pPr>
      <w:adjustRightInd w:val="0"/>
      <w:jc w:val="right"/>
      <w:rPr>
        <w:b/>
        <w:bCs/>
        <w:color w:val="001F5F"/>
        <w:sz w:val="23"/>
        <w:szCs w:val="23"/>
      </w:rPr>
    </w:pPr>
  </w:p>
  <w:p w14:paraId="23AB9E01" w14:textId="77777777" w:rsidR="005A5931" w:rsidRDefault="005A5931" w:rsidP="00823A6B">
    <w:pPr>
      <w:adjustRightInd w:val="0"/>
      <w:jc w:val="right"/>
      <w:rPr>
        <w:b/>
        <w:bCs/>
        <w:color w:val="001F5F"/>
        <w:sz w:val="23"/>
        <w:szCs w:val="23"/>
      </w:rPr>
    </w:pPr>
  </w:p>
  <w:p w14:paraId="20E16538" w14:textId="77777777" w:rsidR="005A5931" w:rsidRDefault="005A5931" w:rsidP="005A5931">
    <w:pPr>
      <w:pStyle w:val="Encabezado"/>
      <w:ind w:left="-993" w:firstLine="993"/>
      <w:jc w:val="center"/>
    </w:pPr>
    <w:r>
      <w:rPr>
        <w:noProof/>
        <w:lang w:eastAsia="es-MX"/>
      </w:rPr>
      <w:drawing>
        <wp:inline distT="0" distB="0" distL="0" distR="0" wp14:anchorId="298EF205" wp14:editId="630CC82C">
          <wp:extent cx="691117" cy="717886"/>
          <wp:effectExtent l="0" t="0" r="0" b="6350"/>
          <wp:docPr id="525" name="Imagen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273" cy="742978"/>
                  </a:xfrm>
                  <a:prstGeom prst="rect">
                    <a:avLst/>
                  </a:prstGeom>
                  <a:noFill/>
                  <a:ln>
                    <a:noFill/>
                  </a:ln>
                </pic:spPr>
              </pic:pic>
            </a:graphicData>
          </a:graphic>
        </wp:inline>
      </w:drawing>
    </w:r>
  </w:p>
  <w:p w14:paraId="01F4DB55" w14:textId="77777777" w:rsidR="005A5931" w:rsidRDefault="005A59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02E66"/>
    <w:multiLevelType w:val="hybridMultilevel"/>
    <w:tmpl w:val="9168B5AA"/>
    <w:lvl w:ilvl="0" w:tplc="EB6629EE">
      <w:start w:val="1"/>
      <w:numFmt w:val="decimal"/>
      <w:lvlText w:val="%1"/>
      <w:lvlJc w:val="left"/>
      <w:pPr>
        <w:ind w:left="120" w:hanging="152"/>
      </w:pPr>
      <w:rPr>
        <w:rFonts w:hint="default"/>
        <w:w w:val="99"/>
        <w:position w:val="8"/>
      </w:rPr>
    </w:lvl>
    <w:lvl w:ilvl="1" w:tplc="D2BCFA24">
      <w:numFmt w:val="bullet"/>
      <w:lvlText w:val=""/>
      <w:lvlJc w:val="left"/>
      <w:pPr>
        <w:ind w:left="1820" w:hanging="360"/>
      </w:pPr>
      <w:rPr>
        <w:rFonts w:ascii="Symbol" w:eastAsia="Symbol" w:hAnsi="Symbol" w:cs="Symbol" w:hint="default"/>
        <w:w w:val="100"/>
        <w:sz w:val="22"/>
        <w:szCs w:val="22"/>
      </w:rPr>
    </w:lvl>
    <w:lvl w:ilvl="2" w:tplc="FA02D680">
      <w:numFmt w:val="bullet"/>
      <w:lvlText w:val="•"/>
      <w:lvlJc w:val="left"/>
      <w:pPr>
        <w:ind w:left="7400" w:hanging="360"/>
      </w:pPr>
      <w:rPr>
        <w:rFonts w:hint="default"/>
      </w:rPr>
    </w:lvl>
    <w:lvl w:ilvl="3" w:tplc="A1860FB8">
      <w:numFmt w:val="bullet"/>
      <w:lvlText w:val="•"/>
      <w:lvlJc w:val="left"/>
      <w:pPr>
        <w:ind w:left="7675" w:hanging="360"/>
      </w:pPr>
      <w:rPr>
        <w:rFonts w:hint="default"/>
      </w:rPr>
    </w:lvl>
    <w:lvl w:ilvl="4" w:tplc="4D342118">
      <w:numFmt w:val="bullet"/>
      <w:lvlText w:val="•"/>
      <w:lvlJc w:val="left"/>
      <w:pPr>
        <w:ind w:left="7950" w:hanging="360"/>
      </w:pPr>
      <w:rPr>
        <w:rFonts w:hint="default"/>
      </w:rPr>
    </w:lvl>
    <w:lvl w:ilvl="5" w:tplc="0FAEE11C">
      <w:numFmt w:val="bullet"/>
      <w:lvlText w:val="•"/>
      <w:lvlJc w:val="left"/>
      <w:pPr>
        <w:ind w:left="8225" w:hanging="360"/>
      </w:pPr>
      <w:rPr>
        <w:rFonts w:hint="default"/>
      </w:rPr>
    </w:lvl>
    <w:lvl w:ilvl="6" w:tplc="91CCE704">
      <w:numFmt w:val="bullet"/>
      <w:lvlText w:val="•"/>
      <w:lvlJc w:val="left"/>
      <w:pPr>
        <w:ind w:left="8500" w:hanging="360"/>
      </w:pPr>
      <w:rPr>
        <w:rFonts w:hint="default"/>
      </w:rPr>
    </w:lvl>
    <w:lvl w:ilvl="7" w:tplc="375AE5EC">
      <w:numFmt w:val="bullet"/>
      <w:lvlText w:val="•"/>
      <w:lvlJc w:val="left"/>
      <w:pPr>
        <w:ind w:left="8775" w:hanging="360"/>
      </w:pPr>
      <w:rPr>
        <w:rFonts w:hint="default"/>
      </w:rPr>
    </w:lvl>
    <w:lvl w:ilvl="8" w:tplc="32485852">
      <w:numFmt w:val="bullet"/>
      <w:lvlText w:val="•"/>
      <w:lvlJc w:val="left"/>
      <w:pPr>
        <w:ind w:left="9050" w:hanging="360"/>
      </w:pPr>
      <w:rPr>
        <w:rFonts w:hint="default"/>
      </w:rPr>
    </w:lvl>
  </w:abstractNum>
  <w:abstractNum w:abstractNumId="1" w15:restartNumberingAfterBreak="0">
    <w:nsid w:val="58173A45"/>
    <w:multiLevelType w:val="hybridMultilevel"/>
    <w:tmpl w:val="3370D238"/>
    <w:lvl w:ilvl="0" w:tplc="3244B354">
      <w:numFmt w:val="bullet"/>
      <w:lvlText w:val=""/>
      <w:lvlJc w:val="left"/>
      <w:pPr>
        <w:ind w:left="829" w:hanging="425"/>
      </w:pPr>
      <w:rPr>
        <w:rFonts w:ascii="Symbol" w:eastAsia="Symbol" w:hAnsi="Symbol" w:cs="Symbol" w:hint="default"/>
        <w:w w:val="100"/>
        <w:sz w:val="24"/>
        <w:szCs w:val="24"/>
      </w:rPr>
    </w:lvl>
    <w:lvl w:ilvl="1" w:tplc="12AA7506">
      <w:numFmt w:val="bullet"/>
      <w:lvlText w:val="•"/>
      <w:lvlJc w:val="left"/>
      <w:pPr>
        <w:ind w:left="1762" w:hanging="425"/>
      </w:pPr>
      <w:rPr>
        <w:rFonts w:hint="default"/>
      </w:rPr>
    </w:lvl>
    <w:lvl w:ilvl="2" w:tplc="E06076DC">
      <w:numFmt w:val="bullet"/>
      <w:lvlText w:val="•"/>
      <w:lvlJc w:val="left"/>
      <w:pPr>
        <w:ind w:left="2704" w:hanging="425"/>
      </w:pPr>
      <w:rPr>
        <w:rFonts w:hint="default"/>
      </w:rPr>
    </w:lvl>
    <w:lvl w:ilvl="3" w:tplc="5D341C6A">
      <w:numFmt w:val="bullet"/>
      <w:lvlText w:val="•"/>
      <w:lvlJc w:val="left"/>
      <w:pPr>
        <w:ind w:left="3646" w:hanging="425"/>
      </w:pPr>
      <w:rPr>
        <w:rFonts w:hint="default"/>
      </w:rPr>
    </w:lvl>
    <w:lvl w:ilvl="4" w:tplc="79A63526">
      <w:numFmt w:val="bullet"/>
      <w:lvlText w:val="•"/>
      <w:lvlJc w:val="left"/>
      <w:pPr>
        <w:ind w:left="4588" w:hanging="425"/>
      </w:pPr>
      <w:rPr>
        <w:rFonts w:hint="default"/>
      </w:rPr>
    </w:lvl>
    <w:lvl w:ilvl="5" w:tplc="46F23A08">
      <w:numFmt w:val="bullet"/>
      <w:lvlText w:val="•"/>
      <w:lvlJc w:val="left"/>
      <w:pPr>
        <w:ind w:left="5530" w:hanging="425"/>
      </w:pPr>
      <w:rPr>
        <w:rFonts w:hint="default"/>
      </w:rPr>
    </w:lvl>
    <w:lvl w:ilvl="6" w:tplc="A66AB448">
      <w:numFmt w:val="bullet"/>
      <w:lvlText w:val="•"/>
      <w:lvlJc w:val="left"/>
      <w:pPr>
        <w:ind w:left="6472" w:hanging="425"/>
      </w:pPr>
      <w:rPr>
        <w:rFonts w:hint="default"/>
      </w:rPr>
    </w:lvl>
    <w:lvl w:ilvl="7" w:tplc="C30AED68">
      <w:numFmt w:val="bullet"/>
      <w:lvlText w:val="•"/>
      <w:lvlJc w:val="left"/>
      <w:pPr>
        <w:ind w:left="7414" w:hanging="425"/>
      </w:pPr>
      <w:rPr>
        <w:rFonts w:hint="default"/>
      </w:rPr>
    </w:lvl>
    <w:lvl w:ilvl="8" w:tplc="514673A6">
      <w:numFmt w:val="bullet"/>
      <w:lvlText w:val="•"/>
      <w:lvlJc w:val="left"/>
      <w:pPr>
        <w:ind w:left="8356"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B96"/>
    <w:rsid w:val="000125DA"/>
    <w:rsid w:val="00012D3F"/>
    <w:rsid w:val="000232E3"/>
    <w:rsid w:val="00040964"/>
    <w:rsid w:val="0004118D"/>
    <w:rsid w:val="00043939"/>
    <w:rsid w:val="00064424"/>
    <w:rsid w:val="00066F4A"/>
    <w:rsid w:val="000829A2"/>
    <w:rsid w:val="000A325E"/>
    <w:rsid w:val="000B4104"/>
    <w:rsid w:val="000C3584"/>
    <w:rsid w:val="000C40B1"/>
    <w:rsid w:val="000D1C38"/>
    <w:rsid w:val="000E48DC"/>
    <w:rsid w:val="000F0307"/>
    <w:rsid w:val="000F530C"/>
    <w:rsid w:val="001068A6"/>
    <w:rsid w:val="00163F07"/>
    <w:rsid w:val="00174179"/>
    <w:rsid w:val="00181135"/>
    <w:rsid w:val="0019248F"/>
    <w:rsid w:val="001A34C3"/>
    <w:rsid w:val="001A41C8"/>
    <w:rsid w:val="001C08BC"/>
    <w:rsid w:val="00213F17"/>
    <w:rsid w:val="00225306"/>
    <w:rsid w:val="002260A7"/>
    <w:rsid w:val="00227D00"/>
    <w:rsid w:val="00235635"/>
    <w:rsid w:val="00240B0E"/>
    <w:rsid w:val="00250AAB"/>
    <w:rsid w:val="00251BAE"/>
    <w:rsid w:val="0026638B"/>
    <w:rsid w:val="002735A5"/>
    <w:rsid w:val="002B78A4"/>
    <w:rsid w:val="002D13B6"/>
    <w:rsid w:val="002F477D"/>
    <w:rsid w:val="002F5245"/>
    <w:rsid w:val="002F5FD7"/>
    <w:rsid w:val="002F79B0"/>
    <w:rsid w:val="003028EF"/>
    <w:rsid w:val="00312192"/>
    <w:rsid w:val="00314158"/>
    <w:rsid w:val="00314EE2"/>
    <w:rsid w:val="00320033"/>
    <w:rsid w:val="00324290"/>
    <w:rsid w:val="003307D1"/>
    <w:rsid w:val="00336847"/>
    <w:rsid w:val="00345BE5"/>
    <w:rsid w:val="00350143"/>
    <w:rsid w:val="00351FAB"/>
    <w:rsid w:val="00355A6C"/>
    <w:rsid w:val="00356188"/>
    <w:rsid w:val="00374AE5"/>
    <w:rsid w:val="00384054"/>
    <w:rsid w:val="003842A2"/>
    <w:rsid w:val="003A3554"/>
    <w:rsid w:val="003A4F80"/>
    <w:rsid w:val="003A72EF"/>
    <w:rsid w:val="003B259F"/>
    <w:rsid w:val="003B37D1"/>
    <w:rsid w:val="003B6EC8"/>
    <w:rsid w:val="003C5FC4"/>
    <w:rsid w:val="003D1343"/>
    <w:rsid w:val="003D59E1"/>
    <w:rsid w:val="003D709B"/>
    <w:rsid w:val="003F1D2E"/>
    <w:rsid w:val="00427532"/>
    <w:rsid w:val="004301E9"/>
    <w:rsid w:val="0044066A"/>
    <w:rsid w:val="00461591"/>
    <w:rsid w:val="0046667C"/>
    <w:rsid w:val="004674CB"/>
    <w:rsid w:val="00471CDF"/>
    <w:rsid w:val="00480F08"/>
    <w:rsid w:val="004845F7"/>
    <w:rsid w:val="00490FE3"/>
    <w:rsid w:val="00494612"/>
    <w:rsid w:val="004A46F8"/>
    <w:rsid w:val="004A60EC"/>
    <w:rsid w:val="004B1E88"/>
    <w:rsid w:val="004C4EC7"/>
    <w:rsid w:val="004D6A81"/>
    <w:rsid w:val="004E3279"/>
    <w:rsid w:val="004E4B09"/>
    <w:rsid w:val="004E5308"/>
    <w:rsid w:val="004F1283"/>
    <w:rsid w:val="004F228E"/>
    <w:rsid w:val="004F38A5"/>
    <w:rsid w:val="004F7088"/>
    <w:rsid w:val="00511D02"/>
    <w:rsid w:val="00514A24"/>
    <w:rsid w:val="00516E8E"/>
    <w:rsid w:val="00524047"/>
    <w:rsid w:val="00536906"/>
    <w:rsid w:val="00553599"/>
    <w:rsid w:val="005617D5"/>
    <w:rsid w:val="00563552"/>
    <w:rsid w:val="005653A8"/>
    <w:rsid w:val="0058182C"/>
    <w:rsid w:val="00586413"/>
    <w:rsid w:val="005866BD"/>
    <w:rsid w:val="00591B50"/>
    <w:rsid w:val="0059305C"/>
    <w:rsid w:val="005960F7"/>
    <w:rsid w:val="005A2A1A"/>
    <w:rsid w:val="005A5931"/>
    <w:rsid w:val="005B04AB"/>
    <w:rsid w:val="005C1A46"/>
    <w:rsid w:val="005C774C"/>
    <w:rsid w:val="005C7C1A"/>
    <w:rsid w:val="005D0E27"/>
    <w:rsid w:val="005E6860"/>
    <w:rsid w:val="005F24B3"/>
    <w:rsid w:val="005F36E4"/>
    <w:rsid w:val="005F4C20"/>
    <w:rsid w:val="00615BC9"/>
    <w:rsid w:val="00625FBD"/>
    <w:rsid w:val="006317C5"/>
    <w:rsid w:val="0063184E"/>
    <w:rsid w:val="0063219A"/>
    <w:rsid w:val="006404E8"/>
    <w:rsid w:val="0064441D"/>
    <w:rsid w:val="0064486C"/>
    <w:rsid w:val="00671D4D"/>
    <w:rsid w:val="0068010B"/>
    <w:rsid w:val="006812BD"/>
    <w:rsid w:val="00691F07"/>
    <w:rsid w:val="00692748"/>
    <w:rsid w:val="00692D92"/>
    <w:rsid w:val="00697123"/>
    <w:rsid w:val="006A4353"/>
    <w:rsid w:val="006B4F4F"/>
    <w:rsid w:val="006D3D8A"/>
    <w:rsid w:val="006E10DA"/>
    <w:rsid w:val="006E183D"/>
    <w:rsid w:val="006F05EB"/>
    <w:rsid w:val="006F1DB2"/>
    <w:rsid w:val="006F2883"/>
    <w:rsid w:val="00703D29"/>
    <w:rsid w:val="00704100"/>
    <w:rsid w:val="00704792"/>
    <w:rsid w:val="00705831"/>
    <w:rsid w:val="00711E8A"/>
    <w:rsid w:val="00722EA9"/>
    <w:rsid w:val="007329D6"/>
    <w:rsid w:val="00740457"/>
    <w:rsid w:val="00745FEB"/>
    <w:rsid w:val="00757253"/>
    <w:rsid w:val="00757A9A"/>
    <w:rsid w:val="00760516"/>
    <w:rsid w:val="007657F1"/>
    <w:rsid w:val="00785FFD"/>
    <w:rsid w:val="00794512"/>
    <w:rsid w:val="007B1D5B"/>
    <w:rsid w:val="007B3953"/>
    <w:rsid w:val="007C19FF"/>
    <w:rsid w:val="007C4691"/>
    <w:rsid w:val="007C4C14"/>
    <w:rsid w:val="007C677D"/>
    <w:rsid w:val="007D7E89"/>
    <w:rsid w:val="007E1643"/>
    <w:rsid w:val="007F47AF"/>
    <w:rsid w:val="007F6734"/>
    <w:rsid w:val="00800389"/>
    <w:rsid w:val="00800914"/>
    <w:rsid w:val="00823A6B"/>
    <w:rsid w:val="00824A32"/>
    <w:rsid w:val="00830891"/>
    <w:rsid w:val="0083101C"/>
    <w:rsid w:val="00832033"/>
    <w:rsid w:val="00840E76"/>
    <w:rsid w:val="00871A29"/>
    <w:rsid w:val="00874F6D"/>
    <w:rsid w:val="008754D8"/>
    <w:rsid w:val="00891185"/>
    <w:rsid w:val="008C3886"/>
    <w:rsid w:val="008D6B20"/>
    <w:rsid w:val="008E0BFF"/>
    <w:rsid w:val="008E7045"/>
    <w:rsid w:val="0090549E"/>
    <w:rsid w:val="00906FCD"/>
    <w:rsid w:val="009101C5"/>
    <w:rsid w:val="009177B4"/>
    <w:rsid w:val="009347BB"/>
    <w:rsid w:val="00940AA7"/>
    <w:rsid w:val="0094116E"/>
    <w:rsid w:val="0094367D"/>
    <w:rsid w:val="00952955"/>
    <w:rsid w:val="00966BC5"/>
    <w:rsid w:val="00976FC5"/>
    <w:rsid w:val="009A0A55"/>
    <w:rsid w:val="009B058D"/>
    <w:rsid w:val="009B6EEF"/>
    <w:rsid w:val="009C1899"/>
    <w:rsid w:val="009C2B43"/>
    <w:rsid w:val="009D3A98"/>
    <w:rsid w:val="009E4B48"/>
    <w:rsid w:val="009E6A56"/>
    <w:rsid w:val="009F2D4A"/>
    <w:rsid w:val="009F708B"/>
    <w:rsid w:val="00A076A9"/>
    <w:rsid w:val="00A07AD8"/>
    <w:rsid w:val="00A22F58"/>
    <w:rsid w:val="00A32D5C"/>
    <w:rsid w:val="00A3324C"/>
    <w:rsid w:val="00A34209"/>
    <w:rsid w:val="00A35836"/>
    <w:rsid w:val="00A403ED"/>
    <w:rsid w:val="00A45D30"/>
    <w:rsid w:val="00A51461"/>
    <w:rsid w:val="00A64A87"/>
    <w:rsid w:val="00A663A8"/>
    <w:rsid w:val="00A66F64"/>
    <w:rsid w:val="00A672CE"/>
    <w:rsid w:val="00A73A2E"/>
    <w:rsid w:val="00A81EBD"/>
    <w:rsid w:val="00A90B58"/>
    <w:rsid w:val="00A9135A"/>
    <w:rsid w:val="00A91A47"/>
    <w:rsid w:val="00A93A58"/>
    <w:rsid w:val="00AA3436"/>
    <w:rsid w:val="00AB020B"/>
    <w:rsid w:val="00AB77A7"/>
    <w:rsid w:val="00AC4807"/>
    <w:rsid w:val="00AD204A"/>
    <w:rsid w:val="00AD3F7F"/>
    <w:rsid w:val="00AE1B74"/>
    <w:rsid w:val="00AF4F92"/>
    <w:rsid w:val="00B03B45"/>
    <w:rsid w:val="00B05DD8"/>
    <w:rsid w:val="00B06A11"/>
    <w:rsid w:val="00B20345"/>
    <w:rsid w:val="00B314D0"/>
    <w:rsid w:val="00B416A1"/>
    <w:rsid w:val="00B46398"/>
    <w:rsid w:val="00B5064D"/>
    <w:rsid w:val="00B67D67"/>
    <w:rsid w:val="00B817C2"/>
    <w:rsid w:val="00B9056F"/>
    <w:rsid w:val="00BA1363"/>
    <w:rsid w:val="00BA4F74"/>
    <w:rsid w:val="00BA59B8"/>
    <w:rsid w:val="00BB0A05"/>
    <w:rsid w:val="00BB55AB"/>
    <w:rsid w:val="00BC186A"/>
    <w:rsid w:val="00BD2D58"/>
    <w:rsid w:val="00BD53A6"/>
    <w:rsid w:val="00BF1B06"/>
    <w:rsid w:val="00C12284"/>
    <w:rsid w:val="00C12FC7"/>
    <w:rsid w:val="00C16FCC"/>
    <w:rsid w:val="00C215A9"/>
    <w:rsid w:val="00C22900"/>
    <w:rsid w:val="00C33BF0"/>
    <w:rsid w:val="00C378EB"/>
    <w:rsid w:val="00C65FD3"/>
    <w:rsid w:val="00C90FE6"/>
    <w:rsid w:val="00CA121E"/>
    <w:rsid w:val="00CA4B96"/>
    <w:rsid w:val="00CC7243"/>
    <w:rsid w:val="00CD1AA6"/>
    <w:rsid w:val="00CD6C1F"/>
    <w:rsid w:val="00CE1A56"/>
    <w:rsid w:val="00D00CDF"/>
    <w:rsid w:val="00D017CF"/>
    <w:rsid w:val="00D04F78"/>
    <w:rsid w:val="00D06B0A"/>
    <w:rsid w:val="00D1074B"/>
    <w:rsid w:val="00D10B5B"/>
    <w:rsid w:val="00D16ECC"/>
    <w:rsid w:val="00D21A12"/>
    <w:rsid w:val="00D22C09"/>
    <w:rsid w:val="00D25D3D"/>
    <w:rsid w:val="00D30002"/>
    <w:rsid w:val="00D3197F"/>
    <w:rsid w:val="00D3573A"/>
    <w:rsid w:val="00D3693B"/>
    <w:rsid w:val="00D56788"/>
    <w:rsid w:val="00D62127"/>
    <w:rsid w:val="00D6603C"/>
    <w:rsid w:val="00D7151F"/>
    <w:rsid w:val="00DA7D09"/>
    <w:rsid w:val="00DB3459"/>
    <w:rsid w:val="00DC62AB"/>
    <w:rsid w:val="00DD53DF"/>
    <w:rsid w:val="00DE4E70"/>
    <w:rsid w:val="00E0353E"/>
    <w:rsid w:val="00E1037F"/>
    <w:rsid w:val="00E205C8"/>
    <w:rsid w:val="00E26692"/>
    <w:rsid w:val="00E36C51"/>
    <w:rsid w:val="00E43674"/>
    <w:rsid w:val="00E458A4"/>
    <w:rsid w:val="00E55AC9"/>
    <w:rsid w:val="00E56127"/>
    <w:rsid w:val="00E65718"/>
    <w:rsid w:val="00E7796C"/>
    <w:rsid w:val="00E83A75"/>
    <w:rsid w:val="00EA5ACF"/>
    <w:rsid w:val="00EA7153"/>
    <w:rsid w:val="00EB00B4"/>
    <w:rsid w:val="00EB27EC"/>
    <w:rsid w:val="00ED7C11"/>
    <w:rsid w:val="00EE0CA4"/>
    <w:rsid w:val="00EE3555"/>
    <w:rsid w:val="00EF1DDD"/>
    <w:rsid w:val="00EF43E1"/>
    <w:rsid w:val="00F0313D"/>
    <w:rsid w:val="00F033CB"/>
    <w:rsid w:val="00F101FE"/>
    <w:rsid w:val="00F14099"/>
    <w:rsid w:val="00F140C5"/>
    <w:rsid w:val="00F25448"/>
    <w:rsid w:val="00F274C4"/>
    <w:rsid w:val="00F33190"/>
    <w:rsid w:val="00F4248F"/>
    <w:rsid w:val="00F45219"/>
    <w:rsid w:val="00F54CFC"/>
    <w:rsid w:val="00F60A7B"/>
    <w:rsid w:val="00F70AA5"/>
    <w:rsid w:val="00F749A6"/>
    <w:rsid w:val="00F91D42"/>
    <w:rsid w:val="00FB4681"/>
    <w:rsid w:val="00FE7F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0D60D"/>
  <w15:docId w15:val="{F47D91A8-8ED5-44E9-AAAB-328B08C9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s-MX"/>
    </w:rPr>
  </w:style>
  <w:style w:type="paragraph" w:styleId="Ttulo1">
    <w:name w:val="heading 1"/>
    <w:basedOn w:val="Normal"/>
    <w:uiPriority w:val="9"/>
    <w:qFormat/>
    <w:pPr>
      <w:ind w:left="334" w:right="417"/>
      <w:jc w:val="center"/>
      <w:outlineLvl w:val="0"/>
    </w:pPr>
    <w:rPr>
      <w:b/>
      <w:bCs/>
      <w:sz w:val="28"/>
      <w:szCs w:val="28"/>
    </w:rPr>
  </w:style>
  <w:style w:type="paragraph" w:styleId="Ttulo2">
    <w:name w:val="heading 2"/>
    <w:basedOn w:val="Normal"/>
    <w:uiPriority w:val="9"/>
    <w:unhideWhenUsed/>
    <w:qFormat/>
    <w:pPr>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121"/>
    </w:pPr>
  </w:style>
  <w:style w:type="paragraph" w:customStyle="1" w:styleId="TableParagraph">
    <w:name w:val="Table Paragraph"/>
    <w:basedOn w:val="Normal"/>
    <w:uiPriority w:val="1"/>
    <w:qFormat/>
    <w:rPr>
      <w:rFonts w:ascii="Calibri" w:eastAsia="Calibri" w:hAnsi="Calibri" w:cs="Calibri"/>
    </w:rPr>
  </w:style>
  <w:style w:type="paragraph" w:styleId="Encabezado">
    <w:name w:val="header"/>
    <w:basedOn w:val="Normal"/>
    <w:link w:val="EncabezadoCar"/>
    <w:unhideWhenUsed/>
    <w:rsid w:val="00823A6B"/>
    <w:pPr>
      <w:tabs>
        <w:tab w:val="center" w:pos="4419"/>
        <w:tab w:val="right" w:pos="8838"/>
      </w:tabs>
    </w:pPr>
  </w:style>
  <w:style w:type="character" w:customStyle="1" w:styleId="EncabezadoCar">
    <w:name w:val="Encabezado Car"/>
    <w:basedOn w:val="Fuentedeprrafopredeter"/>
    <w:link w:val="Encabezado"/>
    <w:rsid w:val="00823A6B"/>
    <w:rPr>
      <w:rFonts w:ascii="Arial" w:eastAsia="Arial" w:hAnsi="Arial" w:cs="Arial"/>
    </w:rPr>
  </w:style>
  <w:style w:type="paragraph" w:styleId="Piedepgina">
    <w:name w:val="footer"/>
    <w:basedOn w:val="Normal"/>
    <w:link w:val="PiedepginaCar"/>
    <w:uiPriority w:val="99"/>
    <w:unhideWhenUsed/>
    <w:rsid w:val="00823A6B"/>
    <w:pPr>
      <w:tabs>
        <w:tab w:val="center" w:pos="4419"/>
        <w:tab w:val="right" w:pos="8838"/>
      </w:tabs>
    </w:pPr>
  </w:style>
  <w:style w:type="character" w:customStyle="1" w:styleId="PiedepginaCar">
    <w:name w:val="Pie de página Car"/>
    <w:basedOn w:val="Fuentedeprrafopredeter"/>
    <w:link w:val="Piedepgina"/>
    <w:uiPriority w:val="99"/>
    <w:rsid w:val="00823A6B"/>
    <w:rPr>
      <w:rFonts w:ascii="Arial" w:eastAsia="Arial" w:hAnsi="Arial" w:cs="Arial"/>
    </w:rPr>
  </w:style>
  <w:style w:type="paragraph" w:customStyle="1" w:styleId="Default">
    <w:name w:val="Default"/>
    <w:rsid w:val="00823A6B"/>
    <w:pPr>
      <w:widowControl/>
      <w:adjustRightInd w:val="0"/>
    </w:pPr>
    <w:rPr>
      <w:rFonts w:ascii="Arial" w:hAnsi="Arial" w:cs="Arial"/>
      <w:color w:val="000000"/>
      <w:sz w:val="24"/>
      <w:szCs w:val="24"/>
      <w:lang w:val="es-MX"/>
    </w:rPr>
  </w:style>
  <w:style w:type="paragraph" w:styleId="Textonotapie">
    <w:name w:val="footnote text"/>
    <w:basedOn w:val="Normal"/>
    <w:link w:val="TextonotapieCar"/>
    <w:uiPriority w:val="99"/>
    <w:unhideWhenUsed/>
    <w:rsid w:val="00823A6B"/>
    <w:pPr>
      <w:widowControl/>
      <w:autoSpaceDE/>
      <w:autoSpaceDN/>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rsid w:val="00823A6B"/>
    <w:rPr>
      <w:sz w:val="20"/>
      <w:szCs w:val="20"/>
      <w:lang w:val="es-MX"/>
    </w:rPr>
  </w:style>
  <w:style w:type="character" w:styleId="Refdenotaalpie">
    <w:name w:val="footnote reference"/>
    <w:basedOn w:val="Fuentedeprrafopredeter"/>
    <w:uiPriority w:val="99"/>
    <w:semiHidden/>
    <w:unhideWhenUsed/>
    <w:rsid w:val="00823A6B"/>
    <w:rPr>
      <w:vertAlign w:val="superscript"/>
    </w:rPr>
  </w:style>
  <w:style w:type="character" w:styleId="Hipervnculo">
    <w:name w:val="Hyperlink"/>
    <w:basedOn w:val="Fuentedeprrafopredeter"/>
    <w:rsid w:val="00823A6B"/>
    <w:rPr>
      <w:color w:val="0000FF"/>
      <w:u w:val="single"/>
    </w:rPr>
  </w:style>
  <w:style w:type="character" w:customStyle="1" w:styleId="Mencinsinresolver1">
    <w:name w:val="Mención sin resolver1"/>
    <w:basedOn w:val="Fuentedeprrafopredeter"/>
    <w:uiPriority w:val="99"/>
    <w:semiHidden/>
    <w:unhideWhenUsed/>
    <w:rsid w:val="00823A6B"/>
    <w:rPr>
      <w:color w:val="605E5C"/>
      <w:shd w:val="clear" w:color="auto" w:fill="E1DFDD"/>
    </w:rPr>
  </w:style>
  <w:style w:type="character" w:styleId="Hipervnculovisitado">
    <w:name w:val="FollowedHyperlink"/>
    <w:basedOn w:val="Fuentedeprrafopredeter"/>
    <w:uiPriority w:val="99"/>
    <w:semiHidden/>
    <w:unhideWhenUsed/>
    <w:rsid w:val="00823A6B"/>
    <w:rPr>
      <w:color w:val="800080" w:themeColor="followedHyperlink"/>
      <w:u w:val="single"/>
    </w:rPr>
  </w:style>
  <w:style w:type="paragraph" w:styleId="NormalWeb">
    <w:name w:val="Normal (Web)"/>
    <w:basedOn w:val="Normal"/>
    <w:uiPriority w:val="99"/>
    <w:unhideWhenUsed/>
    <w:rsid w:val="00DB3459"/>
    <w:pPr>
      <w:widowControl/>
      <w:autoSpaceDE/>
      <w:autoSpaceDN/>
      <w:spacing w:before="100" w:beforeAutospacing="1" w:after="100" w:afterAutospacing="1"/>
    </w:pPr>
    <w:rPr>
      <w:rFonts w:ascii="Times New Roman" w:eastAsiaTheme="minorEastAsia" w:hAnsi="Times New Roman" w:cs="Times New Roman"/>
      <w:sz w:val="24"/>
      <w:szCs w:val="24"/>
      <w:lang w:eastAsia="es-MX"/>
    </w:rPr>
  </w:style>
  <w:style w:type="character" w:styleId="Refdecomentario">
    <w:name w:val="annotation reference"/>
    <w:basedOn w:val="Fuentedeprrafopredeter"/>
    <w:uiPriority w:val="99"/>
    <w:semiHidden/>
    <w:unhideWhenUsed/>
    <w:rsid w:val="00F033CB"/>
    <w:rPr>
      <w:sz w:val="16"/>
      <w:szCs w:val="16"/>
    </w:rPr>
  </w:style>
  <w:style w:type="paragraph" w:styleId="Textocomentario">
    <w:name w:val="annotation text"/>
    <w:basedOn w:val="Normal"/>
    <w:link w:val="TextocomentarioCar"/>
    <w:uiPriority w:val="99"/>
    <w:unhideWhenUsed/>
    <w:rsid w:val="00F033CB"/>
    <w:rPr>
      <w:sz w:val="20"/>
      <w:szCs w:val="20"/>
    </w:rPr>
  </w:style>
  <w:style w:type="character" w:customStyle="1" w:styleId="TextocomentarioCar">
    <w:name w:val="Texto comentario Car"/>
    <w:basedOn w:val="Fuentedeprrafopredeter"/>
    <w:link w:val="Textocomentario"/>
    <w:uiPriority w:val="99"/>
    <w:rsid w:val="00F033CB"/>
    <w:rPr>
      <w:rFonts w:ascii="Arial" w:eastAsia="Arial" w:hAnsi="Arial" w:cs="Arial"/>
      <w:sz w:val="20"/>
      <w:szCs w:val="20"/>
      <w:lang w:val="es-MX"/>
    </w:rPr>
  </w:style>
  <w:style w:type="paragraph" w:styleId="Asuntodelcomentario">
    <w:name w:val="annotation subject"/>
    <w:basedOn w:val="Textocomentario"/>
    <w:next w:val="Textocomentario"/>
    <w:link w:val="AsuntodelcomentarioCar"/>
    <w:uiPriority w:val="99"/>
    <w:semiHidden/>
    <w:unhideWhenUsed/>
    <w:rsid w:val="00F033CB"/>
    <w:rPr>
      <w:b/>
      <w:bCs/>
    </w:rPr>
  </w:style>
  <w:style w:type="character" w:customStyle="1" w:styleId="AsuntodelcomentarioCar">
    <w:name w:val="Asunto del comentario Car"/>
    <w:basedOn w:val="TextocomentarioCar"/>
    <w:link w:val="Asuntodelcomentario"/>
    <w:uiPriority w:val="99"/>
    <w:semiHidden/>
    <w:rsid w:val="00F033CB"/>
    <w:rPr>
      <w:rFonts w:ascii="Arial" w:eastAsia="Arial" w:hAnsi="Arial" w:cs="Arial"/>
      <w:b/>
      <w:bCs/>
      <w:sz w:val="20"/>
      <w:szCs w:val="20"/>
      <w:lang w:val="es-MX"/>
    </w:rPr>
  </w:style>
  <w:style w:type="paragraph" w:styleId="Textodeglobo">
    <w:name w:val="Balloon Text"/>
    <w:basedOn w:val="Normal"/>
    <w:link w:val="TextodegloboCar"/>
    <w:uiPriority w:val="99"/>
    <w:semiHidden/>
    <w:unhideWhenUsed/>
    <w:rsid w:val="00F033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33CB"/>
    <w:rPr>
      <w:rFonts w:ascii="Segoe UI" w:eastAsia="Arial" w:hAnsi="Segoe UI" w:cs="Segoe UI"/>
      <w:sz w:val="18"/>
      <w:szCs w:val="18"/>
      <w:lang w:val="es-MX"/>
    </w:rPr>
  </w:style>
  <w:style w:type="character" w:customStyle="1" w:styleId="TextoindependienteCar">
    <w:name w:val="Texto independiente Car"/>
    <w:basedOn w:val="Fuentedeprrafopredeter"/>
    <w:link w:val="Textoindependiente"/>
    <w:uiPriority w:val="1"/>
    <w:rsid w:val="009101C5"/>
    <w:rPr>
      <w:rFonts w:ascii="Arial" w:eastAsia="Arial" w:hAnsi="Arial" w:cs="Arial"/>
      <w:sz w:val="24"/>
      <w:szCs w:val="24"/>
      <w:lang w:val="es-MX"/>
    </w:rPr>
  </w:style>
  <w:style w:type="character" w:customStyle="1" w:styleId="Mencinsinresolver2">
    <w:name w:val="Mención sin resolver2"/>
    <w:basedOn w:val="Fuentedeprrafopredeter"/>
    <w:uiPriority w:val="99"/>
    <w:semiHidden/>
    <w:unhideWhenUsed/>
    <w:rsid w:val="00E56127"/>
    <w:rPr>
      <w:color w:val="605E5C"/>
      <w:shd w:val="clear" w:color="auto" w:fill="E1DFDD"/>
    </w:rPr>
  </w:style>
  <w:style w:type="paragraph" w:styleId="Revisin">
    <w:name w:val="Revision"/>
    <w:hidden/>
    <w:uiPriority w:val="99"/>
    <w:semiHidden/>
    <w:rsid w:val="00A32D5C"/>
    <w:pPr>
      <w:widowControl/>
      <w:autoSpaceDE/>
      <w:autoSpaceDN/>
    </w:pPr>
    <w:rPr>
      <w:rFonts w:ascii="Arial" w:eastAsia="Arial" w:hAnsi="Arial" w:cs="Arial"/>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3554">
      <w:bodyDiv w:val="1"/>
      <w:marLeft w:val="0"/>
      <w:marRight w:val="0"/>
      <w:marTop w:val="0"/>
      <w:marBottom w:val="0"/>
      <w:divBdr>
        <w:top w:val="none" w:sz="0" w:space="0" w:color="auto"/>
        <w:left w:val="none" w:sz="0" w:space="0" w:color="auto"/>
        <w:bottom w:val="none" w:sz="0" w:space="0" w:color="auto"/>
        <w:right w:val="none" w:sz="0" w:space="0" w:color="auto"/>
      </w:divBdr>
    </w:div>
    <w:div w:id="586690990">
      <w:bodyDiv w:val="1"/>
      <w:marLeft w:val="0"/>
      <w:marRight w:val="0"/>
      <w:marTop w:val="0"/>
      <w:marBottom w:val="0"/>
      <w:divBdr>
        <w:top w:val="none" w:sz="0" w:space="0" w:color="auto"/>
        <w:left w:val="none" w:sz="0" w:space="0" w:color="auto"/>
        <w:bottom w:val="none" w:sz="0" w:space="0" w:color="auto"/>
        <w:right w:val="none" w:sz="0" w:space="0" w:color="auto"/>
      </w:divBdr>
    </w:div>
    <w:div w:id="1870682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egi.org.mx/programas/cnije/2019/" TargetMode="Externa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5.xm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4.xml"/><Relationship Id="rId33" Type="http://schemas.openxmlformats.org/officeDocument/2006/relationships/chart" Target="charts/chart12.xm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chart" Target="charts/chart1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chart" Target="charts/chart15.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chart" Target="charts/chart14.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ivonne.acundo\Desktop\Datos%20bolet&#237;n%20CNIJE%202019.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ivonne.acundo\Desktop\Versiones%20finales%20PPT%20SPE,%20IJE,%20PJE%202019\Datos%20bolet&#237;n%20CNIJE%202019%20OK%20RECUPERADO%20(version%201)%2018_1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ivonne.acundo\Desktop\Versiones%20finales%20PPT%20SPE,%20IJE,%20PJE%202019\Datos%20bolet&#237;n%20CNIJE%202019%20OK%20RECUPERADO%20(version%201)%2018_1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ivonne.acundo\Desktop\Datos%20bolet&#237;n%20CNIJE%202019%20OK%20RECUPERADO.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ivonne.acundo\Desktop\Datos%20bolet&#237;n%20CNIJE%202019%20OK%20RECUPERADO.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ivonne.acundo\Desktop\Datos%20bolet&#237;n%20CNIJE%202019%20OK%20RECUPERADO%20(version%201)%2018_10.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ivonne.acundo\Desktop\Datos%20bolet&#237;n%20CNIJE%202019.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ivonne.acundo\Desktop\Datos%20bolet&#237;n%20CNIJE%202019%20OK%20RECUPERADO.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vonne.acundo\Desktop\Datos%20bolet&#237;n%20CNIJE%20201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vonne.acundo\Desktop\Versiones%20finales%20PPT%20SPE,%20IJE,%20PJE%202019\Datos%20bolet&#237;n%20CNIJE%202019%20OK%20RECUPERADO%20(version%201)%2018_1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vonne.acundo\Desktop\Datos%20bolet&#237;n%20CNIJE%202019%20VF10_1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ivonne.acundo\Desktop\Datos%20bolet&#237;n%20CNIJE%202019.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ivonne.acundo\Desktop\Datos%20bolet&#237;n%20CNIJE%202019%20OK.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ivonne.acundo\Desktop\Datos%20bolet&#237;n%20CNIJE%202019%20OK%20RECUPERADO.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ivonne.acundo\Desktop\Datos%20bolet&#237;n%20CNIJE%202019%20OK%20RECUPERADO.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ivonne.acundo\Desktop\Versiones%20finales%20PPT%20SPE,%20IJE,%20PJE%202019\Datos%20bolet&#237;n%20CNIJE%202019%20OK%20RECUPERADO%20(version%201)%2018_1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002060"/>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DC68-445D-8067-DA116C6CAE2E}"/>
              </c:ext>
            </c:extLst>
          </c:dPt>
          <c:dPt>
            <c:idx val="1"/>
            <c:invertIfNegative val="0"/>
            <c:bubble3D val="0"/>
            <c:spPr>
              <a:solidFill>
                <a:srgbClr val="003296"/>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DC68-445D-8067-DA116C6CAE2E}"/>
              </c:ext>
            </c:extLst>
          </c:dPt>
          <c:dPt>
            <c:idx val="2"/>
            <c:invertIfNegative val="0"/>
            <c:bubble3D val="0"/>
            <c:spPr>
              <a:solidFill>
                <a:srgbClr val="0053FA"/>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5-DC68-445D-8067-DA116C6CAE2E}"/>
              </c:ext>
            </c:extLst>
          </c:dPt>
          <c:dPt>
            <c:idx val="3"/>
            <c:invertIfNegative val="0"/>
            <c:bubble3D val="0"/>
            <c:spPr>
              <a:solidFill>
                <a:srgbClr val="3F7FFF"/>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7-DC68-445D-8067-DA116C6CAE2E}"/>
              </c:ext>
            </c:extLst>
          </c:dPt>
          <c:dPt>
            <c:idx val="4"/>
            <c:invertIfNegative val="0"/>
            <c:bubble3D val="0"/>
            <c:spPr>
              <a:solidFill>
                <a:srgbClr val="A7C4FF"/>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9-DC68-445D-8067-DA116C6CAE2E}"/>
              </c:ext>
            </c:extLst>
          </c:dPt>
          <c:dPt>
            <c:idx val="5"/>
            <c:invertIfNegative val="0"/>
            <c:bubble3D val="0"/>
            <c:spPr>
              <a:solidFill>
                <a:srgbClr val="A5A5A5"/>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B-DC68-445D-8067-DA116C6CAE2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Órganos!$T$4:$T$9</c:f>
              <c:strCache>
                <c:ptCount val="6"/>
                <c:pt idx="0">
                  <c:v>Penal*</c:v>
                </c:pt>
                <c:pt idx="1">
                  <c:v>Menor cuantía y/o
                     Paz**</c:v>
                </c:pt>
                <c:pt idx="2">
                  <c:v>Civil</c:v>
                </c:pt>
                <c:pt idx="3">
                  <c:v>Familiar</c:v>
                </c:pt>
                <c:pt idx="4">
                  <c:v>Mixta</c:v>
                </c:pt>
                <c:pt idx="5">
                  <c:v>Otros***</c:v>
                </c:pt>
              </c:strCache>
            </c:strRef>
          </c:cat>
          <c:val>
            <c:numRef>
              <c:f>Órganos!$W$4:$W$9</c:f>
              <c:numCache>
                <c:formatCode>0.0%</c:formatCode>
                <c:ptCount val="6"/>
                <c:pt idx="0">
                  <c:v>0.22151744327884851</c:v>
                </c:pt>
                <c:pt idx="1">
                  <c:v>0.21078311783361794</c:v>
                </c:pt>
                <c:pt idx="2">
                  <c:v>0.17248109294949987</c:v>
                </c:pt>
                <c:pt idx="3">
                  <c:v>0.113930226884606</c:v>
                </c:pt>
                <c:pt idx="4">
                  <c:v>8.6362527445718471E-2</c:v>
                </c:pt>
                <c:pt idx="5">
                  <c:v>0.1949255916077092</c:v>
                </c:pt>
              </c:numCache>
            </c:numRef>
          </c:val>
          <c:extLst xmlns:c16r2="http://schemas.microsoft.com/office/drawing/2015/06/chart">
            <c:ext xmlns:c16="http://schemas.microsoft.com/office/drawing/2014/chart" uri="{C3380CC4-5D6E-409C-BE32-E72D297353CC}">
              <c16:uniqueId val="{0000000C-DC68-445D-8067-DA116C6CAE2E}"/>
            </c:ext>
          </c:extLst>
        </c:ser>
        <c:dLbls>
          <c:showLegendKey val="0"/>
          <c:showVal val="0"/>
          <c:showCatName val="0"/>
          <c:showSerName val="0"/>
          <c:showPercent val="0"/>
          <c:showBubbleSize val="0"/>
        </c:dLbls>
        <c:gapWidth val="50"/>
        <c:axId val="483787920"/>
        <c:axId val="483786352"/>
      </c:barChart>
      <c:catAx>
        <c:axId val="4837879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83786352"/>
        <c:crosses val="autoZero"/>
        <c:auto val="1"/>
        <c:lblAlgn val="ctr"/>
        <c:lblOffset val="100"/>
        <c:noMultiLvlLbl val="0"/>
      </c:catAx>
      <c:valAx>
        <c:axId val="483786352"/>
        <c:scaling>
          <c:orientation val="minMax"/>
        </c:scaling>
        <c:delete val="1"/>
        <c:axPos val="t"/>
        <c:numFmt formatCode="0.0%" sourceLinked="1"/>
        <c:majorTickMark val="none"/>
        <c:minorTickMark val="none"/>
        <c:tickLblPos val="nextTo"/>
        <c:crossAx val="4837879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'Concentrado final DELITOS'!$AX$5</c:f>
              <c:strCache>
                <c:ptCount val="1"/>
                <c:pt idx="0">
                  <c:v>Robo</c:v>
                </c:pt>
              </c:strCache>
            </c:strRef>
          </c:tx>
          <c:spPr>
            <a:solidFill>
              <a:srgbClr val="002060"/>
            </a:solidFill>
            <a:ln>
              <a:noFill/>
            </a:ln>
            <a:effectLst>
              <a:outerShdw blurRad="50800" dist="38100" dir="2700000" algn="tl" rotWithShape="0">
                <a:prstClr val="black">
                  <a:alpha val="40000"/>
                </a:prstClr>
              </a:outerShdw>
            </a:effectLst>
          </c:spPr>
          <c:invertIfNegative val="0"/>
          <c:dPt>
            <c:idx val="5"/>
            <c:invertIfNegative val="0"/>
            <c:bubble3D val="0"/>
            <c:spPr>
              <a:solidFill>
                <a:srgbClr val="00B0F0"/>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37A4-4C3D-8FF3-FEC5646BD62C}"/>
              </c:ext>
            </c:extLst>
          </c:dPt>
          <c:dLbls>
            <c:dLbl>
              <c:idx val="32"/>
              <c:layout>
                <c:manualLayout>
                  <c:x val="2.7822364901016586E-2"/>
                  <c:y val="1.5349552316105737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8E7-47E5-BF3B-47539A4A0C3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'Concentrado final DELITOS'!$AW$6:$AW$38</c:f>
              <c:strCache>
                <c:ptCount val="33"/>
                <c:pt idx="0">
                  <c:v>CDMX</c:v>
                </c:pt>
                <c:pt idx="1">
                  <c:v>MEX</c:v>
                </c:pt>
                <c:pt idx="2">
                  <c:v>BC</c:v>
                </c:pt>
                <c:pt idx="3">
                  <c:v>PUE</c:v>
                </c:pt>
                <c:pt idx="4">
                  <c:v>AGS</c:v>
                </c:pt>
                <c:pt idx="5">
                  <c:v>NACIONAL</c:v>
                </c:pt>
                <c:pt idx="6">
                  <c:v>JAL</c:v>
                </c:pt>
                <c:pt idx="7">
                  <c:v>MORE</c:v>
                </c:pt>
                <c:pt idx="8">
                  <c:v>GTO</c:v>
                </c:pt>
                <c:pt idx="9">
                  <c:v>BCS</c:v>
                </c:pt>
                <c:pt idx="10">
                  <c:v>MICH</c:v>
                </c:pt>
                <c:pt idx="11">
                  <c:v>TLAX</c:v>
                </c:pt>
                <c:pt idx="12">
                  <c:v>DGO</c:v>
                </c:pt>
                <c:pt idx="13">
                  <c:v>QRO</c:v>
                </c:pt>
                <c:pt idx="14">
                  <c:v>YUC</c:v>
                </c:pt>
                <c:pt idx="15">
                  <c:v>SON</c:v>
                </c:pt>
                <c:pt idx="16">
                  <c:v>NL</c:v>
                </c:pt>
                <c:pt idx="17">
                  <c:v>CAMP</c:v>
                </c:pt>
                <c:pt idx="18">
                  <c:v>CHIH</c:v>
                </c:pt>
                <c:pt idx="19">
                  <c:v>HGO</c:v>
                </c:pt>
                <c:pt idx="20">
                  <c:v>TAB</c:v>
                </c:pt>
                <c:pt idx="21">
                  <c:v>SLP</c:v>
                </c:pt>
                <c:pt idx="22">
                  <c:v>VER</c:v>
                </c:pt>
                <c:pt idx="23">
                  <c:v>ZAC</c:v>
                </c:pt>
                <c:pt idx="24">
                  <c:v>QROO</c:v>
                </c:pt>
                <c:pt idx="25">
                  <c:v>COL</c:v>
                </c:pt>
                <c:pt idx="26">
                  <c:v>TAMP</c:v>
                </c:pt>
                <c:pt idx="27">
                  <c:v>SIN</c:v>
                </c:pt>
                <c:pt idx="28">
                  <c:v>GRO</c:v>
                </c:pt>
                <c:pt idx="29">
                  <c:v>OAX</c:v>
                </c:pt>
                <c:pt idx="30">
                  <c:v>COAH</c:v>
                </c:pt>
                <c:pt idx="31">
                  <c:v>CHIS</c:v>
                </c:pt>
                <c:pt idx="32">
                  <c:v>NAY</c:v>
                </c:pt>
              </c:strCache>
            </c:strRef>
          </c:cat>
          <c:val>
            <c:numRef>
              <c:f>'Concentrado final DELITOS'!$AX$6:$AX$38</c:f>
              <c:numCache>
                <c:formatCode>0.0%</c:formatCode>
                <c:ptCount val="33"/>
                <c:pt idx="0">
                  <c:v>0.56783230810377106</c:v>
                </c:pt>
                <c:pt idx="1">
                  <c:v>0.36520731989807736</c:v>
                </c:pt>
                <c:pt idx="2">
                  <c:v>0.36436853829896615</c:v>
                </c:pt>
                <c:pt idx="3">
                  <c:v>0.34404445518241122</c:v>
                </c:pt>
                <c:pt idx="4">
                  <c:v>0.33246301131418626</c:v>
                </c:pt>
                <c:pt idx="5">
                  <c:v>0.2772036474164134</c:v>
                </c:pt>
                <c:pt idx="6">
                  <c:v>0.25451263537906138</c:v>
                </c:pt>
                <c:pt idx="7">
                  <c:v>0.23262411347517731</c:v>
                </c:pt>
                <c:pt idx="8">
                  <c:v>0.23066459385930821</c:v>
                </c:pt>
                <c:pt idx="9">
                  <c:v>0.22960470984020184</c:v>
                </c:pt>
                <c:pt idx="10">
                  <c:v>0.22851919561243145</c:v>
                </c:pt>
                <c:pt idx="11">
                  <c:v>0.22828282828282828</c:v>
                </c:pt>
                <c:pt idx="12">
                  <c:v>0.21436320243002821</c:v>
                </c:pt>
                <c:pt idx="13">
                  <c:v>0.21358355674709562</c:v>
                </c:pt>
                <c:pt idx="14">
                  <c:v>0.1983695652173913</c:v>
                </c:pt>
                <c:pt idx="15">
                  <c:v>0.19640179910044978</c:v>
                </c:pt>
                <c:pt idx="16">
                  <c:v>0.18589415498003889</c:v>
                </c:pt>
                <c:pt idx="17">
                  <c:v>0.18410852713178294</c:v>
                </c:pt>
                <c:pt idx="18">
                  <c:v>0.17746113989637305</c:v>
                </c:pt>
                <c:pt idx="19">
                  <c:v>0.17704051673517324</c:v>
                </c:pt>
                <c:pt idx="20">
                  <c:v>0.17108376715570278</c:v>
                </c:pt>
                <c:pt idx="21">
                  <c:v>0.16102997694081475</c:v>
                </c:pt>
                <c:pt idx="22">
                  <c:v>0.15016424213984045</c:v>
                </c:pt>
                <c:pt idx="23">
                  <c:v>0.13705796191671898</c:v>
                </c:pt>
                <c:pt idx="24">
                  <c:v>0.1364168618266979</c:v>
                </c:pt>
                <c:pt idx="25">
                  <c:v>0.11197578901859058</c:v>
                </c:pt>
                <c:pt idx="26">
                  <c:v>0.10686506594521475</c:v>
                </c:pt>
                <c:pt idx="27">
                  <c:v>0.10433327134089641</c:v>
                </c:pt>
                <c:pt idx="28">
                  <c:v>9.8509933774834441E-2</c:v>
                </c:pt>
                <c:pt idx="29">
                  <c:v>8.8685916322922803E-2</c:v>
                </c:pt>
                <c:pt idx="30">
                  <c:v>8.125602534086214E-2</c:v>
                </c:pt>
                <c:pt idx="31">
                  <c:v>7.6826196473551642E-2</c:v>
                </c:pt>
                <c:pt idx="32">
                  <c:v>1.2860310421286032E-2</c:v>
                </c:pt>
              </c:numCache>
            </c:numRef>
          </c:val>
          <c:extLst xmlns:c16r2="http://schemas.microsoft.com/office/drawing/2015/06/chart">
            <c:ext xmlns:c16="http://schemas.microsoft.com/office/drawing/2014/chart" uri="{C3380CC4-5D6E-409C-BE32-E72D297353CC}">
              <c16:uniqueId val="{00000002-37A4-4C3D-8FF3-FEC5646BD62C}"/>
            </c:ext>
          </c:extLst>
        </c:ser>
        <c:ser>
          <c:idx val="1"/>
          <c:order val="1"/>
          <c:tx>
            <c:strRef>
              <c:f>'Concentrado final DELITOS'!$AY$5</c:f>
              <c:strCache>
                <c:ptCount val="1"/>
                <c:pt idx="0">
                  <c:v>Narcomenudeo*</c:v>
                </c:pt>
              </c:strCache>
            </c:strRef>
          </c:tx>
          <c:spPr>
            <a:solidFill>
              <a:srgbClr val="003296"/>
            </a:solidFill>
            <a:ln>
              <a:noFill/>
            </a:ln>
            <a:effectLst>
              <a:outerShdw blurRad="50800" dist="38100" dir="2700000" algn="tl" rotWithShape="0">
                <a:prstClr val="black">
                  <a:alpha val="40000"/>
                </a:prstClr>
              </a:outerShdw>
            </a:effectLst>
          </c:spPr>
          <c:invertIfNegative val="0"/>
          <c:cat>
            <c:strRef>
              <c:f>'Concentrado final DELITOS'!$AW$6:$AW$38</c:f>
              <c:strCache>
                <c:ptCount val="33"/>
                <c:pt idx="0">
                  <c:v>CDMX</c:v>
                </c:pt>
                <c:pt idx="1">
                  <c:v>MEX</c:v>
                </c:pt>
                <c:pt idx="2">
                  <c:v>BC</c:v>
                </c:pt>
                <c:pt idx="3">
                  <c:v>PUE</c:v>
                </c:pt>
                <c:pt idx="4">
                  <c:v>AGS</c:v>
                </c:pt>
                <c:pt idx="5">
                  <c:v>NACIONAL</c:v>
                </c:pt>
                <c:pt idx="6">
                  <c:v>JAL</c:v>
                </c:pt>
                <c:pt idx="7">
                  <c:v>MORE</c:v>
                </c:pt>
                <c:pt idx="8">
                  <c:v>GTO</c:v>
                </c:pt>
                <c:pt idx="9">
                  <c:v>BCS</c:v>
                </c:pt>
                <c:pt idx="10">
                  <c:v>MICH</c:v>
                </c:pt>
                <c:pt idx="11">
                  <c:v>TLAX</c:v>
                </c:pt>
                <c:pt idx="12">
                  <c:v>DGO</c:v>
                </c:pt>
                <c:pt idx="13">
                  <c:v>QRO</c:v>
                </c:pt>
                <c:pt idx="14">
                  <c:v>YUC</c:v>
                </c:pt>
                <c:pt idx="15">
                  <c:v>SON</c:v>
                </c:pt>
                <c:pt idx="16">
                  <c:v>NL</c:v>
                </c:pt>
                <c:pt idx="17">
                  <c:v>CAMP</c:v>
                </c:pt>
                <c:pt idx="18">
                  <c:v>CHIH</c:v>
                </c:pt>
                <c:pt idx="19">
                  <c:v>HGO</c:v>
                </c:pt>
                <c:pt idx="20">
                  <c:v>TAB</c:v>
                </c:pt>
                <c:pt idx="21">
                  <c:v>SLP</c:v>
                </c:pt>
                <c:pt idx="22">
                  <c:v>VER</c:v>
                </c:pt>
                <c:pt idx="23">
                  <c:v>ZAC</c:v>
                </c:pt>
                <c:pt idx="24">
                  <c:v>QROO</c:v>
                </c:pt>
                <c:pt idx="25">
                  <c:v>COL</c:v>
                </c:pt>
                <c:pt idx="26">
                  <c:v>TAMP</c:v>
                </c:pt>
                <c:pt idx="27">
                  <c:v>SIN</c:v>
                </c:pt>
                <c:pt idx="28">
                  <c:v>GRO</c:v>
                </c:pt>
                <c:pt idx="29">
                  <c:v>OAX</c:v>
                </c:pt>
                <c:pt idx="30">
                  <c:v>COAH</c:v>
                </c:pt>
                <c:pt idx="31">
                  <c:v>CHIS</c:v>
                </c:pt>
                <c:pt idx="32">
                  <c:v>NAY</c:v>
                </c:pt>
              </c:strCache>
            </c:strRef>
          </c:cat>
          <c:val>
            <c:numRef>
              <c:f>'Concentrado final DELITOS'!$AY$6:$AY$38</c:f>
              <c:numCache>
                <c:formatCode>0.0%</c:formatCode>
                <c:ptCount val="33"/>
                <c:pt idx="0">
                  <c:v>0.19707809574752608</c:v>
                </c:pt>
                <c:pt idx="1">
                  <c:v>6.0227009497336112E-4</c:v>
                </c:pt>
                <c:pt idx="2">
                  <c:v>0.10841377734620437</c:v>
                </c:pt>
                <c:pt idx="3">
                  <c:v>5.0736892969316258E-2</c:v>
                </c:pt>
                <c:pt idx="4">
                  <c:v>0.23063533507397738</c:v>
                </c:pt>
                <c:pt idx="5">
                  <c:v>0.13239915511823194</c:v>
                </c:pt>
                <c:pt idx="6">
                  <c:v>8.1829121540312882E-2</c:v>
                </c:pt>
                <c:pt idx="7">
                  <c:v>0.12529550827423167</c:v>
                </c:pt>
                <c:pt idx="8">
                  <c:v>0.1149436455499417</c:v>
                </c:pt>
                <c:pt idx="9">
                  <c:v>4.289318755256518E-2</c:v>
                </c:pt>
                <c:pt idx="10">
                  <c:v>7.8001218769043271E-2</c:v>
                </c:pt>
                <c:pt idx="11">
                  <c:v>5.0505050505050504E-2</c:v>
                </c:pt>
                <c:pt idx="12">
                  <c:v>0.18897808635278801</c:v>
                </c:pt>
                <c:pt idx="13">
                  <c:v>0.16234733392910336</c:v>
                </c:pt>
                <c:pt idx="14">
                  <c:v>0.14673913043478262</c:v>
                </c:pt>
                <c:pt idx="15">
                  <c:v>0.24759049046905118</c:v>
                </c:pt>
                <c:pt idx="16">
                  <c:v>0.10292762821169003</c:v>
                </c:pt>
                <c:pt idx="17">
                  <c:v>9.3023255813953487E-2</c:v>
                </c:pt>
                <c:pt idx="18">
                  <c:v>0.24260896068271867</c:v>
                </c:pt>
                <c:pt idx="19">
                  <c:v>4.4627128596594248E-2</c:v>
                </c:pt>
                <c:pt idx="20">
                  <c:v>7.3355418835778516E-3</c:v>
                </c:pt>
                <c:pt idx="21">
                  <c:v>3.843197540353574E-2</c:v>
                </c:pt>
                <c:pt idx="22">
                  <c:v>4.5283904270295633E-2</c:v>
                </c:pt>
                <c:pt idx="23">
                  <c:v>2.3645114040594266E-2</c:v>
                </c:pt>
                <c:pt idx="24">
                  <c:v>0.11768149882903982</c:v>
                </c:pt>
                <c:pt idx="25">
                  <c:v>0.15131863380890617</c:v>
                </c:pt>
                <c:pt idx="26">
                  <c:v>8.1163341224213731E-2</c:v>
                </c:pt>
                <c:pt idx="27">
                  <c:v>5.058582852891947E-2</c:v>
                </c:pt>
                <c:pt idx="28">
                  <c:v>0.12086092715231789</c:v>
                </c:pt>
                <c:pt idx="29">
                  <c:v>0</c:v>
                </c:pt>
                <c:pt idx="30">
                  <c:v>0.6358628288114585</c:v>
                </c:pt>
                <c:pt idx="31">
                  <c:v>6.4231738035264482E-2</c:v>
                </c:pt>
                <c:pt idx="32">
                  <c:v>0.14900221729490024</c:v>
                </c:pt>
              </c:numCache>
            </c:numRef>
          </c:val>
          <c:extLst xmlns:c16r2="http://schemas.microsoft.com/office/drawing/2015/06/chart">
            <c:ext xmlns:c16="http://schemas.microsoft.com/office/drawing/2014/chart" uri="{C3380CC4-5D6E-409C-BE32-E72D297353CC}">
              <c16:uniqueId val="{00000003-37A4-4C3D-8FF3-FEC5646BD62C}"/>
            </c:ext>
          </c:extLst>
        </c:ser>
        <c:ser>
          <c:idx val="2"/>
          <c:order val="2"/>
          <c:tx>
            <c:strRef>
              <c:f>'Concentrado final DELITOS'!$AZ$5</c:f>
              <c:strCache>
                <c:ptCount val="1"/>
                <c:pt idx="0">
                  <c:v>Violencia familiar</c:v>
                </c:pt>
              </c:strCache>
            </c:strRef>
          </c:tx>
          <c:spPr>
            <a:solidFill>
              <a:srgbClr val="0053FA"/>
            </a:solidFill>
            <a:ln>
              <a:noFill/>
            </a:ln>
            <a:effectLst>
              <a:outerShdw blurRad="50800" dist="38100" dir="2700000" algn="tl" rotWithShape="0">
                <a:prstClr val="black">
                  <a:alpha val="40000"/>
                </a:prstClr>
              </a:outerShdw>
            </a:effectLst>
          </c:spPr>
          <c:invertIfNegative val="0"/>
          <c:cat>
            <c:strRef>
              <c:f>'Concentrado final DELITOS'!$AW$6:$AW$38</c:f>
              <c:strCache>
                <c:ptCount val="33"/>
                <c:pt idx="0">
                  <c:v>CDMX</c:v>
                </c:pt>
                <c:pt idx="1">
                  <c:v>MEX</c:v>
                </c:pt>
                <c:pt idx="2">
                  <c:v>BC</c:v>
                </c:pt>
                <c:pt idx="3">
                  <c:v>PUE</c:v>
                </c:pt>
                <c:pt idx="4">
                  <c:v>AGS</c:v>
                </c:pt>
                <c:pt idx="5">
                  <c:v>NACIONAL</c:v>
                </c:pt>
                <c:pt idx="6">
                  <c:v>JAL</c:v>
                </c:pt>
                <c:pt idx="7">
                  <c:v>MORE</c:v>
                </c:pt>
                <c:pt idx="8">
                  <c:v>GTO</c:v>
                </c:pt>
                <c:pt idx="9">
                  <c:v>BCS</c:v>
                </c:pt>
                <c:pt idx="10">
                  <c:v>MICH</c:v>
                </c:pt>
                <c:pt idx="11">
                  <c:v>TLAX</c:v>
                </c:pt>
                <c:pt idx="12">
                  <c:v>DGO</c:v>
                </c:pt>
                <c:pt idx="13">
                  <c:v>QRO</c:v>
                </c:pt>
                <c:pt idx="14">
                  <c:v>YUC</c:v>
                </c:pt>
                <c:pt idx="15">
                  <c:v>SON</c:v>
                </c:pt>
                <c:pt idx="16">
                  <c:v>NL</c:v>
                </c:pt>
                <c:pt idx="17">
                  <c:v>CAMP</c:v>
                </c:pt>
                <c:pt idx="18">
                  <c:v>CHIH</c:v>
                </c:pt>
                <c:pt idx="19">
                  <c:v>HGO</c:v>
                </c:pt>
                <c:pt idx="20">
                  <c:v>TAB</c:v>
                </c:pt>
                <c:pt idx="21">
                  <c:v>SLP</c:v>
                </c:pt>
                <c:pt idx="22">
                  <c:v>VER</c:v>
                </c:pt>
                <c:pt idx="23">
                  <c:v>ZAC</c:v>
                </c:pt>
                <c:pt idx="24">
                  <c:v>QROO</c:v>
                </c:pt>
                <c:pt idx="25">
                  <c:v>COL</c:v>
                </c:pt>
                <c:pt idx="26">
                  <c:v>TAMP</c:v>
                </c:pt>
                <c:pt idx="27">
                  <c:v>SIN</c:v>
                </c:pt>
                <c:pt idx="28">
                  <c:v>GRO</c:v>
                </c:pt>
                <c:pt idx="29">
                  <c:v>OAX</c:v>
                </c:pt>
                <c:pt idx="30">
                  <c:v>COAH</c:v>
                </c:pt>
                <c:pt idx="31">
                  <c:v>CHIS</c:v>
                </c:pt>
                <c:pt idx="32">
                  <c:v>NAY</c:v>
                </c:pt>
              </c:strCache>
            </c:strRef>
          </c:cat>
          <c:val>
            <c:numRef>
              <c:f>'Concentrado final DELITOS'!$AZ$6:$AZ$38</c:f>
              <c:numCache>
                <c:formatCode>0.0%</c:formatCode>
                <c:ptCount val="33"/>
                <c:pt idx="0">
                  <c:v>3.0522867076758491E-2</c:v>
                </c:pt>
                <c:pt idx="1">
                  <c:v>3.5209636321519573E-3</c:v>
                </c:pt>
                <c:pt idx="2">
                  <c:v>7.9282572685211633E-2</c:v>
                </c:pt>
                <c:pt idx="3">
                  <c:v>0.1290166706934042</c:v>
                </c:pt>
                <c:pt idx="4">
                  <c:v>1.7406440382941687E-2</c:v>
                </c:pt>
                <c:pt idx="5">
                  <c:v>0.11250837154190922</c:v>
                </c:pt>
                <c:pt idx="6">
                  <c:v>0.12545126353790614</c:v>
                </c:pt>
                <c:pt idx="7">
                  <c:v>0.14609929078014183</c:v>
                </c:pt>
                <c:pt idx="8">
                  <c:v>0.18956471045472212</c:v>
                </c:pt>
                <c:pt idx="9">
                  <c:v>5.7190916736753576E-2</c:v>
                </c:pt>
                <c:pt idx="10">
                  <c:v>1.7672151127361365E-2</c:v>
                </c:pt>
                <c:pt idx="11">
                  <c:v>4.0404040404040404E-3</c:v>
                </c:pt>
                <c:pt idx="12">
                  <c:v>0.15990453460620524</c:v>
                </c:pt>
                <c:pt idx="13">
                  <c:v>7.2088173964849567E-2</c:v>
                </c:pt>
                <c:pt idx="14">
                  <c:v>4.619565217391304E-2</c:v>
                </c:pt>
                <c:pt idx="15">
                  <c:v>8.5885628614264298E-2</c:v>
                </c:pt>
                <c:pt idx="16">
                  <c:v>0.26077387654826489</c:v>
                </c:pt>
                <c:pt idx="17">
                  <c:v>2.1317829457364341E-2</c:v>
                </c:pt>
                <c:pt idx="18">
                  <c:v>0.18995733008229199</c:v>
                </c:pt>
                <c:pt idx="19">
                  <c:v>7.9271873165002935E-2</c:v>
                </c:pt>
                <c:pt idx="20">
                  <c:v>0.35044959772834833</c:v>
                </c:pt>
                <c:pt idx="21">
                  <c:v>0.18793235972328978</c:v>
                </c:pt>
                <c:pt idx="22">
                  <c:v>7.813233223838574E-2</c:v>
                </c:pt>
                <c:pt idx="23">
                  <c:v>0.13057124921531701</c:v>
                </c:pt>
                <c:pt idx="24">
                  <c:v>1.9906323185011711E-2</c:v>
                </c:pt>
                <c:pt idx="25">
                  <c:v>6.1824470384781671E-2</c:v>
                </c:pt>
                <c:pt idx="26">
                  <c:v>5.1065268853567804E-2</c:v>
                </c:pt>
                <c:pt idx="27">
                  <c:v>0.29812162916124235</c:v>
                </c:pt>
                <c:pt idx="28">
                  <c:v>7.8642384105960264E-2</c:v>
                </c:pt>
                <c:pt idx="29">
                  <c:v>1.0901591043017089E-2</c:v>
                </c:pt>
                <c:pt idx="30">
                  <c:v>0.12932103016113483</c:v>
                </c:pt>
                <c:pt idx="31">
                  <c:v>4.4080604534005037E-2</c:v>
                </c:pt>
                <c:pt idx="32">
                  <c:v>0.14811529933481152</c:v>
                </c:pt>
              </c:numCache>
            </c:numRef>
          </c:val>
          <c:extLst xmlns:c16r2="http://schemas.microsoft.com/office/drawing/2015/06/chart">
            <c:ext xmlns:c16="http://schemas.microsoft.com/office/drawing/2014/chart" uri="{C3380CC4-5D6E-409C-BE32-E72D297353CC}">
              <c16:uniqueId val="{00000004-37A4-4C3D-8FF3-FEC5646BD62C}"/>
            </c:ext>
          </c:extLst>
        </c:ser>
        <c:ser>
          <c:idx val="3"/>
          <c:order val="3"/>
          <c:tx>
            <c:strRef>
              <c:f>'Concentrado final DELITOS'!$BA$5</c:f>
              <c:strCache>
                <c:ptCount val="1"/>
                <c:pt idx="0">
                  <c:v>Lesiones</c:v>
                </c:pt>
              </c:strCache>
            </c:strRef>
          </c:tx>
          <c:spPr>
            <a:solidFill>
              <a:srgbClr val="3F7FFF"/>
            </a:solidFill>
            <a:ln>
              <a:noFill/>
            </a:ln>
            <a:effectLst>
              <a:outerShdw blurRad="50800" dist="38100" dir="2700000" algn="tl" rotWithShape="0">
                <a:prstClr val="black">
                  <a:alpha val="40000"/>
                </a:prstClr>
              </a:outerShdw>
            </a:effectLst>
          </c:spPr>
          <c:invertIfNegative val="0"/>
          <c:cat>
            <c:strRef>
              <c:f>'Concentrado final DELITOS'!$AW$6:$AW$38</c:f>
              <c:strCache>
                <c:ptCount val="33"/>
                <c:pt idx="0">
                  <c:v>CDMX</c:v>
                </c:pt>
                <c:pt idx="1">
                  <c:v>MEX</c:v>
                </c:pt>
                <c:pt idx="2">
                  <c:v>BC</c:v>
                </c:pt>
                <c:pt idx="3">
                  <c:v>PUE</c:v>
                </c:pt>
                <c:pt idx="4">
                  <c:v>AGS</c:v>
                </c:pt>
                <c:pt idx="5">
                  <c:v>NACIONAL</c:v>
                </c:pt>
                <c:pt idx="6">
                  <c:v>JAL</c:v>
                </c:pt>
                <c:pt idx="7">
                  <c:v>MORE</c:v>
                </c:pt>
                <c:pt idx="8">
                  <c:v>GTO</c:v>
                </c:pt>
                <c:pt idx="9">
                  <c:v>BCS</c:v>
                </c:pt>
                <c:pt idx="10">
                  <c:v>MICH</c:v>
                </c:pt>
                <c:pt idx="11">
                  <c:v>TLAX</c:v>
                </c:pt>
                <c:pt idx="12">
                  <c:v>DGO</c:v>
                </c:pt>
                <c:pt idx="13">
                  <c:v>QRO</c:v>
                </c:pt>
                <c:pt idx="14">
                  <c:v>YUC</c:v>
                </c:pt>
                <c:pt idx="15">
                  <c:v>SON</c:v>
                </c:pt>
                <c:pt idx="16">
                  <c:v>NL</c:v>
                </c:pt>
                <c:pt idx="17">
                  <c:v>CAMP</c:v>
                </c:pt>
                <c:pt idx="18">
                  <c:v>CHIH</c:v>
                </c:pt>
                <c:pt idx="19">
                  <c:v>HGO</c:v>
                </c:pt>
                <c:pt idx="20">
                  <c:v>TAB</c:v>
                </c:pt>
                <c:pt idx="21">
                  <c:v>SLP</c:v>
                </c:pt>
                <c:pt idx="22">
                  <c:v>VER</c:v>
                </c:pt>
                <c:pt idx="23">
                  <c:v>ZAC</c:v>
                </c:pt>
                <c:pt idx="24">
                  <c:v>QROO</c:v>
                </c:pt>
                <c:pt idx="25">
                  <c:v>COL</c:v>
                </c:pt>
                <c:pt idx="26">
                  <c:v>TAMP</c:v>
                </c:pt>
                <c:pt idx="27">
                  <c:v>SIN</c:v>
                </c:pt>
                <c:pt idx="28">
                  <c:v>GRO</c:v>
                </c:pt>
                <c:pt idx="29">
                  <c:v>OAX</c:v>
                </c:pt>
                <c:pt idx="30">
                  <c:v>COAH</c:v>
                </c:pt>
                <c:pt idx="31">
                  <c:v>CHIS</c:v>
                </c:pt>
                <c:pt idx="32">
                  <c:v>NAY</c:v>
                </c:pt>
              </c:strCache>
            </c:strRef>
          </c:cat>
          <c:val>
            <c:numRef>
              <c:f>'Concentrado final DELITOS'!$BA$6:$BA$38</c:f>
              <c:numCache>
                <c:formatCode>0.0%</c:formatCode>
                <c:ptCount val="33"/>
                <c:pt idx="0">
                  <c:v>2.8182669162877774E-2</c:v>
                </c:pt>
                <c:pt idx="1">
                  <c:v>8.746814917766968E-2</c:v>
                </c:pt>
                <c:pt idx="2">
                  <c:v>8.2709773233563724E-2</c:v>
                </c:pt>
                <c:pt idx="3">
                  <c:v>0.10340661995651124</c:v>
                </c:pt>
                <c:pt idx="4">
                  <c:v>8.4856396866840725E-2</c:v>
                </c:pt>
                <c:pt idx="5">
                  <c:v>8.4534542269846996E-2</c:v>
                </c:pt>
                <c:pt idx="6">
                  <c:v>0.13643200962695548</c:v>
                </c:pt>
                <c:pt idx="7">
                  <c:v>7.1867612293144215E-2</c:v>
                </c:pt>
                <c:pt idx="8">
                  <c:v>9.1138748542557324E-2</c:v>
                </c:pt>
                <c:pt idx="9">
                  <c:v>0.11816652649285113</c:v>
                </c:pt>
                <c:pt idx="10">
                  <c:v>9.4759293113954909E-2</c:v>
                </c:pt>
                <c:pt idx="11">
                  <c:v>0.14343434343434344</c:v>
                </c:pt>
                <c:pt idx="12">
                  <c:v>0.14753742677370363</c:v>
                </c:pt>
                <c:pt idx="13">
                  <c:v>6.2555853440571935E-2</c:v>
                </c:pt>
                <c:pt idx="14">
                  <c:v>0.11865942028985507</c:v>
                </c:pt>
                <c:pt idx="15">
                  <c:v>3.5339473120582568E-2</c:v>
                </c:pt>
                <c:pt idx="16">
                  <c:v>9.5762104616644486E-2</c:v>
                </c:pt>
                <c:pt idx="17">
                  <c:v>0.10465116279069768</c:v>
                </c:pt>
                <c:pt idx="18">
                  <c:v>4.8156049984760745E-2</c:v>
                </c:pt>
                <c:pt idx="19">
                  <c:v>0.14034057545507928</c:v>
                </c:pt>
                <c:pt idx="20">
                  <c:v>4.495977283483199E-2</c:v>
                </c:pt>
                <c:pt idx="21">
                  <c:v>9.4926979246733281E-2</c:v>
                </c:pt>
                <c:pt idx="22">
                  <c:v>0.15978413890192397</c:v>
                </c:pt>
                <c:pt idx="23">
                  <c:v>0.19292739066750367</c:v>
                </c:pt>
                <c:pt idx="24">
                  <c:v>9.7189695550351285E-2</c:v>
                </c:pt>
                <c:pt idx="25">
                  <c:v>2.9399048854301772E-2</c:v>
                </c:pt>
                <c:pt idx="26">
                  <c:v>6.9665201217450123E-2</c:v>
                </c:pt>
                <c:pt idx="27">
                  <c:v>0.19843779058954808</c:v>
                </c:pt>
                <c:pt idx="28">
                  <c:v>0.10430463576158941</c:v>
                </c:pt>
                <c:pt idx="29">
                  <c:v>0.22480848556275781</c:v>
                </c:pt>
                <c:pt idx="30">
                  <c:v>2.4514529679107562E-2</c:v>
                </c:pt>
                <c:pt idx="31">
                  <c:v>4.2821158690176324E-2</c:v>
                </c:pt>
                <c:pt idx="32">
                  <c:v>3.4589800443458982E-2</c:v>
                </c:pt>
              </c:numCache>
            </c:numRef>
          </c:val>
          <c:extLst xmlns:c16r2="http://schemas.microsoft.com/office/drawing/2015/06/chart">
            <c:ext xmlns:c16="http://schemas.microsoft.com/office/drawing/2014/chart" uri="{C3380CC4-5D6E-409C-BE32-E72D297353CC}">
              <c16:uniqueId val="{00000005-37A4-4C3D-8FF3-FEC5646BD62C}"/>
            </c:ext>
          </c:extLst>
        </c:ser>
        <c:ser>
          <c:idx val="4"/>
          <c:order val="4"/>
          <c:tx>
            <c:strRef>
              <c:f>'Concentrado final DELITOS'!$BB$5</c:f>
              <c:strCache>
                <c:ptCount val="1"/>
                <c:pt idx="0">
                  <c:v>Daño a la propiedad</c:v>
                </c:pt>
              </c:strCache>
            </c:strRef>
          </c:tx>
          <c:spPr>
            <a:solidFill>
              <a:srgbClr val="A7C4FF"/>
            </a:solidFill>
            <a:ln>
              <a:noFill/>
            </a:ln>
            <a:effectLst>
              <a:outerShdw blurRad="50800" dist="38100" dir="2700000" algn="tl" rotWithShape="0">
                <a:prstClr val="black">
                  <a:alpha val="40000"/>
                </a:prstClr>
              </a:outerShdw>
            </a:effectLst>
          </c:spPr>
          <c:invertIfNegative val="0"/>
          <c:cat>
            <c:strRef>
              <c:f>'Concentrado final DELITOS'!$AW$6:$AW$38</c:f>
              <c:strCache>
                <c:ptCount val="33"/>
                <c:pt idx="0">
                  <c:v>CDMX</c:v>
                </c:pt>
                <c:pt idx="1">
                  <c:v>MEX</c:v>
                </c:pt>
                <c:pt idx="2">
                  <c:v>BC</c:v>
                </c:pt>
                <c:pt idx="3">
                  <c:v>PUE</c:v>
                </c:pt>
                <c:pt idx="4">
                  <c:v>AGS</c:v>
                </c:pt>
                <c:pt idx="5">
                  <c:v>NACIONAL</c:v>
                </c:pt>
                <c:pt idx="6">
                  <c:v>JAL</c:v>
                </c:pt>
                <c:pt idx="7">
                  <c:v>MORE</c:v>
                </c:pt>
                <c:pt idx="8">
                  <c:v>GTO</c:v>
                </c:pt>
                <c:pt idx="9">
                  <c:v>BCS</c:v>
                </c:pt>
                <c:pt idx="10">
                  <c:v>MICH</c:v>
                </c:pt>
                <c:pt idx="11">
                  <c:v>TLAX</c:v>
                </c:pt>
                <c:pt idx="12">
                  <c:v>DGO</c:v>
                </c:pt>
                <c:pt idx="13">
                  <c:v>QRO</c:v>
                </c:pt>
                <c:pt idx="14">
                  <c:v>YUC</c:v>
                </c:pt>
                <c:pt idx="15">
                  <c:v>SON</c:v>
                </c:pt>
                <c:pt idx="16">
                  <c:v>NL</c:v>
                </c:pt>
                <c:pt idx="17">
                  <c:v>CAMP</c:v>
                </c:pt>
                <c:pt idx="18">
                  <c:v>CHIH</c:v>
                </c:pt>
                <c:pt idx="19">
                  <c:v>HGO</c:v>
                </c:pt>
                <c:pt idx="20">
                  <c:v>TAB</c:v>
                </c:pt>
                <c:pt idx="21">
                  <c:v>SLP</c:v>
                </c:pt>
                <c:pt idx="22">
                  <c:v>VER</c:v>
                </c:pt>
                <c:pt idx="23">
                  <c:v>ZAC</c:v>
                </c:pt>
                <c:pt idx="24">
                  <c:v>QROO</c:v>
                </c:pt>
                <c:pt idx="25">
                  <c:v>COL</c:v>
                </c:pt>
                <c:pt idx="26">
                  <c:v>TAMP</c:v>
                </c:pt>
                <c:pt idx="27">
                  <c:v>SIN</c:v>
                </c:pt>
                <c:pt idx="28">
                  <c:v>GRO</c:v>
                </c:pt>
                <c:pt idx="29">
                  <c:v>OAX</c:v>
                </c:pt>
                <c:pt idx="30">
                  <c:v>COAH</c:v>
                </c:pt>
                <c:pt idx="31">
                  <c:v>CHIS</c:v>
                </c:pt>
                <c:pt idx="32">
                  <c:v>NAY</c:v>
                </c:pt>
              </c:strCache>
            </c:strRef>
          </c:cat>
          <c:val>
            <c:numRef>
              <c:f>'Concentrado final DELITOS'!$BB$6:$BB$38</c:f>
              <c:numCache>
                <c:formatCode>0.0%</c:formatCode>
                <c:ptCount val="33"/>
                <c:pt idx="0">
                  <c:v>1.2770794330034769E-2</c:v>
                </c:pt>
                <c:pt idx="1">
                  <c:v>2.3025249015520038E-2</c:v>
                </c:pt>
                <c:pt idx="2">
                  <c:v>7.1914091506254635E-2</c:v>
                </c:pt>
                <c:pt idx="3">
                  <c:v>4.3488765402271083E-2</c:v>
                </c:pt>
                <c:pt idx="4">
                  <c:v>5.918189730200174E-2</c:v>
                </c:pt>
                <c:pt idx="5">
                  <c:v>6.1094224924012161E-2</c:v>
                </c:pt>
                <c:pt idx="6">
                  <c:v>8.3483754512635386E-2</c:v>
                </c:pt>
                <c:pt idx="7">
                  <c:v>7.1394799054373528E-2</c:v>
                </c:pt>
                <c:pt idx="8">
                  <c:v>0.11805285658764089</c:v>
                </c:pt>
                <c:pt idx="9">
                  <c:v>0.13666947014297728</c:v>
                </c:pt>
                <c:pt idx="10">
                  <c:v>2.4680073126142597E-2</c:v>
                </c:pt>
                <c:pt idx="11">
                  <c:v>0.10505050505050505</c:v>
                </c:pt>
                <c:pt idx="12">
                  <c:v>7.8108049468431334E-2</c:v>
                </c:pt>
                <c:pt idx="13">
                  <c:v>4.2299672326481977E-2</c:v>
                </c:pt>
                <c:pt idx="14">
                  <c:v>6.5217391304347824E-2</c:v>
                </c:pt>
                <c:pt idx="15">
                  <c:v>2.7629042621546369E-2</c:v>
                </c:pt>
                <c:pt idx="16">
                  <c:v>9.0848602722898963E-2</c:v>
                </c:pt>
                <c:pt idx="17">
                  <c:v>0.12596899224806202</c:v>
                </c:pt>
                <c:pt idx="18">
                  <c:v>6.4995428223102711E-2</c:v>
                </c:pt>
                <c:pt idx="19">
                  <c:v>0.11215502055196712</c:v>
                </c:pt>
                <c:pt idx="20">
                  <c:v>5.0402271651680076E-2</c:v>
                </c:pt>
                <c:pt idx="21">
                  <c:v>5.4189085318985399E-2</c:v>
                </c:pt>
                <c:pt idx="22">
                  <c:v>7.4847489441576723E-2</c:v>
                </c:pt>
                <c:pt idx="23">
                  <c:v>8.851224105461393E-2</c:v>
                </c:pt>
                <c:pt idx="24">
                  <c:v>0.1721311475409836</c:v>
                </c:pt>
                <c:pt idx="25">
                  <c:v>2.3346303501945526E-2</c:v>
                </c:pt>
                <c:pt idx="26">
                  <c:v>5.0050727088265135E-2</c:v>
                </c:pt>
                <c:pt idx="27">
                  <c:v>7.6436674725683468E-2</c:v>
                </c:pt>
                <c:pt idx="28">
                  <c:v>4.3874172185430466E-2</c:v>
                </c:pt>
                <c:pt idx="29">
                  <c:v>0.26193282262816736</c:v>
                </c:pt>
                <c:pt idx="30">
                  <c:v>2.6442638754992424E-2</c:v>
                </c:pt>
                <c:pt idx="31">
                  <c:v>4.4080604534005037E-2</c:v>
                </c:pt>
                <c:pt idx="32">
                  <c:v>3.3702882483370292E-2</c:v>
                </c:pt>
              </c:numCache>
            </c:numRef>
          </c:val>
          <c:extLst xmlns:c16r2="http://schemas.microsoft.com/office/drawing/2015/06/chart">
            <c:ext xmlns:c16="http://schemas.microsoft.com/office/drawing/2014/chart" uri="{C3380CC4-5D6E-409C-BE32-E72D297353CC}">
              <c16:uniqueId val="{00000006-37A4-4C3D-8FF3-FEC5646BD62C}"/>
            </c:ext>
          </c:extLst>
        </c:ser>
        <c:ser>
          <c:idx val="5"/>
          <c:order val="5"/>
          <c:tx>
            <c:strRef>
              <c:f>'Concentrado final DELITOS'!$BC$5</c:f>
              <c:strCache>
                <c:ptCount val="1"/>
                <c:pt idx="0">
                  <c:v>Resto de delitos</c:v>
                </c:pt>
              </c:strCache>
            </c:strRef>
          </c:tx>
          <c:spPr>
            <a:solidFill>
              <a:srgbClr val="A5A5A5"/>
            </a:solidFill>
            <a:ln>
              <a:noFill/>
            </a:ln>
            <a:effectLst>
              <a:outerShdw blurRad="50800" dist="38100" dir="2700000" algn="tl" rotWithShape="0">
                <a:prstClr val="black">
                  <a:alpha val="40000"/>
                </a:prstClr>
              </a:outerShdw>
            </a:effectLst>
          </c:spPr>
          <c:invertIfNegative val="0"/>
          <c:cat>
            <c:strRef>
              <c:f>'Concentrado final DELITOS'!$AW$6:$AW$38</c:f>
              <c:strCache>
                <c:ptCount val="33"/>
                <c:pt idx="0">
                  <c:v>CDMX</c:v>
                </c:pt>
                <c:pt idx="1">
                  <c:v>MEX</c:v>
                </c:pt>
                <c:pt idx="2">
                  <c:v>BC</c:v>
                </c:pt>
                <c:pt idx="3">
                  <c:v>PUE</c:v>
                </c:pt>
                <c:pt idx="4">
                  <c:v>AGS</c:v>
                </c:pt>
                <c:pt idx="5">
                  <c:v>NACIONAL</c:v>
                </c:pt>
                <c:pt idx="6">
                  <c:v>JAL</c:v>
                </c:pt>
                <c:pt idx="7">
                  <c:v>MORE</c:v>
                </c:pt>
                <c:pt idx="8">
                  <c:v>GTO</c:v>
                </c:pt>
                <c:pt idx="9">
                  <c:v>BCS</c:v>
                </c:pt>
                <c:pt idx="10">
                  <c:v>MICH</c:v>
                </c:pt>
                <c:pt idx="11">
                  <c:v>TLAX</c:v>
                </c:pt>
                <c:pt idx="12">
                  <c:v>DGO</c:v>
                </c:pt>
                <c:pt idx="13">
                  <c:v>QRO</c:v>
                </c:pt>
                <c:pt idx="14">
                  <c:v>YUC</c:v>
                </c:pt>
                <c:pt idx="15">
                  <c:v>SON</c:v>
                </c:pt>
                <c:pt idx="16">
                  <c:v>NL</c:v>
                </c:pt>
                <c:pt idx="17">
                  <c:v>CAMP</c:v>
                </c:pt>
                <c:pt idx="18">
                  <c:v>CHIH</c:v>
                </c:pt>
                <c:pt idx="19">
                  <c:v>HGO</c:v>
                </c:pt>
                <c:pt idx="20">
                  <c:v>TAB</c:v>
                </c:pt>
                <c:pt idx="21">
                  <c:v>SLP</c:v>
                </c:pt>
                <c:pt idx="22">
                  <c:v>VER</c:v>
                </c:pt>
                <c:pt idx="23">
                  <c:v>ZAC</c:v>
                </c:pt>
                <c:pt idx="24">
                  <c:v>QROO</c:v>
                </c:pt>
                <c:pt idx="25">
                  <c:v>COL</c:v>
                </c:pt>
                <c:pt idx="26">
                  <c:v>TAMP</c:v>
                </c:pt>
                <c:pt idx="27">
                  <c:v>SIN</c:v>
                </c:pt>
                <c:pt idx="28">
                  <c:v>GRO</c:v>
                </c:pt>
                <c:pt idx="29">
                  <c:v>OAX</c:v>
                </c:pt>
                <c:pt idx="30">
                  <c:v>COAH</c:v>
                </c:pt>
                <c:pt idx="31">
                  <c:v>CHIS</c:v>
                </c:pt>
                <c:pt idx="32">
                  <c:v>NAY</c:v>
                </c:pt>
              </c:strCache>
            </c:strRef>
          </c:cat>
          <c:val>
            <c:numRef>
              <c:f>'Concentrado final DELITOS'!$BC$6:$BC$38</c:f>
              <c:numCache>
                <c:formatCode>0.0%</c:formatCode>
                <c:ptCount val="33"/>
                <c:pt idx="0">
                  <c:v>0.16361326557903183</c:v>
                </c:pt>
                <c:pt idx="1">
                  <c:v>0.52017604818160756</c:v>
                </c:pt>
                <c:pt idx="2">
                  <c:v>0.29331124692979949</c:v>
                </c:pt>
                <c:pt idx="3">
                  <c:v>0.32930659579608601</c:v>
                </c:pt>
                <c:pt idx="4">
                  <c:v>0.27545691906005221</c:v>
                </c:pt>
                <c:pt idx="5">
                  <c:v>0.33226005872958631</c:v>
                </c:pt>
                <c:pt idx="6">
                  <c:v>0.31829121540312877</c:v>
                </c:pt>
                <c:pt idx="7">
                  <c:v>0.35271867612293145</c:v>
                </c:pt>
                <c:pt idx="8">
                  <c:v>0.2556354450058298</c:v>
                </c:pt>
                <c:pt idx="9">
                  <c:v>0.41547518923465099</c:v>
                </c:pt>
                <c:pt idx="10">
                  <c:v>0.55636806825106644</c:v>
                </c:pt>
                <c:pt idx="11">
                  <c:v>0.46868686868686871</c:v>
                </c:pt>
                <c:pt idx="12">
                  <c:v>0.21110870036884358</c:v>
                </c:pt>
                <c:pt idx="13">
                  <c:v>0.4471254095918975</c:v>
                </c:pt>
                <c:pt idx="14">
                  <c:v>0.42481884057971014</c:v>
                </c:pt>
                <c:pt idx="15">
                  <c:v>0.4071535660741058</c:v>
                </c:pt>
                <c:pt idx="16">
                  <c:v>0.26379363292046271</c:v>
                </c:pt>
                <c:pt idx="17">
                  <c:v>0.47093023255813954</c:v>
                </c:pt>
                <c:pt idx="18">
                  <c:v>0.27682109113075282</c:v>
                </c:pt>
                <c:pt idx="19">
                  <c:v>0.44656488549618323</c:v>
                </c:pt>
                <c:pt idx="20">
                  <c:v>0.37576904874585898</c:v>
                </c:pt>
                <c:pt idx="21">
                  <c:v>0.46348962336664107</c:v>
                </c:pt>
                <c:pt idx="22">
                  <c:v>0.49178789300797748</c:v>
                </c:pt>
                <c:pt idx="23">
                  <c:v>0.42728604310525214</c:v>
                </c:pt>
                <c:pt idx="24">
                  <c:v>0.4566744730679157</c:v>
                </c:pt>
                <c:pt idx="25">
                  <c:v>0.62213575443147429</c:v>
                </c:pt>
                <c:pt idx="26">
                  <c:v>0.64119039567128844</c:v>
                </c:pt>
                <c:pt idx="27">
                  <c:v>0.27208480565371024</c:v>
                </c:pt>
                <c:pt idx="28">
                  <c:v>0.55380794701986757</c:v>
                </c:pt>
                <c:pt idx="29">
                  <c:v>0.41367118444313494</c:v>
                </c:pt>
                <c:pt idx="30">
                  <c:v>0.10260294725244457</c:v>
                </c:pt>
                <c:pt idx="31">
                  <c:v>0.72795969773299751</c:v>
                </c:pt>
                <c:pt idx="32">
                  <c:v>0.62172949002217293</c:v>
                </c:pt>
              </c:numCache>
            </c:numRef>
          </c:val>
          <c:extLst xmlns:c16r2="http://schemas.microsoft.com/office/drawing/2015/06/chart">
            <c:ext xmlns:c16="http://schemas.microsoft.com/office/drawing/2014/chart" uri="{C3380CC4-5D6E-409C-BE32-E72D297353CC}">
              <c16:uniqueId val="{00000007-37A4-4C3D-8FF3-FEC5646BD62C}"/>
            </c:ext>
          </c:extLst>
        </c:ser>
        <c:dLbls>
          <c:showLegendKey val="0"/>
          <c:showVal val="0"/>
          <c:showCatName val="0"/>
          <c:showSerName val="0"/>
          <c:showPercent val="0"/>
          <c:showBubbleSize val="0"/>
        </c:dLbls>
        <c:gapWidth val="50"/>
        <c:overlap val="100"/>
        <c:axId val="668611072"/>
        <c:axId val="668614600"/>
      </c:barChart>
      <c:catAx>
        <c:axId val="66861107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68614600"/>
        <c:crosses val="autoZero"/>
        <c:auto val="1"/>
        <c:lblAlgn val="ctr"/>
        <c:lblOffset val="100"/>
        <c:noMultiLvlLbl val="0"/>
      </c:catAx>
      <c:valAx>
        <c:axId val="668614600"/>
        <c:scaling>
          <c:orientation val="minMax"/>
          <c:max val="1"/>
        </c:scaling>
        <c:delete val="1"/>
        <c:axPos val="t"/>
        <c:numFmt formatCode="0.0%" sourceLinked="1"/>
        <c:majorTickMark val="none"/>
        <c:minorTickMark val="none"/>
        <c:tickLblPos val="nextTo"/>
        <c:crossAx val="668611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667366579177596"/>
          <c:y val="4.2723097112860896E-2"/>
          <c:w val="0.4060973315835521"/>
          <c:h val="0.67682888597258684"/>
        </c:manualLayout>
      </c:layout>
      <c:pieChart>
        <c:varyColors val="1"/>
        <c:ser>
          <c:idx val="0"/>
          <c:order val="0"/>
          <c:spPr>
            <a:ln>
              <a:noFill/>
            </a:ln>
            <a:effectLst>
              <a:outerShdw blurRad="50800" dist="38100" dir="2700000" algn="tl" rotWithShape="0">
                <a:prstClr val="black">
                  <a:alpha val="40000"/>
                </a:prstClr>
              </a:outerShdw>
            </a:effectLst>
          </c:spPr>
          <c:dPt>
            <c:idx val="0"/>
            <c:bubble3D val="0"/>
            <c:spPr>
              <a:solidFill>
                <a:srgbClr val="002060"/>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04CB-4C8E-BEEA-708C7B1E1A00}"/>
              </c:ext>
            </c:extLst>
          </c:dPt>
          <c:dPt>
            <c:idx val="1"/>
            <c:bubble3D val="0"/>
            <c:spPr>
              <a:solidFill>
                <a:srgbClr val="003296"/>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04CB-4C8E-BEEA-708C7B1E1A00}"/>
              </c:ext>
            </c:extLst>
          </c:dPt>
          <c:dPt>
            <c:idx val="2"/>
            <c:bubble3D val="0"/>
            <c:spPr>
              <a:solidFill>
                <a:srgbClr val="0E30DC"/>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5-04CB-4C8E-BEEA-708C7B1E1A00}"/>
              </c:ext>
            </c:extLst>
          </c:dPt>
          <c:dPt>
            <c:idx val="3"/>
            <c:bubble3D val="0"/>
            <c:spPr>
              <a:solidFill>
                <a:srgbClr val="0053FA"/>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7-04CB-4C8E-BEEA-708C7B1E1A00}"/>
              </c:ext>
            </c:extLst>
          </c:dPt>
          <c:dPt>
            <c:idx val="4"/>
            <c:bubble3D val="0"/>
            <c:spPr>
              <a:solidFill>
                <a:schemeClr val="accent5"/>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9-04CB-4C8E-BEEA-708C7B1E1A00}"/>
              </c:ext>
            </c:extLst>
          </c:dPt>
          <c:dPt>
            <c:idx val="5"/>
            <c:bubble3D val="0"/>
            <c:spPr>
              <a:solidFill>
                <a:srgbClr val="A5A5A5"/>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B-04CB-4C8E-BEEA-708C7B1E1A00}"/>
              </c:ext>
            </c:extLst>
          </c:dPt>
          <c:dLbls>
            <c:dLbl>
              <c:idx val="4"/>
              <c:layout>
                <c:manualLayout>
                  <c:x val="-1.5386920384951881E-2"/>
                  <c:y val="-3.14497666958296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4CB-4C8E-BEEA-708C7B1E1A00}"/>
                </c:ext>
                <c:ext xmlns:c15="http://schemas.microsoft.com/office/drawing/2012/chart" uri="{CE6537A1-D6FC-4f65-9D91-7224C49458BB}"/>
              </c:extLst>
            </c:dLbl>
            <c:dLbl>
              <c:idx val="5"/>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'Causas penales por conclusión'!$V$2:$V$7</c:f>
              <c:strCache>
                <c:ptCount val="6"/>
                <c:pt idx="0">
                  <c:v>Prescripción*</c:v>
                </c:pt>
                <c:pt idx="1">
                  <c:v>Sentencia condenatoria/sancionatoria</c:v>
                </c:pt>
                <c:pt idx="2">
                  <c:v>Sobreseimiento</c:v>
                </c:pt>
                <c:pt idx="3">
                  <c:v>Sentencia absolutoria</c:v>
                </c:pt>
                <c:pt idx="4">
                  <c:v>Sentencia mixta*</c:v>
                </c:pt>
                <c:pt idx="5">
                  <c:v>Otras**</c:v>
                </c:pt>
              </c:strCache>
            </c:strRef>
          </c:cat>
          <c:val>
            <c:numRef>
              <c:f>'Causas penales por conclusión'!$W$2:$W$7</c:f>
              <c:numCache>
                <c:formatCode>0.0%</c:formatCode>
                <c:ptCount val="6"/>
                <c:pt idx="0">
                  <c:v>0.368404494382022</c:v>
                </c:pt>
                <c:pt idx="1">
                  <c:v>0.26296629213483147</c:v>
                </c:pt>
                <c:pt idx="2">
                  <c:v>0.15020224719101125</c:v>
                </c:pt>
                <c:pt idx="3">
                  <c:v>6.0674157303370786E-2</c:v>
                </c:pt>
                <c:pt idx="4">
                  <c:v>2.6067415730337078E-3</c:v>
                </c:pt>
                <c:pt idx="5">
                  <c:v>0.15514606741573034</c:v>
                </c:pt>
              </c:numCache>
            </c:numRef>
          </c:val>
          <c:extLst xmlns:c16r2="http://schemas.microsoft.com/office/drawing/2015/06/chart">
            <c:ext xmlns:c16="http://schemas.microsoft.com/office/drawing/2014/chart" uri="{C3380CC4-5D6E-409C-BE32-E72D297353CC}">
              <c16:uniqueId val="{0000000C-04CB-4C8E-BEEA-708C7B1E1A00}"/>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3775153105861777E-2"/>
          <c:y val="0.81320100612423452"/>
          <c:w val="0.94244969378827648"/>
          <c:h val="0.1867989938757655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51545167762264"/>
          <c:y val="9.0297971052374199E-4"/>
          <c:w val="0.32005383530145076"/>
          <c:h val="0.70459984644035678"/>
        </c:manualLayout>
      </c:layout>
      <c:pieChart>
        <c:varyColors val="1"/>
        <c:ser>
          <c:idx val="0"/>
          <c:order val="0"/>
          <c:spPr>
            <a:ln>
              <a:noFill/>
            </a:ln>
            <a:effectLst>
              <a:outerShdw blurRad="50800" dist="38100" dir="2700000" algn="tl" rotWithShape="0">
                <a:prstClr val="black">
                  <a:alpha val="40000"/>
                </a:prstClr>
              </a:outerShdw>
            </a:effectLst>
          </c:spPr>
          <c:dPt>
            <c:idx val="0"/>
            <c:bubble3D val="0"/>
            <c:spPr>
              <a:solidFill>
                <a:srgbClr val="002060"/>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BECB-45E0-B950-A38117DA5B1E}"/>
              </c:ext>
            </c:extLst>
          </c:dPt>
          <c:dPt>
            <c:idx val="1"/>
            <c:bubble3D val="0"/>
            <c:spPr>
              <a:solidFill>
                <a:srgbClr val="003296"/>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BECB-45E0-B950-A38117DA5B1E}"/>
              </c:ext>
            </c:extLst>
          </c:dPt>
          <c:dPt>
            <c:idx val="2"/>
            <c:bubble3D val="0"/>
            <c:spPr>
              <a:solidFill>
                <a:srgbClr val="0E30DC"/>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5-BECB-45E0-B950-A38117DA5B1E}"/>
              </c:ext>
            </c:extLst>
          </c:dPt>
          <c:dPt>
            <c:idx val="3"/>
            <c:bubble3D val="0"/>
            <c:spPr>
              <a:solidFill>
                <a:srgbClr val="0053FA"/>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7-BECB-45E0-B950-A38117DA5B1E}"/>
              </c:ext>
            </c:extLst>
          </c:dPt>
          <c:dPt>
            <c:idx val="4"/>
            <c:bubble3D val="0"/>
            <c:spPr>
              <a:solidFill>
                <a:srgbClr val="009BD2"/>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9-BECB-45E0-B950-A38117DA5B1E}"/>
              </c:ext>
            </c:extLst>
          </c:dPt>
          <c:dPt>
            <c:idx val="5"/>
            <c:bubble3D val="0"/>
            <c:spPr>
              <a:solidFill>
                <a:srgbClr val="1DC4FF"/>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B-BECB-45E0-B950-A38117DA5B1E}"/>
              </c:ext>
            </c:extLst>
          </c:dPt>
          <c:dPt>
            <c:idx val="6"/>
            <c:bubble3D val="0"/>
            <c:spPr>
              <a:solidFill>
                <a:srgbClr val="A7C4FF"/>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D-BECB-45E0-B950-A38117DA5B1E}"/>
              </c:ext>
            </c:extLst>
          </c:dPt>
          <c:dPt>
            <c:idx val="7"/>
            <c:bubble3D val="0"/>
            <c:spPr>
              <a:solidFill>
                <a:srgbClr val="A5A5A5"/>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F-BECB-45E0-B950-A38117DA5B1E}"/>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dLbl>
            <c:dLbl>
              <c:idx val="3"/>
              <c:layout>
                <c:manualLayout>
                  <c:x val="-2.8219409801224928E-2"/>
                  <c:y val="-8.292574699007937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ECB-45E0-B950-A38117DA5B1E}"/>
                </c:ext>
                <c:ext xmlns:c15="http://schemas.microsoft.com/office/drawing/2012/chart" uri="{CE6537A1-D6FC-4f65-9D91-7224C49458BB}"/>
              </c:extLst>
            </c:dLbl>
            <c:dLbl>
              <c:idx val="4"/>
              <c:layout>
                <c:manualLayout>
                  <c:x val="2.2114399088027769E-2"/>
                  <c:y val="8.5297058188192609E-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BECB-45E0-B950-A38117DA5B1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'Causas penales por conclusión'!$V$18:$V$25</c:f>
              <c:strCache>
                <c:ptCount val="8"/>
                <c:pt idx="0">
                  <c:v>Sentencia condenatoria*</c:v>
                </c:pt>
                <c:pt idx="1">
                  <c:v>Suspensión condicional del proceso</c:v>
                </c:pt>
                <c:pt idx="2">
                  <c:v>Sobreseimiento</c:v>
                </c:pt>
                <c:pt idx="3">
                  <c:v>Acuerdo reparatorio</c:v>
                </c:pt>
                <c:pt idx="4">
                  <c:v>Apertura de Juicio Oral</c:v>
                </c:pt>
                <c:pt idx="5">
                  <c:v>Perdón del ofendido</c:v>
                </c:pt>
                <c:pt idx="6">
                  <c:v>Prescripción</c:v>
                </c:pt>
                <c:pt idx="7">
                  <c:v>Otra**</c:v>
                </c:pt>
              </c:strCache>
            </c:strRef>
          </c:cat>
          <c:val>
            <c:numRef>
              <c:f>'Causas penales por conclusión'!$X$18:$X$25</c:f>
              <c:numCache>
                <c:formatCode>0.0%</c:formatCode>
                <c:ptCount val="8"/>
                <c:pt idx="0">
                  <c:v>0.1790336780416015</c:v>
                </c:pt>
                <c:pt idx="1">
                  <c:v>0.17344914129534972</c:v>
                </c:pt>
                <c:pt idx="2">
                  <c:v>7.7434529519204237E-2</c:v>
                </c:pt>
                <c:pt idx="3">
                  <c:v>5.9629712363507351E-2</c:v>
                </c:pt>
                <c:pt idx="4">
                  <c:v>5.1206916941513476E-2</c:v>
                </c:pt>
                <c:pt idx="5">
                  <c:v>2.7E-2</c:v>
                </c:pt>
                <c:pt idx="6">
                  <c:v>1.5005978739340104E-2</c:v>
                </c:pt>
                <c:pt idx="7">
                  <c:v>0.41778904905194297</c:v>
                </c:pt>
              </c:numCache>
            </c:numRef>
          </c:val>
          <c:extLst xmlns:c16r2="http://schemas.microsoft.com/office/drawing/2015/06/chart">
            <c:ext xmlns:c16="http://schemas.microsoft.com/office/drawing/2014/chart" uri="{C3380CC4-5D6E-409C-BE32-E72D297353CC}">
              <c16:uniqueId val="{00000010-BECB-45E0-B950-A38117DA5B1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6655069135323809E-4"/>
          <c:y val="0.82221470313297496"/>
          <c:w val="0.99943344930864675"/>
          <c:h val="0.17611265426799849"/>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238246819828006"/>
          <c:y val="0.11560218582842195"/>
          <c:w val="0.41257163454630036"/>
          <c:h val="0.69889656509729581"/>
        </c:manualLayout>
      </c:layout>
      <c:pieChart>
        <c:varyColors val="1"/>
        <c:ser>
          <c:idx val="0"/>
          <c:order val="0"/>
          <c:spPr>
            <a:ln>
              <a:noFill/>
            </a:ln>
            <a:effectLst>
              <a:outerShdw blurRad="50800" dist="38100" dir="2700000" algn="tl" rotWithShape="0">
                <a:prstClr val="black">
                  <a:alpha val="40000"/>
                </a:prstClr>
              </a:outerShdw>
            </a:effectLst>
          </c:spPr>
          <c:dPt>
            <c:idx val="0"/>
            <c:bubble3D val="0"/>
            <c:spPr>
              <a:solidFill>
                <a:srgbClr val="002060"/>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BFB0-4D0C-8069-FA9D4A7D840F}"/>
              </c:ext>
            </c:extLst>
          </c:dPt>
          <c:dPt>
            <c:idx val="1"/>
            <c:bubble3D val="0"/>
            <c:spPr>
              <a:solidFill>
                <a:srgbClr val="0E30DC"/>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BFB0-4D0C-8069-FA9D4A7D840F}"/>
              </c:ext>
            </c:extLst>
          </c:dPt>
          <c:dPt>
            <c:idx val="2"/>
            <c:bubble3D val="0"/>
            <c:spPr>
              <a:solidFill>
                <a:srgbClr val="009BD2"/>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5-BFB0-4D0C-8069-FA9D4A7D840F}"/>
              </c:ext>
            </c:extLst>
          </c:dPt>
          <c:dPt>
            <c:idx val="3"/>
            <c:bubble3D val="0"/>
            <c:spPr>
              <a:solidFill>
                <a:srgbClr val="1DC4FF"/>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7-BFB0-4D0C-8069-FA9D4A7D840F}"/>
              </c:ext>
            </c:extLst>
          </c:dPt>
          <c:dPt>
            <c:idx val="4"/>
            <c:bubble3D val="0"/>
            <c:spPr>
              <a:solidFill>
                <a:srgbClr val="A5A5A5"/>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9-BFB0-4D0C-8069-FA9D4A7D840F}"/>
              </c:ext>
            </c:extLst>
          </c:dPt>
          <c:dLbls>
            <c:dLbl>
              <c:idx val="0"/>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dLbl>
            <c:dLbl>
              <c:idx val="1"/>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dLbl>
            <c:dLbl>
              <c:idx val="2"/>
              <c:layout>
                <c:manualLayout>
                  <c:x val="5.008289588801397E-2"/>
                  <c:y val="7.8402230971128611E-2"/>
                </c:manualLayout>
              </c:layout>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FB0-4D0C-8069-FA9D4A7D840F}"/>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'Causas penales por conclusión'!$V$36:$V$40</c:f>
              <c:strCache>
                <c:ptCount val="5"/>
                <c:pt idx="0">
                  <c:v>Sentencia condenatoria</c:v>
                </c:pt>
                <c:pt idx="1">
                  <c:v>Sentencia absolutoria</c:v>
                </c:pt>
                <c:pt idx="2">
                  <c:v>Sobreseimiento</c:v>
                </c:pt>
                <c:pt idx="3">
                  <c:v>Sentencia Mixta</c:v>
                </c:pt>
                <c:pt idx="4">
                  <c:v>Otra</c:v>
                </c:pt>
              </c:strCache>
            </c:strRef>
          </c:cat>
          <c:val>
            <c:numRef>
              <c:f>'Causas penales por conclusión'!$W$36:$W$40</c:f>
              <c:numCache>
                <c:formatCode>0.0%</c:formatCode>
                <c:ptCount val="5"/>
                <c:pt idx="0">
                  <c:v>0.75819966483121859</c:v>
                </c:pt>
                <c:pt idx="1">
                  <c:v>0.15800813981326312</c:v>
                </c:pt>
                <c:pt idx="2">
                  <c:v>4.1297581996648312E-2</c:v>
                </c:pt>
                <c:pt idx="3">
                  <c:v>1.1730907349772564E-2</c:v>
                </c:pt>
                <c:pt idx="4">
                  <c:v>3.0644002872875269E-2</c:v>
                </c:pt>
              </c:numCache>
            </c:numRef>
          </c:val>
          <c:extLst xmlns:c16r2="http://schemas.microsoft.com/office/drawing/2015/06/chart">
            <c:ext xmlns:c16="http://schemas.microsoft.com/office/drawing/2014/chart" uri="{C3380CC4-5D6E-409C-BE32-E72D297353CC}">
              <c16:uniqueId val="{0000000A-BFB0-4D0C-8069-FA9D4A7D840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3.2484908136482943E-2"/>
          <c:y val="0.85996463983668703"/>
          <c:w val="0.96665172884939043"/>
          <c:h val="0.1400353601633129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000090650128929"/>
          <c:y val="5.0925925925925923E-2"/>
          <c:w val="0.51999909349871065"/>
          <c:h val="0.79652996500437445"/>
        </c:manualLayout>
      </c:layout>
      <c:barChart>
        <c:barDir val="bar"/>
        <c:grouping val="stacked"/>
        <c:varyColors val="0"/>
        <c:ser>
          <c:idx val="0"/>
          <c:order val="0"/>
          <c:tx>
            <c:strRef>
              <c:f>Sentenciados!$H$2</c:f>
              <c:strCache>
                <c:ptCount val="1"/>
                <c:pt idx="0">
                  <c:v>Condenatoria</c:v>
                </c:pt>
              </c:strCache>
            </c:strRef>
          </c:tx>
          <c:spPr>
            <a:solidFill>
              <a:srgbClr val="002060"/>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Sentenciados!$G$3:$G$5</c:f>
              <c:strCache>
                <c:ptCount val="3"/>
                <c:pt idx="0">
                  <c:v>Sistema Tradicional y Sistemas Escrito o Mixto y Oral</c:v>
                </c:pt>
                <c:pt idx="1">
                  <c:v>Juzgados de Control o Garantías (Sistema Penal Acusarorio)</c:v>
                </c:pt>
                <c:pt idx="2">
                  <c:v>Tribunales de Enjuiciamiento o Juzgados de Juicio Oral (Sistemas Penal Acusatorio e Integral de Justicia Penal para Adolescentes)</c:v>
                </c:pt>
              </c:strCache>
            </c:strRef>
          </c:cat>
          <c:val>
            <c:numRef>
              <c:f>Sentenciados!$H$3:$H$5</c:f>
              <c:numCache>
                <c:formatCode>0.0%</c:formatCode>
                <c:ptCount val="3"/>
                <c:pt idx="0">
                  <c:v>0.80296377607025249</c:v>
                </c:pt>
                <c:pt idx="1">
                  <c:v>0.99736476099846283</c:v>
                </c:pt>
                <c:pt idx="2">
                  <c:v>0.81677618863548507</c:v>
                </c:pt>
              </c:numCache>
            </c:numRef>
          </c:val>
          <c:extLst xmlns:c16r2="http://schemas.microsoft.com/office/drawing/2015/06/chart">
            <c:ext xmlns:c16="http://schemas.microsoft.com/office/drawing/2014/chart" uri="{C3380CC4-5D6E-409C-BE32-E72D297353CC}">
              <c16:uniqueId val="{00000000-39B7-48CB-8701-D2B38A3BD3F1}"/>
            </c:ext>
          </c:extLst>
        </c:ser>
        <c:ser>
          <c:idx val="1"/>
          <c:order val="1"/>
          <c:tx>
            <c:strRef>
              <c:f>Sentenciados!$I$2</c:f>
              <c:strCache>
                <c:ptCount val="1"/>
                <c:pt idx="0">
                  <c:v>Absolutoria</c:v>
                </c:pt>
              </c:strCache>
            </c:strRef>
          </c:tx>
          <c:spPr>
            <a:solidFill>
              <a:srgbClr val="0053FA"/>
            </a:solidFill>
            <a:ln>
              <a:noFill/>
            </a:ln>
            <a:effectLst>
              <a:outerShdw blurRad="50800" dist="38100" dir="2700000" algn="tl" rotWithShape="0">
                <a:prstClr val="black">
                  <a:alpha val="40000"/>
                </a:prstClr>
              </a:outerShdw>
            </a:effectLst>
          </c:spPr>
          <c:invertIfNegative val="0"/>
          <c:dLbls>
            <c:dLbl>
              <c:idx val="1"/>
              <c:layout>
                <c:manualLayout>
                  <c:x val="3.7548191773693798E-2"/>
                  <c:y val="4.6296296296295444E-3"/>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9B7-48CB-8701-D2B38A3BD3F1}"/>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Sentenciados!$G$3:$G$5</c:f>
              <c:strCache>
                <c:ptCount val="3"/>
                <c:pt idx="0">
                  <c:v>Sistema Tradicional y Sistemas Escrito o Mixto y Oral</c:v>
                </c:pt>
                <c:pt idx="1">
                  <c:v>Juzgados de Control o Garantías (Sistema Penal Acusarorio)</c:v>
                </c:pt>
                <c:pt idx="2">
                  <c:v>Tribunales de Enjuiciamiento o Juzgados de Juicio Oral (Sistemas Penal Acusatorio e Integral de Justicia Penal para Adolescentes)</c:v>
                </c:pt>
              </c:strCache>
            </c:strRef>
          </c:cat>
          <c:val>
            <c:numRef>
              <c:f>Sentenciados!$I$3:$I$5</c:f>
              <c:numCache>
                <c:formatCode>0.0%</c:formatCode>
                <c:ptCount val="3"/>
                <c:pt idx="0">
                  <c:v>0.18523600439077936</c:v>
                </c:pt>
                <c:pt idx="1">
                  <c:v>3.0000000000000001E-3</c:v>
                </c:pt>
                <c:pt idx="2">
                  <c:v>0.17021002448138126</c:v>
                </c:pt>
              </c:numCache>
            </c:numRef>
          </c:val>
          <c:extLst xmlns:c16r2="http://schemas.microsoft.com/office/drawing/2015/06/chart">
            <c:ext xmlns:c16="http://schemas.microsoft.com/office/drawing/2014/chart" uri="{C3380CC4-5D6E-409C-BE32-E72D297353CC}">
              <c16:uniqueId val="{00000002-39B7-48CB-8701-D2B38A3BD3F1}"/>
            </c:ext>
          </c:extLst>
        </c:ser>
        <c:ser>
          <c:idx val="2"/>
          <c:order val="2"/>
          <c:tx>
            <c:strRef>
              <c:f>Sentenciados!$J$2</c:f>
              <c:strCache>
                <c:ptCount val="1"/>
                <c:pt idx="0">
                  <c:v>Mixta*</c:v>
                </c:pt>
              </c:strCache>
            </c:strRef>
          </c:tx>
          <c:spPr>
            <a:solidFill>
              <a:srgbClr val="009BD2"/>
            </a:solidFill>
            <a:ln>
              <a:noFill/>
            </a:ln>
            <a:effectLst>
              <a:outerShdw blurRad="50800" dist="38100" dir="2700000" algn="tl" rotWithShape="0">
                <a:prstClr val="black">
                  <a:alpha val="40000"/>
                </a:prstClr>
              </a:outerShdw>
            </a:effectLst>
          </c:spPr>
          <c:invertIfNegative val="0"/>
          <c:dLbls>
            <c:dLbl>
              <c:idx val="0"/>
              <c:layout>
                <c:manualLayout>
                  <c:x val="2.9786528773395538E-2"/>
                  <c:y val="1.389034703995336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9BD2"/>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9B7-48CB-8701-D2B38A3BD3F1}"/>
                </c:ext>
                <c:ext xmlns:c15="http://schemas.microsoft.com/office/drawing/2012/chart" uri="{CE6537A1-D6FC-4f65-9D91-7224C49458BB}"/>
              </c:extLst>
            </c:dLbl>
            <c:dLbl>
              <c:idx val="2"/>
              <c:layout>
                <c:manualLayout>
                  <c:x val="4.5057830128432556E-2"/>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9B7-48CB-8701-D2B38A3BD3F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Sentenciados!$G$3:$G$5</c:f>
              <c:strCache>
                <c:ptCount val="3"/>
                <c:pt idx="0">
                  <c:v>Sistema Tradicional y Sistemas Escrito o Mixto y Oral</c:v>
                </c:pt>
                <c:pt idx="1">
                  <c:v>Juzgados de Control o Garantías (Sistema Penal Acusarorio)</c:v>
                </c:pt>
                <c:pt idx="2">
                  <c:v>Tribunales de Enjuiciamiento o Juzgados de Juicio Oral (Sistemas Penal Acusatorio e Integral de Justicia Penal para Adolescentes)</c:v>
                </c:pt>
              </c:strCache>
            </c:strRef>
          </c:cat>
          <c:val>
            <c:numRef>
              <c:f>Sentenciados!$J$3:$J$5</c:f>
              <c:numCache>
                <c:formatCode>General</c:formatCode>
                <c:ptCount val="3"/>
                <c:pt idx="0" formatCode="0.0%">
                  <c:v>7.9582875960482989E-3</c:v>
                </c:pt>
                <c:pt idx="2" formatCode="0.0%">
                  <c:v>1.3013786883133616E-2</c:v>
                </c:pt>
              </c:numCache>
            </c:numRef>
          </c:val>
          <c:extLst xmlns:c16r2="http://schemas.microsoft.com/office/drawing/2015/06/chart">
            <c:ext xmlns:c16="http://schemas.microsoft.com/office/drawing/2014/chart" uri="{C3380CC4-5D6E-409C-BE32-E72D297353CC}">
              <c16:uniqueId val="{00000005-39B7-48CB-8701-D2B38A3BD3F1}"/>
            </c:ext>
          </c:extLst>
        </c:ser>
        <c:ser>
          <c:idx val="3"/>
          <c:order val="3"/>
          <c:tx>
            <c:strRef>
              <c:f>Sentenciados!$K$2</c:f>
              <c:strCache>
                <c:ptCount val="1"/>
                <c:pt idx="0">
                  <c:v>No especificado*</c:v>
                </c:pt>
              </c:strCache>
            </c:strRef>
          </c:tx>
          <c:spPr>
            <a:solidFill>
              <a:srgbClr val="A5A5A5"/>
            </a:solidFill>
            <a:ln>
              <a:noFill/>
            </a:ln>
            <a:effectLst/>
          </c:spPr>
          <c:invertIfNegative val="0"/>
          <c:dLbls>
            <c:dLbl>
              <c:idx val="0"/>
              <c:layout>
                <c:manualLayout>
                  <c:x val="5.0007848404268002E-2"/>
                  <c:y val="-6.0184820647419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9B7-48CB-8701-D2B38A3BD3F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Sentenciados!$G$3:$G$5</c:f>
              <c:strCache>
                <c:ptCount val="3"/>
                <c:pt idx="0">
                  <c:v>Sistema Tradicional y Sistemas Escrito o Mixto y Oral</c:v>
                </c:pt>
                <c:pt idx="1">
                  <c:v>Juzgados de Control o Garantías (Sistema Penal Acusarorio)</c:v>
                </c:pt>
                <c:pt idx="2">
                  <c:v>Tribunales de Enjuiciamiento o Juzgados de Juicio Oral (Sistemas Penal Acusatorio e Integral de Justicia Penal para Adolescentes)</c:v>
                </c:pt>
              </c:strCache>
            </c:strRef>
          </c:cat>
          <c:val>
            <c:numRef>
              <c:f>Sentenciados!$K$3:$K$5</c:f>
              <c:numCache>
                <c:formatCode>General</c:formatCode>
                <c:ptCount val="3"/>
                <c:pt idx="0" formatCode="0.0%">
                  <c:v>3.84193194291987E-3</c:v>
                </c:pt>
              </c:numCache>
            </c:numRef>
          </c:val>
          <c:extLst xmlns:c16r2="http://schemas.microsoft.com/office/drawing/2015/06/chart">
            <c:ext xmlns:c16="http://schemas.microsoft.com/office/drawing/2014/chart" uri="{C3380CC4-5D6E-409C-BE32-E72D297353CC}">
              <c16:uniqueId val="{00000007-39B7-48CB-8701-D2B38A3BD3F1}"/>
            </c:ext>
          </c:extLst>
        </c:ser>
        <c:dLbls>
          <c:showLegendKey val="0"/>
          <c:showVal val="0"/>
          <c:showCatName val="0"/>
          <c:showSerName val="0"/>
          <c:showPercent val="0"/>
          <c:showBubbleSize val="0"/>
        </c:dLbls>
        <c:gapWidth val="50"/>
        <c:overlap val="100"/>
        <c:axId val="462103336"/>
        <c:axId val="462103728"/>
      </c:barChart>
      <c:catAx>
        <c:axId val="4621033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62103728"/>
        <c:crosses val="autoZero"/>
        <c:auto val="1"/>
        <c:lblAlgn val="ctr"/>
        <c:lblOffset val="100"/>
        <c:noMultiLvlLbl val="0"/>
      </c:catAx>
      <c:valAx>
        <c:axId val="462103728"/>
        <c:scaling>
          <c:orientation val="minMax"/>
        </c:scaling>
        <c:delete val="1"/>
        <c:axPos val="t"/>
        <c:numFmt formatCode="0.0%" sourceLinked="1"/>
        <c:majorTickMark val="none"/>
        <c:minorTickMark val="none"/>
        <c:tickLblPos val="nextTo"/>
        <c:crossAx val="462103336"/>
        <c:crosses val="autoZero"/>
        <c:crossBetween val="between"/>
      </c:valAx>
      <c:spPr>
        <a:noFill/>
        <a:ln>
          <a:noFill/>
        </a:ln>
        <a:effectLst/>
      </c:spPr>
    </c:plotArea>
    <c:legend>
      <c:legendPos val="b"/>
      <c:layout>
        <c:manualLayout>
          <c:xMode val="edge"/>
          <c:yMode val="edge"/>
          <c:x val="0.22040954838495558"/>
          <c:y val="0.90050201148437237"/>
          <c:w val="0.57604075570637969"/>
          <c:h val="9.949798851562768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2060"/>
            </a:solidFill>
            <a:ln>
              <a:noFill/>
            </a:ln>
            <a:effectLst>
              <a:outerShdw blurRad="50800" dist="38100" dir="2700000" algn="tl" rotWithShape="0">
                <a:prstClr val="black">
                  <a:alpha val="40000"/>
                </a:prstClr>
              </a:outerShdw>
            </a:effectLst>
          </c:spPr>
          <c:invertIfNegative val="0"/>
          <c:dPt>
            <c:idx val="1"/>
            <c:invertIfNegative val="0"/>
            <c:bubble3D val="0"/>
            <c:spPr>
              <a:solidFill>
                <a:srgbClr val="0053FA"/>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52B1-4C53-87BA-E0D4A48DE57D}"/>
              </c:ext>
            </c:extLst>
          </c:dPt>
          <c:dPt>
            <c:idx val="2"/>
            <c:invertIfNegative val="0"/>
            <c:bubble3D val="0"/>
            <c:spPr>
              <a:solidFill>
                <a:srgbClr val="A7C4FF"/>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52B1-4C53-87BA-E0D4A48DE57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MASC!$AQ$6:$AQ$8</c:f>
              <c:strCache>
                <c:ptCount val="3"/>
                <c:pt idx="0">
                  <c:v>Iniciados</c:v>
                </c:pt>
                <c:pt idx="1">
                  <c:v>Concluidos</c:v>
                </c:pt>
                <c:pt idx="2">
                  <c:v>Pendientes 
de concluir</c:v>
                </c:pt>
              </c:strCache>
            </c:strRef>
          </c:cat>
          <c:val>
            <c:numRef>
              <c:f>MASC!$AR$6:$AR$8</c:f>
              <c:numCache>
                <c:formatCode>#\ ###\ ##0</c:formatCode>
                <c:ptCount val="3"/>
                <c:pt idx="0">
                  <c:v>176682</c:v>
                </c:pt>
                <c:pt idx="1">
                  <c:v>158748</c:v>
                </c:pt>
                <c:pt idx="2">
                  <c:v>22415</c:v>
                </c:pt>
              </c:numCache>
            </c:numRef>
          </c:val>
          <c:extLst xmlns:c16r2="http://schemas.microsoft.com/office/drawing/2015/06/chart">
            <c:ext xmlns:c16="http://schemas.microsoft.com/office/drawing/2014/chart" uri="{C3380CC4-5D6E-409C-BE32-E72D297353CC}">
              <c16:uniqueId val="{00000004-52B1-4C53-87BA-E0D4A48DE57D}"/>
            </c:ext>
          </c:extLst>
        </c:ser>
        <c:dLbls>
          <c:showLegendKey val="0"/>
          <c:showVal val="0"/>
          <c:showCatName val="0"/>
          <c:showSerName val="0"/>
          <c:showPercent val="0"/>
          <c:showBubbleSize val="0"/>
        </c:dLbls>
        <c:gapWidth val="100"/>
        <c:overlap val="-27"/>
        <c:axId val="675903064"/>
        <c:axId val="675901888"/>
      </c:barChart>
      <c:catAx>
        <c:axId val="675903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75901888"/>
        <c:crosses val="autoZero"/>
        <c:auto val="1"/>
        <c:lblAlgn val="ctr"/>
        <c:lblOffset val="100"/>
        <c:noMultiLvlLbl val="0"/>
      </c:catAx>
      <c:valAx>
        <c:axId val="675901888"/>
        <c:scaling>
          <c:orientation val="minMax"/>
        </c:scaling>
        <c:delete val="1"/>
        <c:axPos val="l"/>
        <c:numFmt formatCode="#\ ###\ ##0" sourceLinked="1"/>
        <c:majorTickMark val="none"/>
        <c:minorTickMark val="none"/>
        <c:tickLblPos val="nextTo"/>
        <c:crossAx val="6759030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002060"/>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3544-4E5C-89CA-69E1111C4194}"/>
              </c:ext>
            </c:extLst>
          </c:dPt>
          <c:dPt>
            <c:idx val="1"/>
            <c:invertIfNegative val="0"/>
            <c:bubble3D val="0"/>
            <c:spPr>
              <a:solidFill>
                <a:srgbClr val="003296"/>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3544-4E5C-89CA-69E1111C4194}"/>
              </c:ext>
            </c:extLst>
          </c:dPt>
          <c:dPt>
            <c:idx val="2"/>
            <c:invertIfNegative val="0"/>
            <c:bubble3D val="0"/>
            <c:spPr>
              <a:solidFill>
                <a:srgbClr val="0053FA"/>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5-3544-4E5C-89CA-69E1111C4194}"/>
              </c:ext>
            </c:extLst>
          </c:dPt>
          <c:dPt>
            <c:idx val="3"/>
            <c:invertIfNegative val="0"/>
            <c:bubble3D val="0"/>
            <c:spPr>
              <a:solidFill>
                <a:srgbClr val="3F7FFF"/>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7-3544-4E5C-89CA-69E1111C4194}"/>
              </c:ext>
            </c:extLst>
          </c:dPt>
          <c:dPt>
            <c:idx val="4"/>
            <c:invertIfNegative val="0"/>
            <c:bubble3D val="0"/>
            <c:spPr>
              <a:solidFill>
                <a:srgbClr val="A7C4FF"/>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9-3544-4E5C-89CA-69E1111C4194}"/>
              </c:ext>
            </c:extLst>
          </c:dPt>
          <c:dPt>
            <c:idx val="5"/>
            <c:invertIfNegative val="0"/>
            <c:bubble3D val="0"/>
            <c:spPr>
              <a:solidFill>
                <a:srgbClr val="A0E8FE"/>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B-3544-4E5C-89CA-69E1111C4194}"/>
              </c:ext>
            </c:extLst>
          </c:dPt>
          <c:dPt>
            <c:idx val="6"/>
            <c:invertIfNegative val="0"/>
            <c:bubble3D val="0"/>
            <c:spPr>
              <a:solidFill>
                <a:srgbClr val="A5A5A5"/>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D-3544-4E5C-89CA-69E1111C419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'JUST ALT'!$K$6:$K$12</c:f>
              <c:strCache>
                <c:ptCount val="7"/>
                <c:pt idx="0">
                  <c:v>Familiar</c:v>
                </c:pt>
                <c:pt idx="1">
                  <c:v>Civil</c:v>
                </c:pt>
                <c:pt idx="2">
                  <c:v>Otra</c:v>
                </c:pt>
                <c:pt idx="3">
                  <c:v>Mercantil</c:v>
                </c:pt>
                <c:pt idx="4">
                  <c:v>Penal</c:v>
                </c:pt>
                <c:pt idx="5">
                  <c:v>Indígena</c:v>
                </c:pt>
                <c:pt idx="6">
                  <c:v>Justicia para adolescentes</c:v>
                </c:pt>
              </c:strCache>
            </c:strRef>
          </c:cat>
          <c:val>
            <c:numRef>
              <c:f>'JUST ALT'!$N$6:$N$12</c:f>
              <c:numCache>
                <c:formatCode>0.0%</c:formatCode>
                <c:ptCount val="7"/>
                <c:pt idx="0">
                  <c:v>0.39470347856601123</c:v>
                </c:pt>
                <c:pt idx="1">
                  <c:v>0.29890990593269301</c:v>
                </c:pt>
                <c:pt idx="2">
                  <c:v>0.11362221392105591</c:v>
                </c:pt>
                <c:pt idx="3">
                  <c:v>0.10801326677307252</c:v>
                </c:pt>
                <c:pt idx="4">
                  <c:v>7.7234806035702555E-2</c:v>
                </c:pt>
                <c:pt idx="5">
                  <c:v>4.8109032046275233E-3</c:v>
                </c:pt>
                <c:pt idx="6">
                  <c:v>2E-3</c:v>
                </c:pt>
              </c:numCache>
            </c:numRef>
          </c:val>
          <c:extLst xmlns:c16r2="http://schemas.microsoft.com/office/drawing/2015/06/chart">
            <c:ext xmlns:c16="http://schemas.microsoft.com/office/drawing/2014/chart" uri="{C3380CC4-5D6E-409C-BE32-E72D297353CC}">
              <c16:uniqueId val="{0000000E-3544-4E5C-89CA-69E1111C4194}"/>
            </c:ext>
          </c:extLst>
        </c:ser>
        <c:dLbls>
          <c:showLegendKey val="0"/>
          <c:showVal val="0"/>
          <c:showCatName val="0"/>
          <c:showSerName val="0"/>
          <c:showPercent val="0"/>
          <c:showBubbleSize val="0"/>
        </c:dLbls>
        <c:gapWidth val="60"/>
        <c:axId val="675903848"/>
        <c:axId val="675904240"/>
      </c:barChart>
      <c:catAx>
        <c:axId val="6759038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75904240"/>
        <c:crosses val="autoZero"/>
        <c:auto val="1"/>
        <c:lblAlgn val="ctr"/>
        <c:lblOffset val="100"/>
        <c:noMultiLvlLbl val="0"/>
      </c:catAx>
      <c:valAx>
        <c:axId val="675904240"/>
        <c:scaling>
          <c:orientation val="minMax"/>
        </c:scaling>
        <c:delete val="1"/>
        <c:axPos val="t"/>
        <c:numFmt formatCode="0.0%" sourceLinked="1"/>
        <c:majorTickMark val="none"/>
        <c:minorTickMark val="none"/>
        <c:tickLblPos val="nextTo"/>
        <c:crossAx val="6759038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862707786526683"/>
          <c:y val="5.0925925925925923E-2"/>
          <c:w val="0.54637292213473321"/>
          <c:h val="0.89814814814814814"/>
        </c:manualLayout>
      </c:layout>
      <c:barChart>
        <c:barDir val="bar"/>
        <c:grouping val="clustered"/>
        <c:varyColors val="0"/>
        <c:ser>
          <c:idx val="0"/>
          <c:order val="0"/>
          <c:spPr>
            <a:solidFill>
              <a:schemeClr val="accent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002060"/>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F4CC-48F7-B45F-284C516B8E88}"/>
              </c:ext>
            </c:extLst>
          </c:dPt>
          <c:dPt>
            <c:idx val="1"/>
            <c:invertIfNegative val="0"/>
            <c:bubble3D val="0"/>
            <c:spPr>
              <a:solidFill>
                <a:srgbClr val="003296"/>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F4CC-48F7-B45F-284C516B8E88}"/>
              </c:ext>
            </c:extLst>
          </c:dPt>
          <c:dPt>
            <c:idx val="2"/>
            <c:invertIfNegative val="0"/>
            <c:bubble3D val="0"/>
            <c:spPr>
              <a:solidFill>
                <a:srgbClr val="0053FA"/>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5-F4CC-48F7-B45F-284C516B8E88}"/>
              </c:ext>
            </c:extLst>
          </c:dPt>
          <c:dPt>
            <c:idx val="3"/>
            <c:invertIfNegative val="0"/>
            <c:bubble3D val="0"/>
            <c:spPr>
              <a:solidFill>
                <a:srgbClr val="3F7FFF"/>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7-F4CC-48F7-B45F-284C516B8E88}"/>
              </c:ext>
            </c:extLst>
          </c:dPt>
          <c:dPt>
            <c:idx val="4"/>
            <c:invertIfNegative val="0"/>
            <c:bubble3D val="0"/>
            <c:spPr>
              <a:solidFill>
                <a:srgbClr val="6D9EFF"/>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9-F4CC-48F7-B45F-284C516B8E88}"/>
              </c:ext>
            </c:extLst>
          </c:dPt>
          <c:dPt>
            <c:idx val="5"/>
            <c:invertIfNegative val="0"/>
            <c:bubble3D val="0"/>
            <c:spPr>
              <a:solidFill>
                <a:srgbClr val="A7C4FF"/>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B-F4CC-48F7-B45F-284C516B8E88}"/>
              </c:ext>
            </c:extLst>
          </c:dPt>
          <c:dPt>
            <c:idx val="6"/>
            <c:invertIfNegative val="0"/>
            <c:bubble3D val="0"/>
            <c:spPr>
              <a:solidFill>
                <a:srgbClr val="A0E8FE"/>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D-F4CC-48F7-B45F-284C516B8E88}"/>
              </c:ext>
            </c:extLst>
          </c:dPt>
          <c:dPt>
            <c:idx val="7"/>
            <c:invertIfNegative val="0"/>
            <c:bubble3D val="0"/>
            <c:spPr>
              <a:solidFill>
                <a:srgbClr val="A5A5A5"/>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F-F4CC-48F7-B45F-284C516B8E8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Personal!$AP$5:$AP$12</c:f>
              <c:strCache>
                <c:ptCount val="8"/>
                <c:pt idx="0">
                  <c:v>Personal administrativo y de apoyo</c:v>
                </c:pt>
                <c:pt idx="1">
                  <c:v>Otros servidores de carrera judicial</c:v>
                </c:pt>
                <c:pt idx="2">
                  <c:v>Secretarios</c:v>
                </c:pt>
                <c:pt idx="3">
                  <c:v>Jueces</c:v>
                </c:pt>
                <c:pt idx="4">
                  <c:v>Secretarios de estudio y cuenta 
                           y/o proyectistas</c:v>
                </c:pt>
                <c:pt idx="5">
                  <c:v>Actuarios</c:v>
                </c:pt>
                <c:pt idx="6">
                  <c:v>Magistrados</c:v>
                </c:pt>
                <c:pt idx="7">
                  <c:v>Otro</c:v>
                </c:pt>
              </c:strCache>
            </c:strRef>
          </c:cat>
          <c:val>
            <c:numRef>
              <c:f>Personal!$AS$5:$AS$12</c:f>
              <c:numCache>
                <c:formatCode>0.0%</c:formatCode>
                <c:ptCount val="8"/>
                <c:pt idx="0">
                  <c:v>0.41824169830714691</c:v>
                </c:pt>
                <c:pt idx="1">
                  <c:v>0.17333389272303917</c:v>
                </c:pt>
                <c:pt idx="2">
                  <c:v>0.13498772838832834</c:v>
                </c:pt>
                <c:pt idx="3">
                  <c:v>8.5880304587694828E-2</c:v>
                </c:pt>
                <c:pt idx="4">
                  <c:v>8.5607602106102243E-2</c:v>
                </c:pt>
                <c:pt idx="5">
                  <c:v>7.9000000000000001E-2</c:v>
                </c:pt>
                <c:pt idx="6">
                  <c:v>1.323655891422458E-2</c:v>
                </c:pt>
                <c:pt idx="7">
                  <c:v>0.01</c:v>
                </c:pt>
              </c:numCache>
            </c:numRef>
          </c:val>
          <c:extLst xmlns:c16r2="http://schemas.microsoft.com/office/drawing/2015/06/chart">
            <c:ext xmlns:c16="http://schemas.microsoft.com/office/drawing/2014/chart" uri="{C3380CC4-5D6E-409C-BE32-E72D297353CC}">
              <c16:uniqueId val="{00000010-F4CC-48F7-B45F-284C516B8E88}"/>
            </c:ext>
          </c:extLst>
        </c:ser>
        <c:dLbls>
          <c:showLegendKey val="0"/>
          <c:showVal val="0"/>
          <c:showCatName val="0"/>
          <c:showSerName val="0"/>
          <c:showPercent val="0"/>
          <c:showBubbleSize val="0"/>
        </c:dLbls>
        <c:gapWidth val="50"/>
        <c:axId val="483789880"/>
        <c:axId val="483789488"/>
      </c:barChart>
      <c:catAx>
        <c:axId val="4837898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83789488"/>
        <c:crosses val="autoZero"/>
        <c:auto val="1"/>
        <c:lblAlgn val="ctr"/>
        <c:lblOffset val="100"/>
        <c:noMultiLvlLbl val="0"/>
      </c:catAx>
      <c:valAx>
        <c:axId val="483789488"/>
        <c:scaling>
          <c:orientation val="minMax"/>
        </c:scaling>
        <c:delete val="1"/>
        <c:axPos val="t"/>
        <c:numFmt formatCode="0.0%" sourceLinked="1"/>
        <c:majorTickMark val="none"/>
        <c:minorTickMark val="none"/>
        <c:tickLblPos val="nextTo"/>
        <c:crossAx val="4837898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2060"/>
            </a:solidFill>
            <a:ln>
              <a:noFill/>
            </a:ln>
            <a:effectLst>
              <a:outerShdw blurRad="50800" dist="38100" dir="2700000" algn="tl" rotWithShape="0">
                <a:prstClr val="black">
                  <a:alpha val="40000"/>
                </a:prstClr>
              </a:outerShdw>
            </a:effectLst>
          </c:spPr>
          <c:invertIfNegative val="0"/>
          <c:dPt>
            <c:idx val="19"/>
            <c:invertIfNegative val="0"/>
            <c:bubble3D val="0"/>
            <c:spPr>
              <a:solidFill>
                <a:srgbClr val="0E30DC"/>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7FE1-42FD-AC9A-5A75546ED1B5}"/>
              </c:ext>
            </c:extLst>
          </c:dPt>
          <c:dPt>
            <c:idx val="22"/>
            <c:invertIfNegative val="0"/>
            <c:bubble3D val="0"/>
            <c:spPr>
              <a:solidFill>
                <a:srgbClr val="002060"/>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7FE1-42FD-AC9A-5A75546ED1B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Personal!$BB$5:$BB$37</c:f>
              <c:strCache>
                <c:ptCount val="33"/>
                <c:pt idx="0">
                  <c:v>MORE</c:v>
                </c:pt>
                <c:pt idx="1">
                  <c:v>CDMX</c:v>
                </c:pt>
                <c:pt idx="2">
                  <c:v>SON</c:v>
                </c:pt>
                <c:pt idx="3">
                  <c:v>SLP</c:v>
                </c:pt>
                <c:pt idx="4">
                  <c:v>TLAX</c:v>
                </c:pt>
                <c:pt idx="5">
                  <c:v>AGS</c:v>
                </c:pt>
                <c:pt idx="6">
                  <c:v>COAH</c:v>
                </c:pt>
                <c:pt idx="7">
                  <c:v>MEX</c:v>
                </c:pt>
                <c:pt idx="8">
                  <c:v>TAB</c:v>
                </c:pt>
                <c:pt idx="9">
                  <c:v>HGO</c:v>
                </c:pt>
                <c:pt idx="10">
                  <c:v>QRO</c:v>
                </c:pt>
                <c:pt idx="11">
                  <c:v>OAX</c:v>
                </c:pt>
                <c:pt idx="12">
                  <c:v>YUC</c:v>
                </c:pt>
                <c:pt idx="13">
                  <c:v>BC</c:v>
                </c:pt>
                <c:pt idx="14">
                  <c:v>NAY</c:v>
                </c:pt>
                <c:pt idx="15">
                  <c:v>CHIH</c:v>
                </c:pt>
                <c:pt idx="16">
                  <c:v>COL</c:v>
                </c:pt>
                <c:pt idx="17">
                  <c:v>QROO</c:v>
                </c:pt>
                <c:pt idx="18">
                  <c:v>BCS</c:v>
                </c:pt>
                <c:pt idx="19">
                  <c:v>NACIONAL</c:v>
                </c:pt>
                <c:pt idx="20">
                  <c:v>ZAC</c:v>
                </c:pt>
                <c:pt idx="21">
                  <c:v>GTO</c:v>
                </c:pt>
                <c:pt idx="22">
                  <c:v>MICH</c:v>
                </c:pt>
                <c:pt idx="23">
                  <c:v>JAL</c:v>
                </c:pt>
                <c:pt idx="24">
                  <c:v>NL</c:v>
                </c:pt>
                <c:pt idx="25">
                  <c:v>CHIS</c:v>
                </c:pt>
                <c:pt idx="26">
                  <c:v>GRO</c:v>
                </c:pt>
                <c:pt idx="27">
                  <c:v>SIN</c:v>
                </c:pt>
                <c:pt idx="28">
                  <c:v>DGO</c:v>
                </c:pt>
                <c:pt idx="29">
                  <c:v>TAMP</c:v>
                </c:pt>
                <c:pt idx="30">
                  <c:v>VER</c:v>
                </c:pt>
                <c:pt idx="31">
                  <c:v>CAMP</c:v>
                </c:pt>
                <c:pt idx="32">
                  <c:v>PUE</c:v>
                </c:pt>
              </c:strCache>
            </c:strRef>
          </c:cat>
          <c:val>
            <c:numRef>
              <c:f>Personal!$BC$5:$BC$37</c:f>
              <c:numCache>
                <c:formatCode>0.0</c:formatCode>
                <c:ptCount val="33"/>
                <c:pt idx="0">
                  <c:v>26.4</c:v>
                </c:pt>
                <c:pt idx="1">
                  <c:v>23.2</c:v>
                </c:pt>
                <c:pt idx="2">
                  <c:v>20.3</c:v>
                </c:pt>
                <c:pt idx="3">
                  <c:v>19.899999999999999</c:v>
                </c:pt>
                <c:pt idx="4">
                  <c:v>18.899999999999999</c:v>
                </c:pt>
                <c:pt idx="5">
                  <c:v>17.100000000000001</c:v>
                </c:pt>
                <c:pt idx="6">
                  <c:v>16.600000000000001</c:v>
                </c:pt>
                <c:pt idx="7">
                  <c:v>16.100000000000001</c:v>
                </c:pt>
                <c:pt idx="8">
                  <c:v>15.9</c:v>
                </c:pt>
                <c:pt idx="9">
                  <c:v>15</c:v>
                </c:pt>
                <c:pt idx="10">
                  <c:v>14.1</c:v>
                </c:pt>
                <c:pt idx="11">
                  <c:v>14</c:v>
                </c:pt>
                <c:pt idx="12">
                  <c:v>13.6</c:v>
                </c:pt>
                <c:pt idx="13">
                  <c:v>13.1</c:v>
                </c:pt>
                <c:pt idx="14">
                  <c:v>12.7</c:v>
                </c:pt>
                <c:pt idx="15">
                  <c:v>12.6</c:v>
                </c:pt>
                <c:pt idx="16">
                  <c:v>11.9</c:v>
                </c:pt>
                <c:pt idx="17">
                  <c:v>11.9</c:v>
                </c:pt>
                <c:pt idx="18">
                  <c:v>11.7</c:v>
                </c:pt>
                <c:pt idx="19">
                  <c:v>11.6</c:v>
                </c:pt>
                <c:pt idx="20">
                  <c:v>11.6</c:v>
                </c:pt>
                <c:pt idx="21">
                  <c:v>11.3</c:v>
                </c:pt>
                <c:pt idx="22">
                  <c:v>11.2</c:v>
                </c:pt>
                <c:pt idx="23">
                  <c:v>10.7</c:v>
                </c:pt>
                <c:pt idx="24">
                  <c:v>10.5</c:v>
                </c:pt>
                <c:pt idx="25">
                  <c:v>9.6</c:v>
                </c:pt>
                <c:pt idx="26">
                  <c:v>8.9</c:v>
                </c:pt>
                <c:pt idx="27">
                  <c:v>8.9</c:v>
                </c:pt>
                <c:pt idx="28">
                  <c:v>8.3000000000000007</c:v>
                </c:pt>
                <c:pt idx="29">
                  <c:v>8.3000000000000007</c:v>
                </c:pt>
                <c:pt idx="30">
                  <c:v>6.9</c:v>
                </c:pt>
                <c:pt idx="31">
                  <c:v>5.6</c:v>
                </c:pt>
                <c:pt idx="32">
                  <c:v>2.9</c:v>
                </c:pt>
              </c:numCache>
            </c:numRef>
          </c:val>
          <c:extLst xmlns:c16r2="http://schemas.microsoft.com/office/drawing/2015/06/chart">
            <c:ext xmlns:c16="http://schemas.microsoft.com/office/drawing/2014/chart" uri="{C3380CC4-5D6E-409C-BE32-E72D297353CC}">
              <c16:uniqueId val="{00000004-7FE1-42FD-AC9A-5A75546ED1B5}"/>
            </c:ext>
          </c:extLst>
        </c:ser>
        <c:dLbls>
          <c:showLegendKey val="0"/>
          <c:showVal val="0"/>
          <c:showCatName val="0"/>
          <c:showSerName val="0"/>
          <c:showPercent val="0"/>
          <c:showBubbleSize val="0"/>
        </c:dLbls>
        <c:gapWidth val="50"/>
        <c:axId val="483787136"/>
        <c:axId val="483788704"/>
      </c:barChart>
      <c:catAx>
        <c:axId val="4837871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83788704"/>
        <c:crosses val="autoZero"/>
        <c:auto val="1"/>
        <c:lblAlgn val="ctr"/>
        <c:lblOffset val="100"/>
        <c:noMultiLvlLbl val="0"/>
      </c:catAx>
      <c:valAx>
        <c:axId val="483788704"/>
        <c:scaling>
          <c:orientation val="minMax"/>
        </c:scaling>
        <c:delete val="1"/>
        <c:axPos val="t"/>
        <c:numFmt formatCode="0.0" sourceLinked="1"/>
        <c:majorTickMark val="none"/>
        <c:minorTickMark val="none"/>
        <c:tickLblPos val="nextTo"/>
        <c:crossAx val="4837871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Personal!$CD$7</c:f>
              <c:strCache>
                <c:ptCount val="1"/>
                <c:pt idx="0">
                  <c:v>Mujeres</c:v>
                </c:pt>
              </c:strCache>
            </c:strRef>
          </c:tx>
          <c:spPr>
            <a:solidFill>
              <a:srgbClr val="002060"/>
            </a:solidFill>
            <a:ln>
              <a:noFill/>
            </a:ln>
            <a:effectLst>
              <a:outerShdw blurRad="50800" dist="38100" dir="2700000" algn="tl" rotWithShape="0">
                <a:prstClr val="black">
                  <a:alpha val="40000"/>
                </a:prstClr>
              </a:outerShdw>
            </a:effectLst>
          </c:spPr>
          <c:invertIfNegative val="0"/>
          <c:dPt>
            <c:idx val="15"/>
            <c:invertIfNegative val="0"/>
            <c:bubble3D val="0"/>
            <c:spPr>
              <a:solidFill>
                <a:srgbClr val="0B26AD"/>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4C89-4BED-B662-65BB7C988261}"/>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Personal!$CC$8:$CC$40</c:f>
              <c:strCache>
                <c:ptCount val="33"/>
                <c:pt idx="0">
                  <c:v>YUC</c:v>
                </c:pt>
                <c:pt idx="1">
                  <c:v>MORE</c:v>
                </c:pt>
                <c:pt idx="2">
                  <c:v>TAB</c:v>
                </c:pt>
                <c:pt idx="3">
                  <c:v>GTO</c:v>
                </c:pt>
                <c:pt idx="4">
                  <c:v>ZAC</c:v>
                </c:pt>
                <c:pt idx="5">
                  <c:v>QROO</c:v>
                </c:pt>
                <c:pt idx="6">
                  <c:v>HGO</c:v>
                </c:pt>
                <c:pt idx="7">
                  <c:v>TLAX</c:v>
                </c:pt>
                <c:pt idx="8">
                  <c:v>QRO</c:v>
                </c:pt>
                <c:pt idx="9">
                  <c:v>CAMP</c:v>
                </c:pt>
                <c:pt idx="10">
                  <c:v>BC</c:v>
                </c:pt>
                <c:pt idx="11">
                  <c:v>AGS</c:v>
                </c:pt>
                <c:pt idx="12">
                  <c:v>CHIH</c:v>
                </c:pt>
                <c:pt idx="13">
                  <c:v>VER</c:v>
                </c:pt>
                <c:pt idx="14">
                  <c:v>OAX</c:v>
                </c:pt>
                <c:pt idx="15">
                  <c:v>NACIONAL</c:v>
                </c:pt>
                <c:pt idx="16">
                  <c:v>GRO</c:v>
                </c:pt>
                <c:pt idx="17">
                  <c:v>BCS</c:v>
                </c:pt>
                <c:pt idx="18">
                  <c:v>SIN</c:v>
                </c:pt>
                <c:pt idx="19">
                  <c:v>NL</c:v>
                </c:pt>
                <c:pt idx="20">
                  <c:v>CDMX</c:v>
                </c:pt>
                <c:pt idx="21">
                  <c:v>COL</c:v>
                </c:pt>
                <c:pt idx="22">
                  <c:v>MEX</c:v>
                </c:pt>
                <c:pt idx="23">
                  <c:v>COAH</c:v>
                </c:pt>
                <c:pt idx="24">
                  <c:v>MICH</c:v>
                </c:pt>
                <c:pt idx="25">
                  <c:v>NAY</c:v>
                </c:pt>
                <c:pt idx="26">
                  <c:v>DGO</c:v>
                </c:pt>
                <c:pt idx="27">
                  <c:v>TAMP</c:v>
                </c:pt>
                <c:pt idx="28">
                  <c:v>SON</c:v>
                </c:pt>
                <c:pt idx="29">
                  <c:v>JAL</c:v>
                </c:pt>
                <c:pt idx="30">
                  <c:v>PUE</c:v>
                </c:pt>
                <c:pt idx="31">
                  <c:v>CHIS</c:v>
                </c:pt>
                <c:pt idx="32">
                  <c:v>SLP</c:v>
                </c:pt>
              </c:strCache>
            </c:strRef>
          </c:cat>
          <c:val>
            <c:numRef>
              <c:f>Personal!$CD$8:$CD$40</c:f>
              <c:numCache>
                <c:formatCode>0.0%</c:formatCode>
                <c:ptCount val="33"/>
                <c:pt idx="0">
                  <c:v>0.60606060606060608</c:v>
                </c:pt>
                <c:pt idx="1">
                  <c:v>0.55405405405405406</c:v>
                </c:pt>
                <c:pt idx="2">
                  <c:v>0.54782608695652169</c:v>
                </c:pt>
                <c:pt idx="3">
                  <c:v>0.54761904761904767</c:v>
                </c:pt>
                <c:pt idx="4">
                  <c:v>0.53153153153153154</c:v>
                </c:pt>
                <c:pt idx="5">
                  <c:v>0.5</c:v>
                </c:pt>
                <c:pt idx="6">
                  <c:v>0.49532710280373832</c:v>
                </c:pt>
                <c:pt idx="7">
                  <c:v>0.48571428571428571</c:v>
                </c:pt>
                <c:pt idx="8">
                  <c:v>0.48275862068965519</c:v>
                </c:pt>
                <c:pt idx="9">
                  <c:v>0.47474747474747475</c:v>
                </c:pt>
                <c:pt idx="10">
                  <c:v>0.45945945945945948</c:v>
                </c:pt>
                <c:pt idx="11">
                  <c:v>0.44444444444444442</c:v>
                </c:pt>
                <c:pt idx="12">
                  <c:v>0.44308943089430897</c:v>
                </c:pt>
                <c:pt idx="13">
                  <c:v>0.44107744107744107</c:v>
                </c:pt>
                <c:pt idx="14">
                  <c:v>0.42222222222222222</c:v>
                </c:pt>
                <c:pt idx="15">
                  <c:v>0.406984126984127</c:v>
                </c:pt>
                <c:pt idx="16">
                  <c:v>0.39779005524861877</c:v>
                </c:pt>
                <c:pt idx="17">
                  <c:v>0.39622641509433965</c:v>
                </c:pt>
                <c:pt idx="18">
                  <c:v>0.3902439024390244</c:v>
                </c:pt>
                <c:pt idx="19">
                  <c:v>0.38848920863309355</c:v>
                </c:pt>
                <c:pt idx="20">
                  <c:v>0.37831858407079644</c:v>
                </c:pt>
                <c:pt idx="21">
                  <c:v>0.37777777777777777</c:v>
                </c:pt>
                <c:pt idx="22">
                  <c:v>0.3744394618834081</c:v>
                </c:pt>
                <c:pt idx="23">
                  <c:v>0.36</c:v>
                </c:pt>
                <c:pt idx="24">
                  <c:v>0.34355828220858897</c:v>
                </c:pt>
                <c:pt idx="25">
                  <c:v>0.33333333333333331</c:v>
                </c:pt>
                <c:pt idx="26">
                  <c:v>0.32954545454545453</c:v>
                </c:pt>
                <c:pt idx="27">
                  <c:v>0.32500000000000001</c:v>
                </c:pt>
                <c:pt idx="28">
                  <c:v>0.31858407079646017</c:v>
                </c:pt>
                <c:pt idx="29">
                  <c:v>0.29929577464788731</c:v>
                </c:pt>
                <c:pt idx="30">
                  <c:v>0.29896907216494845</c:v>
                </c:pt>
                <c:pt idx="31">
                  <c:v>0.27363184079601988</c:v>
                </c:pt>
                <c:pt idx="32">
                  <c:v>0.26470588235294118</c:v>
                </c:pt>
              </c:numCache>
            </c:numRef>
          </c:val>
          <c:extLst xmlns:c16r2="http://schemas.microsoft.com/office/drawing/2015/06/chart">
            <c:ext xmlns:c16="http://schemas.microsoft.com/office/drawing/2014/chart" uri="{C3380CC4-5D6E-409C-BE32-E72D297353CC}">
              <c16:uniqueId val="{00000002-4C89-4BED-B662-65BB7C988261}"/>
            </c:ext>
          </c:extLst>
        </c:ser>
        <c:ser>
          <c:idx val="1"/>
          <c:order val="1"/>
          <c:tx>
            <c:strRef>
              <c:f>Personal!$CE$7</c:f>
              <c:strCache>
                <c:ptCount val="1"/>
                <c:pt idx="0">
                  <c:v>Hombres</c:v>
                </c:pt>
              </c:strCache>
            </c:strRef>
          </c:tx>
          <c:spPr>
            <a:solidFill>
              <a:srgbClr val="0053FA"/>
            </a:solidFill>
            <a:ln>
              <a:noFill/>
            </a:ln>
            <a:effectLst>
              <a:outerShdw blurRad="50800" dist="38100" dir="2700000" algn="tl" rotWithShape="0">
                <a:prstClr val="black">
                  <a:alpha val="40000"/>
                </a:prstClr>
              </a:outerShdw>
            </a:effectLst>
          </c:spPr>
          <c:invertIfNegative val="0"/>
          <c:dPt>
            <c:idx val="15"/>
            <c:invertIfNegative val="0"/>
            <c:bubble3D val="0"/>
            <c:spPr>
              <a:solidFill>
                <a:srgbClr val="1160FF"/>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4-4C89-4BED-B662-65BB7C988261}"/>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Personal!$CC$8:$CC$40</c:f>
              <c:strCache>
                <c:ptCount val="33"/>
                <c:pt idx="0">
                  <c:v>YUC</c:v>
                </c:pt>
                <c:pt idx="1">
                  <c:v>MORE</c:v>
                </c:pt>
                <c:pt idx="2">
                  <c:v>TAB</c:v>
                </c:pt>
                <c:pt idx="3">
                  <c:v>GTO</c:v>
                </c:pt>
                <c:pt idx="4">
                  <c:v>ZAC</c:v>
                </c:pt>
                <c:pt idx="5">
                  <c:v>QROO</c:v>
                </c:pt>
                <c:pt idx="6">
                  <c:v>HGO</c:v>
                </c:pt>
                <c:pt idx="7">
                  <c:v>TLAX</c:v>
                </c:pt>
                <c:pt idx="8">
                  <c:v>QRO</c:v>
                </c:pt>
                <c:pt idx="9">
                  <c:v>CAMP</c:v>
                </c:pt>
                <c:pt idx="10">
                  <c:v>BC</c:v>
                </c:pt>
                <c:pt idx="11">
                  <c:v>AGS</c:v>
                </c:pt>
                <c:pt idx="12">
                  <c:v>CHIH</c:v>
                </c:pt>
                <c:pt idx="13">
                  <c:v>VER</c:v>
                </c:pt>
                <c:pt idx="14">
                  <c:v>OAX</c:v>
                </c:pt>
                <c:pt idx="15">
                  <c:v>NACIONAL</c:v>
                </c:pt>
                <c:pt idx="16">
                  <c:v>GRO</c:v>
                </c:pt>
                <c:pt idx="17">
                  <c:v>BCS</c:v>
                </c:pt>
                <c:pt idx="18">
                  <c:v>SIN</c:v>
                </c:pt>
                <c:pt idx="19">
                  <c:v>NL</c:v>
                </c:pt>
                <c:pt idx="20">
                  <c:v>CDMX</c:v>
                </c:pt>
                <c:pt idx="21">
                  <c:v>COL</c:v>
                </c:pt>
                <c:pt idx="22">
                  <c:v>MEX</c:v>
                </c:pt>
                <c:pt idx="23">
                  <c:v>COAH</c:v>
                </c:pt>
                <c:pt idx="24">
                  <c:v>MICH</c:v>
                </c:pt>
                <c:pt idx="25">
                  <c:v>NAY</c:v>
                </c:pt>
                <c:pt idx="26">
                  <c:v>DGO</c:v>
                </c:pt>
                <c:pt idx="27">
                  <c:v>TAMP</c:v>
                </c:pt>
                <c:pt idx="28">
                  <c:v>SON</c:v>
                </c:pt>
                <c:pt idx="29">
                  <c:v>JAL</c:v>
                </c:pt>
                <c:pt idx="30">
                  <c:v>PUE</c:v>
                </c:pt>
                <c:pt idx="31">
                  <c:v>CHIS</c:v>
                </c:pt>
                <c:pt idx="32">
                  <c:v>SLP</c:v>
                </c:pt>
              </c:strCache>
            </c:strRef>
          </c:cat>
          <c:val>
            <c:numRef>
              <c:f>Personal!$CE$8:$CE$40</c:f>
              <c:numCache>
                <c:formatCode>0.0%</c:formatCode>
                <c:ptCount val="33"/>
                <c:pt idx="0">
                  <c:v>0.39393939393939392</c:v>
                </c:pt>
                <c:pt idx="1">
                  <c:v>0.44594594594594594</c:v>
                </c:pt>
                <c:pt idx="2">
                  <c:v>0.45217391304347826</c:v>
                </c:pt>
                <c:pt idx="3">
                  <c:v>0.45238095238095238</c:v>
                </c:pt>
                <c:pt idx="4">
                  <c:v>0.46846846846846846</c:v>
                </c:pt>
                <c:pt idx="5">
                  <c:v>0.5</c:v>
                </c:pt>
                <c:pt idx="6">
                  <c:v>0.50467289719626163</c:v>
                </c:pt>
                <c:pt idx="7">
                  <c:v>0.51428571428571423</c:v>
                </c:pt>
                <c:pt idx="8">
                  <c:v>0.51724137931034486</c:v>
                </c:pt>
                <c:pt idx="9">
                  <c:v>0.5252525252525253</c:v>
                </c:pt>
                <c:pt idx="10">
                  <c:v>0.54054054054054057</c:v>
                </c:pt>
                <c:pt idx="11">
                  <c:v>0.55555555555555558</c:v>
                </c:pt>
                <c:pt idx="12">
                  <c:v>0.55691056910569103</c:v>
                </c:pt>
                <c:pt idx="13">
                  <c:v>0.55892255892255893</c:v>
                </c:pt>
                <c:pt idx="14">
                  <c:v>0.57777777777777772</c:v>
                </c:pt>
                <c:pt idx="15">
                  <c:v>0.593015873015873</c:v>
                </c:pt>
                <c:pt idx="16">
                  <c:v>0.60220994475138123</c:v>
                </c:pt>
                <c:pt idx="17">
                  <c:v>0.60377358490566035</c:v>
                </c:pt>
                <c:pt idx="18">
                  <c:v>0.6097560975609756</c:v>
                </c:pt>
                <c:pt idx="19">
                  <c:v>0.61151079136690645</c:v>
                </c:pt>
                <c:pt idx="20">
                  <c:v>0.62168141592920356</c:v>
                </c:pt>
                <c:pt idx="21">
                  <c:v>0.62222222222222223</c:v>
                </c:pt>
                <c:pt idx="22">
                  <c:v>0.62556053811659196</c:v>
                </c:pt>
                <c:pt idx="23">
                  <c:v>0.64</c:v>
                </c:pt>
                <c:pt idx="24">
                  <c:v>0.65644171779141103</c:v>
                </c:pt>
                <c:pt idx="25">
                  <c:v>0.66666666666666663</c:v>
                </c:pt>
                <c:pt idx="26">
                  <c:v>0.67045454545454541</c:v>
                </c:pt>
                <c:pt idx="27">
                  <c:v>0.67500000000000004</c:v>
                </c:pt>
                <c:pt idx="28">
                  <c:v>0.68141592920353977</c:v>
                </c:pt>
                <c:pt idx="29">
                  <c:v>0.70070422535211263</c:v>
                </c:pt>
                <c:pt idx="30">
                  <c:v>0.7010309278350515</c:v>
                </c:pt>
                <c:pt idx="31">
                  <c:v>0.72636815920398012</c:v>
                </c:pt>
                <c:pt idx="32">
                  <c:v>0.73529411764705888</c:v>
                </c:pt>
              </c:numCache>
            </c:numRef>
          </c:val>
          <c:extLst xmlns:c16r2="http://schemas.microsoft.com/office/drawing/2015/06/chart">
            <c:ext xmlns:c16="http://schemas.microsoft.com/office/drawing/2014/chart" uri="{C3380CC4-5D6E-409C-BE32-E72D297353CC}">
              <c16:uniqueId val="{00000005-4C89-4BED-B662-65BB7C988261}"/>
            </c:ext>
          </c:extLst>
        </c:ser>
        <c:dLbls>
          <c:showLegendKey val="0"/>
          <c:showVal val="0"/>
          <c:showCatName val="0"/>
          <c:showSerName val="0"/>
          <c:showPercent val="0"/>
          <c:showBubbleSize val="0"/>
        </c:dLbls>
        <c:gapWidth val="50"/>
        <c:overlap val="100"/>
        <c:axId val="483789096"/>
        <c:axId val="483792232"/>
      </c:barChart>
      <c:catAx>
        <c:axId val="4837890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83792232"/>
        <c:crosses val="autoZero"/>
        <c:auto val="1"/>
        <c:lblAlgn val="ctr"/>
        <c:lblOffset val="100"/>
        <c:noMultiLvlLbl val="0"/>
      </c:catAx>
      <c:valAx>
        <c:axId val="483792232"/>
        <c:scaling>
          <c:orientation val="minMax"/>
          <c:max val="1"/>
        </c:scaling>
        <c:delete val="1"/>
        <c:axPos val="t"/>
        <c:numFmt formatCode="0.0%" sourceLinked="1"/>
        <c:majorTickMark val="none"/>
        <c:minorTickMark val="none"/>
        <c:tickLblPos val="nextTo"/>
        <c:crossAx val="483789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47303149606299"/>
          <c:y val="0.10707458442694663"/>
          <c:w val="0.43583462895163588"/>
          <c:h val="0.77366121948324307"/>
        </c:manualLayout>
      </c:layout>
      <c:pieChart>
        <c:varyColors val="1"/>
        <c:ser>
          <c:idx val="0"/>
          <c:order val="0"/>
          <c:spPr>
            <a:ln>
              <a:noFill/>
            </a:ln>
            <a:effectLst>
              <a:outerShdw blurRad="50800" dist="38100" dir="2700000" algn="tl" rotWithShape="0">
                <a:prstClr val="black">
                  <a:alpha val="40000"/>
                </a:prstClr>
              </a:outerShdw>
            </a:effectLst>
          </c:spPr>
          <c:dPt>
            <c:idx val="0"/>
            <c:bubble3D val="0"/>
            <c:spPr>
              <a:solidFill>
                <a:srgbClr val="002060"/>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5749-4849-BB39-9E4CC6D415E8}"/>
              </c:ext>
            </c:extLst>
          </c:dPt>
          <c:dPt>
            <c:idx val="1"/>
            <c:bubble3D val="0"/>
            <c:spPr>
              <a:solidFill>
                <a:srgbClr val="0E30DC"/>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5749-4849-BB39-9E4CC6D415E8}"/>
              </c:ext>
            </c:extLst>
          </c:dPt>
          <c:dPt>
            <c:idx val="2"/>
            <c:bubble3D val="0"/>
            <c:spPr>
              <a:solidFill>
                <a:srgbClr val="009BD2"/>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5-5749-4849-BB39-9E4CC6D415E8}"/>
              </c:ext>
            </c:extLst>
          </c:dPt>
          <c:dPt>
            <c:idx val="3"/>
            <c:bubble3D val="0"/>
            <c:spPr>
              <a:solidFill>
                <a:srgbClr val="A0E8FE"/>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7-5749-4849-BB39-9E4CC6D415E8}"/>
              </c:ext>
            </c:extLst>
          </c:dPt>
          <c:dPt>
            <c:idx val="4"/>
            <c:bubble3D val="0"/>
            <c:spPr>
              <a:solidFill>
                <a:srgbClr val="A5A5A5"/>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9-5749-4849-BB39-9E4CC6D415E8}"/>
              </c:ext>
            </c:extLst>
          </c:dPt>
          <c:dLbls>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dLbl>
            <c:dLbl>
              <c:idx val="2"/>
              <c:layout>
                <c:manualLayout>
                  <c:x val="4.572828643261468E-2"/>
                  <c:y val="0.11056082942903166"/>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749-4849-BB39-9E4CC6D415E8}"/>
                </c:ext>
                <c:ext xmlns:c15="http://schemas.microsoft.com/office/drawing/2012/chart" uri="{CE6537A1-D6FC-4f65-9D91-7224C49458BB}"/>
              </c:extLst>
            </c:dLbl>
            <c:dLbl>
              <c:idx val="3"/>
              <c:layout>
                <c:manualLayout>
                  <c:x val="-3.3790697754185355E-3"/>
                  <c:y val="-2.0530645293779414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749-4849-BB39-9E4CC6D415E8}"/>
                </c:ext>
                <c:ext xmlns:c15="http://schemas.microsoft.com/office/drawing/2012/chart" uri="{CE6537A1-D6FC-4f65-9D91-7224C49458BB}">
                  <c15:layout>
                    <c:manualLayout>
                      <c:w val="9.6285671297457243E-2"/>
                      <c:h val="4.6967629046369197E-2"/>
                    </c:manualLayout>
                  </c15:layout>
                </c:ext>
              </c:extLst>
            </c:dLbl>
            <c:dLbl>
              <c:idx val="4"/>
              <c:layout>
                <c:manualLayout>
                  <c:x val="5.3022747156605425E-2"/>
                  <c:y val="-9.582968795567220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5749-4849-BB39-9E4CC6D415E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Personal!$DA$10:$DA$14</c:f>
              <c:strCache>
                <c:ptCount val="5"/>
                <c:pt idx="0">
                  <c:v>Confianza</c:v>
                </c:pt>
                <c:pt idx="1">
                  <c:v>Base o sindicalizado</c:v>
                </c:pt>
                <c:pt idx="2">
                  <c:v>Eventual</c:v>
                </c:pt>
                <c:pt idx="3">
                  <c:v>Honorarios</c:v>
                </c:pt>
                <c:pt idx="4">
                  <c:v>Otro</c:v>
                </c:pt>
              </c:strCache>
            </c:strRef>
          </c:cat>
          <c:val>
            <c:numRef>
              <c:f>Personal!$DC$10:$DC$14</c:f>
              <c:numCache>
                <c:formatCode>0.0%</c:formatCode>
                <c:ptCount val="5"/>
                <c:pt idx="0">
                  <c:v>0.57727775728513464</c:v>
                </c:pt>
                <c:pt idx="1">
                  <c:v>0.34410075354376352</c:v>
                </c:pt>
                <c:pt idx="2">
                  <c:v>4.2208989829793958E-2</c:v>
                </c:pt>
                <c:pt idx="3">
                  <c:v>2.302787584971281E-2</c:v>
                </c:pt>
                <c:pt idx="4">
                  <c:v>1.4E-2</c:v>
                </c:pt>
              </c:numCache>
            </c:numRef>
          </c:val>
          <c:extLst xmlns:c16r2="http://schemas.microsoft.com/office/drawing/2015/06/chart">
            <c:ext xmlns:c16="http://schemas.microsoft.com/office/drawing/2014/chart" uri="{C3380CC4-5D6E-409C-BE32-E72D297353CC}">
              <c16:uniqueId val="{0000000A-5749-4849-BB39-9E4CC6D415E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9431102362204724E-2"/>
          <c:y val="0.92615959463400388"/>
          <c:w val="0.88113779527559044"/>
          <c:h val="7.3840405365995912E-2"/>
        </c:manualLayout>
      </c:layout>
      <c:overlay val="0"/>
      <c:spPr>
        <a:no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27075678040245"/>
          <c:y val="0.11461413060850478"/>
          <c:w val="0.3706959755030621"/>
          <c:h val="0.72233045294236731"/>
        </c:manualLayout>
      </c:layout>
      <c:pieChart>
        <c:varyColors val="1"/>
        <c:ser>
          <c:idx val="0"/>
          <c:order val="0"/>
          <c:spPr>
            <a:solidFill>
              <a:srgbClr val="A0E8FE"/>
            </a:solidFill>
            <a:ln>
              <a:noFill/>
            </a:ln>
          </c:spPr>
          <c:dPt>
            <c:idx val="0"/>
            <c:bubble3D val="0"/>
            <c:spPr>
              <a:solidFill>
                <a:srgbClr val="002060"/>
              </a:solidFill>
              <a:ln w="19050">
                <a:noFill/>
              </a:ln>
              <a:effectLst/>
            </c:spPr>
            <c:extLst xmlns:c16r2="http://schemas.microsoft.com/office/drawing/2015/06/chart">
              <c:ext xmlns:c16="http://schemas.microsoft.com/office/drawing/2014/chart" uri="{C3380CC4-5D6E-409C-BE32-E72D297353CC}">
                <c16:uniqueId val="{00000001-D856-4AB3-9574-9F571AC28618}"/>
              </c:ext>
            </c:extLst>
          </c:dPt>
          <c:dPt>
            <c:idx val="1"/>
            <c:bubble3D val="0"/>
            <c:spPr>
              <a:solidFill>
                <a:srgbClr val="0E30DC"/>
              </a:solidFill>
              <a:ln w="19050">
                <a:noFill/>
              </a:ln>
              <a:effectLst/>
            </c:spPr>
            <c:extLst xmlns:c16r2="http://schemas.microsoft.com/office/drawing/2015/06/chart">
              <c:ext xmlns:c16="http://schemas.microsoft.com/office/drawing/2014/chart" uri="{C3380CC4-5D6E-409C-BE32-E72D297353CC}">
                <c16:uniqueId val="{00000003-D856-4AB3-9574-9F571AC28618}"/>
              </c:ext>
            </c:extLst>
          </c:dPt>
          <c:dPt>
            <c:idx val="2"/>
            <c:bubble3D val="0"/>
            <c:spPr>
              <a:solidFill>
                <a:srgbClr val="0053FA"/>
              </a:solidFill>
              <a:ln w="19050">
                <a:noFill/>
              </a:ln>
              <a:effectLst/>
            </c:spPr>
            <c:extLst xmlns:c16r2="http://schemas.microsoft.com/office/drawing/2015/06/chart">
              <c:ext xmlns:c16="http://schemas.microsoft.com/office/drawing/2014/chart" uri="{C3380CC4-5D6E-409C-BE32-E72D297353CC}">
                <c16:uniqueId val="{00000005-D856-4AB3-9574-9F571AC28618}"/>
              </c:ext>
            </c:extLst>
          </c:dPt>
          <c:dPt>
            <c:idx val="3"/>
            <c:bubble3D val="0"/>
            <c:spPr>
              <a:solidFill>
                <a:srgbClr val="009BD2"/>
              </a:solidFill>
              <a:ln w="19050">
                <a:noFill/>
              </a:ln>
              <a:effectLst/>
            </c:spPr>
            <c:extLst xmlns:c16r2="http://schemas.microsoft.com/office/drawing/2015/06/chart">
              <c:ext xmlns:c16="http://schemas.microsoft.com/office/drawing/2014/chart" uri="{C3380CC4-5D6E-409C-BE32-E72D297353CC}">
                <c16:uniqueId val="{00000007-D856-4AB3-9574-9F571AC28618}"/>
              </c:ext>
            </c:extLst>
          </c:dPt>
          <c:dPt>
            <c:idx val="4"/>
            <c:bubble3D val="0"/>
            <c:spPr>
              <a:solidFill>
                <a:srgbClr val="A0E8FE"/>
              </a:solidFill>
              <a:ln w="19050">
                <a:noFill/>
              </a:ln>
              <a:effectLst/>
            </c:spPr>
            <c:extLst xmlns:c16r2="http://schemas.microsoft.com/office/drawing/2015/06/chart">
              <c:ext xmlns:c16="http://schemas.microsoft.com/office/drawing/2014/chart" uri="{C3380CC4-5D6E-409C-BE32-E72D297353CC}">
                <c16:uniqueId val="{00000009-D856-4AB3-9574-9F571AC28618}"/>
              </c:ext>
            </c:extLst>
          </c:dPt>
          <c:dPt>
            <c:idx val="5"/>
            <c:bubble3D val="0"/>
            <c:spPr>
              <a:solidFill>
                <a:srgbClr val="A5A5A5"/>
              </a:solidFill>
              <a:ln w="19050">
                <a:noFill/>
              </a:ln>
              <a:effectLst/>
            </c:spPr>
            <c:extLst xmlns:c16r2="http://schemas.microsoft.com/office/drawing/2015/06/chart">
              <c:ext xmlns:c16="http://schemas.microsoft.com/office/drawing/2014/chart" uri="{C3380CC4-5D6E-409C-BE32-E72D297353CC}">
                <c16:uniqueId val="{0000000B-D856-4AB3-9574-9F571AC28618}"/>
              </c:ext>
            </c:extLst>
          </c:dPt>
          <c:dLbls>
            <c:dLbl>
              <c:idx val="0"/>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dLbl>
            <c:dLbl>
              <c:idx val="1"/>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dLbl>
            <c:dLbl>
              <c:idx val="2"/>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dLbl>
            <c:dLbl>
              <c:idx val="3"/>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'Concentrado todas mat ingresos'!$A$3:$A$8</c:f>
              <c:strCache>
                <c:ptCount val="6"/>
                <c:pt idx="0">
                  <c:v>Familiar</c:v>
                </c:pt>
                <c:pt idx="1">
                  <c:v>Civil</c:v>
                </c:pt>
                <c:pt idx="2">
                  <c:v>Mercantil</c:v>
                </c:pt>
                <c:pt idx="3">
                  <c:v>Penal</c:v>
                </c:pt>
                <c:pt idx="4">
                  <c:v>Justicia para Adolescentes</c:v>
                </c:pt>
                <c:pt idx="5">
                  <c:v>Otra</c:v>
                </c:pt>
              </c:strCache>
            </c:strRef>
          </c:cat>
          <c:val>
            <c:numRef>
              <c:f>'Concentrado todas mat ingresos'!$D$3:$D$8</c:f>
              <c:numCache>
                <c:formatCode>0.0%</c:formatCode>
                <c:ptCount val="6"/>
                <c:pt idx="0">
                  <c:v>0.38431189014136846</c:v>
                </c:pt>
                <c:pt idx="1">
                  <c:v>0.29721943269183282</c:v>
                </c:pt>
                <c:pt idx="2">
                  <c:v>0.22618902589598802</c:v>
                </c:pt>
                <c:pt idx="3">
                  <c:v>7.5999999999999998E-2</c:v>
                </c:pt>
                <c:pt idx="4">
                  <c:v>2.1081794257304192E-3</c:v>
                </c:pt>
                <c:pt idx="5">
                  <c:v>1.4910124858596288E-2</c:v>
                </c:pt>
              </c:numCache>
            </c:numRef>
          </c:val>
          <c:extLst xmlns:c16r2="http://schemas.microsoft.com/office/drawing/2015/06/chart">
            <c:ext xmlns:c16="http://schemas.microsoft.com/office/drawing/2014/chart" uri="{C3380CC4-5D6E-409C-BE32-E72D297353CC}">
              <c16:uniqueId val="{0000000C-D856-4AB3-9574-9F571AC2861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5"/>
          <c:y val="0.90729713711679683"/>
          <c:w val="0.9"/>
          <c:h val="9.270286288320324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2060"/>
            </a:solidFill>
            <a:ln>
              <a:noFill/>
            </a:ln>
            <a:effectLst>
              <a:outerShdw blurRad="50800" dist="38100" dir="2700000" algn="tl" rotWithShape="0">
                <a:prstClr val="black">
                  <a:alpha val="40000"/>
                </a:prstClr>
              </a:outerShdw>
            </a:effectLst>
          </c:spPr>
          <c:invertIfNegative val="0"/>
          <c:dPt>
            <c:idx val="1"/>
            <c:invertIfNegative val="0"/>
            <c:bubble3D val="0"/>
            <c:spPr>
              <a:solidFill>
                <a:srgbClr val="0E30DC"/>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24C6-45AE-9A3D-568039C64D92}"/>
              </c:ext>
            </c:extLst>
          </c:dPt>
          <c:dPt>
            <c:idx val="2"/>
            <c:invertIfNegative val="0"/>
            <c:bubble3D val="0"/>
            <c:spPr>
              <a:solidFill>
                <a:srgbClr val="A7C4FF"/>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24C6-45AE-9A3D-568039C64D9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'Just. todas las Materias'!$AR$3:$AR$5</c:f>
              <c:strCache>
                <c:ptCount val="3"/>
                <c:pt idx="0">
                  <c:v>Abiertos</c:v>
                </c:pt>
                <c:pt idx="1">
                  <c:v>Concluidos</c:v>
                </c:pt>
                <c:pt idx="2">
                  <c:v>Pendientes</c:v>
                </c:pt>
              </c:strCache>
            </c:strRef>
          </c:cat>
          <c:val>
            <c:numRef>
              <c:f>'Just. todas las Materias'!$AW$3:$AW$5</c:f>
              <c:numCache>
                <c:formatCode>#,##0</c:formatCode>
                <c:ptCount val="3"/>
                <c:pt idx="0">
                  <c:v>1961517</c:v>
                </c:pt>
                <c:pt idx="1">
                  <c:v>1153542</c:v>
                </c:pt>
                <c:pt idx="2">
                  <c:v>3066386</c:v>
                </c:pt>
              </c:numCache>
            </c:numRef>
          </c:val>
          <c:extLst xmlns:c16r2="http://schemas.microsoft.com/office/drawing/2015/06/chart">
            <c:ext xmlns:c16="http://schemas.microsoft.com/office/drawing/2014/chart" uri="{C3380CC4-5D6E-409C-BE32-E72D297353CC}">
              <c16:uniqueId val="{00000004-24C6-45AE-9A3D-568039C64D92}"/>
            </c:ext>
          </c:extLst>
        </c:ser>
        <c:dLbls>
          <c:showLegendKey val="0"/>
          <c:showVal val="0"/>
          <c:showCatName val="0"/>
          <c:showSerName val="0"/>
          <c:showPercent val="0"/>
          <c:showBubbleSize val="0"/>
        </c:dLbls>
        <c:gapWidth val="100"/>
        <c:overlap val="-27"/>
        <c:axId val="483791448"/>
        <c:axId val="483791840"/>
      </c:barChart>
      <c:catAx>
        <c:axId val="483791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83791840"/>
        <c:crosses val="autoZero"/>
        <c:auto val="1"/>
        <c:lblAlgn val="ctr"/>
        <c:lblOffset val="100"/>
        <c:noMultiLvlLbl val="0"/>
      </c:catAx>
      <c:valAx>
        <c:axId val="483791840"/>
        <c:scaling>
          <c:orientation val="minMax"/>
        </c:scaling>
        <c:delete val="1"/>
        <c:axPos val="l"/>
        <c:numFmt formatCode="#,##0" sourceLinked="1"/>
        <c:majorTickMark val="none"/>
        <c:minorTickMark val="none"/>
        <c:tickLblPos val="nextTo"/>
        <c:crossAx val="4837914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96255503132249"/>
          <c:y val="6.7797606920900555E-4"/>
          <c:w val="0.73949368553379724"/>
          <c:h val="0.69816256502514573"/>
        </c:manualLayout>
      </c:layout>
      <c:barChart>
        <c:barDir val="bar"/>
        <c:grouping val="clustered"/>
        <c:varyColors val="0"/>
        <c:ser>
          <c:idx val="0"/>
          <c:order val="0"/>
          <c:tx>
            <c:strRef>
              <c:f>'Causas penales M2 Y M3'!$Y$6</c:f>
              <c:strCache>
                <c:ptCount val="1"/>
                <c:pt idx="0">
                  <c:v>Sistemas Tradicional y Escrito o Mixto y Oral</c:v>
                </c:pt>
              </c:strCache>
            </c:strRef>
          </c:tx>
          <c:spPr>
            <a:solidFill>
              <a:srgbClr val="002060"/>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'Causas penales M2 Y M3'!$X$7:$X$9</c:f>
              <c:strCache>
                <c:ptCount val="3"/>
                <c:pt idx="0">
                  <c:v>Ingresadas</c:v>
                </c:pt>
                <c:pt idx="1">
                  <c:v>Concluidas</c:v>
                </c:pt>
                <c:pt idx="2">
                  <c:v>Pendientes</c:v>
                </c:pt>
              </c:strCache>
            </c:strRef>
          </c:cat>
          <c:val>
            <c:numRef>
              <c:f>'Causas penales M2 Y M3'!$Y$7:$Y$9</c:f>
              <c:numCache>
                <c:formatCode>#,##0</c:formatCode>
                <c:ptCount val="3"/>
                <c:pt idx="0">
                  <c:v>10863</c:v>
                </c:pt>
                <c:pt idx="1">
                  <c:v>22250</c:v>
                </c:pt>
                <c:pt idx="2">
                  <c:v>84869</c:v>
                </c:pt>
              </c:numCache>
            </c:numRef>
          </c:val>
          <c:extLst xmlns:c16r2="http://schemas.microsoft.com/office/drawing/2015/06/chart">
            <c:ext xmlns:c16="http://schemas.microsoft.com/office/drawing/2014/chart" uri="{C3380CC4-5D6E-409C-BE32-E72D297353CC}">
              <c16:uniqueId val="{00000000-8174-4A7E-AFB7-4CDDE07C5D26}"/>
            </c:ext>
          </c:extLst>
        </c:ser>
        <c:ser>
          <c:idx val="1"/>
          <c:order val="1"/>
          <c:tx>
            <c:strRef>
              <c:f>'Causas penales M2 Y M3'!$Z$6</c:f>
              <c:strCache>
                <c:ptCount val="1"/>
                <c:pt idx="0">
                  <c:v>Sistemas Penal Acusatorio e Integral de Justicia Penal para Adolescentes (Juzgados de Control o Garantías)</c:v>
                </c:pt>
              </c:strCache>
            </c:strRef>
          </c:tx>
          <c:spPr>
            <a:solidFill>
              <a:srgbClr val="0E30DC"/>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'Causas penales M2 Y M3'!$X$7:$X$9</c:f>
              <c:strCache>
                <c:ptCount val="3"/>
                <c:pt idx="0">
                  <c:v>Ingresadas</c:v>
                </c:pt>
                <c:pt idx="1">
                  <c:v>Concluidas</c:v>
                </c:pt>
                <c:pt idx="2">
                  <c:v>Pendientes</c:v>
                </c:pt>
              </c:strCache>
            </c:strRef>
          </c:cat>
          <c:val>
            <c:numRef>
              <c:f>'Causas penales M2 Y M3'!$Z$7:$Z$9</c:f>
              <c:numCache>
                <c:formatCode>#,##0</c:formatCode>
                <c:ptCount val="3"/>
                <c:pt idx="0">
                  <c:v>153625</c:v>
                </c:pt>
                <c:pt idx="1">
                  <c:v>76103</c:v>
                </c:pt>
                <c:pt idx="2">
                  <c:v>332133</c:v>
                </c:pt>
              </c:numCache>
            </c:numRef>
          </c:val>
          <c:extLst xmlns:c16r2="http://schemas.microsoft.com/office/drawing/2015/06/chart">
            <c:ext xmlns:c16="http://schemas.microsoft.com/office/drawing/2014/chart" uri="{C3380CC4-5D6E-409C-BE32-E72D297353CC}">
              <c16:uniqueId val="{00000001-8174-4A7E-AFB7-4CDDE07C5D26}"/>
            </c:ext>
          </c:extLst>
        </c:ser>
        <c:ser>
          <c:idx val="2"/>
          <c:order val="2"/>
          <c:tx>
            <c:strRef>
              <c:f>'Causas penales M2 Y M3'!$AA$6</c:f>
              <c:strCache>
                <c:ptCount val="1"/>
                <c:pt idx="0">
                  <c:v>Sistemas Penal Acusatorio e Integral de Justicia Penal para Adolescentes (Tribunales de Enjuiciamiento o Juzgados de Juicio Oral) </c:v>
                </c:pt>
              </c:strCache>
            </c:strRef>
          </c:tx>
          <c:spPr>
            <a:solidFill>
              <a:srgbClr val="A0E8FE"/>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'Causas penales M2 Y M3'!$X$7:$X$9</c:f>
              <c:strCache>
                <c:ptCount val="3"/>
                <c:pt idx="0">
                  <c:v>Ingresadas</c:v>
                </c:pt>
                <c:pt idx="1">
                  <c:v>Concluidas</c:v>
                </c:pt>
                <c:pt idx="2">
                  <c:v>Pendientes</c:v>
                </c:pt>
              </c:strCache>
            </c:strRef>
          </c:cat>
          <c:val>
            <c:numRef>
              <c:f>'Causas penales M2 Y M3'!$AA$7:$AA$9</c:f>
              <c:numCache>
                <c:formatCode>#,##0</c:formatCode>
                <c:ptCount val="3"/>
                <c:pt idx="0">
                  <c:v>8230</c:v>
                </c:pt>
                <c:pt idx="1">
                  <c:v>8354</c:v>
                </c:pt>
                <c:pt idx="2">
                  <c:v>15651</c:v>
                </c:pt>
              </c:numCache>
            </c:numRef>
          </c:val>
          <c:extLst xmlns:c16r2="http://schemas.microsoft.com/office/drawing/2015/06/chart">
            <c:ext xmlns:c16="http://schemas.microsoft.com/office/drawing/2014/chart" uri="{C3380CC4-5D6E-409C-BE32-E72D297353CC}">
              <c16:uniqueId val="{00000002-8174-4A7E-AFB7-4CDDE07C5D26}"/>
            </c:ext>
          </c:extLst>
        </c:ser>
        <c:dLbls>
          <c:showLegendKey val="0"/>
          <c:showVal val="0"/>
          <c:showCatName val="0"/>
          <c:showSerName val="0"/>
          <c:showPercent val="0"/>
          <c:showBubbleSize val="0"/>
        </c:dLbls>
        <c:gapWidth val="50"/>
        <c:axId val="483793408"/>
        <c:axId val="668616952"/>
      </c:barChart>
      <c:catAx>
        <c:axId val="4837934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68616952"/>
        <c:crosses val="autoZero"/>
        <c:auto val="1"/>
        <c:lblAlgn val="ctr"/>
        <c:lblOffset val="100"/>
        <c:noMultiLvlLbl val="0"/>
      </c:catAx>
      <c:valAx>
        <c:axId val="668616952"/>
        <c:scaling>
          <c:orientation val="minMax"/>
        </c:scaling>
        <c:delete val="1"/>
        <c:axPos val="t"/>
        <c:numFmt formatCode="#,##0" sourceLinked="1"/>
        <c:majorTickMark val="none"/>
        <c:minorTickMark val="none"/>
        <c:tickLblPos val="nextTo"/>
        <c:crossAx val="483793408"/>
        <c:crosses val="autoZero"/>
        <c:crossBetween val="between"/>
      </c:valAx>
      <c:spPr>
        <a:noFill/>
        <a:ln>
          <a:noFill/>
        </a:ln>
        <a:effectLst/>
      </c:spPr>
    </c:plotArea>
    <c:legend>
      <c:legendPos val="b"/>
      <c:layout>
        <c:manualLayout>
          <c:xMode val="edge"/>
          <c:yMode val="edge"/>
          <c:x val="0"/>
          <c:y val="0.74312002732567806"/>
          <c:w val="0.99830229137189519"/>
          <c:h val="0.2562769478934370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480492813141684E-2"/>
          <c:y val="8.0262677854797515E-2"/>
          <c:w val="0.95893223819301843"/>
          <c:h val="0.63203267960713228"/>
        </c:manualLayout>
      </c:layout>
      <c:lineChart>
        <c:grouping val="standard"/>
        <c:varyColors val="0"/>
        <c:ser>
          <c:idx val="0"/>
          <c:order val="0"/>
          <c:spPr>
            <a:ln w="28575" cap="rnd">
              <a:solidFill>
                <a:srgbClr val="3F7FFF"/>
              </a:solidFill>
              <a:round/>
            </a:ln>
            <a:effectLst/>
          </c:spPr>
          <c:marker>
            <c:symbol val="circle"/>
            <c:size val="5"/>
            <c:spPr>
              <a:solidFill>
                <a:srgbClr val="0E30DC"/>
              </a:solidFill>
              <a:ln w="9525">
                <a:solidFill>
                  <a:srgbClr val="3F7FFF"/>
                </a:solidFill>
              </a:ln>
              <a:effectLst/>
            </c:spPr>
          </c:marker>
          <c:dLbls>
            <c:dLbl>
              <c:idx val="0"/>
              <c:layout>
                <c:manualLayout>
                  <c:x val="-4.3809115749648339E-2"/>
                  <c:y val="4.051455443297606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125F-46CD-90E0-2D183E3C2D81}"/>
                </c:ext>
                <c:ext xmlns:c15="http://schemas.microsoft.com/office/drawing/2012/chart" uri="{CE6537A1-D6FC-4f65-9D91-7224C49458BB}"/>
              </c:extLst>
            </c:dLbl>
            <c:dLbl>
              <c:idx val="1"/>
              <c:layout>
                <c:manualLayout>
                  <c:x val="-2.9435399117204806E-2"/>
                  <c:y val="-5.43413375772391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125F-46CD-90E0-2D183E3C2D81}"/>
                </c:ext>
                <c:ext xmlns:c15="http://schemas.microsoft.com/office/drawing/2012/chart" uri="{CE6537A1-D6FC-4f65-9D91-7224C49458BB}"/>
              </c:extLst>
            </c:dLbl>
            <c:dLbl>
              <c:idx val="2"/>
              <c:layout>
                <c:manualLayout>
                  <c:x val="-2.7382011026855738E-2"/>
                  <c:y val="-5.434133757723924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125F-46CD-90E0-2D183E3C2D81}"/>
                </c:ext>
                <c:ext xmlns:c15="http://schemas.microsoft.com/office/drawing/2012/chart" uri="{CE6537A1-D6FC-4f65-9D91-7224C49458BB}"/>
              </c:extLst>
            </c:dLbl>
            <c:dLbl>
              <c:idx val="3"/>
              <c:layout>
                <c:manualLayout>
                  <c:x val="-2.566670439295704E-2"/>
                  <c:y val="-3.663586196198308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25F-46CD-90E0-2D183E3C2D81}"/>
                </c:ext>
                <c:ext xmlns:c15="http://schemas.microsoft.com/office/drawing/2012/chart" uri="{CE6537A1-D6FC-4f65-9D91-7224C49458BB}"/>
              </c:extLst>
            </c:dLbl>
            <c:dLbl>
              <c:idx val="4"/>
              <c:layout>
                <c:manualLayout>
                  <c:x val="-5.739312317779713E-3"/>
                  <c:y val="-2.676094116412256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25F-46CD-90E0-2D183E3C2D81}"/>
                </c:ext>
                <c:ext xmlns:c15="http://schemas.microsoft.com/office/drawing/2012/chart" uri="{CE6537A1-D6FC-4f65-9D91-7224C49458BB}"/>
              </c:extLst>
            </c:dLbl>
            <c:dLbl>
              <c:idx val="6"/>
              <c:layout>
                <c:manualLayout>
                  <c:x val="-2.6390267275391052E-2"/>
                  <c:y val="-4.832108539734616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25F-46CD-90E0-2D183E3C2D81}"/>
                </c:ext>
                <c:ext xmlns:c15="http://schemas.microsoft.com/office/drawing/2012/chart" uri="{CE6537A1-D6FC-4f65-9D91-7224C49458BB}"/>
              </c:extLst>
            </c:dLbl>
            <c:dLbl>
              <c:idx val="10"/>
              <c:layout>
                <c:manualLayout>
                  <c:x val="-5.7657357837694143E-4"/>
                  <c:y val="-2.316785298062974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25F-46CD-90E0-2D183E3C2D81}"/>
                </c:ext>
                <c:ext xmlns:c15="http://schemas.microsoft.com/office/drawing/2012/chart" uri="{CE6537A1-D6FC-4f65-9D91-7224C49458BB}"/>
              </c:extLst>
            </c:dLbl>
            <c:dLbl>
              <c:idx val="13"/>
              <c:layout>
                <c:manualLayout>
                  <c:x val="-9.1811381440483324E-3"/>
                  <c:y val="-3.035449081397734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25F-46CD-90E0-2D183E3C2D81}"/>
                </c:ext>
                <c:ext xmlns:c15="http://schemas.microsoft.com/office/drawing/2012/chart" uri="{CE6537A1-D6FC-4f65-9D91-7224C49458BB}"/>
              </c:extLst>
            </c:dLbl>
            <c:dLbl>
              <c:idx val="15"/>
              <c:layout>
                <c:manualLayout>
                  <c:x val="-1.377163946359551E-2"/>
                  <c:y val="-3.394780973065104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25F-46CD-90E0-2D183E3C2D81}"/>
                </c:ext>
                <c:ext xmlns:c15="http://schemas.microsoft.com/office/drawing/2012/chart" uri="{CE6537A1-D6FC-4f65-9D91-7224C49458BB}"/>
              </c:extLst>
            </c:dLbl>
            <c:dLbl>
              <c:idx val="16"/>
              <c:layout>
                <c:manualLayout>
                  <c:x val="-4.5320377047324938E-2"/>
                  <c:y val="2.365537033153599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25F-46CD-90E0-2D183E3C2D81}"/>
                </c:ext>
                <c:ext xmlns:c15="http://schemas.microsoft.com/office/drawing/2012/chart" uri="{CE6537A1-D6FC-4f65-9D91-7224C49458BB}"/>
              </c:extLst>
            </c:dLbl>
            <c:dLbl>
              <c:idx val="21"/>
              <c:layout>
                <c:manualLayout>
                  <c:x val="-2.6390267275391181E-2"/>
                  <c:y val="-2.67611718973035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25F-46CD-90E0-2D183E3C2D81}"/>
                </c:ext>
                <c:ext xmlns:c15="http://schemas.microsoft.com/office/drawing/2012/chart" uri="{CE6537A1-D6FC-4f65-9D91-7224C49458BB}"/>
              </c:extLst>
            </c:dLbl>
            <c:dLbl>
              <c:idx val="22"/>
              <c:layout>
                <c:manualLayout>
                  <c:x val="-2.6390267275391052E-2"/>
                  <c:y val="-2.676117189730357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125F-46CD-90E0-2D183E3C2D81}"/>
                </c:ext>
                <c:ext xmlns:c15="http://schemas.microsoft.com/office/drawing/2012/chart" uri="{CE6537A1-D6FC-4f65-9D91-7224C49458BB}"/>
              </c:extLst>
            </c:dLbl>
            <c:dLbl>
              <c:idx val="26"/>
              <c:layout>
                <c:manualLayout>
                  <c:x val="-9.18113814404827E-3"/>
                  <c:y val="-2.676117189730357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25F-46CD-90E0-2D183E3C2D81}"/>
                </c:ext>
                <c:ext xmlns:c15="http://schemas.microsoft.com/office/drawing/2012/chart" uri="{CE6537A1-D6FC-4f65-9D91-7224C49458BB}"/>
              </c:extLst>
            </c:dLbl>
            <c:dLbl>
              <c:idx val="28"/>
              <c:layout>
                <c:manualLayout>
                  <c:x val="-5.739312317779713E-3"/>
                  <c:y val="-2.67611718973035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25F-46CD-90E0-2D183E3C2D81}"/>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6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'Causas penales M2 Y M3'!$AN$9:$AN$40</c:f>
              <c:strCache>
                <c:ptCount val="32"/>
                <c:pt idx="0">
                  <c:v>AGS</c:v>
                </c:pt>
                <c:pt idx="1">
                  <c:v>BC</c:v>
                </c:pt>
                <c:pt idx="2">
                  <c:v>BCS</c:v>
                </c:pt>
                <c:pt idx="3">
                  <c:v>CAMP</c:v>
                </c:pt>
                <c:pt idx="4">
                  <c:v>COAH</c:v>
                </c:pt>
                <c:pt idx="5">
                  <c:v>COL</c:v>
                </c:pt>
                <c:pt idx="6">
                  <c:v>CHIS</c:v>
                </c:pt>
                <c:pt idx="7">
                  <c:v>CHIH</c:v>
                </c:pt>
                <c:pt idx="8">
                  <c:v>CDMX</c:v>
                </c:pt>
                <c:pt idx="9">
                  <c:v>DGO</c:v>
                </c:pt>
                <c:pt idx="10">
                  <c:v>GTO</c:v>
                </c:pt>
                <c:pt idx="11">
                  <c:v>GRO</c:v>
                </c:pt>
                <c:pt idx="12">
                  <c:v>HGO</c:v>
                </c:pt>
                <c:pt idx="13">
                  <c:v>JAL</c:v>
                </c:pt>
                <c:pt idx="14">
                  <c:v>MEX</c:v>
                </c:pt>
                <c:pt idx="15">
                  <c:v>MICH</c:v>
                </c:pt>
                <c:pt idx="16">
                  <c:v>MORE</c:v>
                </c:pt>
                <c:pt idx="17">
                  <c:v>NAY</c:v>
                </c:pt>
                <c:pt idx="18">
                  <c:v>NL</c:v>
                </c:pt>
                <c:pt idx="19">
                  <c:v>OAX</c:v>
                </c:pt>
                <c:pt idx="20">
                  <c:v>PUE</c:v>
                </c:pt>
                <c:pt idx="21">
                  <c:v>QRO</c:v>
                </c:pt>
                <c:pt idx="22">
                  <c:v>QROO</c:v>
                </c:pt>
                <c:pt idx="23">
                  <c:v>SLP</c:v>
                </c:pt>
                <c:pt idx="24">
                  <c:v>SIN</c:v>
                </c:pt>
                <c:pt idx="25">
                  <c:v>SON</c:v>
                </c:pt>
                <c:pt idx="26">
                  <c:v>TAB</c:v>
                </c:pt>
                <c:pt idx="27">
                  <c:v>TAMP</c:v>
                </c:pt>
                <c:pt idx="28">
                  <c:v>TLAX</c:v>
                </c:pt>
                <c:pt idx="29">
                  <c:v>VER</c:v>
                </c:pt>
                <c:pt idx="30">
                  <c:v>YUC</c:v>
                </c:pt>
                <c:pt idx="31">
                  <c:v>ZAC</c:v>
                </c:pt>
              </c:strCache>
            </c:strRef>
          </c:cat>
          <c:val>
            <c:numRef>
              <c:f>'Causas penales M2 Y M3'!$AR$9:$AR$40</c:f>
              <c:numCache>
                <c:formatCode>0.0%</c:formatCode>
                <c:ptCount val="32"/>
                <c:pt idx="0">
                  <c:v>4.8247841543930928E-2</c:v>
                </c:pt>
                <c:pt idx="1">
                  <c:v>1.3112656912129208E-2</c:v>
                </c:pt>
                <c:pt idx="2">
                  <c:v>8.2516761217122231E-3</c:v>
                </c:pt>
                <c:pt idx="3">
                  <c:v>0</c:v>
                </c:pt>
                <c:pt idx="4">
                  <c:v>1.4114326040931546E-3</c:v>
                </c:pt>
                <c:pt idx="5">
                  <c:v>6.5285624607658507E-2</c:v>
                </c:pt>
                <c:pt idx="6">
                  <c:v>6.6115702479338841E-3</c:v>
                </c:pt>
                <c:pt idx="7">
                  <c:v>6.1355236139630391E-2</c:v>
                </c:pt>
                <c:pt idx="8">
                  <c:v>4.8508465466272507E-2</c:v>
                </c:pt>
                <c:pt idx="9">
                  <c:v>1.8642803877703208E-2</c:v>
                </c:pt>
                <c:pt idx="10">
                  <c:v>3.2797638570022956E-2</c:v>
                </c:pt>
                <c:pt idx="11">
                  <c:v>0.12597547380156077</c:v>
                </c:pt>
                <c:pt idx="12">
                  <c:v>0.10323089046493301</c:v>
                </c:pt>
                <c:pt idx="13">
                  <c:v>8.6749078291043153E-4</c:v>
                </c:pt>
                <c:pt idx="14">
                  <c:v>0.22429210134128166</c:v>
                </c:pt>
                <c:pt idx="15">
                  <c:v>0.1502079002079002</c:v>
                </c:pt>
                <c:pt idx="16">
                  <c:v>4.7667862634546386E-2</c:v>
                </c:pt>
                <c:pt idx="17">
                  <c:v>2.7808676307007787E-3</c:v>
                </c:pt>
                <c:pt idx="18">
                  <c:v>9.0484357442781951E-3</c:v>
                </c:pt>
                <c:pt idx="19">
                  <c:v>2.6191342306293199E-2</c:v>
                </c:pt>
                <c:pt idx="20">
                  <c:v>7.2050435304713296E-3</c:v>
                </c:pt>
                <c:pt idx="21">
                  <c:v>3.4331628926223517E-2</c:v>
                </c:pt>
                <c:pt idx="22">
                  <c:v>3.5052910052910051E-2</c:v>
                </c:pt>
                <c:pt idx="23">
                  <c:v>4.9477735019241341E-3</c:v>
                </c:pt>
                <c:pt idx="24">
                  <c:v>1.7852454712522971E-2</c:v>
                </c:pt>
                <c:pt idx="25">
                  <c:v>2.5278058645096056E-3</c:v>
                </c:pt>
                <c:pt idx="26">
                  <c:v>1.3455328310010764E-2</c:v>
                </c:pt>
                <c:pt idx="27">
                  <c:v>0.23142112125162972</c:v>
                </c:pt>
                <c:pt idx="28">
                  <c:v>2.34192037470726E-3</c:v>
                </c:pt>
                <c:pt idx="29">
                  <c:v>7.1322436849925702E-2</c:v>
                </c:pt>
                <c:pt idx="30">
                  <c:v>5.5354993983152828E-2</c:v>
                </c:pt>
                <c:pt idx="31">
                  <c:v>2.3910411622276029E-2</c:v>
                </c:pt>
              </c:numCache>
            </c:numRef>
          </c:val>
          <c:smooth val="0"/>
          <c:extLst xmlns:c16r2="http://schemas.microsoft.com/office/drawing/2015/06/chart">
            <c:ext xmlns:c16="http://schemas.microsoft.com/office/drawing/2014/chart" uri="{C3380CC4-5D6E-409C-BE32-E72D297353CC}">
              <c16:uniqueId val="{0000000B-125F-46CD-90E0-2D183E3C2D81}"/>
            </c:ext>
          </c:extLst>
        </c:ser>
        <c:ser>
          <c:idx val="1"/>
          <c:order val="1"/>
          <c:spPr>
            <a:ln w="25400" cap="rnd">
              <a:solidFill>
                <a:srgbClr val="00B0F0"/>
              </a:solidFill>
              <a:round/>
            </a:ln>
            <a:effectLst/>
          </c:spPr>
          <c:marker>
            <c:symbol val="circle"/>
            <c:size val="5"/>
            <c:spPr>
              <a:noFill/>
              <a:ln w="0">
                <a:noFill/>
                <a:prstDash val="sysDot"/>
                <a:tailEnd w="sm" len="sm"/>
              </a:ln>
              <a:effectLst/>
            </c:spPr>
          </c:marker>
          <c:dLbls>
            <c:dLbl>
              <c:idx val="0"/>
              <c:layout>
                <c:manualLayout>
                  <c:x val="3.909521576743359E-4"/>
                  <c:y val="-0.16224896368070738"/>
                </c:manualLayout>
              </c:layout>
              <c:tx>
                <c:rich>
                  <a:bodyPr/>
                  <a:lstStyle/>
                  <a:p>
                    <a:r>
                      <a:rPr lang="en-US" sz="800" b="1"/>
                      <a:t>Nacional:</a:t>
                    </a:r>
                    <a:r>
                      <a:rPr lang="en-US" sz="800" b="1" baseline="0"/>
                      <a:t> 5.4%</a:t>
                    </a:r>
                    <a:endParaRPr lang="en-US" sz="800" b="1"/>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125F-46CD-90E0-2D183E3C2D8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9BD2"/>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'Causas penales M2 Y M3'!$AN$9:$AN$40</c:f>
              <c:strCache>
                <c:ptCount val="32"/>
                <c:pt idx="0">
                  <c:v>AGS</c:v>
                </c:pt>
                <c:pt idx="1">
                  <c:v>BC</c:v>
                </c:pt>
                <c:pt idx="2">
                  <c:v>BCS</c:v>
                </c:pt>
                <c:pt idx="3">
                  <c:v>CAMP</c:v>
                </c:pt>
                <c:pt idx="4">
                  <c:v>COAH</c:v>
                </c:pt>
                <c:pt idx="5">
                  <c:v>COL</c:v>
                </c:pt>
                <c:pt idx="6">
                  <c:v>CHIS</c:v>
                </c:pt>
                <c:pt idx="7">
                  <c:v>CHIH</c:v>
                </c:pt>
                <c:pt idx="8">
                  <c:v>CDMX</c:v>
                </c:pt>
                <c:pt idx="9">
                  <c:v>DGO</c:v>
                </c:pt>
                <c:pt idx="10">
                  <c:v>GTO</c:v>
                </c:pt>
                <c:pt idx="11">
                  <c:v>GRO</c:v>
                </c:pt>
                <c:pt idx="12">
                  <c:v>HGO</c:v>
                </c:pt>
                <c:pt idx="13">
                  <c:v>JAL</c:v>
                </c:pt>
                <c:pt idx="14">
                  <c:v>MEX</c:v>
                </c:pt>
                <c:pt idx="15">
                  <c:v>MICH</c:v>
                </c:pt>
                <c:pt idx="16">
                  <c:v>MORE</c:v>
                </c:pt>
                <c:pt idx="17">
                  <c:v>NAY</c:v>
                </c:pt>
                <c:pt idx="18">
                  <c:v>NL</c:v>
                </c:pt>
                <c:pt idx="19">
                  <c:v>OAX</c:v>
                </c:pt>
                <c:pt idx="20">
                  <c:v>PUE</c:v>
                </c:pt>
                <c:pt idx="21">
                  <c:v>QRO</c:v>
                </c:pt>
                <c:pt idx="22">
                  <c:v>QROO</c:v>
                </c:pt>
                <c:pt idx="23">
                  <c:v>SLP</c:v>
                </c:pt>
                <c:pt idx="24">
                  <c:v>SIN</c:v>
                </c:pt>
                <c:pt idx="25">
                  <c:v>SON</c:v>
                </c:pt>
                <c:pt idx="26">
                  <c:v>TAB</c:v>
                </c:pt>
                <c:pt idx="27">
                  <c:v>TAMP</c:v>
                </c:pt>
                <c:pt idx="28">
                  <c:v>TLAX</c:v>
                </c:pt>
                <c:pt idx="29">
                  <c:v>VER</c:v>
                </c:pt>
                <c:pt idx="30">
                  <c:v>YUC</c:v>
                </c:pt>
                <c:pt idx="31">
                  <c:v>ZAC</c:v>
                </c:pt>
              </c:strCache>
            </c:strRef>
          </c:cat>
          <c:val>
            <c:numRef>
              <c:f>'Causas penales M2 Y M3'!$AS$9:$AS$40</c:f>
              <c:numCache>
                <c:formatCode>0.0%</c:formatCode>
                <c:ptCount val="32"/>
                <c:pt idx="0">
                  <c:v>5.3999999999999999E-2</c:v>
                </c:pt>
                <c:pt idx="1">
                  <c:v>5.3999999999999999E-2</c:v>
                </c:pt>
                <c:pt idx="2">
                  <c:v>5.3999999999999999E-2</c:v>
                </c:pt>
                <c:pt idx="3">
                  <c:v>5.3999999999999999E-2</c:v>
                </c:pt>
                <c:pt idx="4">
                  <c:v>5.3999999999999999E-2</c:v>
                </c:pt>
                <c:pt idx="5">
                  <c:v>5.3999999999999999E-2</c:v>
                </c:pt>
                <c:pt idx="6">
                  <c:v>5.3999999999999999E-2</c:v>
                </c:pt>
                <c:pt idx="7">
                  <c:v>5.3999999999999999E-2</c:v>
                </c:pt>
                <c:pt idx="8">
                  <c:v>5.3999999999999999E-2</c:v>
                </c:pt>
                <c:pt idx="9">
                  <c:v>5.3999999999999999E-2</c:v>
                </c:pt>
                <c:pt idx="10">
                  <c:v>5.3999999999999999E-2</c:v>
                </c:pt>
                <c:pt idx="11">
                  <c:v>5.3999999999999999E-2</c:v>
                </c:pt>
                <c:pt idx="12">
                  <c:v>5.3999999999999999E-2</c:v>
                </c:pt>
                <c:pt idx="13">
                  <c:v>5.3999999999999999E-2</c:v>
                </c:pt>
                <c:pt idx="14">
                  <c:v>5.3999999999999999E-2</c:v>
                </c:pt>
                <c:pt idx="15">
                  <c:v>5.3999999999999999E-2</c:v>
                </c:pt>
                <c:pt idx="16">
                  <c:v>5.3999999999999999E-2</c:v>
                </c:pt>
                <c:pt idx="17">
                  <c:v>5.3999999999999999E-2</c:v>
                </c:pt>
                <c:pt idx="18">
                  <c:v>5.3999999999999999E-2</c:v>
                </c:pt>
                <c:pt idx="19">
                  <c:v>5.3999999999999999E-2</c:v>
                </c:pt>
                <c:pt idx="20">
                  <c:v>5.3999999999999999E-2</c:v>
                </c:pt>
                <c:pt idx="21">
                  <c:v>5.3999999999999999E-2</c:v>
                </c:pt>
                <c:pt idx="22">
                  <c:v>5.3999999999999999E-2</c:v>
                </c:pt>
                <c:pt idx="23">
                  <c:v>5.3999999999999999E-2</c:v>
                </c:pt>
                <c:pt idx="24">
                  <c:v>5.3999999999999999E-2</c:v>
                </c:pt>
                <c:pt idx="25">
                  <c:v>5.3999999999999999E-2</c:v>
                </c:pt>
                <c:pt idx="26">
                  <c:v>5.3999999999999999E-2</c:v>
                </c:pt>
                <c:pt idx="27">
                  <c:v>5.3999999999999999E-2</c:v>
                </c:pt>
                <c:pt idx="28">
                  <c:v>5.3999999999999999E-2</c:v>
                </c:pt>
                <c:pt idx="29">
                  <c:v>5.3999999999999999E-2</c:v>
                </c:pt>
                <c:pt idx="30">
                  <c:v>5.3999999999999999E-2</c:v>
                </c:pt>
                <c:pt idx="31">
                  <c:v>5.3999999999999999E-2</c:v>
                </c:pt>
              </c:numCache>
            </c:numRef>
          </c:val>
          <c:smooth val="0"/>
          <c:extLst xmlns:c16r2="http://schemas.microsoft.com/office/drawing/2015/06/chart">
            <c:ext xmlns:c16="http://schemas.microsoft.com/office/drawing/2014/chart" uri="{C3380CC4-5D6E-409C-BE32-E72D297353CC}">
              <c16:uniqueId val="{0000000D-125F-46CD-90E0-2D183E3C2D81}"/>
            </c:ext>
          </c:extLst>
        </c:ser>
        <c:dLbls>
          <c:showLegendKey val="0"/>
          <c:showVal val="0"/>
          <c:showCatName val="0"/>
          <c:showSerName val="0"/>
          <c:showPercent val="0"/>
          <c:showBubbleSize val="0"/>
        </c:dLbls>
        <c:marker val="1"/>
        <c:smooth val="0"/>
        <c:axId val="668618128"/>
        <c:axId val="668616168"/>
      </c:lineChart>
      <c:catAx>
        <c:axId val="66861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68616168"/>
        <c:crosses val="autoZero"/>
        <c:auto val="1"/>
        <c:lblAlgn val="ctr"/>
        <c:lblOffset val="100"/>
        <c:noMultiLvlLbl val="0"/>
      </c:catAx>
      <c:valAx>
        <c:axId val="668616168"/>
        <c:scaling>
          <c:orientation val="minMax"/>
        </c:scaling>
        <c:delete val="1"/>
        <c:axPos val="l"/>
        <c:numFmt formatCode="0.0%" sourceLinked="1"/>
        <c:majorTickMark val="none"/>
        <c:minorTickMark val="none"/>
        <c:tickLblPos val="nextTo"/>
        <c:crossAx val="6686181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7FEE26C-8651-42FC-BCB3-F636CF5A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2793</Words>
  <Characters>15366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SANCHEZ JOSE EDUARDO</dc:creator>
  <cp:keywords/>
  <dc:description/>
  <cp:lastModifiedBy>ESTRADA HERNANDEZ JORGE RICARDO</cp:lastModifiedBy>
  <cp:revision>2</cp:revision>
  <cp:lastPrinted>2019-10-18T20:08:00Z</cp:lastPrinted>
  <dcterms:created xsi:type="dcterms:W3CDTF">2019-10-24T17:44:00Z</dcterms:created>
  <dcterms:modified xsi:type="dcterms:W3CDTF">2019-10-24T17:44:00Z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2018-10-29T00:00:00Z</vt:filetime>
  </property>
  <property fmtid="{D5CDD505-2E9C-101B-9397-08002B2CF9AE}" pid="3" name="Creator">
    <vt:lpwstr>Microsoft® Word 2016</vt:lpwstr>
  </property>
  <property fmtid="{D5CDD505-2E9C-101B-9397-08002B2CF9AE}" pid="4" name="LastSaved">
    <vt:filetime>2019-10-07T00:00:00Z</vt:filetime>
  </property>
</Properties>
</file>