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46CE2" w14:textId="77777777" w:rsidR="001B0B62" w:rsidRDefault="00823A6B" w:rsidP="00981967">
      <w:pPr>
        <w:pStyle w:val="Default"/>
        <w:ind w:left="-567" w:right="-2"/>
        <w:jc w:val="center"/>
        <w:rPr>
          <w:b/>
        </w:rPr>
      </w:pPr>
      <w:r w:rsidRPr="00DB3459">
        <w:rPr>
          <w:b/>
          <w:bCs/>
        </w:rPr>
        <w:t xml:space="preserve">RESULTADOS DEL NOVENO CENSO NACIONAL DE </w:t>
      </w:r>
      <w:r w:rsidR="001B0B62">
        <w:rPr>
          <w:b/>
        </w:rPr>
        <w:t>PROCURA</w:t>
      </w:r>
      <w:r w:rsidRPr="00DB3459">
        <w:rPr>
          <w:b/>
        </w:rPr>
        <w:t>CIÓN</w:t>
      </w:r>
    </w:p>
    <w:p w14:paraId="13F1F07F" w14:textId="77777777" w:rsidR="00CA4B96" w:rsidRPr="00DB3459" w:rsidRDefault="00823A6B" w:rsidP="00981967">
      <w:pPr>
        <w:pStyle w:val="Default"/>
        <w:ind w:left="-567" w:right="-2"/>
        <w:jc w:val="center"/>
        <w:rPr>
          <w:b/>
        </w:rPr>
      </w:pPr>
      <w:r w:rsidRPr="00DB3459">
        <w:rPr>
          <w:b/>
        </w:rPr>
        <w:t xml:space="preserve"> DE JUSTICIA ESTATAL </w:t>
      </w:r>
    </w:p>
    <w:p w14:paraId="43A3FC2C" w14:textId="77777777" w:rsidR="00823A6B" w:rsidRPr="00DB3459" w:rsidRDefault="00823A6B" w:rsidP="00981967">
      <w:pPr>
        <w:pStyle w:val="Default"/>
        <w:ind w:left="-567" w:right="-2"/>
        <w:jc w:val="center"/>
        <w:rPr>
          <w:b/>
          <w:sz w:val="16"/>
        </w:rPr>
      </w:pPr>
    </w:p>
    <w:p w14:paraId="050DFB21" w14:textId="0938DE12" w:rsidR="001B0B62" w:rsidRPr="00981967" w:rsidRDefault="00D90E26" w:rsidP="00981967">
      <w:pPr>
        <w:pStyle w:val="Textoindependiente"/>
        <w:numPr>
          <w:ilvl w:val="0"/>
          <w:numId w:val="3"/>
        </w:numPr>
        <w:spacing w:before="176"/>
        <w:ind w:left="0" w:right="423" w:hanging="284"/>
        <w:jc w:val="both"/>
      </w:pPr>
      <w:r w:rsidRPr="00981967">
        <w:t>En 2018,</w:t>
      </w:r>
      <w:r w:rsidR="00495146" w:rsidRPr="00981967">
        <w:t xml:space="preserve"> </w:t>
      </w:r>
      <w:r w:rsidR="005C7E2D" w:rsidRPr="00981967">
        <w:t xml:space="preserve">43 mil 427 </w:t>
      </w:r>
      <w:r w:rsidRPr="00981967">
        <w:t xml:space="preserve">personas </w:t>
      </w:r>
      <w:r w:rsidR="001B0B62" w:rsidRPr="00981967">
        <w:t>la</w:t>
      </w:r>
      <w:r w:rsidRPr="00981967">
        <w:t>boraban en 3 mil 707 a</w:t>
      </w:r>
      <w:r w:rsidR="001B0B62" w:rsidRPr="00981967">
        <w:t>gencias del Ministerio Público del Fuero Común</w:t>
      </w:r>
      <w:r w:rsidR="00CC42B7" w:rsidRPr="00981967">
        <w:t>; de las cuales</w:t>
      </w:r>
      <w:r w:rsidR="001B0B62" w:rsidRPr="00981967">
        <w:t xml:space="preserve"> </w:t>
      </w:r>
      <w:r w:rsidRPr="00981967">
        <w:t>23.6</w:t>
      </w:r>
      <w:r w:rsidR="001B0B62" w:rsidRPr="00981967">
        <w:t xml:space="preserve">% </w:t>
      </w:r>
      <w:r w:rsidRPr="00981967">
        <w:t xml:space="preserve">eran </w:t>
      </w:r>
      <w:r w:rsidR="001B0B62" w:rsidRPr="00981967">
        <w:t>policías ministeriales o investigadores.</w:t>
      </w:r>
      <w:r w:rsidR="003A3E1A" w:rsidRPr="00981967">
        <w:rPr>
          <w:rStyle w:val="Refdenotaalpie"/>
        </w:rPr>
        <w:footnoteReference w:id="1"/>
      </w:r>
      <w:r w:rsidR="001B0B62" w:rsidRPr="00981967">
        <w:t xml:space="preserve"> </w:t>
      </w:r>
    </w:p>
    <w:p w14:paraId="0467DDFC" w14:textId="17E0274F" w:rsidR="001B0B62" w:rsidRPr="00981967" w:rsidRDefault="001B0B62" w:rsidP="00981967">
      <w:pPr>
        <w:pStyle w:val="Textoindependiente"/>
        <w:numPr>
          <w:ilvl w:val="0"/>
          <w:numId w:val="3"/>
        </w:numPr>
        <w:spacing w:before="176"/>
        <w:ind w:left="0" w:right="423" w:hanging="284"/>
        <w:jc w:val="both"/>
      </w:pPr>
      <w:r w:rsidRPr="00981967">
        <w:t xml:space="preserve">Durante </w:t>
      </w:r>
      <w:r w:rsidR="00495146" w:rsidRPr="00981967">
        <w:t>2018</w:t>
      </w:r>
      <w:r w:rsidRPr="00981967">
        <w:t xml:space="preserve"> se iniciaron</w:t>
      </w:r>
      <w:r w:rsidR="00D90E26" w:rsidRPr="00981967">
        <w:t xml:space="preserve"> y/o abrieron</w:t>
      </w:r>
      <w:r w:rsidRPr="00981967">
        <w:t xml:space="preserve"> </w:t>
      </w:r>
      <w:r w:rsidR="00D90E26" w:rsidRPr="00981967">
        <w:t xml:space="preserve">1 millón 880 mil 460 </w:t>
      </w:r>
      <w:bookmarkStart w:id="0" w:name="_Hlk22569147"/>
      <w:r w:rsidRPr="00981967">
        <w:t>averiguaciones previas</w:t>
      </w:r>
      <w:r w:rsidR="004001DC" w:rsidRPr="00981967">
        <w:t xml:space="preserve"> e investigaciones</w:t>
      </w:r>
      <w:r w:rsidR="005D7071" w:rsidRPr="00981967">
        <w:t>,</w:t>
      </w:r>
      <w:r w:rsidR="00D90E26" w:rsidRPr="00981967">
        <w:t xml:space="preserve"> </w:t>
      </w:r>
      <w:r w:rsidRPr="00981967">
        <w:t>y carpetas de investigación</w:t>
      </w:r>
      <w:r w:rsidR="005D7071" w:rsidRPr="00981967">
        <w:t>;</w:t>
      </w:r>
      <w:bookmarkEnd w:id="0"/>
      <w:r w:rsidR="00D90E26" w:rsidRPr="00981967">
        <w:t xml:space="preserve"> en ellas se registraron 1 millón </w:t>
      </w:r>
      <w:r w:rsidR="00E41BA2" w:rsidRPr="00981967">
        <w:t>913</w:t>
      </w:r>
      <w:r w:rsidR="00D90E26" w:rsidRPr="00981967">
        <w:t xml:space="preserve"> mil </w:t>
      </w:r>
      <w:r w:rsidR="00E41BA2" w:rsidRPr="00981967">
        <w:t>113</w:t>
      </w:r>
      <w:r w:rsidR="00D90E26" w:rsidRPr="00981967">
        <w:t xml:space="preserve"> delitos</w:t>
      </w:r>
      <w:r w:rsidR="002946FD" w:rsidRPr="00981967">
        <w:t>.</w:t>
      </w:r>
      <w:r w:rsidR="00CE6BEE" w:rsidRPr="00981967">
        <w:rPr>
          <w:rStyle w:val="Refdenotaalpie"/>
        </w:rPr>
        <w:footnoteReference w:id="2"/>
      </w:r>
    </w:p>
    <w:p w14:paraId="13B3CC56" w14:textId="6B0CC5C8" w:rsidR="00981967" w:rsidRDefault="00D90E26" w:rsidP="00981967">
      <w:pPr>
        <w:pStyle w:val="Textoindependiente"/>
        <w:numPr>
          <w:ilvl w:val="0"/>
          <w:numId w:val="3"/>
        </w:numPr>
        <w:spacing w:before="176"/>
        <w:ind w:left="0" w:right="423" w:hanging="284"/>
        <w:jc w:val="both"/>
      </w:pPr>
      <w:r w:rsidRPr="00981967">
        <w:t xml:space="preserve">En el mismo periodo se abrieron 257 mil 154 expedientes en </w:t>
      </w:r>
      <w:r w:rsidR="00B44DAC" w:rsidRPr="00981967">
        <w:t>los órganos o unidades especializados en la aplicación de los Mecanismos Alternativos de Solución de Controversias</w:t>
      </w:r>
    </w:p>
    <w:p w14:paraId="640C696A" w14:textId="77777777" w:rsidR="00981967" w:rsidRDefault="00981967" w:rsidP="00981967">
      <w:pPr>
        <w:pStyle w:val="Textoindependiente"/>
        <w:spacing w:before="176"/>
        <w:ind w:right="423"/>
        <w:jc w:val="both"/>
      </w:pPr>
    </w:p>
    <w:p w14:paraId="5F2223AD" w14:textId="77777777" w:rsidR="001B0B62" w:rsidRPr="00495146" w:rsidRDefault="001B0B62" w:rsidP="00981967">
      <w:pPr>
        <w:pStyle w:val="Textoindependiente"/>
        <w:spacing w:before="182"/>
        <w:ind w:left="-567" w:right="-2"/>
        <w:jc w:val="both"/>
        <w:rPr>
          <w:highlight w:val="yellow"/>
        </w:rPr>
      </w:pPr>
      <w:r>
        <w:t xml:space="preserve">Al cierre de </w:t>
      </w:r>
      <w:r w:rsidR="00495146">
        <w:t>2018</w:t>
      </w:r>
      <w:r>
        <w:t xml:space="preserve"> laboraban </w:t>
      </w:r>
      <w:r w:rsidR="007801DE" w:rsidRPr="007801DE">
        <w:t xml:space="preserve">96 mil 847 </w:t>
      </w:r>
      <w:r w:rsidR="002A223D">
        <w:t>servidores públicos en</w:t>
      </w:r>
      <w:r w:rsidR="004001DC">
        <w:t xml:space="preserve"> las</w:t>
      </w:r>
      <w:r>
        <w:t xml:space="preserve"> </w:t>
      </w:r>
      <w:r w:rsidRPr="007801DE">
        <w:t>Procuradurías o Fiscalías Generales de Justicia de las entidades federativas. De ellos, 59.</w:t>
      </w:r>
      <w:r w:rsidR="007801DE" w:rsidRPr="007801DE">
        <w:t>7</w:t>
      </w:r>
      <w:r w:rsidRPr="007801DE">
        <w:t xml:space="preserve">% fueron hombres y </w:t>
      </w:r>
      <w:r w:rsidR="007801DE" w:rsidRPr="007801DE">
        <w:t>42.1</w:t>
      </w:r>
      <w:r w:rsidRPr="007801DE">
        <w:t>% mujeres.</w:t>
      </w:r>
      <w:r w:rsidR="002A223D">
        <w:t xml:space="preserve"> Asimismo</w:t>
      </w:r>
      <w:r w:rsidR="005E3B07">
        <w:t>,</w:t>
      </w:r>
      <w:r w:rsidR="008256AE">
        <w:t xml:space="preserve"> </w:t>
      </w:r>
      <w:r w:rsidR="008256AE" w:rsidRPr="008256AE">
        <w:t>73.9%</w:t>
      </w:r>
      <w:r w:rsidR="008256AE">
        <w:t xml:space="preserve"> del personal estaba contratado bajo régimen de confianza.</w:t>
      </w:r>
    </w:p>
    <w:p w14:paraId="3BBF7CCA" w14:textId="77777777" w:rsidR="001B0B62" w:rsidRDefault="001B0B62" w:rsidP="00981967">
      <w:pPr>
        <w:pStyle w:val="Textoindependiente"/>
        <w:spacing w:before="184"/>
        <w:ind w:left="-567" w:right="-2"/>
        <w:jc w:val="both"/>
      </w:pPr>
      <w:r w:rsidRPr="008256AE">
        <w:t>En el mismo periodo, en las</w:t>
      </w:r>
      <w:r w:rsidR="00D90E26">
        <w:t xml:space="preserve"> </w:t>
      </w:r>
      <w:r w:rsidR="00D90E26" w:rsidRPr="00D90E26">
        <w:t xml:space="preserve">3 mil 707 </w:t>
      </w:r>
      <w:r w:rsidR="00B865D9">
        <w:t>A</w:t>
      </w:r>
      <w:r w:rsidRPr="008256AE">
        <w:t xml:space="preserve">gencias del Ministerio Público del Fuero Común laboraban </w:t>
      </w:r>
      <w:r w:rsidR="00B44DAC" w:rsidRPr="00B44DAC">
        <w:t>43</w:t>
      </w:r>
      <w:r w:rsidR="00B44DAC">
        <w:t xml:space="preserve"> mil </w:t>
      </w:r>
      <w:r w:rsidR="00B44DAC" w:rsidRPr="00B44DAC">
        <w:t xml:space="preserve">427 </w:t>
      </w:r>
      <w:r w:rsidRPr="008256AE">
        <w:t xml:space="preserve">personas. Del total, </w:t>
      </w:r>
      <w:r w:rsidR="00B44DAC">
        <w:t>27.7%</w:t>
      </w:r>
      <w:r w:rsidRPr="008256AE">
        <w:t xml:space="preserve"> fueron agentes y/o fiscales del Ministerio Público y </w:t>
      </w:r>
      <w:r w:rsidR="008256AE">
        <w:t>2</w:t>
      </w:r>
      <w:r w:rsidR="00B44DAC">
        <w:t>3.6</w:t>
      </w:r>
      <w:r w:rsidRPr="008256AE">
        <w:t>% fueron policías ministeriales o investigadores.</w:t>
      </w:r>
    </w:p>
    <w:p w14:paraId="3C231C29" w14:textId="77777777" w:rsidR="00A33E82" w:rsidRDefault="001B0B62" w:rsidP="00981967">
      <w:pPr>
        <w:pStyle w:val="Textoindependiente"/>
        <w:spacing w:before="181" w:line="237" w:lineRule="auto"/>
        <w:ind w:left="-567" w:right="-2"/>
        <w:jc w:val="both"/>
      </w:pPr>
      <w:r w:rsidRPr="00A33E82">
        <w:t>Durante</w:t>
      </w:r>
      <w:r w:rsidRPr="00A33E82">
        <w:rPr>
          <w:spacing w:val="-6"/>
        </w:rPr>
        <w:t xml:space="preserve"> </w:t>
      </w:r>
      <w:r w:rsidR="00495146" w:rsidRPr="00A33E82">
        <w:t>2018</w:t>
      </w:r>
      <w:r w:rsidRPr="00A33E82">
        <w:rPr>
          <w:spacing w:val="-4"/>
        </w:rPr>
        <w:t xml:space="preserve"> </w:t>
      </w:r>
      <w:r w:rsidRPr="00A33E82">
        <w:t>se</w:t>
      </w:r>
      <w:r w:rsidRPr="00A33E82">
        <w:rPr>
          <w:spacing w:val="-4"/>
        </w:rPr>
        <w:t xml:space="preserve"> </w:t>
      </w:r>
      <w:r w:rsidRPr="00A33E82">
        <w:t>iniciaron</w:t>
      </w:r>
      <w:r w:rsidR="00A33E82" w:rsidRPr="00A33E82">
        <w:t xml:space="preserve"> y/o abrieron</w:t>
      </w:r>
      <w:r w:rsidR="00B44DAC">
        <w:t xml:space="preserve"> </w:t>
      </w:r>
      <w:r w:rsidR="00A33E82" w:rsidRPr="00A33E82">
        <w:t>1 millón 880 mil 460</w:t>
      </w:r>
      <w:r w:rsidR="00A33E82">
        <w:t xml:space="preserve"> </w:t>
      </w:r>
      <w:r w:rsidR="004001DC" w:rsidRPr="004001DC">
        <w:t>averiguaciones previas e investigaciones y carpetas de investigación</w:t>
      </w:r>
      <w:r w:rsidR="00A33E82">
        <w:t xml:space="preserve">, de las cuales </w:t>
      </w:r>
      <w:r w:rsidR="00A33E82" w:rsidRPr="00A33E82">
        <w:t xml:space="preserve">98.6% </w:t>
      </w:r>
      <w:r w:rsidR="00A33E82">
        <w:t xml:space="preserve">correspondió a </w:t>
      </w:r>
      <w:r w:rsidR="002A223D">
        <w:t xml:space="preserve">la materia penal para </w:t>
      </w:r>
      <w:r w:rsidR="00A33E82" w:rsidRPr="00A33E82">
        <w:t xml:space="preserve">adultos y 1.4% </w:t>
      </w:r>
      <w:r w:rsidR="00A33E82">
        <w:t>a</w:t>
      </w:r>
      <w:r w:rsidR="00A33E82" w:rsidRPr="00A33E82">
        <w:t xml:space="preserve"> </w:t>
      </w:r>
      <w:r w:rsidR="002A223D">
        <w:t xml:space="preserve">justicia para </w:t>
      </w:r>
      <w:r w:rsidR="00A33E82" w:rsidRPr="00A33E82">
        <w:t>adolescentes.</w:t>
      </w:r>
      <w:r w:rsidR="00A33E82">
        <w:t xml:space="preserve"> </w:t>
      </w:r>
    </w:p>
    <w:p w14:paraId="51D1310C" w14:textId="53C71285" w:rsidR="003A3E1A" w:rsidRDefault="00456801" w:rsidP="00981967">
      <w:pPr>
        <w:pStyle w:val="Textoindependiente"/>
        <w:spacing w:before="181" w:line="237" w:lineRule="auto"/>
        <w:ind w:left="-567" w:right="-2"/>
        <w:jc w:val="both"/>
      </w:pPr>
      <w:r>
        <w:t>También se registraron</w:t>
      </w:r>
      <w:r w:rsidR="00A33E82">
        <w:t xml:space="preserve"> </w:t>
      </w:r>
      <w:r>
        <w:t>233 mil 355 conclusiones y/o determinaciones en las averiguaciones previas e investigaciones</w:t>
      </w:r>
      <w:r w:rsidR="005D7071">
        <w:t>;</w:t>
      </w:r>
      <w:r>
        <w:t xml:space="preserve"> 1 millón 90 mil 918 conclusiones y/o determinaciones en carpetas de investigación en la etapa de investigación inicial</w:t>
      </w:r>
      <w:r w:rsidR="005D7071">
        <w:t>,</w:t>
      </w:r>
      <w:r>
        <w:t xml:space="preserve"> y </w:t>
      </w:r>
      <w:r w:rsidR="000764CD">
        <w:t>78 mil 244 en carpetas de investigación en la etapa de investigación complementaria</w:t>
      </w:r>
      <w:r w:rsidR="00A33E82">
        <w:t>.</w:t>
      </w:r>
      <w:r w:rsidR="000764CD">
        <w:t xml:space="preserve"> Finalmente, a</w:t>
      </w:r>
      <w:r w:rsidR="00A33E82">
        <w:t xml:space="preserve">l cierre de 2018, </w:t>
      </w:r>
      <w:r w:rsidR="000764CD">
        <w:t xml:space="preserve">quedaron </w:t>
      </w:r>
      <w:r w:rsidR="00A33E82" w:rsidRPr="00481ADF">
        <w:t xml:space="preserve">1 </w:t>
      </w:r>
      <w:r w:rsidR="00A33E82">
        <w:t xml:space="preserve">millón </w:t>
      </w:r>
      <w:r w:rsidR="00A33E82" w:rsidRPr="00481ADF">
        <w:t xml:space="preserve">555 </w:t>
      </w:r>
      <w:r w:rsidR="00A33E82">
        <w:t xml:space="preserve">mil </w:t>
      </w:r>
      <w:r w:rsidR="00A33E82" w:rsidRPr="00481ADF">
        <w:t>953</w:t>
      </w:r>
      <w:r w:rsidR="00A33E82">
        <w:t xml:space="preserve"> </w:t>
      </w:r>
      <w:r w:rsidR="00B72E00">
        <w:t xml:space="preserve">averiguaciones previas e investigaciones y carpetas de investigación </w:t>
      </w:r>
      <w:r w:rsidR="00A33E82">
        <w:t>pendientes de conclu</w:t>
      </w:r>
      <w:r w:rsidR="008C74A3">
        <w:t>i</w:t>
      </w:r>
      <w:r w:rsidR="00A33E82">
        <w:t>r</w:t>
      </w:r>
      <w:r w:rsidR="00B72E00">
        <w:rPr>
          <w:rStyle w:val="Refdenotaalpie"/>
        </w:rPr>
        <w:footnoteReference w:id="3"/>
      </w:r>
      <w:r w:rsidR="00A33E82">
        <w:t>.</w:t>
      </w:r>
    </w:p>
    <w:p w14:paraId="5F1C4C94" w14:textId="40BFE09E" w:rsidR="00A33E82" w:rsidRDefault="00A33E82" w:rsidP="00981967">
      <w:pPr>
        <w:pStyle w:val="Textoindependiente"/>
        <w:spacing w:before="180" w:line="237" w:lineRule="auto"/>
        <w:ind w:left="-567" w:right="-2"/>
        <w:jc w:val="both"/>
        <w:rPr>
          <w:highlight w:val="yellow"/>
        </w:rPr>
      </w:pPr>
      <w:r>
        <w:t xml:space="preserve">Durante 2018 se registraron </w:t>
      </w:r>
      <w:r w:rsidR="00716254" w:rsidRPr="00716254">
        <w:t>1</w:t>
      </w:r>
      <w:r w:rsidR="00716254">
        <w:t xml:space="preserve"> millón </w:t>
      </w:r>
      <w:r w:rsidR="0013634D">
        <w:t>913</w:t>
      </w:r>
      <w:r w:rsidR="00716254">
        <w:t xml:space="preserve"> mil </w:t>
      </w:r>
      <w:r w:rsidR="0013634D">
        <w:t>113</w:t>
      </w:r>
      <w:r w:rsidR="00716254" w:rsidRPr="00716254">
        <w:t xml:space="preserve"> </w:t>
      </w:r>
      <w:r>
        <w:t xml:space="preserve">delitos en las </w:t>
      </w:r>
      <w:r w:rsidR="004001DC" w:rsidRPr="004001DC">
        <w:t xml:space="preserve">averiguaciones previas e investigaciones </w:t>
      </w:r>
      <w:r w:rsidR="005F73DB">
        <w:t xml:space="preserve">iniciadas </w:t>
      </w:r>
      <w:r w:rsidR="004001DC" w:rsidRPr="004001DC">
        <w:t xml:space="preserve">y carpetas de investigación </w:t>
      </w:r>
      <w:r>
        <w:t>abiertas</w:t>
      </w:r>
      <w:r w:rsidR="00CC42B7">
        <w:t>;</w:t>
      </w:r>
      <w:r>
        <w:t xml:space="preserve"> de ellos</w:t>
      </w:r>
      <w:r w:rsidR="00CC42B7">
        <w:t>,</w:t>
      </w:r>
      <w:r>
        <w:t xml:space="preserve"> </w:t>
      </w:r>
      <w:r w:rsidRPr="002017CC">
        <w:t>1</w:t>
      </w:r>
      <w:r>
        <w:t xml:space="preserve"> millón </w:t>
      </w:r>
      <w:r w:rsidRPr="002017CC">
        <w:t>885</w:t>
      </w:r>
      <w:r>
        <w:t xml:space="preserve"> mil </w:t>
      </w:r>
      <w:r w:rsidRPr="002017CC">
        <w:t>685</w:t>
      </w:r>
      <w:r>
        <w:t xml:space="preserve"> correspondieron a justicia penal para adultos (98.6% del total) y </w:t>
      </w:r>
      <w:r w:rsidR="00716254" w:rsidRPr="00716254">
        <w:t>27</w:t>
      </w:r>
      <w:r w:rsidR="00716254">
        <w:t xml:space="preserve"> mil </w:t>
      </w:r>
      <w:r w:rsidR="00716254" w:rsidRPr="00716254">
        <w:t xml:space="preserve">227 </w:t>
      </w:r>
      <w:r>
        <w:t>para adolescentes (1.4%)</w:t>
      </w:r>
      <w:r w:rsidR="00344565">
        <w:rPr>
          <w:rStyle w:val="Refdenotaalpie"/>
        </w:rPr>
        <w:footnoteReference w:id="4"/>
      </w:r>
      <w:r>
        <w:t>.</w:t>
      </w:r>
    </w:p>
    <w:p w14:paraId="41376AE5" w14:textId="77777777" w:rsidR="00981967" w:rsidRDefault="00981967" w:rsidP="00981967">
      <w:pPr>
        <w:pStyle w:val="Textoindependiente"/>
        <w:spacing w:before="180" w:line="237" w:lineRule="auto"/>
        <w:ind w:left="-567" w:right="-2"/>
        <w:jc w:val="both"/>
      </w:pPr>
    </w:p>
    <w:p w14:paraId="5BB2B1C4" w14:textId="435223E2" w:rsidR="00966795" w:rsidRDefault="00CC42B7" w:rsidP="00981967">
      <w:pPr>
        <w:pStyle w:val="Textoindependiente"/>
        <w:spacing w:before="180" w:line="237" w:lineRule="auto"/>
        <w:ind w:left="-567" w:right="-2"/>
        <w:jc w:val="both"/>
      </w:pPr>
      <w:r>
        <w:lastRenderedPageBreak/>
        <w:t>En cuanto a las personas involucradas en estos delitos, s</w:t>
      </w:r>
      <w:r w:rsidR="00966795">
        <w:t xml:space="preserve">e registraron </w:t>
      </w:r>
      <w:r w:rsidR="00966795" w:rsidRPr="000E4AED">
        <w:t>1</w:t>
      </w:r>
      <w:r w:rsidR="00966795">
        <w:t xml:space="preserve"> millón </w:t>
      </w:r>
      <w:r w:rsidR="005F73DB">
        <w:t>86</w:t>
      </w:r>
      <w:r w:rsidR="00966795" w:rsidRPr="000E4AED">
        <w:t>9</w:t>
      </w:r>
      <w:r w:rsidR="00966795">
        <w:t xml:space="preserve"> mil </w:t>
      </w:r>
      <w:r w:rsidR="005F73DB">
        <w:t>932</w:t>
      </w:r>
      <w:r w:rsidR="00966795">
        <w:t xml:space="preserve"> inculpados y/o imputados en las </w:t>
      </w:r>
      <w:r w:rsidR="004001DC" w:rsidRPr="004001DC">
        <w:t xml:space="preserve">averiguaciones previas e investigaciones </w:t>
      </w:r>
      <w:r w:rsidR="005F73DB">
        <w:t xml:space="preserve">iniciadas </w:t>
      </w:r>
      <w:r w:rsidR="004001DC" w:rsidRPr="004001DC">
        <w:t>y carpetas de investigación</w:t>
      </w:r>
      <w:r w:rsidR="005F73DB">
        <w:t xml:space="preserve"> </w:t>
      </w:r>
      <w:r w:rsidR="00966795">
        <w:t>abiertas. Del total</w:t>
      </w:r>
      <w:r>
        <w:t>,</w:t>
      </w:r>
      <w:r w:rsidR="00B44DAC">
        <w:t xml:space="preserve"> 43.7%</w:t>
      </w:r>
      <w:r w:rsidR="004001DC">
        <w:t xml:space="preserve"> fueron </w:t>
      </w:r>
      <w:r w:rsidR="00B44DAC">
        <w:t>hombres</w:t>
      </w:r>
      <w:r w:rsidR="004001DC">
        <w:t xml:space="preserve"> y 11.4% fueron mujeres</w:t>
      </w:r>
      <w:r>
        <w:t>;</w:t>
      </w:r>
      <w:r w:rsidR="004001DC">
        <w:t xml:space="preserve"> el</w:t>
      </w:r>
      <w:r w:rsidR="00B311B8">
        <w:t xml:space="preserve"> resto</w:t>
      </w:r>
      <w:r w:rsidR="004001DC">
        <w:t xml:space="preserve"> correspondió a no identificados</w:t>
      </w:r>
      <w:r w:rsidR="009F5289">
        <w:t xml:space="preserve"> (44.6%)</w:t>
      </w:r>
      <w:r w:rsidR="005F73DB">
        <w:t xml:space="preserve"> y a otro tipo, es decir, personas morales, el Estado, la Federación o cualquier otro</w:t>
      </w:r>
      <w:r w:rsidR="009F5289">
        <w:t xml:space="preserve"> (0.3%)</w:t>
      </w:r>
      <w:r w:rsidR="00B44DAC">
        <w:t>.</w:t>
      </w:r>
    </w:p>
    <w:p w14:paraId="715A8A89" w14:textId="67DFAF73" w:rsidR="00A33E82" w:rsidRDefault="00A33E82" w:rsidP="00981967">
      <w:pPr>
        <w:pStyle w:val="Textoindependiente"/>
        <w:spacing w:before="180" w:line="237" w:lineRule="auto"/>
        <w:ind w:left="-567" w:right="-2"/>
        <w:jc w:val="both"/>
        <w:rPr>
          <w:highlight w:val="yellow"/>
        </w:rPr>
      </w:pPr>
      <w:r>
        <w:t>En e</w:t>
      </w:r>
      <w:r w:rsidR="00832C78">
        <w:t>se mismo</w:t>
      </w:r>
      <w:r>
        <w:t xml:space="preserve"> año</w:t>
      </w:r>
      <w:r w:rsidRPr="00CC3A16">
        <w:t xml:space="preserve"> se abrieron </w:t>
      </w:r>
      <w:r w:rsidRPr="001D5F25">
        <w:t>257</w:t>
      </w:r>
      <w:r>
        <w:t xml:space="preserve"> mil </w:t>
      </w:r>
      <w:r w:rsidRPr="001D5F25">
        <w:t>154</w:t>
      </w:r>
      <w:r>
        <w:t xml:space="preserve"> </w:t>
      </w:r>
      <w:r w:rsidRPr="00CC3A16">
        <w:t>expedientes en los órganos o unidades especializados en la aplicación de los Mecanismos Alternativos de Solución de Controversias</w:t>
      </w:r>
      <w:r>
        <w:t>.</w:t>
      </w:r>
    </w:p>
    <w:p w14:paraId="39819DE9" w14:textId="77777777" w:rsidR="003033F0" w:rsidRDefault="003033F0" w:rsidP="00981967">
      <w:pPr>
        <w:adjustRightInd w:val="0"/>
        <w:ind w:left="-567" w:right="-2"/>
        <w:jc w:val="both"/>
        <w:rPr>
          <w:color w:val="000000"/>
          <w:sz w:val="24"/>
          <w:szCs w:val="24"/>
        </w:rPr>
      </w:pPr>
    </w:p>
    <w:p w14:paraId="3C93BC1A" w14:textId="35EF7309" w:rsidR="00823A6B" w:rsidRPr="00DB3459" w:rsidRDefault="00CC42B7" w:rsidP="00981967">
      <w:pPr>
        <w:adjustRightInd w:val="0"/>
        <w:ind w:left="-567" w:right="-2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Para revisar esta y m</w:t>
      </w:r>
      <w:r w:rsidR="00823A6B" w:rsidRPr="00DB3459">
        <w:rPr>
          <w:color w:val="000000"/>
          <w:sz w:val="24"/>
          <w:szCs w:val="24"/>
        </w:rPr>
        <w:t>ás información</w:t>
      </w:r>
      <w:r>
        <w:rPr>
          <w:color w:val="000000"/>
          <w:sz w:val="24"/>
          <w:szCs w:val="24"/>
        </w:rPr>
        <w:t>,</w:t>
      </w:r>
      <w:r w:rsidR="00823A6B" w:rsidRPr="00DB3459">
        <w:rPr>
          <w:color w:val="000000"/>
          <w:sz w:val="24"/>
          <w:szCs w:val="24"/>
        </w:rPr>
        <w:t xml:space="preserve"> se puede consultar el noveno Censo Nacional de </w:t>
      </w:r>
      <w:r w:rsidR="001C7029">
        <w:rPr>
          <w:color w:val="000000"/>
          <w:sz w:val="24"/>
          <w:szCs w:val="24"/>
        </w:rPr>
        <w:t>Procura</w:t>
      </w:r>
      <w:r w:rsidR="00823A6B" w:rsidRPr="00DB3459">
        <w:rPr>
          <w:color w:val="000000"/>
          <w:sz w:val="24"/>
          <w:szCs w:val="24"/>
        </w:rPr>
        <w:t>ción de Justicia Estatal (CN</w:t>
      </w:r>
      <w:r w:rsidR="001C7029">
        <w:rPr>
          <w:color w:val="000000"/>
          <w:sz w:val="24"/>
          <w:szCs w:val="24"/>
        </w:rPr>
        <w:t>P</w:t>
      </w:r>
      <w:r w:rsidR="00823A6B" w:rsidRPr="00DB3459">
        <w:rPr>
          <w:color w:val="000000"/>
          <w:sz w:val="24"/>
          <w:szCs w:val="24"/>
        </w:rPr>
        <w:t>JE)</w:t>
      </w:r>
      <w:r>
        <w:rPr>
          <w:color w:val="000000"/>
          <w:sz w:val="24"/>
          <w:szCs w:val="24"/>
        </w:rPr>
        <w:t xml:space="preserve"> disponible en</w:t>
      </w:r>
      <w:r w:rsidR="00823A6B" w:rsidRPr="00DB3459">
        <w:rPr>
          <w:color w:val="000000"/>
          <w:sz w:val="24"/>
          <w:szCs w:val="24"/>
        </w:rPr>
        <w:t xml:space="preserve">: </w:t>
      </w:r>
      <w:hyperlink r:id="rId8" w:history="1">
        <w:r w:rsidR="001C7029" w:rsidRPr="003D17F6">
          <w:rPr>
            <w:rStyle w:val="Hipervnculo"/>
            <w:sz w:val="24"/>
            <w:szCs w:val="24"/>
          </w:rPr>
          <w:t>https://www.inegi.org.mx/programas/cnpje/2019/</w:t>
        </w:r>
      </w:hyperlink>
      <w:r w:rsidR="00823A6B" w:rsidRPr="00DB3459">
        <w:rPr>
          <w:color w:val="000000"/>
          <w:sz w:val="24"/>
          <w:szCs w:val="24"/>
        </w:rPr>
        <w:t xml:space="preserve"> </w:t>
      </w:r>
    </w:p>
    <w:p w14:paraId="0AA3FDBA" w14:textId="77777777" w:rsidR="00823A6B" w:rsidRPr="00DB3459" w:rsidRDefault="00823A6B" w:rsidP="00981967">
      <w:pPr>
        <w:adjustRightInd w:val="0"/>
        <w:ind w:left="-567" w:right="-2"/>
        <w:jc w:val="both"/>
        <w:rPr>
          <w:color w:val="FF0000"/>
          <w:sz w:val="24"/>
          <w:szCs w:val="24"/>
        </w:rPr>
      </w:pPr>
    </w:p>
    <w:p w14:paraId="50497899" w14:textId="77777777" w:rsidR="00823A6B" w:rsidRPr="00DB3459" w:rsidRDefault="00823A6B" w:rsidP="00981967">
      <w:pPr>
        <w:adjustRightInd w:val="0"/>
        <w:ind w:left="-567" w:right="-2"/>
        <w:jc w:val="both"/>
      </w:pPr>
      <w:r w:rsidRPr="00DB3459">
        <w:rPr>
          <w:color w:val="000000" w:themeColor="text1"/>
          <w:sz w:val="24"/>
          <w:szCs w:val="24"/>
        </w:rPr>
        <w:t xml:space="preserve">Este </w:t>
      </w:r>
      <w:r w:rsidR="007657F1">
        <w:rPr>
          <w:color w:val="000000" w:themeColor="text1"/>
          <w:sz w:val="24"/>
          <w:szCs w:val="24"/>
        </w:rPr>
        <w:t xml:space="preserve">censo </w:t>
      </w:r>
      <w:r w:rsidR="001C7029" w:rsidRPr="001C7029">
        <w:rPr>
          <w:color w:val="000000" w:themeColor="text1"/>
          <w:sz w:val="24"/>
          <w:szCs w:val="24"/>
        </w:rPr>
        <w:t>genera información estadística y geográfica de la gestión y desempeño de las instituciones que integran a la Procuraduría General de Justicia o Fiscalía General de cada entidad federativa, específicamente en las funciones de gobierno, procuración de justicia, justicia para adolescentes y justicia alternativa.</w:t>
      </w:r>
    </w:p>
    <w:p w14:paraId="2DA46FFB" w14:textId="77777777" w:rsidR="00823A6B" w:rsidRPr="00DB3459" w:rsidRDefault="00823A6B" w:rsidP="00981967">
      <w:pPr>
        <w:pStyle w:val="Textoindependiente"/>
        <w:spacing w:before="176"/>
        <w:ind w:left="-567" w:right="-2"/>
        <w:jc w:val="both"/>
      </w:pPr>
    </w:p>
    <w:p w14:paraId="1868C754" w14:textId="254B399D" w:rsidR="007C4B18" w:rsidRPr="007C4B18" w:rsidRDefault="00823A6B" w:rsidP="00981967">
      <w:pPr>
        <w:ind w:left="-567" w:right="-2"/>
        <w:jc w:val="both"/>
        <w:rPr>
          <w:color w:val="000000" w:themeColor="text1"/>
          <w:sz w:val="24"/>
          <w:szCs w:val="24"/>
        </w:rPr>
      </w:pPr>
      <w:r w:rsidRPr="007C4B18">
        <w:rPr>
          <w:color w:val="000000" w:themeColor="text1"/>
          <w:sz w:val="24"/>
          <w:szCs w:val="24"/>
        </w:rPr>
        <w:t>El CN</w:t>
      </w:r>
      <w:r w:rsidR="007C4B18" w:rsidRPr="007C4B18">
        <w:rPr>
          <w:color w:val="000000" w:themeColor="text1"/>
          <w:sz w:val="24"/>
          <w:szCs w:val="24"/>
        </w:rPr>
        <w:t>PJ</w:t>
      </w:r>
      <w:r w:rsidRPr="007C4B18">
        <w:rPr>
          <w:color w:val="000000" w:themeColor="text1"/>
          <w:sz w:val="24"/>
          <w:szCs w:val="24"/>
        </w:rPr>
        <w:t xml:space="preserve">E </w:t>
      </w:r>
      <w:r w:rsidR="00DB3459" w:rsidRPr="007C4B18">
        <w:rPr>
          <w:color w:val="000000" w:themeColor="text1"/>
          <w:sz w:val="24"/>
          <w:szCs w:val="24"/>
        </w:rPr>
        <w:t xml:space="preserve">se realiza desde 2011 </w:t>
      </w:r>
      <w:r w:rsidR="002E0654">
        <w:rPr>
          <w:color w:val="000000" w:themeColor="text1"/>
          <w:sz w:val="24"/>
          <w:szCs w:val="24"/>
        </w:rPr>
        <w:t>y la presente edición</w:t>
      </w:r>
      <w:r w:rsidR="00DB3459" w:rsidRPr="007C4B18">
        <w:rPr>
          <w:color w:val="000000" w:themeColor="text1"/>
          <w:sz w:val="24"/>
          <w:szCs w:val="24"/>
        </w:rPr>
        <w:t xml:space="preserve"> </w:t>
      </w:r>
      <w:r w:rsidRPr="007C4B18">
        <w:rPr>
          <w:color w:val="000000" w:themeColor="text1"/>
          <w:sz w:val="24"/>
          <w:szCs w:val="24"/>
        </w:rPr>
        <w:t xml:space="preserve">cuenta </w:t>
      </w:r>
      <w:r w:rsidRPr="00D02856">
        <w:rPr>
          <w:sz w:val="24"/>
          <w:szCs w:val="24"/>
        </w:rPr>
        <w:t>con</w:t>
      </w:r>
      <w:r w:rsidR="00DB3459" w:rsidRPr="00D02856">
        <w:rPr>
          <w:sz w:val="24"/>
          <w:szCs w:val="24"/>
        </w:rPr>
        <w:t xml:space="preserve"> </w:t>
      </w:r>
      <w:r w:rsidR="007C4B18" w:rsidRPr="00D02856">
        <w:rPr>
          <w:sz w:val="24"/>
          <w:szCs w:val="24"/>
        </w:rPr>
        <w:t>45</w:t>
      </w:r>
      <w:r w:rsidRPr="00D02856">
        <w:rPr>
          <w:sz w:val="24"/>
          <w:szCs w:val="24"/>
        </w:rPr>
        <w:t xml:space="preserve"> tabulados </w:t>
      </w:r>
      <w:r w:rsidR="00DB3459" w:rsidRPr="007C4B18">
        <w:rPr>
          <w:color w:val="000000" w:themeColor="text1"/>
          <w:sz w:val="24"/>
          <w:szCs w:val="24"/>
        </w:rPr>
        <w:t xml:space="preserve">organizados de manera general en </w:t>
      </w:r>
      <w:r w:rsidR="007C4B18" w:rsidRPr="007C4B18">
        <w:rPr>
          <w:color w:val="000000" w:themeColor="text1"/>
          <w:sz w:val="24"/>
          <w:szCs w:val="24"/>
        </w:rPr>
        <w:t>cuatro</w:t>
      </w:r>
      <w:r w:rsidR="00DB3459" w:rsidRPr="007C4B18">
        <w:rPr>
          <w:color w:val="000000" w:themeColor="text1"/>
          <w:sz w:val="24"/>
          <w:szCs w:val="24"/>
        </w:rPr>
        <w:t xml:space="preserve"> apartados conforme a los siguientes temas: </w:t>
      </w:r>
      <w:r w:rsidR="007C4B18" w:rsidRPr="007C4B18">
        <w:rPr>
          <w:color w:val="000000" w:themeColor="text1"/>
          <w:sz w:val="24"/>
          <w:szCs w:val="24"/>
        </w:rPr>
        <w:t>Estructura organizacional y recursos; Procuración de justicia; Justicia para adolescentes, y Mecanismos Alternativos de Solución de Controversias.</w:t>
      </w:r>
    </w:p>
    <w:p w14:paraId="06B39E83" w14:textId="77777777" w:rsidR="00CA4B96" w:rsidRPr="00DB3459" w:rsidRDefault="00CA4B96" w:rsidP="007C4B18">
      <w:pPr>
        <w:pStyle w:val="Textoindependiente"/>
        <w:ind w:right="192"/>
        <w:jc w:val="both"/>
      </w:pPr>
    </w:p>
    <w:p w14:paraId="33D4B586" w14:textId="77777777" w:rsidR="00DB3459" w:rsidRPr="00DB3459" w:rsidRDefault="00DB3459" w:rsidP="00DB3459">
      <w:pPr>
        <w:pStyle w:val="Textoindependiente"/>
        <w:spacing w:before="1"/>
      </w:pPr>
    </w:p>
    <w:p w14:paraId="0244966C" w14:textId="77777777" w:rsidR="00DB3459" w:rsidRPr="00DB3459" w:rsidRDefault="00DB3459" w:rsidP="00DB3459">
      <w:pPr>
        <w:pStyle w:val="Textoindependiente"/>
        <w:spacing w:before="1"/>
      </w:pPr>
    </w:p>
    <w:p w14:paraId="6EFE8467" w14:textId="77777777" w:rsidR="00981967" w:rsidRPr="00500D25" w:rsidRDefault="00981967" w:rsidP="00981967">
      <w:pPr>
        <w:ind w:left="-284"/>
        <w:jc w:val="center"/>
        <w:rPr>
          <w:b/>
          <w:bCs/>
          <w:sz w:val="24"/>
          <w:szCs w:val="24"/>
        </w:rPr>
      </w:pPr>
      <w:r w:rsidRPr="00500D25">
        <w:rPr>
          <w:b/>
          <w:bCs/>
          <w:sz w:val="24"/>
          <w:szCs w:val="24"/>
        </w:rPr>
        <w:t>Se anexa nota técnica</w:t>
      </w:r>
    </w:p>
    <w:p w14:paraId="352A54A3" w14:textId="77777777" w:rsidR="00981967" w:rsidRPr="00500D25" w:rsidRDefault="00981967" w:rsidP="00981967">
      <w:pPr>
        <w:ind w:left="-284"/>
        <w:jc w:val="center"/>
        <w:rPr>
          <w:b/>
          <w:bCs/>
          <w:sz w:val="24"/>
          <w:szCs w:val="24"/>
        </w:rPr>
      </w:pPr>
    </w:p>
    <w:p w14:paraId="33FDB660" w14:textId="77777777" w:rsidR="00981967" w:rsidRPr="00500D25" w:rsidRDefault="00981967" w:rsidP="00981967">
      <w:pPr>
        <w:ind w:left="-284" w:hanging="283"/>
        <w:jc w:val="center"/>
        <w:rPr>
          <w:color w:val="000000" w:themeColor="text1"/>
          <w:sz w:val="24"/>
          <w:szCs w:val="24"/>
        </w:rPr>
      </w:pPr>
    </w:p>
    <w:p w14:paraId="274A4D74" w14:textId="77777777" w:rsidR="00981967" w:rsidRPr="006F4700" w:rsidRDefault="00981967" w:rsidP="00981967">
      <w:pPr>
        <w:pStyle w:val="NormalWeb"/>
        <w:spacing w:before="0" w:beforeAutospacing="0" w:after="0" w:afterAutospacing="0"/>
        <w:ind w:left="-426" w:right="-518" w:hanging="283"/>
        <w:contextualSpacing/>
        <w:jc w:val="center"/>
        <w:rPr>
          <w:rFonts w:ascii="Arial" w:hAnsi="Arial" w:cs="Arial"/>
          <w:sz w:val="22"/>
          <w:szCs w:val="22"/>
        </w:rPr>
      </w:pPr>
      <w:r w:rsidRPr="006F4700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9" w:history="1">
        <w:r w:rsidRPr="006F4700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6F4700">
        <w:rPr>
          <w:rFonts w:ascii="Arial" w:hAnsi="Arial" w:cs="Arial"/>
          <w:sz w:val="22"/>
          <w:szCs w:val="22"/>
        </w:rPr>
        <w:t xml:space="preserve"> </w:t>
      </w:r>
    </w:p>
    <w:p w14:paraId="688A270A" w14:textId="77777777" w:rsidR="00981967" w:rsidRPr="006F4700" w:rsidRDefault="00981967" w:rsidP="00981967">
      <w:pPr>
        <w:pStyle w:val="NormalWeb"/>
        <w:spacing w:before="0" w:beforeAutospacing="0" w:after="0" w:afterAutospacing="0"/>
        <w:ind w:left="-426" w:right="-518" w:hanging="283"/>
        <w:contextualSpacing/>
        <w:jc w:val="center"/>
        <w:rPr>
          <w:rFonts w:ascii="Arial" w:hAnsi="Arial" w:cs="Arial"/>
          <w:sz w:val="22"/>
          <w:szCs w:val="22"/>
        </w:rPr>
      </w:pPr>
      <w:r w:rsidRPr="006F4700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1708AAEA" w14:textId="77777777" w:rsidR="00981967" w:rsidRPr="006F4700" w:rsidRDefault="00981967" w:rsidP="00981967">
      <w:pPr>
        <w:ind w:left="-426" w:right="-518" w:hanging="283"/>
        <w:contextualSpacing/>
        <w:jc w:val="center"/>
      </w:pPr>
    </w:p>
    <w:p w14:paraId="42918549" w14:textId="77777777" w:rsidR="00981967" w:rsidRPr="006F4700" w:rsidRDefault="00981967" w:rsidP="00981967">
      <w:pPr>
        <w:ind w:left="-426" w:right="-518" w:hanging="283"/>
        <w:contextualSpacing/>
        <w:jc w:val="center"/>
      </w:pPr>
      <w:r w:rsidRPr="006F4700">
        <w:t xml:space="preserve">Dirección de Atención a Medios / Dirección General Adjunta de Comunicación </w:t>
      </w:r>
    </w:p>
    <w:p w14:paraId="63B316C9" w14:textId="77777777" w:rsidR="00981967" w:rsidRPr="006F4700" w:rsidRDefault="00981967" w:rsidP="00981967">
      <w:pPr>
        <w:ind w:left="-426" w:right="-518"/>
        <w:contextualSpacing/>
        <w:jc w:val="center"/>
      </w:pPr>
    </w:p>
    <w:p w14:paraId="687E11FB" w14:textId="186574CD" w:rsidR="00981967" w:rsidRPr="00500D25" w:rsidRDefault="00981967" w:rsidP="00981967">
      <w:pPr>
        <w:adjustRightInd w:val="0"/>
        <w:jc w:val="both"/>
        <w:rPr>
          <w:color w:val="FF0000"/>
          <w:sz w:val="24"/>
          <w:szCs w:val="24"/>
        </w:rPr>
      </w:pPr>
      <w:r>
        <w:rPr>
          <w:noProof/>
          <w:lang w:eastAsia="es-MX"/>
        </w:rPr>
        <w:t xml:space="preserve">                                     </w:t>
      </w:r>
      <w:r w:rsidRPr="00FF1218">
        <w:rPr>
          <w:noProof/>
          <w:lang w:eastAsia="es-MX"/>
        </w:rPr>
        <w:drawing>
          <wp:inline distT="0" distB="0" distL="0" distR="0" wp14:anchorId="4784B8C7" wp14:editId="49B18807">
            <wp:extent cx="379095" cy="365760"/>
            <wp:effectExtent l="0" t="0" r="1905" b="0"/>
            <wp:docPr id="19" name="Imagen 19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ABC574D" wp14:editId="666DE7E2">
            <wp:extent cx="365760" cy="365760"/>
            <wp:effectExtent l="0" t="0" r="0" b="0"/>
            <wp:docPr id="29" name="Imagen 29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2165AACF" wp14:editId="54569BA4">
            <wp:extent cx="365760" cy="365760"/>
            <wp:effectExtent l="0" t="0" r="0" b="0"/>
            <wp:docPr id="13" name="Imagen 13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199DD79E" wp14:editId="57659799">
            <wp:extent cx="365760" cy="365760"/>
            <wp:effectExtent l="0" t="0" r="0" b="0"/>
            <wp:docPr id="10" name="Imagen 10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6F75A232" wp14:editId="0EDC3B4C">
            <wp:extent cx="2286000" cy="274320"/>
            <wp:effectExtent l="0" t="0" r="0" b="0"/>
            <wp:docPr id="12" name="Imagen 1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FE1A" w14:textId="77777777" w:rsidR="00DB3459" w:rsidRPr="00DB3459" w:rsidRDefault="00DB3459" w:rsidP="00DB3459">
      <w:pPr>
        <w:adjustRightInd w:val="0"/>
        <w:jc w:val="center"/>
        <w:rPr>
          <w:color w:val="000000" w:themeColor="text1"/>
          <w:sz w:val="24"/>
          <w:szCs w:val="24"/>
        </w:rPr>
      </w:pPr>
    </w:p>
    <w:p w14:paraId="677C26BB" w14:textId="77777777" w:rsidR="00981967" w:rsidRDefault="00981967" w:rsidP="00DB3459">
      <w:pPr>
        <w:pStyle w:val="Textoindependiente"/>
        <w:spacing w:before="1"/>
        <w:sectPr w:rsidR="00981967" w:rsidSect="00981967">
          <w:headerReference w:type="default" r:id="rId20"/>
          <w:footerReference w:type="default" r:id="rId21"/>
          <w:type w:val="continuous"/>
          <w:pgSz w:w="12240" w:h="15840"/>
          <w:pgMar w:top="1701" w:right="1185" w:bottom="1134" w:left="1701" w:header="567" w:footer="728" w:gutter="0"/>
          <w:cols w:space="720"/>
        </w:sectPr>
      </w:pPr>
    </w:p>
    <w:p w14:paraId="78EA1C6F" w14:textId="5DBAEF53" w:rsidR="00DB3459" w:rsidRPr="00DB3459" w:rsidRDefault="00DB3459" w:rsidP="00DB3459">
      <w:pPr>
        <w:pStyle w:val="Textoindependiente"/>
        <w:spacing w:before="1"/>
        <w:sectPr w:rsidR="00DB3459" w:rsidRPr="00DB3459" w:rsidSect="00981967">
          <w:type w:val="continuous"/>
          <w:pgSz w:w="12240" w:h="15840"/>
          <w:pgMar w:top="1701" w:right="1185" w:bottom="1134" w:left="1701" w:header="567" w:footer="728" w:gutter="0"/>
          <w:cols w:space="720"/>
        </w:sectPr>
      </w:pPr>
    </w:p>
    <w:p w14:paraId="04EE687C" w14:textId="77777777" w:rsidR="00CA4B96" w:rsidRPr="00DB3459" w:rsidRDefault="00823A6B" w:rsidP="006F754D">
      <w:pPr>
        <w:pStyle w:val="Default"/>
        <w:ind w:left="-567" w:right="-518"/>
        <w:jc w:val="center"/>
        <w:rPr>
          <w:b/>
          <w:bCs/>
        </w:rPr>
      </w:pPr>
      <w:r w:rsidRPr="00DB3459">
        <w:rPr>
          <w:b/>
          <w:bCs/>
        </w:rPr>
        <w:lastRenderedPageBreak/>
        <w:t>NOTA TÉCNICA</w:t>
      </w:r>
    </w:p>
    <w:p w14:paraId="492B0C8D" w14:textId="77777777" w:rsidR="005A2A1A" w:rsidRDefault="00823A6B" w:rsidP="00DB3459">
      <w:pPr>
        <w:pStyle w:val="Default"/>
        <w:ind w:left="-567" w:right="-518"/>
        <w:jc w:val="center"/>
        <w:rPr>
          <w:b/>
          <w:bCs/>
        </w:rPr>
      </w:pPr>
      <w:r w:rsidRPr="00DB3459">
        <w:rPr>
          <w:b/>
          <w:bCs/>
        </w:rPr>
        <w:t xml:space="preserve">INEGI PRESENTA EL </w:t>
      </w:r>
      <w:r w:rsidR="00DB3459" w:rsidRPr="00DB3459">
        <w:rPr>
          <w:b/>
          <w:bCs/>
        </w:rPr>
        <w:t>NOVEN</w:t>
      </w:r>
      <w:r w:rsidRPr="00DB3459">
        <w:rPr>
          <w:b/>
          <w:bCs/>
        </w:rPr>
        <w:t xml:space="preserve">O CENSO NACIONAL </w:t>
      </w:r>
    </w:p>
    <w:p w14:paraId="138D5D35" w14:textId="77777777" w:rsidR="00CA4B96" w:rsidRPr="00DB3459" w:rsidRDefault="00823A6B" w:rsidP="00DB3459">
      <w:pPr>
        <w:pStyle w:val="Default"/>
        <w:ind w:left="-567" w:right="-518"/>
        <w:jc w:val="center"/>
        <w:rPr>
          <w:b/>
          <w:bCs/>
        </w:rPr>
      </w:pPr>
      <w:r w:rsidRPr="00DB3459">
        <w:rPr>
          <w:b/>
          <w:bCs/>
        </w:rPr>
        <w:t xml:space="preserve">DE </w:t>
      </w:r>
      <w:r w:rsidR="007C4B18">
        <w:rPr>
          <w:b/>
          <w:bCs/>
        </w:rPr>
        <w:t>PROCURA</w:t>
      </w:r>
      <w:r w:rsidRPr="00DB3459">
        <w:rPr>
          <w:b/>
          <w:bCs/>
        </w:rPr>
        <w:t>CIÓN DE JUSTICIA ESTATAL</w:t>
      </w:r>
    </w:p>
    <w:p w14:paraId="313D87E1" w14:textId="77777777" w:rsidR="00CA4B96" w:rsidRPr="00DB3459" w:rsidRDefault="00CA4B96" w:rsidP="00DB3459">
      <w:pPr>
        <w:pStyle w:val="Default"/>
        <w:ind w:left="-567" w:right="-518"/>
        <w:jc w:val="center"/>
        <w:rPr>
          <w:b/>
          <w:bCs/>
        </w:rPr>
      </w:pPr>
    </w:p>
    <w:p w14:paraId="2092A379" w14:textId="062954DE" w:rsidR="007C4B18" w:rsidRPr="007C4B18" w:rsidRDefault="00823A6B" w:rsidP="007C4B18">
      <w:pPr>
        <w:pStyle w:val="Prrafodelista"/>
        <w:numPr>
          <w:ilvl w:val="1"/>
          <w:numId w:val="1"/>
        </w:numPr>
        <w:ind w:right="1416"/>
        <w:jc w:val="both"/>
        <w:rPr>
          <w:b/>
        </w:rPr>
      </w:pPr>
      <w:r w:rsidRPr="007C4B18">
        <w:rPr>
          <w:b/>
        </w:rPr>
        <w:t>Se</w:t>
      </w:r>
      <w:r w:rsidRPr="007C4B18">
        <w:rPr>
          <w:b/>
          <w:spacing w:val="-5"/>
        </w:rPr>
        <w:t xml:space="preserve"> </w:t>
      </w:r>
      <w:r w:rsidRPr="007C4B18">
        <w:rPr>
          <w:b/>
        </w:rPr>
        <w:t>constituye</w:t>
      </w:r>
      <w:r w:rsidRPr="007C4B18">
        <w:rPr>
          <w:b/>
          <w:spacing w:val="-5"/>
        </w:rPr>
        <w:t xml:space="preserve"> </w:t>
      </w:r>
      <w:r w:rsidRPr="007C4B18">
        <w:rPr>
          <w:b/>
        </w:rPr>
        <w:t>como</w:t>
      </w:r>
      <w:r w:rsidRPr="007C4B18">
        <w:rPr>
          <w:b/>
          <w:spacing w:val="-5"/>
        </w:rPr>
        <w:t xml:space="preserve"> </w:t>
      </w:r>
      <w:r w:rsidRPr="007C4B18">
        <w:rPr>
          <w:b/>
        </w:rPr>
        <w:t>un</w:t>
      </w:r>
      <w:r w:rsidRPr="007C4B18">
        <w:rPr>
          <w:b/>
          <w:spacing w:val="-8"/>
        </w:rPr>
        <w:t xml:space="preserve"> </w:t>
      </w:r>
      <w:r w:rsidRPr="007C4B18">
        <w:rPr>
          <w:b/>
        </w:rPr>
        <w:t>p</w:t>
      </w:r>
      <w:r w:rsidR="00832C78">
        <w:rPr>
          <w:b/>
        </w:rPr>
        <w:t>rograma</w:t>
      </w:r>
      <w:r w:rsidRPr="007C4B18">
        <w:rPr>
          <w:b/>
          <w:spacing w:val="-5"/>
        </w:rPr>
        <w:t xml:space="preserve"> </w:t>
      </w:r>
      <w:r w:rsidRPr="007C4B18">
        <w:rPr>
          <w:b/>
        </w:rPr>
        <w:t>estadístico</w:t>
      </w:r>
      <w:r w:rsidRPr="007C4B18">
        <w:rPr>
          <w:b/>
          <w:spacing w:val="-6"/>
        </w:rPr>
        <w:t xml:space="preserve"> </w:t>
      </w:r>
      <w:r w:rsidRPr="007C4B18">
        <w:rPr>
          <w:b/>
        </w:rPr>
        <w:t>que</w:t>
      </w:r>
      <w:r w:rsidRPr="007C4B18">
        <w:rPr>
          <w:b/>
          <w:spacing w:val="-6"/>
        </w:rPr>
        <w:t xml:space="preserve"> </w:t>
      </w:r>
      <w:r w:rsidRPr="007C4B18">
        <w:rPr>
          <w:b/>
        </w:rPr>
        <w:t>se</w:t>
      </w:r>
      <w:r w:rsidRPr="007C4B18">
        <w:rPr>
          <w:b/>
          <w:spacing w:val="-8"/>
        </w:rPr>
        <w:t xml:space="preserve"> </w:t>
      </w:r>
      <w:r w:rsidRPr="007C4B18">
        <w:rPr>
          <w:b/>
        </w:rPr>
        <w:t>realiza</w:t>
      </w:r>
      <w:r w:rsidRPr="007C4B18">
        <w:rPr>
          <w:b/>
          <w:spacing w:val="-5"/>
        </w:rPr>
        <w:t xml:space="preserve"> </w:t>
      </w:r>
      <w:r w:rsidRPr="007C4B18">
        <w:rPr>
          <w:b/>
        </w:rPr>
        <w:t xml:space="preserve">en el ámbito estatal del Estado Mexicano, ofreciendo información relevante </w:t>
      </w:r>
      <w:r w:rsidR="00832C78">
        <w:rPr>
          <w:b/>
        </w:rPr>
        <w:t>sobr</w:t>
      </w:r>
      <w:r w:rsidRPr="007C4B18">
        <w:rPr>
          <w:b/>
        </w:rPr>
        <w:t>e la estructura, organización, recursos y ejercicio de la función de l</w:t>
      </w:r>
      <w:r w:rsidR="007C4B18">
        <w:rPr>
          <w:b/>
        </w:rPr>
        <w:t>a</w:t>
      </w:r>
      <w:r w:rsidRPr="007C4B18">
        <w:rPr>
          <w:b/>
        </w:rPr>
        <w:t xml:space="preserve">s </w:t>
      </w:r>
      <w:r w:rsidR="007C4B18" w:rsidRPr="007C4B18">
        <w:rPr>
          <w:b/>
        </w:rPr>
        <w:t xml:space="preserve">Procuradurías Generales de Justicia y/o Fiscalías Generales de las </w:t>
      </w:r>
      <w:r w:rsidR="007C4B18">
        <w:rPr>
          <w:b/>
        </w:rPr>
        <w:t>en</w:t>
      </w:r>
      <w:r w:rsidR="007C4B18" w:rsidRPr="007C4B18">
        <w:rPr>
          <w:b/>
        </w:rPr>
        <w:t xml:space="preserve">tidades </w:t>
      </w:r>
      <w:r w:rsidR="007C4B18">
        <w:rPr>
          <w:b/>
        </w:rPr>
        <w:t>f</w:t>
      </w:r>
      <w:r w:rsidR="007C4B18" w:rsidRPr="007C4B18">
        <w:rPr>
          <w:b/>
        </w:rPr>
        <w:t>ederativas.</w:t>
      </w:r>
    </w:p>
    <w:p w14:paraId="7E44CF04" w14:textId="77777777" w:rsidR="00CA4B96" w:rsidRDefault="00CA4B96">
      <w:pPr>
        <w:pStyle w:val="Textoindependiente"/>
        <w:rPr>
          <w:b/>
          <w:sz w:val="22"/>
        </w:rPr>
      </w:pPr>
    </w:p>
    <w:p w14:paraId="30C6BD26" w14:textId="77777777" w:rsidR="005A2A1A" w:rsidRPr="00DB3459" w:rsidRDefault="005A2A1A">
      <w:pPr>
        <w:pStyle w:val="Textoindependiente"/>
        <w:rPr>
          <w:b/>
          <w:sz w:val="22"/>
        </w:rPr>
      </w:pPr>
    </w:p>
    <w:p w14:paraId="53531579" w14:textId="77777777" w:rsidR="0010753A" w:rsidRDefault="00823A6B" w:rsidP="0010753A">
      <w:pPr>
        <w:pStyle w:val="Textoindependiente"/>
        <w:ind w:right="117"/>
        <w:jc w:val="both"/>
        <w:rPr>
          <w:b/>
          <w:bCs/>
        </w:rPr>
      </w:pPr>
      <w:r w:rsidRPr="00DB3459">
        <w:t xml:space="preserve">El Instituto Nacional de Estadística y Geografía (INEGI) da a conocer hoy la información del </w:t>
      </w:r>
      <w:r w:rsidRPr="002A63AB">
        <w:rPr>
          <w:b/>
          <w:bCs/>
        </w:rPr>
        <w:t xml:space="preserve">Censo Nacional de </w:t>
      </w:r>
      <w:r w:rsidR="002A63AB">
        <w:rPr>
          <w:b/>
          <w:bCs/>
        </w:rPr>
        <w:t>Procura</w:t>
      </w:r>
      <w:r w:rsidRPr="002A63AB">
        <w:rPr>
          <w:b/>
          <w:bCs/>
        </w:rPr>
        <w:t>ción de Justicia Estatal (CN</w:t>
      </w:r>
      <w:r w:rsidR="002A63AB">
        <w:rPr>
          <w:b/>
          <w:bCs/>
        </w:rPr>
        <w:t>P</w:t>
      </w:r>
      <w:r w:rsidRPr="002A63AB">
        <w:rPr>
          <w:b/>
          <w:bCs/>
        </w:rPr>
        <w:t>JE) 201</w:t>
      </w:r>
      <w:r w:rsidR="00DB3459" w:rsidRPr="002A63AB">
        <w:rPr>
          <w:b/>
          <w:bCs/>
        </w:rPr>
        <w:t>9</w:t>
      </w:r>
      <w:r w:rsidR="0010753A">
        <w:rPr>
          <w:b/>
          <w:bCs/>
        </w:rPr>
        <w:t>.</w:t>
      </w:r>
    </w:p>
    <w:p w14:paraId="356BA56A" w14:textId="77777777" w:rsidR="0010753A" w:rsidRDefault="0010753A" w:rsidP="0010753A">
      <w:pPr>
        <w:pStyle w:val="Textoindependiente"/>
        <w:ind w:right="117"/>
        <w:jc w:val="both"/>
        <w:rPr>
          <w:b/>
          <w:bCs/>
        </w:rPr>
      </w:pPr>
    </w:p>
    <w:p w14:paraId="7DB5A0E8" w14:textId="0F5F7DF8" w:rsidR="00192D64" w:rsidRDefault="00976F57" w:rsidP="0010753A">
      <w:pPr>
        <w:pStyle w:val="Textoindependiente"/>
        <w:ind w:right="117"/>
        <w:jc w:val="both"/>
      </w:pPr>
      <w:r>
        <w:t>El Censo Nacional de Procuración de Justicia Estatal (CNP</w:t>
      </w:r>
      <w:bookmarkStart w:id="1" w:name="_GoBack"/>
      <w:bookmarkEnd w:id="1"/>
      <w:r w:rsidR="0010753A" w:rsidRPr="0010753A">
        <w:t>JE) 2019 tiene por objet</w:t>
      </w:r>
      <w:r w:rsidR="00CC42B7">
        <w:t>iv</w:t>
      </w:r>
      <w:r w:rsidR="0010753A" w:rsidRPr="0010753A">
        <w:t>o</w:t>
      </w:r>
      <w:r w:rsidR="002A63AB">
        <w:t xml:space="preserve"> </w:t>
      </w:r>
      <w:r w:rsidR="00823A6B" w:rsidRPr="00DB3459">
        <w:t>generar información estadística y geográfica de la gestión y desempeño</w:t>
      </w:r>
      <w:r w:rsidR="00823A6B" w:rsidRPr="00DB3459">
        <w:rPr>
          <w:spacing w:val="-14"/>
        </w:rPr>
        <w:t xml:space="preserve"> </w:t>
      </w:r>
      <w:r w:rsidR="00823A6B" w:rsidRPr="00DB3459">
        <w:t>de</w:t>
      </w:r>
      <w:r w:rsidR="00823A6B" w:rsidRPr="00DB3459">
        <w:rPr>
          <w:spacing w:val="-12"/>
        </w:rPr>
        <w:t xml:space="preserve"> </w:t>
      </w:r>
      <w:r w:rsidR="00823A6B" w:rsidRPr="00DB3459">
        <w:t>las</w:t>
      </w:r>
      <w:r w:rsidR="00823A6B" w:rsidRPr="00DB3459">
        <w:rPr>
          <w:spacing w:val="-13"/>
        </w:rPr>
        <w:t xml:space="preserve"> </w:t>
      </w:r>
      <w:r w:rsidR="00823A6B" w:rsidRPr="00DB3459">
        <w:t>instituciones</w:t>
      </w:r>
      <w:r w:rsidR="00823A6B" w:rsidRPr="00DB3459">
        <w:rPr>
          <w:spacing w:val="-13"/>
        </w:rPr>
        <w:t xml:space="preserve"> </w:t>
      </w:r>
      <w:r w:rsidR="00823A6B" w:rsidRPr="00DB3459">
        <w:t>que</w:t>
      </w:r>
      <w:r w:rsidR="00823A6B" w:rsidRPr="00DB3459">
        <w:rPr>
          <w:spacing w:val="-14"/>
        </w:rPr>
        <w:t xml:space="preserve"> </w:t>
      </w:r>
      <w:r w:rsidR="00823A6B" w:rsidRPr="00DB3459">
        <w:t>integran</w:t>
      </w:r>
      <w:r w:rsidR="00823A6B" w:rsidRPr="00DB3459">
        <w:rPr>
          <w:spacing w:val="-14"/>
        </w:rPr>
        <w:t xml:space="preserve"> </w:t>
      </w:r>
      <w:r w:rsidR="0010753A" w:rsidRPr="0010753A">
        <w:t>la Procuraduría General de Justicia o</w:t>
      </w:r>
      <w:r w:rsidR="00CC42B7">
        <w:t xml:space="preserve"> la</w:t>
      </w:r>
      <w:r w:rsidR="0010753A" w:rsidRPr="0010753A">
        <w:t xml:space="preserve"> Fiscalía General de cada </w:t>
      </w:r>
      <w:r w:rsidR="0010753A">
        <w:t>e</w:t>
      </w:r>
      <w:r w:rsidR="0010753A" w:rsidRPr="0010753A">
        <w:t xml:space="preserve">ntidad </w:t>
      </w:r>
      <w:r w:rsidR="0010753A">
        <w:t>f</w:t>
      </w:r>
      <w:r w:rsidR="0010753A" w:rsidRPr="0010753A">
        <w:t xml:space="preserve">ederativa, específicamente en las funciones de gobierno, procuración de justicia, justicia para adolescentes y justicia alternativa. </w:t>
      </w:r>
    </w:p>
    <w:p w14:paraId="3BEAD679" w14:textId="77777777" w:rsidR="00192D64" w:rsidRDefault="00192D64" w:rsidP="0010753A">
      <w:pPr>
        <w:pStyle w:val="Textoindependiente"/>
        <w:ind w:right="117"/>
        <w:jc w:val="both"/>
      </w:pPr>
    </w:p>
    <w:p w14:paraId="3B32B2E7" w14:textId="79C7C96D" w:rsidR="00CA4B96" w:rsidRDefault="0010753A" w:rsidP="0010753A">
      <w:pPr>
        <w:pStyle w:val="Textoindependiente"/>
        <w:ind w:right="117"/>
        <w:jc w:val="both"/>
      </w:pPr>
      <w:r w:rsidRPr="0010753A">
        <w:t xml:space="preserve">Los datos de dicho </w:t>
      </w:r>
      <w:r w:rsidR="00CC42B7">
        <w:t>programa</w:t>
      </w:r>
      <w:r w:rsidR="00CC42B7" w:rsidRPr="0010753A">
        <w:t xml:space="preserve"> </w:t>
      </w:r>
      <w:r w:rsidRPr="0010753A">
        <w:t>fueron declarados Información de Interés Nacional por la Junta de Gobierno del INEGI en diciembre de 2012.</w:t>
      </w:r>
    </w:p>
    <w:p w14:paraId="230624AE" w14:textId="77777777" w:rsidR="0010753A" w:rsidRDefault="0010753A" w:rsidP="0010753A">
      <w:pPr>
        <w:pStyle w:val="Textoindependiente"/>
        <w:ind w:right="117"/>
        <w:jc w:val="both"/>
      </w:pPr>
    </w:p>
    <w:p w14:paraId="3DB9FC1B" w14:textId="77777777" w:rsidR="00192D64" w:rsidRDefault="004C4EC7" w:rsidP="0010753A">
      <w:pPr>
        <w:pStyle w:val="Textoindependiente"/>
        <w:jc w:val="both"/>
      </w:pPr>
      <w:r>
        <w:t>En esta novena edición, el CN</w:t>
      </w:r>
      <w:r w:rsidR="0010753A">
        <w:t>P</w:t>
      </w:r>
      <w:r>
        <w:t>JE integra información correspondiente a 2018 y 2019</w:t>
      </w:r>
      <w:r>
        <w:rPr>
          <w:rStyle w:val="Refdenotaalpie"/>
        </w:rPr>
        <w:footnoteReference w:id="5"/>
      </w:r>
      <w:r>
        <w:t xml:space="preserve"> en </w:t>
      </w:r>
      <w:r w:rsidR="0010753A" w:rsidRPr="00D02856">
        <w:t>45</w:t>
      </w:r>
      <w:r>
        <w:t xml:space="preserve"> tabulados, mismos que se organizan en cinco apartados conforme a la siguiente estructura temática:</w:t>
      </w:r>
      <w:r w:rsidR="00192D64">
        <w:t xml:space="preserve"> </w:t>
      </w:r>
    </w:p>
    <w:p w14:paraId="230969EF" w14:textId="77777777" w:rsidR="00192D64" w:rsidRDefault="00192D64" w:rsidP="0010753A">
      <w:pPr>
        <w:pStyle w:val="Textoindependiente"/>
        <w:jc w:val="both"/>
      </w:pPr>
    </w:p>
    <w:p w14:paraId="3B31AC4C" w14:textId="77777777" w:rsidR="00CA4B96" w:rsidRDefault="0010753A" w:rsidP="0010753A">
      <w:pPr>
        <w:pStyle w:val="Textoindependiente"/>
        <w:jc w:val="both"/>
      </w:pPr>
      <w:r>
        <w:t>1) Estructura organizacional y recursos; 2) Procuración de justicia; 3) Justicia para adolescentes; y 4) Mecanismos Alternativos de Solución de Controversias.</w:t>
      </w:r>
    </w:p>
    <w:p w14:paraId="7BABBB78" w14:textId="77777777" w:rsidR="00CD6C1F" w:rsidRDefault="00CD6C1F">
      <w:pPr>
        <w:pStyle w:val="Textoindependiente"/>
        <w:rPr>
          <w:b/>
          <w:bCs/>
        </w:rPr>
      </w:pPr>
    </w:p>
    <w:p w14:paraId="0643DEF6" w14:textId="77777777" w:rsidR="00495146" w:rsidRDefault="00495146">
      <w:pPr>
        <w:pStyle w:val="Textoindependiente"/>
        <w:rPr>
          <w:b/>
          <w:bCs/>
        </w:rPr>
      </w:pPr>
    </w:p>
    <w:p w14:paraId="74CD3A49" w14:textId="77777777" w:rsidR="004C4EC7" w:rsidRPr="00CD6C1F" w:rsidRDefault="00FB1592">
      <w:pPr>
        <w:pStyle w:val="Textoindependiente"/>
        <w:rPr>
          <w:b/>
          <w:bCs/>
        </w:rPr>
      </w:pPr>
      <w:r>
        <w:rPr>
          <w:b/>
          <w:bCs/>
        </w:rPr>
        <w:t>Estructura organizacional y recursos humanos</w:t>
      </w:r>
      <w:r w:rsidR="009266C7">
        <w:rPr>
          <w:rStyle w:val="Refdenotaalpie"/>
          <w:b/>
          <w:bCs/>
        </w:rPr>
        <w:footnoteReference w:id="6"/>
      </w:r>
    </w:p>
    <w:p w14:paraId="00420832" w14:textId="77777777" w:rsidR="00CD6C1F" w:rsidRDefault="00CD6C1F">
      <w:pPr>
        <w:pStyle w:val="Textoindependiente"/>
      </w:pPr>
    </w:p>
    <w:p w14:paraId="00411B71" w14:textId="457E57FE" w:rsidR="0010753A" w:rsidRDefault="0010753A" w:rsidP="00DE3303">
      <w:pPr>
        <w:pStyle w:val="Textoindependiente"/>
        <w:ind w:right="122"/>
        <w:jc w:val="both"/>
      </w:pPr>
      <w:r>
        <w:t>Entre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principal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pro</w:t>
      </w:r>
      <w:r w:rsidR="00832C78">
        <w:t>grama</w:t>
      </w:r>
      <w:r>
        <w:rPr>
          <w:spacing w:val="-7"/>
        </w:rPr>
        <w:t xml:space="preserve"> </w:t>
      </w:r>
      <w:r>
        <w:t>provee</w:t>
      </w:r>
      <w:r w:rsidR="00A05E63">
        <w:t>,</w:t>
      </w:r>
      <w:r>
        <w:rPr>
          <w:spacing w:val="-9"/>
        </w:rPr>
        <w:t xml:space="preserve"> </w:t>
      </w:r>
      <w:r>
        <w:t>destaca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cierre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 w:rsidR="00495146">
        <w:t>2018</w:t>
      </w:r>
      <w:r>
        <w:rPr>
          <w:spacing w:val="-8"/>
        </w:rPr>
        <w:t xml:space="preserve"> </w:t>
      </w:r>
      <w:r>
        <w:t xml:space="preserve">se </w:t>
      </w:r>
      <w:r w:rsidRPr="002A538F">
        <w:t>reportaron</w:t>
      </w:r>
      <w:r w:rsidRPr="002A538F">
        <w:rPr>
          <w:spacing w:val="-4"/>
        </w:rPr>
        <w:t xml:space="preserve"> </w:t>
      </w:r>
      <w:r w:rsidRPr="002A538F">
        <w:t>1</w:t>
      </w:r>
      <w:r w:rsidRPr="002A538F">
        <w:rPr>
          <w:spacing w:val="-7"/>
        </w:rPr>
        <w:t xml:space="preserve"> </w:t>
      </w:r>
      <w:r w:rsidRPr="002A538F">
        <w:t>mil</w:t>
      </w:r>
      <w:r w:rsidRPr="002A538F">
        <w:rPr>
          <w:spacing w:val="-9"/>
        </w:rPr>
        <w:t xml:space="preserve"> </w:t>
      </w:r>
      <w:r w:rsidR="002A538F" w:rsidRPr="002A538F">
        <w:t>400</w:t>
      </w:r>
      <w:r w:rsidRPr="002A538F">
        <w:rPr>
          <w:spacing w:val="-4"/>
        </w:rPr>
        <w:t xml:space="preserve"> </w:t>
      </w:r>
      <w:r w:rsidRPr="002A538F">
        <w:t>unidades</w:t>
      </w:r>
      <w:r w:rsidRPr="002A538F">
        <w:rPr>
          <w:spacing w:val="-5"/>
        </w:rPr>
        <w:t xml:space="preserve"> </w:t>
      </w:r>
      <w:r w:rsidRPr="002A538F">
        <w:t>administrativas</w:t>
      </w:r>
      <w:r w:rsidRPr="002A538F">
        <w:rPr>
          <w:spacing w:val="-5"/>
        </w:rPr>
        <w:t xml:space="preserve"> </w:t>
      </w:r>
      <w:r w:rsidRPr="002A538F">
        <w:t>en</w:t>
      </w:r>
      <w:r w:rsidRPr="002A538F">
        <w:rPr>
          <w:spacing w:val="-7"/>
        </w:rPr>
        <w:t xml:space="preserve"> </w:t>
      </w:r>
      <w:r w:rsidRPr="002A538F">
        <w:t>las</w:t>
      </w:r>
      <w:r w:rsidRPr="002A538F">
        <w:rPr>
          <w:spacing w:val="-5"/>
        </w:rPr>
        <w:t xml:space="preserve"> </w:t>
      </w:r>
      <w:r w:rsidRPr="002A538F">
        <w:t>Procuradurías</w:t>
      </w:r>
      <w:r w:rsidRPr="002A538F">
        <w:rPr>
          <w:spacing w:val="-5"/>
        </w:rPr>
        <w:t xml:space="preserve"> </w:t>
      </w:r>
      <w:r w:rsidRPr="002A538F">
        <w:t>o</w:t>
      </w:r>
      <w:r w:rsidRPr="002A538F">
        <w:rPr>
          <w:spacing w:val="-5"/>
        </w:rPr>
        <w:t xml:space="preserve"> </w:t>
      </w:r>
      <w:r w:rsidRPr="002A538F">
        <w:t>Fiscalías</w:t>
      </w:r>
      <w:r w:rsidRPr="002A538F">
        <w:rPr>
          <w:spacing w:val="-5"/>
        </w:rPr>
        <w:t xml:space="preserve"> </w:t>
      </w:r>
      <w:r w:rsidRPr="002A538F">
        <w:t xml:space="preserve">Generales de Justicia con </w:t>
      </w:r>
      <w:r w:rsidR="00A757CD" w:rsidRPr="00A757CD">
        <w:t>96 mil 847 servidores públicos</w:t>
      </w:r>
      <w:r w:rsidR="00832C78">
        <w:t>;</w:t>
      </w:r>
      <w:r w:rsidR="00A757CD">
        <w:t xml:space="preserve"> d</w:t>
      </w:r>
      <w:r w:rsidR="00A757CD" w:rsidRPr="00A757CD">
        <w:t>e ellos, 59.7% fueron hombres y 42.1% mujeres.</w:t>
      </w:r>
      <w:r w:rsidR="00A757CD">
        <w:t xml:space="preserve"> </w:t>
      </w:r>
      <w:r w:rsidRPr="002A538F">
        <w:t xml:space="preserve">Asimismo, </w:t>
      </w:r>
      <w:r w:rsidR="002A538F" w:rsidRPr="002A538F">
        <w:t xml:space="preserve">73.9% </w:t>
      </w:r>
      <w:r w:rsidRPr="002A538F">
        <w:t>del personal se encontró bajo el régimen de contratación de confianza.</w:t>
      </w:r>
    </w:p>
    <w:p w14:paraId="5A8E9D28" w14:textId="77777777" w:rsidR="00B865D9" w:rsidRDefault="00B865D9" w:rsidP="006E777E">
      <w:pPr>
        <w:pStyle w:val="Textoindependiente"/>
        <w:spacing w:before="1"/>
        <w:ind w:right="116"/>
        <w:jc w:val="both"/>
      </w:pPr>
    </w:p>
    <w:p w14:paraId="04C93825" w14:textId="0D8A27A5" w:rsidR="00291D93" w:rsidRDefault="00291D93" w:rsidP="006E777E">
      <w:pPr>
        <w:pStyle w:val="Textoindependiente"/>
        <w:spacing w:before="1"/>
        <w:ind w:right="116"/>
        <w:jc w:val="both"/>
      </w:pPr>
    </w:p>
    <w:p w14:paraId="081FA95B" w14:textId="41B0B551" w:rsidR="00B66EAA" w:rsidRDefault="00B66EAA" w:rsidP="006E777E">
      <w:pPr>
        <w:pStyle w:val="Textoindependiente"/>
        <w:spacing w:before="1"/>
        <w:ind w:right="116"/>
        <w:jc w:val="both"/>
      </w:pPr>
    </w:p>
    <w:p w14:paraId="3328B32D" w14:textId="3B6E9B84" w:rsidR="00B66EAA" w:rsidRDefault="00B66EAA" w:rsidP="006E777E">
      <w:pPr>
        <w:pStyle w:val="Textoindependiente"/>
        <w:spacing w:before="1"/>
        <w:ind w:right="116"/>
        <w:jc w:val="both"/>
      </w:pPr>
    </w:p>
    <w:p w14:paraId="1D50EC73" w14:textId="448BB4EB" w:rsidR="00B66EAA" w:rsidRDefault="00B66EAA" w:rsidP="006E777E">
      <w:pPr>
        <w:pStyle w:val="Textoindependiente"/>
        <w:spacing w:before="1"/>
        <w:ind w:right="116"/>
        <w:jc w:val="both"/>
      </w:pPr>
    </w:p>
    <w:p w14:paraId="3EA87D9A" w14:textId="77777777" w:rsidR="00B66EAA" w:rsidRDefault="00B66EAA" w:rsidP="006E777E">
      <w:pPr>
        <w:pStyle w:val="Textoindependiente"/>
        <w:spacing w:before="1"/>
        <w:ind w:right="116"/>
        <w:jc w:val="both"/>
      </w:pPr>
    </w:p>
    <w:p w14:paraId="2C2FF899" w14:textId="77777777" w:rsidR="006E777E" w:rsidRDefault="00BC55B9" w:rsidP="006E777E">
      <w:pPr>
        <w:pStyle w:val="Textoindependiente"/>
        <w:spacing w:before="1"/>
        <w:ind w:right="116"/>
        <w:jc w:val="both"/>
      </w:pPr>
      <w:r>
        <w:lastRenderedPageBreak/>
        <w:t xml:space="preserve">En el mismo periodo </w:t>
      </w:r>
      <w:r w:rsidR="006E777E" w:rsidRPr="00F758EF">
        <w:t>se</w:t>
      </w:r>
      <w:r w:rsidR="006E777E" w:rsidRPr="00F758EF">
        <w:rPr>
          <w:spacing w:val="-5"/>
        </w:rPr>
        <w:t xml:space="preserve"> </w:t>
      </w:r>
      <w:r w:rsidR="006E777E" w:rsidRPr="00F758EF">
        <w:t>reportaron</w:t>
      </w:r>
      <w:r w:rsidR="006E777E" w:rsidRPr="00F758EF">
        <w:rPr>
          <w:spacing w:val="-5"/>
        </w:rPr>
        <w:t xml:space="preserve"> </w:t>
      </w:r>
      <w:r w:rsidR="006E777E" w:rsidRPr="00F758EF">
        <w:t>3 mil 707 Agencias</w:t>
      </w:r>
      <w:r w:rsidR="006E777E" w:rsidRPr="00F758EF">
        <w:rPr>
          <w:spacing w:val="-5"/>
        </w:rPr>
        <w:t xml:space="preserve"> </w:t>
      </w:r>
      <w:r w:rsidR="006E777E" w:rsidRPr="00F758EF">
        <w:t>del</w:t>
      </w:r>
      <w:r w:rsidR="006E777E" w:rsidRPr="00F758EF">
        <w:rPr>
          <w:spacing w:val="-6"/>
        </w:rPr>
        <w:t xml:space="preserve"> </w:t>
      </w:r>
      <w:r w:rsidR="006E777E" w:rsidRPr="00F758EF">
        <w:t>Ministerio</w:t>
      </w:r>
      <w:r w:rsidR="006E777E" w:rsidRPr="00F758EF">
        <w:rPr>
          <w:spacing w:val="-5"/>
        </w:rPr>
        <w:t xml:space="preserve"> </w:t>
      </w:r>
      <w:r w:rsidR="006E777E" w:rsidRPr="00F758EF">
        <w:t>Público</w:t>
      </w:r>
      <w:r w:rsidR="006E777E" w:rsidRPr="00F758EF">
        <w:rPr>
          <w:spacing w:val="-5"/>
        </w:rPr>
        <w:t xml:space="preserve"> </w:t>
      </w:r>
      <w:r w:rsidR="006E777E" w:rsidRPr="00F758EF">
        <w:t>del</w:t>
      </w:r>
      <w:r w:rsidR="006E777E" w:rsidRPr="00F758EF">
        <w:rPr>
          <w:spacing w:val="-6"/>
        </w:rPr>
        <w:t xml:space="preserve"> </w:t>
      </w:r>
      <w:r w:rsidR="006E777E" w:rsidRPr="00F758EF">
        <w:t>Fuero</w:t>
      </w:r>
      <w:r w:rsidR="006E777E" w:rsidRPr="00F758EF">
        <w:rPr>
          <w:spacing w:val="-5"/>
        </w:rPr>
        <w:t xml:space="preserve"> </w:t>
      </w:r>
      <w:r w:rsidR="006E777E" w:rsidRPr="00F758EF">
        <w:t>Común, de</w:t>
      </w:r>
      <w:r w:rsidR="006E777E" w:rsidRPr="00F758EF">
        <w:rPr>
          <w:spacing w:val="-4"/>
        </w:rPr>
        <w:t xml:space="preserve"> </w:t>
      </w:r>
      <w:r w:rsidR="006E777E" w:rsidRPr="00F758EF">
        <w:t>las</w:t>
      </w:r>
      <w:r w:rsidR="006E777E" w:rsidRPr="00F758EF">
        <w:rPr>
          <w:spacing w:val="-3"/>
        </w:rPr>
        <w:t xml:space="preserve"> </w:t>
      </w:r>
      <w:r w:rsidR="006E777E" w:rsidRPr="00F758EF">
        <w:t>cuales</w:t>
      </w:r>
      <w:r w:rsidR="006E777E" w:rsidRPr="00F758EF">
        <w:rPr>
          <w:spacing w:val="-4"/>
        </w:rPr>
        <w:t xml:space="preserve"> </w:t>
      </w:r>
      <w:r w:rsidR="006E777E" w:rsidRPr="00F758EF">
        <w:t>46.7% fueron</w:t>
      </w:r>
      <w:r w:rsidR="006E777E" w:rsidRPr="00F758EF">
        <w:rPr>
          <w:spacing w:val="-3"/>
        </w:rPr>
        <w:t xml:space="preserve"> </w:t>
      </w:r>
      <w:r w:rsidR="006E777E" w:rsidRPr="00F758EF">
        <w:t>agencias</w:t>
      </w:r>
      <w:r w:rsidR="006E777E" w:rsidRPr="00F758EF">
        <w:rPr>
          <w:spacing w:val="-4"/>
        </w:rPr>
        <w:t xml:space="preserve"> </w:t>
      </w:r>
      <w:r w:rsidR="006E777E" w:rsidRPr="00F758EF">
        <w:t>mixtas</w:t>
      </w:r>
      <w:r w:rsidR="006E777E" w:rsidRPr="00F758EF">
        <w:rPr>
          <w:spacing w:val="-7"/>
        </w:rPr>
        <w:t xml:space="preserve"> </w:t>
      </w:r>
      <w:r w:rsidR="006E777E" w:rsidRPr="00F758EF">
        <w:t>o</w:t>
      </w:r>
      <w:r w:rsidR="006E777E" w:rsidRPr="00F758EF">
        <w:rPr>
          <w:spacing w:val="-4"/>
        </w:rPr>
        <w:t xml:space="preserve"> </w:t>
      </w:r>
      <w:r w:rsidR="006E777E" w:rsidRPr="00F758EF">
        <w:t>generales.</w:t>
      </w:r>
      <w:r w:rsidR="006E777E" w:rsidRPr="00F758EF">
        <w:rPr>
          <w:spacing w:val="-6"/>
        </w:rPr>
        <w:t xml:space="preserve"> </w:t>
      </w:r>
    </w:p>
    <w:p w14:paraId="4760E318" w14:textId="77777777" w:rsidR="006E777E" w:rsidRDefault="006E777E" w:rsidP="006E777E">
      <w:pPr>
        <w:pStyle w:val="Textoindependiente"/>
        <w:rPr>
          <w:sz w:val="20"/>
        </w:rPr>
      </w:pPr>
    </w:p>
    <w:p w14:paraId="34260B8A" w14:textId="77777777" w:rsidR="00B66EAA" w:rsidRDefault="00B66EAA" w:rsidP="00B865D9">
      <w:pPr>
        <w:jc w:val="center"/>
        <w:rPr>
          <w:i/>
          <w:sz w:val="24"/>
        </w:rPr>
      </w:pPr>
    </w:p>
    <w:p w14:paraId="6AF4DD91" w14:textId="0730D227" w:rsidR="00076D58" w:rsidRDefault="00076D58" w:rsidP="00B865D9">
      <w:pPr>
        <w:jc w:val="center"/>
        <w:rPr>
          <w:i/>
          <w:sz w:val="24"/>
        </w:rPr>
      </w:pPr>
      <w:r>
        <w:rPr>
          <w:i/>
          <w:sz w:val="24"/>
        </w:rPr>
        <w:t xml:space="preserve">Gráfica 1. Distribución porcentual </w:t>
      </w:r>
      <w:r w:rsidR="00CC42B7">
        <w:rPr>
          <w:i/>
          <w:sz w:val="24"/>
        </w:rPr>
        <w:t>de A</w:t>
      </w:r>
      <w:r w:rsidR="00523458">
        <w:rPr>
          <w:i/>
          <w:sz w:val="24"/>
        </w:rPr>
        <w:t>gencias del Ministerio Público del Fuero Común de las</w:t>
      </w:r>
      <w:r>
        <w:rPr>
          <w:i/>
          <w:sz w:val="24"/>
        </w:rPr>
        <w:t xml:space="preserve"> Procuradurías o Fiscalías Generales de Justicia, </w:t>
      </w:r>
      <w:r w:rsidR="00523458">
        <w:rPr>
          <w:i/>
          <w:sz w:val="24"/>
        </w:rPr>
        <w:t>por tipo,</w:t>
      </w:r>
      <w:r>
        <w:rPr>
          <w:i/>
          <w:sz w:val="24"/>
        </w:rPr>
        <w:t xml:space="preserve"> 2018</w:t>
      </w:r>
    </w:p>
    <w:p w14:paraId="4EE4F950" w14:textId="77777777" w:rsidR="00076D58" w:rsidRDefault="00523458" w:rsidP="002B5F32">
      <w:pPr>
        <w:spacing w:before="92"/>
        <w:ind w:left="3329" w:right="59" w:hanging="3329"/>
        <w:jc w:val="center"/>
        <w:rPr>
          <w:i/>
          <w:sz w:val="24"/>
        </w:rPr>
      </w:pPr>
      <w:r>
        <w:rPr>
          <w:noProof/>
          <w:lang w:eastAsia="es-MX"/>
        </w:rPr>
        <w:drawing>
          <wp:inline distT="0" distB="0" distL="0" distR="0" wp14:anchorId="22E224E1" wp14:editId="58AD7FAA">
            <wp:extent cx="6248400" cy="5080883"/>
            <wp:effectExtent l="0" t="0" r="0" b="571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544AF6-A82F-4483-8050-1B1F1D89B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13D52CC" w14:textId="77777777" w:rsidR="00523458" w:rsidRDefault="00523458" w:rsidP="00BC55B9">
      <w:pPr>
        <w:pStyle w:val="Textoindependiente"/>
        <w:spacing w:before="10"/>
        <w:jc w:val="both"/>
        <w:rPr>
          <w:iCs/>
          <w:sz w:val="16"/>
          <w:szCs w:val="22"/>
        </w:rPr>
      </w:pPr>
      <w:r w:rsidRPr="00DD2CD0">
        <w:rPr>
          <w:iCs/>
          <w:sz w:val="16"/>
          <w:szCs w:val="22"/>
        </w:rPr>
        <w:t>* Incluye agencias especializadas</w:t>
      </w:r>
      <w:r w:rsidR="00BC55B9" w:rsidRPr="00DD2CD0">
        <w:rPr>
          <w:iCs/>
          <w:sz w:val="16"/>
          <w:szCs w:val="22"/>
        </w:rPr>
        <w:t xml:space="preserve"> en</w:t>
      </w:r>
      <w:r w:rsidRPr="00DD2CD0">
        <w:rPr>
          <w:iCs/>
          <w:sz w:val="16"/>
          <w:szCs w:val="22"/>
        </w:rPr>
        <w:t xml:space="preserve"> delito de abi</w:t>
      </w:r>
      <w:r w:rsidR="00BC55B9" w:rsidRPr="00DD2CD0">
        <w:rPr>
          <w:iCs/>
          <w:sz w:val="16"/>
          <w:szCs w:val="22"/>
        </w:rPr>
        <w:t xml:space="preserve">geato, en atención a indígenas, en atención a delitos electorales, </w:t>
      </w:r>
      <w:r w:rsidR="000E4AED">
        <w:rPr>
          <w:iCs/>
          <w:sz w:val="16"/>
          <w:szCs w:val="22"/>
        </w:rPr>
        <w:t xml:space="preserve">en feminicidios, </w:t>
      </w:r>
      <w:r w:rsidR="00BC55B9" w:rsidRPr="00DD2CD0">
        <w:rPr>
          <w:iCs/>
          <w:sz w:val="16"/>
          <w:szCs w:val="22"/>
        </w:rPr>
        <w:t>en ejecución de penas y medidas judiciales, en atención a migrantes, en delitos contra la salud, en extorsiones, en delitos contra el medio ambiente, en atención a delitos cometidos por medios electrónicos o cibernéticos</w:t>
      </w:r>
      <w:r w:rsidR="000E4AED">
        <w:rPr>
          <w:iCs/>
          <w:sz w:val="16"/>
          <w:szCs w:val="22"/>
        </w:rPr>
        <w:t>, en atención a turistas</w:t>
      </w:r>
      <w:r w:rsidR="00BC55B9" w:rsidRPr="00DD2CD0">
        <w:rPr>
          <w:iCs/>
          <w:sz w:val="16"/>
          <w:szCs w:val="22"/>
        </w:rPr>
        <w:t xml:space="preserve">, </w:t>
      </w:r>
      <w:r w:rsidR="000E4AED" w:rsidRPr="00DD2CD0">
        <w:rPr>
          <w:iCs/>
          <w:sz w:val="16"/>
          <w:szCs w:val="22"/>
        </w:rPr>
        <w:t>contra la trata de personas</w:t>
      </w:r>
      <w:r w:rsidR="000E4AED">
        <w:rPr>
          <w:iCs/>
          <w:sz w:val="16"/>
          <w:szCs w:val="22"/>
        </w:rPr>
        <w:t xml:space="preserve">, </w:t>
      </w:r>
      <w:r w:rsidR="00BC55B9" w:rsidRPr="00DD2CD0">
        <w:rPr>
          <w:iCs/>
          <w:sz w:val="16"/>
          <w:szCs w:val="22"/>
        </w:rPr>
        <w:t>contra periodistas, y otras agencias.</w:t>
      </w:r>
    </w:p>
    <w:p w14:paraId="689E22B1" w14:textId="77777777" w:rsidR="009266C7" w:rsidRDefault="009266C7" w:rsidP="00BC55B9">
      <w:pPr>
        <w:pStyle w:val="Textoindependiente"/>
        <w:spacing w:before="10"/>
        <w:jc w:val="both"/>
        <w:rPr>
          <w:iCs/>
          <w:sz w:val="16"/>
          <w:szCs w:val="22"/>
        </w:rPr>
      </w:pPr>
    </w:p>
    <w:p w14:paraId="15A5BE30" w14:textId="77777777" w:rsidR="000E4AED" w:rsidRDefault="000E4AED" w:rsidP="00523458">
      <w:pPr>
        <w:pStyle w:val="Textoindependiente"/>
        <w:spacing w:before="1"/>
        <w:ind w:right="116"/>
        <w:jc w:val="both"/>
      </w:pPr>
    </w:p>
    <w:p w14:paraId="127E01C5" w14:textId="77777777" w:rsidR="00B865D9" w:rsidRDefault="00B865D9" w:rsidP="00523458">
      <w:pPr>
        <w:pStyle w:val="Textoindependiente"/>
        <w:spacing w:before="1"/>
        <w:ind w:right="116"/>
        <w:jc w:val="both"/>
      </w:pPr>
    </w:p>
    <w:p w14:paraId="07169D3D" w14:textId="77777777" w:rsidR="00192D64" w:rsidRDefault="00192D64" w:rsidP="00523458">
      <w:pPr>
        <w:pStyle w:val="Textoindependiente"/>
        <w:spacing w:before="1"/>
        <w:ind w:right="116"/>
        <w:jc w:val="both"/>
      </w:pPr>
    </w:p>
    <w:p w14:paraId="099AE942" w14:textId="1C63C5E4" w:rsidR="00B865D9" w:rsidRDefault="00B865D9" w:rsidP="00523458">
      <w:pPr>
        <w:pStyle w:val="Textoindependiente"/>
        <w:spacing w:before="1"/>
        <w:ind w:right="116"/>
        <w:jc w:val="both"/>
      </w:pPr>
    </w:p>
    <w:p w14:paraId="3AAB7932" w14:textId="5F5543EF" w:rsidR="002946FD" w:rsidRDefault="002946FD" w:rsidP="00523458">
      <w:pPr>
        <w:pStyle w:val="Textoindependiente"/>
        <w:spacing w:before="1"/>
        <w:ind w:right="116"/>
        <w:jc w:val="both"/>
      </w:pPr>
    </w:p>
    <w:p w14:paraId="651C20AE" w14:textId="77777777" w:rsidR="002946FD" w:rsidRDefault="002946FD" w:rsidP="00523458">
      <w:pPr>
        <w:pStyle w:val="Textoindependiente"/>
        <w:spacing w:before="1"/>
        <w:ind w:right="116"/>
        <w:jc w:val="both"/>
      </w:pPr>
    </w:p>
    <w:p w14:paraId="16F33004" w14:textId="77777777" w:rsidR="00B865D9" w:rsidRDefault="00B865D9" w:rsidP="00523458">
      <w:pPr>
        <w:pStyle w:val="Textoindependiente"/>
        <w:spacing w:before="1"/>
        <w:ind w:right="116"/>
        <w:jc w:val="both"/>
      </w:pPr>
    </w:p>
    <w:p w14:paraId="70480834" w14:textId="77777777" w:rsidR="00523458" w:rsidRPr="005C7E2D" w:rsidRDefault="00523458" w:rsidP="00523458">
      <w:pPr>
        <w:pStyle w:val="Textoindependiente"/>
        <w:spacing w:before="1"/>
        <w:ind w:right="116"/>
        <w:jc w:val="both"/>
      </w:pPr>
      <w:r w:rsidRPr="005C7E2D">
        <w:lastRenderedPageBreak/>
        <w:t xml:space="preserve">En </w:t>
      </w:r>
      <w:r w:rsidR="00B865D9">
        <w:t>las Agencias del Ministerio P</w:t>
      </w:r>
      <w:r w:rsidR="00BC55B9" w:rsidRPr="005C7E2D">
        <w:t xml:space="preserve">úblico </w:t>
      </w:r>
      <w:r w:rsidRPr="005C7E2D">
        <w:t xml:space="preserve">estuvieron adscritos </w:t>
      </w:r>
      <w:r w:rsidR="007F64D0" w:rsidRPr="005C7E2D">
        <w:t>43 mil 427</w:t>
      </w:r>
      <w:r w:rsidR="00CC3A16" w:rsidRPr="005C7E2D">
        <w:t xml:space="preserve"> </w:t>
      </w:r>
      <w:r w:rsidRPr="005C7E2D">
        <w:t xml:space="preserve">servidores públicos, </w:t>
      </w:r>
      <w:r w:rsidR="0003102D">
        <w:t xml:space="preserve">de ellos </w:t>
      </w:r>
      <w:r w:rsidR="007F64D0" w:rsidRPr="005C7E2D">
        <w:t xml:space="preserve">53.3% </w:t>
      </w:r>
      <w:r w:rsidR="0003102D">
        <w:t xml:space="preserve">fueron </w:t>
      </w:r>
      <w:r w:rsidR="00CC3A16" w:rsidRPr="005C7E2D">
        <w:t>hombres</w:t>
      </w:r>
      <w:r w:rsidR="0003102D">
        <w:t xml:space="preserve"> y </w:t>
      </w:r>
      <w:r w:rsidR="0003102D" w:rsidRPr="005C7E2D">
        <w:t>46.7% mujeres</w:t>
      </w:r>
      <w:r w:rsidR="0003102D">
        <w:t>. Estos presentaron</w:t>
      </w:r>
      <w:r w:rsidRPr="005C7E2D">
        <w:t xml:space="preserve"> la siguiente distribución de acuerdo con el cargo ocupado:</w:t>
      </w:r>
    </w:p>
    <w:p w14:paraId="166FAE27" w14:textId="77777777" w:rsidR="001D0D7A" w:rsidRDefault="001D0D7A" w:rsidP="0010753A">
      <w:pPr>
        <w:spacing w:before="92"/>
        <w:ind w:left="3329" w:right="338" w:hanging="2879"/>
        <w:rPr>
          <w:i/>
          <w:sz w:val="24"/>
        </w:rPr>
      </w:pPr>
    </w:p>
    <w:p w14:paraId="5578BA00" w14:textId="77777777" w:rsidR="0010753A" w:rsidRDefault="0010753A" w:rsidP="0010753A">
      <w:pPr>
        <w:spacing w:before="92"/>
        <w:ind w:left="3329" w:right="338" w:hanging="2879"/>
        <w:rPr>
          <w:i/>
          <w:sz w:val="24"/>
        </w:rPr>
      </w:pPr>
      <w:r>
        <w:rPr>
          <w:i/>
          <w:sz w:val="24"/>
        </w:rPr>
        <w:t xml:space="preserve">Gráfica </w:t>
      </w:r>
      <w:r w:rsidR="00076D58">
        <w:rPr>
          <w:i/>
          <w:sz w:val="24"/>
        </w:rPr>
        <w:t>2</w:t>
      </w:r>
      <w:r>
        <w:rPr>
          <w:i/>
          <w:sz w:val="24"/>
        </w:rPr>
        <w:t xml:space="preserve">. Distribución porcentual del personal en Agencias del Ministerio Público del Fuero Común, por cargo, </w:t>
      </w:r>
      <w:r w:rsidR="00495146">
        <w:rPr>
          <w:i/>
          <w:sz w:val="24"/>
        </w:rPr>
        <w:t>2018</w:t>
      </w:r>
    </w:p>
    <w:p w14:paraId="138475CF" w14:textId="77777777" w:rsidR="009266C7" w:rsidRPr="00DD2CD0" w:rsidRDefault="007F64D0" w:rsidP="00455DFB">
      <w:pPr>
        <w:pStyle w:val="Textoindependiente"/>
        <w:rPr>
          <w:iCs/>
          <w:sz w:val="16"/>
          <w:szCs w:val="22"/>
        </w:rPr>
      </w:pPr>
      <w:r>
        <w:rPr>
          <w:noProof/>
          <w:lang w:eastAsia="es-MX"/>
        </w:rPr>
        <w:drawing>
          <wp:inline distT="0" distB="0" distL="0" distR="0" wp14:anchorId="130771E1" wp14:editId="1FA88567">
            <wp:extent cx="5807710" cy="2372264"/>
            <wp:effectExtent l="0" t="0" r="254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D05A53-A572-48B1-9EF1-D9A339C5F7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265D25">
        <w:rPr>
          <w:i/>
          <w:sz w:val="20"/>
        </w:rPr>
        <w:br w:type="textWrapping" w:clear="all"/>
      </w:r>
    </w:p>
    <w:p w14:paraId="5BA83793" w14:textId="77777777" w:rsidR="0010753A" w:rsidRDefault="0010753A" w:rsidP="0010753A">
      <w:pPr>
        <w:pStyle w:val="Textoindependiente"/>
        <w:spacing w:before="5"/>
        <w:rPr>
          <w:sz w:val="23"/>
        </w:rPr>
      </w:pPr>
    </w:p>
    <w:p w14:paraId="5F68F724" w14:textId="77777777" w:rsidR="0010753A" w:rsidRDefault="0010753A" w:rsidP="00455DFB">
      <w:pPr>
        <w:pStyle w:val="Textoindependiente"/>
        <w:spacing w:before="93"/>
        <w:ind w:right="120"/>
        <w:jc w:val="both"/>
      </w:pPr>
      <w:r>
        <w:t xml:space="preserve">En la siguiente gráfica se muestra la </w:t>
      </w:r>
      <w:r w:rsidR="0003102D">
        <w:t>tasa de agentes y fiscales del Ministerio P</w:t>
      </w:r>
      <w:r>
        <w:t>úblico por cada</w:t>
      </w:r>
      <w:r>
        <w:rPr>
          <w:spacing w:val="-8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mil</w:t>
      </w:r>
      <w:r>
        <w:rPr>
          <w:spacing w:val="-8"/>
        </w:rPr>
        <w:t xml:space="preserve"> </w:t>
      </w:r>
      <w:r>
        <w:t>habitantes.</w:t>
      </w:r>
      <w:r>
        <w:rPr>
          <w:spacing w:val="-3"/>
        </w:rPr>
        <w:t xml:space="preserve"> </w:t>
      </w:r>
      <w:r>
        <w:t>Destaca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Chihuahua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2</w:t>
      </w:r>
      <w:r w:rsidR="00C046AB">
        <w:t>9</w:t>
      </w:r>
      <w:r w:rsidR="009B1765">
        <w:t>.4</w:t>
      </w:r>
      <w:r>
        <w:rPr>
          <w:spacing w:val="-6"/>
        </w:rPr>
        <w:t xml:space="preserve"> </w:t>
      </w:r>
      <w:r>
        <w:t>agentes</w:t>
      </w:r>
      <w:r w:rsidR="001D0D7A">
        <w:t xml:space="preserve"> por cada 1</w:t>
      </w:r>
      <w:r>
        <w:t>00</w:t>
      </w:r>
      <w:r>
        <w:rPr>
          <w:spacing w:val="-21"/>
        </w:rPr>
        <w:t xml:space="preserve"> </w:t>
      </w:r>
      <w:r>
        <w:t>mil.</w:t>
      </w:r>
    </w:p>
    <w:p w14:paraId="58DDF9C4" w14:textId="77777777" w:rsidR="0010753A" w:rsidRDefault="0010753A" w:rsidP="0010753A">
      <w:pPr>
        <w:pStyle w:val="Textoindependiente"/>
        <w:rPr>
          <w:sz w:val="26"/>
        </w:rPr>
      </w:pPr>
    </w:p>
    <w:p w14:paraId="56C3BE4D" w14:textId="77777777" w:rsidR="0010753A" w:rsidRDefault="0010753A" w:rsidP="0010753A">
      <w:pPr>
        <w:pStyle w:val="Textoindependiente"/>
        <w:spacing w:before="6"/>
        <w:rPr>
          <w:sz w:val="21"/>
        </w:rPr>
      </w:pPr>
    </w:p>
    <w:p w14:paraId="2E68719B" w14:textId="77777777" w:rsidR="0010753A" w:rsidRDefault="0010753A" w:rsidP="0010753A">
      <w:pPr>
        <w:ind w:left="3476" w:hanging="3191"/>
        <w:rPr>
          <w:i/>
          <w:sz w:val="24"/>
        </w:rPr>
      </w:pPr>
      <w:r>
        <w:rPr>
          <w:i/>
          <w:sz w:val="24"/>
        </w:rPr>
        <w:t xml:space="preserve">Gráfica </w:t>
      </w:r>
      <w:r w:rsidR="00A3349B">
        <w:rPr>
          <w:i/>
          <w:sz w:val="24"/>
        </w:rPr>
        <w:t>3</w:t>
      </w:r>
      <w:r>
        <w:rPr>
          <w:i/>
          <w:sz w:val="24"/>
        </w:rPr>
        <w:t xml:space="preserve">. Tasa de agentes y fiscales del Ministerio Público por cada 100 mil habitantes, por entidad federativa, </w:t>
      </w:r>
      <w:r w:rsidR="00495146">
        <w:rPr>
          <w:i/>
          <w:sz w:val="24"/>
        </w:rPr>
        <w:t>2018</w:t>
      </w:r>
    </w:p>
    <w:p w14:paraId="77DB14C8" w14:textId="77777777" w:rsidR="0010753A" w:rsidRDefault="003006A6" w:rsidP="00E92976">
      <w:pPr>
        <w:pStyle w:val="Textoindependiente"/>
        <w:jc w:val="center"/>
        <w:rPr>
          <w:i/>
          <w:sz w:val="26"/>
        </w:rPr>
      </w:pPr>
      <w:r>
        <w:rPr>
          <w:noProof/>
          <w:lang w:eastAsia="es-MX"/>
        </w:rPr>
        <w:drawing>
          <wp:inline distT="0" distB="0" distL="0" distR="0" wp14:anchorId="1F1290E5" wp14:editId="264D57D1">
            <wp:extent cx="6153151" cy="2443165"/>
            <wp:effectExtent l="0" t="0" r="0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EAE8AAB-7CCB-45EB-8A3A-5B5E453D8E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AB935D1" w14:textId="76BF72E9" w:rsidR="00E92976" w:rsidRPr="00AD16DA" w:rsidRDefault="0071282E" w:rsidP="004F5057">
      <w:pPr>
        <w:pStyle w:val="Textoindependiente"/>
        <w:spacing w:before="10"/>
        <w:jc w:val="both"/>
        <w:rPr>
          <w:iCs/>
          <w:sz w:val="16"/>
          <w:szCs w:val="16"/>
        </w:rPr>
      </w:pPr>
      <w:r w:rsidRPr="00AD16DA">
        <w:rPr>
          <w:iCs/>
          <w:sz w:val="16"/>
          <w:szCs w:val="16"/>
        </w:rPr>
        <w:t xml:space="preserve">Nota: </w:t>
      </w:r>
      <w:r w:rsidR="0017772D">
        <w:rPr>
          <w:iCs/>
          <w:sz w:val="16"/>
          <w:szCs w:val="16"/>
        </w:rPr>
        <w:t>l</w:t>
      </w:r>
      <w:r w:rsidRPr="00AD16DA">
        <w:rPr>
          <w:iCs/>
          <w:sz w:val="16"/>
          <w:szCs w:val="16"/>
        </w:rPr>
        <w:t xml:space="preserve">a </w:t>
      </w:r>
      <w:r w:rsidR="00E92976" w:rsidRPr="00AD16DA">
        <w:rPr>
          <w:iCs/>
          <w:sz w:val="16"/>
          <w:szCs w:val="16"/>
        </w:rPr>
        <w:t>infor</w:t>
      </w:r>
      <w:r w:rsidR="00E41BA2">
        <w:rPr>
          <w:iCs/>
          <w:sz w:val="16"/>
          <w:szCs w:val="16"/>
        </w:rPr>
        <w:t>mación poblacional se obtuvo del Consejo Nacional de Población (</w:t>
      </w:r>
      <w:r w:rsidR="00E92976" w:rsidRPr="00AD16DA">
        <w:rPr>
          <w:iCs/>
          <w:sz w:val="16"/>
          <w:szCs w:val="16"/>
        </w:rPr>
        <w:t>CONAPO</w:t>
      </w:r>
      <w:r w:rsidR="00E41BA2">
        <w:rPr>
          <w:iCs/>
          <w:sz w:val="16"/>
          <w:szCs w:val="16"/>
        </w:rPr>
        <w:t xml:space="preserve">) para mitad del año 2018. </w:t>
      </w:r>
      <w:r w:rsidR="00E41BA2" w:rsidRPr="00E41BA2">
        <w:rPr>
          <w:iCs/>
          <w:sz w:val="16"/>
          <w:szCs w:val="16"/>
        </w:rPr>
        <w:t>P</w:t>
      </w:r>
      <w:r w:rsidR="00E41BA2">
        <w:rPr>
          <w:iCs/>
          <w:sz w:val="16"/>
          <w:szCs w:val="16"/>
        </w:rPr>
        <w:t>royecciones de la p</w:t>
      </w:r>
      <w:r w:rsidR="00E41BA2" w:rsidRPr="00E41BA2">
        <w:rPr>
          <w:iCs/>
          <w:sz w:val="16"/>
          <w:szCs w:val="16"/>
        </w:rPr>
        <w:t>oblación a mitad de año1950-</w:t>
      </w:r>
      <w:r w:rsidR="00E41BA2">
        <w:rPr>
          <w:iCs/>
          <w:sz w:val="16"/>
          <w:szCs w:val="16"/>
        </w:rPr>
        <w:t xml:space="preserve">2050. </w:t>
      </w:r>
      <w:r w:rsidR="00E41BA2" w:rsidRPr="00E41BA2">
        <w:rPr>
          <w:iCs/>
          <w:sz w:val="16"/>
          <w:szCs w:val="16"/>
        </w:rPr>
        <w:t>https://datos.gob.mx/busca/dataset/proyecciones-de-la-poblacion-de-mexico-y-de-las-entidades-federativas-2016-2050/resource/c77d8182-27d4-42e7-a191-ecad1268f64d</w:t>
      </w:r>
      <w:r w:rsidR="00E41BA2">
        <w:rPr>
          <w:iCs/>
          <w:sz w:val="16"/>
          <w:szCs w:val="16"/>
        </w:rPr>
        <w:t>.</w:t>
      </w:r>
    </w:p>
    <w:p w14:paraId="1E5261D4" w14:textId="77777777" w:rsidR="0010753A" w:rsidRDefault="0010753A" w:rsidP="0010753A">
      <w:pPr>
        <w:pStyle w:val="Textoindependiente"/>
        <w:rPr>
          <w:i/>
          <w:sz w:val="26"/>
        </w:rPr>
      </w:pPr>
    </w:p>
    <w:p w14:paraId="597FBFC1" w14:textId="77777777" w:rsidR="0017772D" w:rsidRDefault="0017772D" w:rsidP="00B534C0">
      <w:pPr>
        <w:ind w:left="3476" w:hanging="3191"/>
        <w:rPr>
          <w:i/>
          <w:sz w:val="24"/>
        </w:rPr>
      </w:pPr>
    </w:p>
    <w:p w14:paraId="1E2722D8" w14:textId="77777777" w:rsidR="0071282E" w:rsidRPr="00D04BA4" w:rsidRDefault="0071282E" w:rsidP="0010753A">
      <w:pPr>
        <w:pStyle w:val="Textoindependiente"/>
        <w:rPr>
          <w:b/>
          <w:bCs/>
          <w:szCs w:val="32"/>
        </w:rPr>
      </w:pPr>
      <w:r w:rsidRPr="00D04BA4">
        <w:rPr>
          <w:b/>
          <w:bCs/>
          <w:szCs w:val="32"/>
        </w:rPr>
        <w:lastRenderedPageBreak/>
        <w:t>Ejercicio de la función de procuración de justicia</w:t>
      </w:r>
      <w:r w:rsidR="00731561">
        <w:rPr>
          <w:rStyle w:val="Refdenotaalpie"/>
          <w:b/>
          <w:bCs/>
          <w:szCs w:val="32"/>
        </w:rPr>
        <w:footnoteReference w:id="7"/>
      </w:r>
      <w:r w:rsidR="00F34062">
        <w:rPr>
          <w:b/>
          <w:bCs/>
          <w:szCs w:val="32"/>
        </w:rPr>
        <w:t xml:space="preserve"> </w:t>
      </w:r>
    </w:p>
    <w:p w14:paraId="5E706E1E" w14:textId="77777777" w:rsidR="0071282E" w:rsidRDefault="0071282E" w:rsidP="0010753A">
      <w:pPr>
        <w:pStyle w:val="Textoindependiente"/>
        <w:rPr>
          <w:sz w:val="20"/>
        </w:rPr>
      </w:pPr>
    </w:p>
    <w:p w14:paraId="1A3D50D7" w14:textId="73274E49" w:rsidR="00F10175" w:rsidRDefault="0010753A" w:rsidP="00F10175">
      <w:pPr>
        <w:pStyle w:val="Textoindependiente"/>
        <w:spacing w:before="181" w:line="237" w:lineRule="auto"/>
        <w:ind w:right="188"/>
        <w:jc w:val="both"/>
      </w:pPr>
      <w:r>
        <w:t>En</w:t>
      </w:r>
      <w:r>
        <w:rPr>
          <w:spacing w:val="-15"/>
        </w:rPr>
        <w:t xml:space="preserve"> </w:t>
      </w:r>
      <w:r>
        <w:t>cuanto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ejercicio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 w:rsidR="00192D64">
        <w:t>procura</w:t>
      </w:r>
      <w:r w:rsidR="00832C78">
        <w:t>ción de</w:t>
      </w:r>
      <w:r w:rsidR="00192D64">
        <w:t xml:space="preserve"> justicia</w:t>
      </w:r>
      <w:r>
        <w:t>,</w:t>
      </w:r>
      <w:r>
        <w:rPr>
          <w:spacing w:val="-15"/>
        </w:rPr>
        <w:t xml:space="preserve"> </w:t>
      </w:r>
      <w:r>
        <w:t>durante</w:t>
      </w:r>
      <w:r>
        <w:rPr>
          <w:spacing w:val="-15"/>
        </w:rPr>
        <w:t xml:space="preserve"> </w:t>
      </w:r>
      <w:r w:rsidR="00495146">
        <w:t>2018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iniciaron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 xml:space="preserve">abrieron </w:t>
      </w:r>
      <w:r w:rsidR="00F247DC" w:rsidRPr="00F247DC">
        <w:t>1</w:t>
      </w:r>
      <w:r w:rsidR="00F247DC">
        <w:t xml:space="preserve"> millón</w:t>
      </w:r>
      <w:r w:rsidR="00F247DC" w:rsidRPr="00F247DC">
        <w:t xml:space="preserve"> 880 </w:t>
      </w:r>
      <w:r w:rsidR="00F247DC">
        <w:t xml:space="preserve">mil </w:t>
      </w:r>
      <w:r w:rsidR="00F247DC" w:rsidRPr="00F247DC">
        <w:t>460</w:t>
      </w:r>
      <w:r w:rsidR="00F247DC">
        <w:t xml:space="preserve"> </w:t>
      </w:r>
      <w:r w:rsidRPr="00F247DC">
        <w:t>averiguaciones previas</w:t>
      </w:r>
      <w:r w:rsidR="000744B0">
        <w:t xml:space="preserve"> e investigaciones</w:t>
      </w:r>
      <w:r w:rsidR="00075B1B">
        <w:t xml:space="preserve"> </w:t>
      </w:r>
      <w:r w:rsidRPr="00F247DC">
        <w:t>y carpetas de investigación</w:t>
      </w:r>
      <w:r w:rsidR="00150436">
        <w:t xml:space="preserve"> (</w:t>
      </w:r>
      <w:r w:rsidR="00DD2CD0">
        <w:t xml:space="preserve">98.6% </w:t>
      </w:r>
      <w:r w:rsidR="00F247DC">
        <w:t>para adultos y</w:t>
      </w:r>
      <w:r w:rsidR="00DD2CD0">
        <w:t xml:space="preserve"> 1.4% para</w:t>
      </w:r>
      <w:r w:rsidR="00F247DC">
        <w:t xml:space="preserve"> adolescentes</w:t>
      </w:r>
      <w:r w:rsidR="00150436">
        <w:t>)</w:t>
      </w:r>
      <w:r w:rsidR="00F10175">
        <w:t>.</w:t>
      </w:r>
    </w:p>
    <w:p w14:paraId="3D52F6B6" w14:textId="61D611B0" w:rsidR="00F10175" w:rsidRDefault="00F10175" w:rsidP="00F10175">
      <w:pPr>
        <w:pStyle w:val="Textoindependiente"/>
        <w:spacing w:before="181" w:line="237" w:lineRule="auto"/>
        <w:ind w:right="188"/>
        <w:jc w:val="both"/>
        <w:rPr>
          <w:highlight w:val="yellow"/>
        </w:rPr>
      </w:pPr>
      <w:r>
        <w:t>También se registraron 233 mil 355 conclusiones y/o determinaciones en las averiguaciones previas e investigaciones</w:t>
      </w:r>
      <w:r w:rsidR="00CC42B7">
        <w:t>;</w:t>
      </w:r>
      <w:r>
        <w:t xml:space="preserve"> 1 millón 90 mil 918 conclusiones y/o determinaciones en carpetas de investigación en la etapa de investigación inicial</w:t>
      </w:r>
      <w:r w:rsidR="00CC42B7">
        <w:t>,</w:t>
      </w:r>
      <w:r>
        <w:t xml:space="preserve"> y 78 mil 244 en carpetas de investigación en la etapa de investigación complementaria. Finalmente, al cierre de 2018, quedaron </w:t>
      </w:r>
      <w:r w:rsidRPr="00481ADF">
        <w:t xml:space="preserve">1 </w:t>
      </w:r>
      <w:r>
        <w:t xml:space="preserve">millón </w:t>
      </w:r>
      <w:r w:rsidRPr="00481ADF">
        <w:t xml:space="preserve">555 </w:t>
      </w:r>
      <w:r>
        <w:t xml:space="preserve">mil </w:t>
      </w:r>
      <w:r w:rsidRPr="00481ADF">
        <w:t>953</w:t>
      </w:r>
      <w:r>
        <w:t xml:space="preserve"> averiguaciones previas e investigaciones y carpetas de investigación pendientes de concluir</w:t>
      </w:r>
      <w:r>
        <w:rPr>
          <w:rStyle w:val="Refdenotaalpie"/>
        </w:rPr>
        <w:footnoteReference w:id="8"/>
      </w:r>
      <w:r>
        <w:t>.</w:t>
      </w:r>
    </w:p>
    <w:p w14:paraId="32CF7D35" w14:textId="77777777" w:rsidR="004F5057" w:rsidRDefault="004F5057" w:rsidP="00F10175">
      <w:pPr>
        <w:pStyle w:val="Textoindependiente"/>
        <w:spacing w:before="92"/>
        <w:ind w:left="101" w:right="114"/>
        <w:jc w:val="both"/>
        <w:rPr>
          <w:i/>
        </w:rPr>
      </w:pPr>
    </w:p>
    <w:p w14:paraId="5D0332F8" w14:textId="77777777" w:rsidR="00E00497" w:rsidRDefault="00E00497" w:rsidP="00515E5B">
      <w:pPr>
        <w:spacing w:before="1"/>
        <w:jc w:val="center"/>
        <w:rPr>
          <w:i/>
          <w:sz w:val="24"/>
        </w:rPr>
      </w:pPr>
    </w:p>
    <w:p w14:paraId="5EC73054" w14:textId="77777777" w:rsidR="0035205C" w:rsidRDefault="0035205C" w:rsidP="00515E5B">
      <w:pPr>
        <w:spacing w:before="1"/>
        <w:jc w:val="center"/>
        <w:rPr>
          <w:i/>
          <w:sz w:val="24"/>
        </w:rPr>
      </w:pPr>
      <w:r>
        <w:rPr>
          <w:i/>
          <w:sz w:val="24"/>
        </w:rPr>
        <w:t xml:space="preserve">Gráfica </w:t>
      </w:r>
      <w:r w:rsidR="00A3349B">
        <w:rPr>
          <w:i/>
          <w:sz w:val="24"/>
        </w:rPr>
        <w:t>4</w:t>
      </w:r>
      <w:r>
        <w:rPr>
          <w:i/>
          <w:sz w:val="24"/>
        </w:rPr>
        <w:t xml:space="preserve">. Flujo de </w:t>
      </w:r>
      <w:r w:rsidR="00B80B62" w:rsidRPr="00B80B62">
        <w:rPr>
          <w:i/>
          <w:sz w:val="24"/>
        </w:rPr>
        <w:t xml:space="preserve">averiguaciones previas e investigaciones y carpetas de investigación </w:t>
      </w:r>
      <w:r>
        <w:rPr>
          <w:i/>
          <w:sz w:val="24"/>
        </w:rPr>
        <w:t xml:space="preserve">en materia penal para adultos y </w:t>
      </w:r>
      <w:r w:rsidR="00F755A7">
        <w:rPr>
          <w:i/>
          <w:sz w:val="24"/>
        </w:rPr>
        <w:t xml:space="preserve">justicia </w:t>
      </w:r>
      <w:r>
        <w:rPr>
          <w:i/>
          <w:sz w:val="24"/>
        </w:rPr>
        <w:t xml:space="preserve">para adolescentes </w:t>
      </w:r>
      <w:r w:rsidR="00515E5B">
        <w:rPr>
          <w:i/>
          <w:sz w:val="24"/>
        </w:rPr>
        <w:t>conocidas por</w:t>
      </w:r>
      <w:r>
        <w:rPr>
          <w:i/>
          <w:sz w:val="24"/>
        </w:rPr>
        <w:t xml:space="preserve"> las </w:t>
      </w:r>
      <w:r w:rsidR="002A6B4E" w:rsidRPr="002A6B4E">
        <w:rPr>
          <w:i/>
          <w:sz w:val="24"/>
        </w:rPr>
        <w:t>Procuradurías Generales de Justicia y/o Fiscalías Generales, 2018</w:t>
      </w:r>
    </w:p>
    <w:p w14:paraId="1A95F75C" w14:textId="77777777" w:rsidR="002A6B4E" w:rsidRDefault="002A6B4E" w:rsidP="002A6B4E">
      <w:pPr>
        <w:spacing w:before="1"/>
        <w:jc w:val="center"/>
        <w:rPr>
          <w:i/>
          <w:sz w:val="24"/>
        </w:rPr>
      </w:pPr>
    </w:p>
    <w:p w14:paraId="063F4D08" w14:textId="77777777" w:rsidR="002A6B4E" w:rsidRDefault="002A6B4E" w:rsidP="002A6B4E">
      <w:pPr>
        <w:spacing w:before="1"/>
        <w:jc w:val="center"/>
        <w:rPr>
          <w:i/>
          <w:sz w:val="24"/>
        </w:rPr>
      </w:pPr>
    </w:p>
    <w:p w14:paraId="457ADFC2" w14:textId="77777777" w:rsidR="002A6B4E" w:rsidRDefault="00BA25D9" w:rsidP="002A6B4E">
      <w:pPr>
        <w:spacing w:before="1"/>
        <w:jc w:val="center"/>
        <w:rPr>
          <w:i/>
          <w:sz w:val="24"/>
        </w:rPr>
      </w:pPr>
      <w:r>
        <w:rPr>
          <w:noProof/>
          <w:lang w:eastAsia="es-MX"/>
        </w:rPr>
        <w:drawing>
          <wp:inline distT="0" distB="0" distL="0" distR="0" wp14:anchorId="002EB05E" wp14:editId="1A30A58C">
            <wp:extent cx="4572000" cy="2294626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6927F4D-340C-457F-82B8-FB1A877124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5E6E3A1" w14:textId="77777777" w:rsidR="002A6B4E" w:rsidRDefault="002A6B4E" w:rsidP="002A6B4E">
      <w:pPr>
        <w:spacing w:before="1"/>
        <w:jc w:val="center"/>
        <w:rPr>
          <w:i/>
          <w:sz w:val="24"/>
        </w:rPr>
      </w:pPr>
    </w:p>
    <w:p w14:paraId="55B75C45" w14:textId="77777777" w:rsidR="00BE1BA5" w:rsidRDefault="00F10175" w:rsidP="0010753A">
      <w:pPr>
        <w:pStyle w:val="Textoindependiente"/>
        <w:ind w:left="101" w:right="119"/>
        <w:jc w:val="both"/>
      </w:pPr>
      <w:r w:rsidRPr="00EB01ED">
        <w:rPr>
          <w:sz w:val="16"/>
          <w:szCs w:val="16"/>
        </w:rPr>
        <w:t xml:space="preserve">Nota: </w:t>
      </w:r>
      <w:r w:rsidR="00EB01ED" w:rsidRPr="00EB01ED">
        <w:rPr>
          <w:sz w:val="16"/>
          <w:szCs w:val="16"/>
        </w:rPr>
        <w:t xml:space="preserve">la categoría </w:t>
      </w:r>
      <w:r w:rsidR="00EB01ED" w:rsidRPr="0013634D">
        <w:rPr>
          <w:i/>
          <w:sz w:val="16"/>
          <w:szCs w:val="16"/>
        </w:rPr>
        <w:t>Determinadas</w:t>
      </w:r>
      <w:r w:rsidR="00EB01ED" w:rsidRPr="00EB01ED">
        <w:rPr>
          <w:sz w:val="16"/>
          <w:szCs w:val="16"/>
        </w:rPr>
        <w:t xml:space="preserve"> </w:t>
      </w:r>
      <w:r w:rsidR="00CE2984">
        <w:rPr>
          <w:sz w:val="16"/>
          <w:szCs w:val="16"/>
        </w:rPr>
        <w:t>incluye</w:t>
      </w:r>
      <w:r w:rsidR="00EB01ED" w:rsidRPr="00EB01ED">
        <w:rPr>
          <w:sz w:val="16"/>
          <w:szCs w:val="16"/>
        </w:rPr>
        <w:t xml:space="preserve"> las conclusiones y/o determinaciones registradas en averiguaciones previas e investigaciones y en </w:t>
      </w:r>
      <w:r w:rsidR="00EB01ED">
        <w:rPr>
          <w:sz w:val="16"/>
          <w:szCs w:val="16"/>
        </w:rPr>
        <w:t xml:space="preserve">carpetas de investigación en </w:t>
      </w:r>
      <w:r w:rsidR="00EB01ED" w:rsidRPr="00EB01ED">
        <w:rPr>
          <w:sz w:val="16"/>
          <w:szCs w:val="16"/>
        </w:rPr>
        <w:t xml:space="preserve">etapa de investigación inicial. La categoría </w:t>
      </w:r>
      <w:r w:rsidR="00EB01ED" w:rsidRPr="0013634D">
        <w:rPr>
          <w:i/>
          <w:sz w:val="16"/>
          <w:szCs w:val="16"/>
        </w:rPr>
        <w:t>Cerradas</w:t>
      </w:r>
      <w:r w:rsidR="00EB01ED" w:rsidRPr="00EB01ED">
        <w:rPr>
          <w:sz w:val="16"/>
          <w:szCs w:val="16"/>
        </w:rPr>
        <w:t xml:space="preserve"> se refiere a las conclusiones y/o determinaciones registradas en </w:t>
      </w:r>
      <w:r w:rsidR="00EB01ED">
        <w:rPr>
          <w:sz w:val="16"/>
          <w:szCs w:val="16"/>
        </w:rPr>
        <w:t xml:space="preserve">carpetas de investigación en </w:t>
      </w:r>
      <w:r w:rsidR="00EB01ED" w:rsidRPr="00EB01ED">
        <w:rPr>
          <w:sz w:val="16"/>
          <w:szCs w:val="16"/>
        </w:rPr>
        <w:t xml:space="preserve">etapa de investigación complementaria. En estos casos, así como en la categoría de </w:t>
      </w:r>
      <w:r w:rsidR="00EB01ED" w:rsidRPr="0013634D">
        <w:rPr>
          <w:i/>
          <w:sz w:val="16"/>
          <w:szCs w:val="16"/>
        </w:rPr>
        <w:t>Pendientes</w:t>
      </w:r>
      <w:r w:rsidR="00EB01ED" w:rsidRPr="00EB01ED">
        <w:rPr>
          <w:sz w:val="16"/>
          <w:szCs w:val="16"/>
        </w:rPr>
        <w:t>, la unidad de referencia son los procedimientos realizados en las averiguaciones previas e</w:t>
      </w:r>
      <w:r w:rsidR="00EB01ED" w:rsidRPr="00EB01ED">
        <w:t xml:space="preserve"> </w:t>
      </w:r>
      <w:r w:rsidR="00EB01ED" w:rsidRPr="00EB01ED">
        <w:rPr>
          <w:sz w:val="16"/>
          <w:szCs w:val="16"/>
        </w:rPr>
        <w:t>investigaciones y carpetas de investigación.</w:t>
      </w:r>
    </w:p>
    <w:p w14:paraId="765BB986" w14:textId="77777777" w:rsidR="00F10175" w:rsidRDefault="00F10175" w:rsidP="0010753A">
      <w:pPr>
        <w:pStyle w:val="Textoindependiente"/>
        <w:ind w:left="101" w:right="119"/>
        <w:jc w:val="both"/>
      </w:pPr>
    </w:p>
    <w:p w14:paraId="37E9508D" w14:textId="77777777" w:rsidR="00F10175" w:rsidRDefault="00F10175" w:rsidP="0010753A">
      <w:pPr>
        <w:pStyle w:val="Textoindependiente"/>
        <w:ind w:left="101" w:right="119"/>
        <w:jc w:val="both"/>
      </w:pPr>
    </w:p>
    <w:p w14:paraId="0CC40944" w14:textId="60E75BCE" w:rsidR="00F10175" w:rsidRDefault="00F10175" w:rsidP="0010753A">
      <w:pPr>
        <w:pStyle w:val="Textoindependiente"/>
        <w:ind w:left="101" w:right="119"/>
        <w:jc w:val="both"/>
      </w:pPr>
    </w:p>
    <w:p w14:paraId="26B9C607" w14:textId="77777777" w:rsidR="00B66EAA" w:rsidRDefault="00B66EAA" w:rsidP="0010753A">
      <w:pPr>
        <w:pStyle w:val="Textoindependiente"/>
        <w:ind w:left="101" w:right="119"/>
        <w:jc w:val="both"/>
      </w:pPr>
    </w:p>
    <w:p w14:paraId="57A43996" w14:textId="2708C627" w:rsidR="0010753A" w:rsidRDefault="0010753A" w:rsidP="00176F54">
      <w:pPr>
        <w:pStyle w:val="Textoindependiente"/>
        <w:ind w:right="119"/>
        <w:jc w:val="both"/>
        <w:rPr>
          <w:sz w:val="23"/>
        </w:rPr>
      </w:pPr>
      <w:r>
        <w:lastRenderedPageBreak/>
        <w:t>A continuación</w:t>
      </w:r>
      <w:r w:rsidR="00071A0F">
        <w:t>,</w:t>
      </w:r>
      <w:r>
        <w:t xml:space="preserve"> se presenta la carga de trabajo por agente y/o fiscal del Ministerio Público </w:t>
      </w:r>
      <w:r w:rsidR="00F755A7">
        <w:t xml:space="preserve">para adultos y adolescentes </w:t>
      </w:r>
      <w:r>
        <w:t xml:space="preserve">durante </w:t>
      </w:r>
      <w:r w:rsidR="00495146">
        <w:t>2018</w:t>
      </w:r>
      <w:r w:rsidR="00192D64">
        <w:t xml:space="preserve">. </w:t>
      </w:r>
      <w:r w:rsidR="00176F54">
        <w:t xml:space="preserve">Resalta Nuevo León con una carga de trabajo de </w:t>
      </w:r>
      <w:r w:rsidR="00832C78">
        <w:t>36</w:t>
      </w:r>
      <w:r w:rsidR="00176F54">
        <w:t>4.6.</w:t>
      </w:r>
    </w:p>
    <w:p w14:paraId="52421F0F" w14:textId="77777777" w:rsidR="00BE1BA5" w:rsidRDefault="00BE1BA5" w:rsidP="0010753A">
      <w:pPr>
        <w:spacing w:before="1"/>
        <w:ind w:left="1315" w:hanging="1143"/>
        <w:rPr>
          <w:i/>
          <w:sz w:val="24"/>
        </w:rPr>
      </w:pPr>
    </w:p>
    <w:p w14:paraId="4DAE6E0C" w14:textId="77777777" w:rsidR="0010753A" w:rsidRDefault="0010753A" w:rsidP="00EB01ED">
      <w:pPr>
        <w:jc w:val="center"/>
        <w:rPr>
          <w:i/>
          <w:sz w:val="24"/>
        </w:rPr>
      </w:pPr>
      <w:r>
        <w:rPr>
          <w:i/>
          <w:sz w:val="24"/>
        </w:rPr>
        <w:t xml:space="preserve">Gráfica </w:t>
      </w:r>
      <w:r w:rsidR="00A3349B">
        <w:rPr>
          <w:i/>
          <w:sz w:val="24"/>
        </w:rPr>
        <w:t>5</w:t>
      </w:r>
      <w:r>
        <w:rPr>
          <w:i/>
          <w:sz w:val="24"/>
        </w:rPr>
        <w:t xml:space="preserve">. </w:t>
      </w:r>
      <w:r w:rsidR="00B80B62">
        <w:rPr>
          <w:i/>
          <w:sz w:val="24"/>
        </w:rPr>
        <w:t>A</w:t>
      </w:r>
      <w:r w:rsidR="00B80B62" w:rsidRPr="00B80B62">
        <w:rPr>
          <w:i/>
          <w:sz w:val="24"/>
        </w:rPr>
        <w:t>veriguaciones previas e investigaciones</w:t>
      </w:r>
      <w:r w:rsidR="00EB01ED">
        <w:rPr>
          <w:i/>
          <w:sz w:val="24"/>
        </w:rPr>
        <w:t xml:space="preserve"> iniciadas</w:t>
      </w:r>
      <w:r w:rsidR="00B80B62" w:rsidRPr="00B80B62">
        <w:rPr>
          <w:i/>
          <w:sz w:val="24"/>
        </w:rPr>
        <w:t xml:space="preserve"> y carpetas de investigación</w:t>
      </w:r>
      <w:r w:rsidR="00EB01ED">
        <w:rPr>
          <w:i/>
          <w:sz w:val="24"/>
        </w:rPr>
        <w:t xml:space="preserve"> </w:t>
      </w:r>
      <w:r>
        <w:rPr>
          <w:i/>
          <w:sz w:val="24"/>
        </w:rPr>
        <w:t xml:space="preserve">abiertas por cada agente y/o fiscal del Ministerio Público, por entidad federativa, </w:t>
      </w:r>
      <w:r w:rsidR="00495146">
        <w:rPr>
          <w:i/>
          <w:sz w:val="24"/>
        </w:rPr>
        <w:t>2018</w:t>
      </w:r>
    </w:p>
    <w:p w14:paraId="37C095E8" w14:textId="77777777" w:rsidR="0010753A" w:rsidRDefault="0010753A" w:rsidP="0010753A">
      <w:pPr>
        <w:pStyle w:val="Textoindependiente"/>
        <w:spacing w:before="9"/>
        <w:rPr>
          <w:i/>
          <w:sz w:val="19"/>
        </w:rPr>
      </w:pPr>
    </w:p>
    <w:p w14:paraId="7243AD0F" w14:textId="77777777" w:rsidR="0010753A" w:rsidRDefault="00CD2D74" w:rsidP="00CD2D74">
      <w:pPr>
        <w:pStyle w:val="Textoindependiente"/>
        <w:jc w:val="center"/>
        <w:rPr>
          <w:sz w:val="20"/>
        </w:rPr>
      </w:pPr>
      <w:r>
        <w:rPr>
          <w:noProof/>
          <w:lang w:eastAsia="es-MX"/>
        </w:rPr>
        <w:drawing>
          <wp:inline distT="0" distB="0" distL="0" distR="0" wp14:anchorId="574BA375" wp14:editId="0BCA9F2C">
            <wp:extent cx="4572000" cy="6197444"/>
            <wp:effectExtent l="0" t="0" r="0" b="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0B236F-91E3-465F-A4C7-22918422AB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953191A" w14:textId="3FEECC5D" w:rsidR="00B80B62" w:rsidRDefault="00B80B62" w:rsidP="00B80B62">
      <w:pPr>
        <w:spacing w:before="69"/>
        <w:ind w:right="113"/>
        <w:jc w:val="both"/>
      </w:pPr>
    </w:p>
    <w:p w14:paraId="4722F31C" w14:textId="22D56585" w:rsidR="00B66EAA" w:rsidRDefault="00B66EAA" w:rsidP="00B80B62">
      <w:pPr>
        <w:spacing w:before="69"/>
        <w:ind w:right="113"/>
        <w:jc w:val="both"/>
      </w:pPr>
    </w:p>
    <w:p w14:paraId="6FA46BD1" w14:textId="77777777" w:rsidR="00B66EAA" w:rsidRDefault="00B66EAA" w:rsidP="00B80B62">
      <w:pPr>
        <w:spacing w:before="69"/>
        <w:ind w:right="113"/>
        <w:jc w:val="both"/>
      </w:pPr>
    </w:p>
    <w:p w14:paraId="73F6CFA3" w14:textId="7D735AFA" w:rsidR="00515E5B" w:rsidRDefault="00556006" w:rsidP="00EB01ED">
      <w:pPr>
        <w:pStyle w:val="Textoindependiente"/>
        <w:spacing w:before="92"/>
        <w:jc w:val="both"/>
      </w:pPr>
      <w:r>
        <w:lastRenderedPageBreak/>
        <w:t xml:space="preserve">Durante 2018 se registraron </w:t>
      </w:r>
      <w:r w:rsidR="00401F54" w:rsidRPr="00401F54">
        <w:t>1</w:t>
      </w:r>
      <w:r w:rsidR="00401F54">
        <w:t xml:space="preserve"> millón </w:t>
      </w:r>
      <w:r w:rsidR="00CE2984">
        <w:t>913</w:t>
      </w:r>
      <w:r w:rsidR="00401F54">
        <w:t xml:space="preserve"> mil </w:t>
      </w:r>
      <w:r w:rsidR="00CE2984">
        <w:t>113</w:t>
      </w:r>
      <w:r>
        <w:t xml:space="preserve"> delitos en las </w:t>
      </w:r>
      <w:r w:rsidR="00B80B62" w:rsidRPr="00B80B62">
        <w:t xml:space="preserve">averiguaciones previas e investigaciones </w:t>
      </w:r>
      <w:r w:rsidR="00CE2984">
        <w:t xml:space="preserve">iniciadas </w:t>
      </w:r>
      <w:r w:rsidR="00B80B62" w:rsidRPr="00B80B62">
        <w:t xml:space="preserve">y carpetas de investigación </w:t>
      </w:r>
      <w:r w:rsidR="00515E5B">
        <w:t>abiertas</w:t>
      </w:r>
      <w:r w:rsidR="00832C78">
        <w:t>;</w:t>
      </w:r>
      <w:r w:rsidR="00515E5B">
        <w:t xml:space="preserve"> de ellos</w:t>
      </w:r>
      <w:r w:rsidR="00832C78">
        <w:t>,</w:t>
      </w:r>
      <w:r w:rsidR="00515E5B">
        <w:t xml:space="preserve"> </w:t>
      </w:r>
      <w:r w:rsidR="002017CC" w:rsidRPr="002017CC">
        <w:t>1</w:t>
      </w:r>
      <w:r w:rsidR="002017CC">
        <w:t xml:space="preserve"> millón </w:t>
      </w:r>
      <w:r w:rsidR="002017CC" w:rsidRPr="002017CC">
        <w:t>885</w:t>
      </w:r>
      <w:r w:rsidR="002017CC">
        <w:t xml:space="preserve"> mil </w:t>
      </w:r>
      <w:r w:rsidR="002017CC" w:rsidRPr="002017CC">
        <w:t>685</w:t>
      </w:r>
      <w:r w:rsidR="002017CC">
        <w:t xml:space="preserve"> </w:t>
      </w:r>
      <w:r w:rsidR="00F755A7">
        <w:t>correspondieron a justicia penal para</w:t>
      </w:r>
      <w:r w:rsidR="00515E5B">
        <w:t xml:space="preserve"> adultos</w:t>
      </w:r>
      <w:r w:rsidR="00CE2984">
        <w:t xml:space="preserve"> (98.6%</w:t>
      </w:r>
      <w:r w:rsidR="002017CC">
        <w:t>)</w:t>
      </w:r>
      <w:r w:rsidR="00515E5B">
        <w:t xml:space="preserve"> y </w:t>
      </w:r>
      <w:r w:rsidR="002017CC" w:rsidRPr="002017CC">
        <w:t>27</w:t>
      </w:r>
      <w:r w:rsidR="002017CC">
        <w:t xml:space="preserve"> mil </w:t>
      </w:r>
      <w:r w:rsidR="00CE2984">
        <w:t>428</w:t>
      </w:r>
      <w:r w:rsidR="00515E5B">
        <w:t xml:space="preserve"> p</w:t>
      </w:r>
      <w:r w:rsidR="00F755A7">
        <w:t>ara</w:t>
      </w:r>
      <w:r w:rsidR="00515E5B">
        <w:t xml:space="preserve"> adolescentes</w:t>
      </w:r>
      <w:r w:rsidR="00CE2984">
        <w:t xml:space="preserve"> (</w:t>
      </w:r>
      <w:r w:rsidR="002017CC">
        <w:t>1.4%</w:t>
      </w:r>
      <w:r w:rsidR="00CE2984">
        <w:t xml:space="preserve"> incluyendo delitos del Fuero Común y Federal</w:t>
      </w:r>
      <w:r w:rsidR="002017CC">
        <w:t>)</w:t>
      </w:r>
      <w:r w:rsidR="00515E5B">
        <w:t xml:space="preserve">. </w:t>
      </w:r>
      <w:r w:rsidR="002017CC">
        <w:t xml:space="preserve">El delito registrado con mayor frecuencia fue </w:t>
      </w:r>
      <w:r w:rsidR="006D31FA">
        <w:t>r</w:t>
      </w:r>
      <w:r w:rsidR="002017CC">
        <w:t>obo, que alcanzó 40.2% con respecto al total de los delitos.</w:t>
      </w:r>
      <w:r w:rsidR="00A24710">
        <w:t xml:space="preserve"> Además, se reportaron 44 mil 579 homicidios y 913 feminicidios, mismos que representaron 2.3% y 0.05% del total, respectivamente. </w:t>
      </w:r>
      <w:r w:rsidR="00515E5B">
        <w:t>La distribución porcentual</w:t>
      </w:r>
      <w:r w:rsidR="002017CC">
        <w:t xml:space="preserve"> por entidad federativa</w:t>
      </w:r>
      <w:r w:rsidR="00515E5B">
        <w:t xml:space="preserve"> se presenta en la siguiente gráfica</w:t>
      </w:r>
      <w:r w:rsidR="00CD2D74">
        <w:rPr>
          <w:rStyle w:val="Refdenotaalpie"/>
        </w:rPr>
        <w:footnoteReference w:id="9"/>
      </w:r>
      <w:r w:rsidR="00515E5B">
        <w:t xml:space="preserve">: </w:t>
      </w:r>
    </w:p>
    <w:p w14:paraId="37C479F8" w14:textId="77777777" w:rsidR="00CD2D74" w:rsidRDefault="00CD2D74" w:rsidP="00A24710">
      <w:pPr>
        <w:spacing w:before="1"/>
        <w:rPr>
          <w:i/>
          <w:sz w:val="24"/>
        </w:rPr>
      </w:pPr>
    </w:p>
    <w:p w14:paraId="0787FC75" w14:textId="77777777" w:rsidR="00515E5B" w:rsidRDefault="00515E5B" w:rsidP="00515E5B">
      <w:pPr>
        <w:spacing w:before="1"/>
        <w:jc w:val="center"/>
        <w:rPr>
          <w:i/>
          <w:sz w:val="24"/>
        </w:rPr>
      </w:pPr>
      <w:r>
        <w:rPr>
          <w:i/>
          <w:sz w:val="24"/>
        </w:rPr>
        <w:t xml:space="preserve">Gráfica </w:t>
      </w:r>
      <w:r w:rsidR="00A3349B">
        <w:rPr>
          <w:i/>
          <w:sz w:val="24"/>
        </w:rPr>
        <w:t>6</w:t>
      </w:r>
      <w:r>
        <w:rPr>
          <w:i/>
          <w:sz w:val="24"/>
        </w:rPr>
        <w:t xml:space="preserve">. Delitos del Fuero Común registrados en </w:t>
      </w:r>
      <w:r w:rsidR="00B80B62" w:rsidRPr="00B80B62">
        <w:rPr>
          <w:i/>
          <w:sz w:val="24"/>
        </w:rPr>
        <w:t>averiguaciones previas e investigaciones y carpetas de investigación</w:t>
      </w:r>
      <w:r w:rsidR="006D31FA">
        <w:rPr>
          <w:i/>
          <w:sz w:val="24"/>
        </w:rPr>
        <w:t xml:space="preserve"> iniciadas y/o</w:t>
      </w:r>
      <w:r>
        <w:rPr>
          <w:i/>
          <w:sz w:val="24"/>
        </w:rPr>
        <w:t xml:space="preserve"> abiertas en las </w:t>
      </w:r>
      <w:r w:rsidRPr="002A6B4E">
        <w:rPr>
          <w:i/>
          <w:sz w:val="24"/>
        </w:rPr>
        <w:t>Procuradurías Generales de Justicia y/o Fiscalías Generales</w:t>
      </w:r>
      <w:r w:rsidR="00401F54">
        <w:rPr>
          <w:i/>
          <w:sz w:val="24"/>
        </w:rPr>
        <w:t xml:space="preserve"> por tipo, por entidad federativa</w:t>
      </w:r>
      <w:r w:rsidRPr="002A6B4E">
        <w:rPr>
          <w:i/>
          <w:sz w:val="24"/>
        </w:rPr>
        <w:t xml:space="preserve"> 2018</w:t>
      </w:r>
    </w:p>
    <w:p w14:paraId="06ECD46C" w14:textId="77777777" w:rsidR="004104FF" w:rsidRDefault="00A46778" w:rsidP="002017CC">
      <w:pPr>
        <w:pStyle w:val="Textoindependiente"/>
        <w:spacing w:before="92"/>
        <w:ind w:left="101"/>
        <w:jc w:val="center"/>
      </w:pPr>
      <w:r>
        <w:rPr>
          <w:noProof/>
          <w:lang w:eastAsia="es-MX"/>
        </w:rPr>
        <w:drawing>
          <wp:inline distT="0" distB="0" distL="0" distR="0" wp14:anchorId="7749149A" wp14:editId="49A84BEF">
            <wp:extent cx="6210300" cy="5247861"/>
            <wp:effectExtent l="0" t="0" r="0" b="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89E02A-6C6A-4028-8C31-3066D3416B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69DE463" w14:textId="77777777" w:rsidR="00455DFB" w:rsidRDefault="00455DFB" w:rsidP="00401F54">
      <w:pPr>
        <w:spacing w:before="69"/>
        <w:ind w:left="218" w:right="113"/>
        <w:jc w:val="both"/>
        <w:rPr>
          <w:sz w:val="16"/>
          <w:szCs w:val="16"/>
        </w:rPr>
      </w:pPr>
    </w:p>
    <w:p w14:paraId="324F89CD" w14:textId="77777777" w:rsidR="00082361" w:rsidRDefault="00082361" w:rsidP="009D7D9F">
      <w:pPr>
        <w:pStyle w:val="Textoindependiente"/>
        <w:spacing w:before="92"/>
        <w:ind w:left="101"/>
        <w:jc w:val="both"/>
      </w:pPr>
    </w:p>
    <w:p w14:paraId="5D4536DE" w14:textId="2C109563" w:rsidR="006D31FA" w:rsidRDefault="00F77DA1" w:rsidP="009D7D9F">
      <w:pPr>
        <w:pStyle w:val="Textoindependiente"/>
        <w:spacing w:before="92"/>
        <w:ind w:left="101"/>
        <w:jc w:val="both"/>
      </w:pPr>
      <w:r>
        <w:lastRenderedPageBreak/>
        <w:t xml:space="preserve">De acuerdo con la tasa de delitos </w:t>
      </w:r>
      <w:r w:rsidR="00832C78">
        <w:t xml:space="preserve">registrados en averiguaciones previas e investigaciones iniciadas y carpetas de investigación abiertas </w:t>
      </w:r>
      <w:r w:rsidRPr="00F77DA1">
        <w:t>por cada 100 mil habitantes</w:t>
      </w:r>
      <w:r>
        <w:t>, Colima es la entidad con la mayor tasa: 3 mil 321</w:t>
      </w:r>
      <w:r w:rsidR="00A77D38">
        <w:t>.4</w:t>
      </w:r>
      <w:r w:rsidR="00CE2984">
        <w:t xml:space="preserve"> por cada 100 mil.</w:t>
      </w:r>
    </w:p>
    <w:p w14:paraId="4356CED8" w14:textId="77777777" w:rsidR="00176F54" w:rsidRDefault="00176F54" w:rsidP="009D7D9F">
      <w:pPr>
        <w:pStyle w:val="Textoindependiente"/>
        <w:spacing w:before="92"/>
        <w:ind w:left="101"/>
        <w:jc w:val="both"/>
      </w:pPr>
    </w:p>
    <w:p w14:paraId="744A1965" w14:textId="77777777" w:rsidR="00F77DA1" w:rsidRDefault="00F77DA1" w:rsidP="00F77DA1">
      <w:pPr>
        <w:spacing w:before="1"/>
        <w:jc w:val="center"/>
        <w:rPr>
          <w:i/>
          <w:sz w:val="24"/>
        </w:rPr>
      </w:pPr>
    </w:p>
    <w:p w14:paraId="59BD2B3B" w14:textId="23B6316F" w:rsidR="00F77DA1" w:rsidRDefault="00F77DA1" w:rsidP="00F77DA1">
      <w:pPr>
        <w:spacing w:before="1"/>
        <w:jc w:val="center"/>
        <w:rPr>
          <w:i/>
          <w:sz w:val="24"/>
        </w:rPr>
      </w:pPr>
      <w:r>
        <w:rPr>
          <w:i/>
          <w:sz w:val="24"/>
        </w:rPr>
        <w:t xml:space="preserve">Mapa </w:t>
      </w:r>
      <w:r w:rsidR="00E77B0F">
        <w:rPr>
          <w:i/>
          <w:sz w:val="24"/>
        </w:rPr>
        <w:t>1</w:t>
      </w:r>
      <w:r>
        <w:rPr>
          <w:i/>
          <w:sz w:val="24"/>
        </w:rPr>
        <w:t xml:space="preserve">. Tasa de delitos del Fuero Común registrados en </w:t>
      </w:r>
      <w:r w:rsidR="00B80B62" w:rsidRPr="00B80B62">
        <w:rPr>
          <w:i/>
          <w:sz w:val="24"/>
        </w:rPr>
        <w:t xml:space="preserve">averiguaciones previas e investigaciones </w:t>
      </w:r>
      <w:r w:rsidR="00CE2984">
        <w:rPr>
          <w:i/>
          <w:sz w:val="24"/>
        </w:rPr>
        <w:t xml:space="preserve">iniciadas </w:t>
      </w:r>
      <w:r w:rsidR="00B80B62" w:rsidRPr="00B80B62">
        <w:rPr>
          <w:i/>
          <w:sz w:val="24"/>
        </w:rPr>
        <w:t>y carpetas de investigación</w:t>
      </w:r>
      <w:r w:rsidR="00CE2984">
        <w:rPr>
          <w:i/>
          <w:sz w:val="24"/>
        </w:rPr>
        <w:t xml:space="preserve"> </w:t>
      </w:r>
      <w:r>
        <w:rPr>
          <w:i/>
          <w:sz w:val="24"/>
        </w:rPr>
        <w:t xml:space="preserve">abiertas en las </w:t>
      </w:r>
      <w:r w:rsidRPr="002A6B4E">
        <w:rPr>
          <w:i/>
          <w:sz w:val="24"/>
        </w:rPr>
        <w:t>Procuradurías Generales de Justicia y/o Fiscalías Generales</w:t>
      </w:r>
      <w:r>
        <w:rPr>
          <w:i/>
          <w:sz w:val="24"/>
        </w:rPr>
        <w:t xml:space="preserve"> por cada 100 mil habitantes, por entidad federativa,</w:t>
      </w:r>
      <w:r w:rsidRPr="002A6B4E">
        <w:rPr>
          <w:i/>
          <w:sz w:val="24"/>
        </w:rPr>
        <w:t xml:space="preserve"> 2018</w:t>
      </w:r>
    </w:p>
    <w:p w14:paraId="493053DE" w14:textId="77777777" w:rsidR="00F77DA1" w:rsidRDefault="00F77DA1" w:rsidP="009D7D9F">
      <w:pPr>
        <w:pStyle w:val="Textoindependiente"/>
        <w:spacing w:before="92"/>
        <w:ind w:left="101"/>
        <w:jc w:val="both"/>
      </w:pPr>
    </w:p>
    <w:p w14:paraId="5E0E58E4" w14:textId="77777777" w:rsidR="00F77DA1" w:rsidRDefault="00F77DA1" w:rsidP="009D7D9F">
      <w:pPr>
        <w:pStyle w:val="Textoindependiente"/>
        <w:spacing w:before="92"/>
        <w:ind w:left="101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75F08E" wp14:editId="3F9A6488">
                <wp:simplePos x="0" y="0"/>
                <wp:positionH relativeFrom="column">
                  <wp:posOffset>4692473</wp:posOffset>
                </wp:positionH>
                <wp:positionV relativeFrom="paragraph">
                  <wp:posOffset>1774707</wp:posOffset>
                </wp:positionV>
                <wp:extent cx="1254642" cy="223284"/>
                <wp:effectExtent l="0" t="0" r="0" b="571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642" cy="223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D21A5" w14:textId="77777777" w:rsidR="00F77DA1" w:rsidRPr="002B78A4" w:rsidRDefault="00F77DA1" w:rsidP="00F77DA1">
                            <w:p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2B78A4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NACIONAL: </w:t>
                            </w:r>
                            <w: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1,526</w:t>
                            </w:r>
                            <w:r w:rsidR="00163371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75F08E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69.5pt;margin-top:139.75pt;width:98.8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" filled="f" stroked="f" strokeweight=".5pt">
                <v:textbox>
                  <w:txbxContent>
                    <w:p w14:paraId="7BBD21A5" w14:textId="77777777" w:rsidR="00F77DA1" w:rsidRPr="002B78A4" w:rsidRDefault="00F77DA1" w:rsidP="00F77DA1">
                      <w:pPr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2B78A4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NACIONAL: </w:t>
                      </w:r>
                      <w:r>
                        <w:rPr>
                          <w:color w:val="595959" w:themeColor="text1" w:themeTint="A6"/>
                          <w:sz w:val="18"/>
                          <w:szCs w:val="18"/>
                        </w:rPr>
                        <w:t>1,526</w:t>
                      </w:r>
                      <w:r w:rsidR="00163371">
                        <w:rPr>
                          <w:color w:val="595959" w:themeColor="text1" w:themeTint="A6"/>
                          <w:sz w:val="18"/>
                          <w:szCs w:val="18"/>
                        </w:rPr>
                        <w:t>.3</w:t>
                      </w:r>
                    </w:p>
                  </w:txbxContent>
                </v:textbox>
              </v:shape>
            </w:pict>
          </mc:Fallback>
        </mc:AlternateContent>
      </w:r>
      <w:r w:rsidR="00163371">
        <w:rPr>
          <w:noProof/>
          <w:lang w:eastAsia="es-MX"/>
        </w:rPr>
        <w:drawing>
          <wp:inline distT="0" distB="0" distL="0" distR="0" wp14:anchorId="210F934B" wp14:editId="6D926E93">
            <wp:extent cx="6233743" cy="40788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43" cy="407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51C96" w14:textId="77777777" w:rsidR="00F77DA1" w:rsidRDefault="00F77DA1" w:rsidP="009D7D9F">
      <w:pPr>
        <w:pStyle w:val="Textoindependiente"/>
        <w:spacing w:before="92"/>
        <w:ind w:left="101"/>
        <w:jc w:val="both"/>
      </w:pPr>
    </w:p>
    <w:p w14:paraId="4AFA638F" w14:textId="7C079B54" w:rsidR="00AA4677" w:rsidRPr="00E41BA2" w:rsidRDefault="00E41BA2" w:rsidP="00E41BA2">
      <w:pPr>
        <w:pStyle w:val="Textoindependiente"/>
        <w:spacing w:before="10"/>
        <w:jc w:val="both"/>
        <w:rPr>
          <w:iCs/>
          <w:sz w:val="16"/>
          <w:szCs w:val="16"/>
        </w:rPr>
      </w:pPr>
      <w:r w:rsidRPr="00AD16DA">
        <w:rPr>
          <w:iCs/>
          <w:sz w:val="16"/>
          <w:szCs w:val="16"/>
        </w:rPr>
        <w:t xml:space="preserve">Nota: </w:t>
      </w:r>
      <w:r>
        <w:rPr>
          <w:iCs/>
          <w:sz w:val="16"/>
          <w:szCs w:val="16"/>
        </w:rPr>
        <w:t>l</w:t>
      </w:r>
      <w:r w:rsidRPr="00AD16DA">
        <w:rPr>
          <w:iCs/>
          <w:sz w:val="16"/>
          <w:szCs w:val="16"/>
        </w:rPr>
        <w:t>a infor</w:t>
      </w:r>
      <w:r>
        <w:rPr>
          <w:iCs/>
          <w:sz w:val="16"/>
          <w:szCs w:val="16"/>
        </w:rPr>
        <w:t>mación poblacional se obtuvo del Consejo Nacional de Población (</w:t>
      </w:r>
      <w:r w:rsidRPr="00AD16DA">
        <w:rPr>
          <w:iCs/>
          <w:sz w:val="16"/>
          <w:szCs w:val="16"/>
        </w:rPr>
        <w:t>CONAPO</w:t>
      </w:r>
      <w:r>
        <w:rPr>
          <w:iCs/>
          <w:sz w:val="16"/>
          <w:szCs w:val="16"/>
        </w:rPr>
        <w:t xml:space="preserve">) para mitad del año 2018. </w:t>
      </w:r>
      <w:r w:rsidRPr="00E41BA2">
        <w:rPr>
          <w:iCs/>
          <w:sz w:val="16"/>
          <w:szCs w:val="16"/>
        </w:rPr>
        <w:t>P</w:t>
      </w:r>
      <w:r>
        <w:rPr>
          <w:iCs/>
          <w:sz w:val="16"/>
          <w:szCs w:val="16"/>
        </w:rPr>
        <w:t>royecciones de la p</w:t>
      </w:r>
      <w:r w:rsidRPr="00E41BA2">
        <w:rPr>
          <w:iCs/>
          <w:sz w:val="16"/>
          <w:szCs w:val="16"/>
        </w:rPr>
        <w:t>oblación a mitad de año1950-</w:t>
      </w:r>
      <w:r>
        <w:rPr>
          <w:iCs/>
          <w:sz w:val="16"/>
          <w:szCs w:val="16"/>
        </w:rPr>
        <w:t xml:space="preserve">2050. </w:t>
      </w:r>
      <w:r w:rsidRPr="00E41BA2">
        <w:rPr>
          <w:iCs/>
          <w:sz w:val="16"/>
          <w:szCs w:val="16"/>
        </w:rPr>
        <w:t>https://datos.gob.mx/busca/dataset/proyecciones-de-la-poblacion-de-mexico-y-de-las-entidades-federativas-2016-2050/resource/c77d8182-27d4-42e7-a191-ecad1268f64d</w:t>
      </w:r>
      <w:r>
        <w:rPr>
          <w:iCs/>
          <w:sz w:val="16"/>
          <w:szCs w:val="16"/>
        </w:rPr>
        <w:t>.</w:t>
      </w:r>
    </w:p>
    <w:p w14:paraId="02CA3953" w14:textId="77777777" w:rsidR="00B80B62" w:rsidRDefault="00B80B62" w:rsidP="009D7D9F">
      <w:pPr>
        <w:pStyle w:val="Textoindependiente"/>
        <w:spacing w:before="92"/>
        <w:ind w:left="101"/>
        <w:jc w:val="both"/>
      </w:pPr>
    </w:p>
    <w:p w14:paraId="2305C67F" w14:textId="77777777" w:rsidR="00CE2984" w:rsidRDefault="00CE2984" w:rsidP="00B445A9">
      <w:pPr>
        <w:pStyle w:val="Textoindependiente"/>
        <w:spacing w:before="92"/>
        <w:ind w:left="101"/>
        <w:jc w:val="both"/>
      </w:pPr>
    </w:p>
    <w:p w14:paraId="2F9CC976" w14:textId="77777777" w:rsidR="00CE2984" w:rsidRDefault="00CE2984" w:rsidP="00B445A9">
      <w:pPr>
        <w:pStyle w:val="Textoindependiente"/>
        <w:spacing w:before="92"/>
        <w:ind w:left="101"/>
        <w:jc w:val="both"/>
      </w:pPr>
    </w:p>
    <w:p w14:paraId="2CE97DBF" w14:textId="77777777" w:rsidR="00CE2984" w:rsidRDefault="00CE2984" w:rsidP="00B445A9">
      <w:pPr>
        <w:pStyle w:val="Textoindependiente"/>
        <w:spacing w:before="92"/>
        <w:ind w:left="101"/>
        <w:jc w:val="both"/>
      </w:pPr>
    </w:p>
    <w:p w14:paraId="1489E5FA" w14:textId="77777777" w:rsidR="00CE2984" w:rsidRDefault="00CE2984" w:rsidP="00B445A9">
      <w:pPr>
        <w:pStyle w:val="Textoindependiente"/>
        <w:spacing w:before="92"/>
        <w:ind w:left="101"/>
        <w:jc w:val="both"/>
      </w:pPr>
    </w:p>
    <w:p w14:paraId="09485648" w14:textId="77777777" w:rsidR="00082361" w:rsidRDefault="00082361" w:rsidP="00B445A9">
      <w:pPr>
        <w:pStyle w:val="Textoindependiente"/>
        <w:spacing w:before="92"/>
        <w:ind w:left="101"/>
        <w:jc w:val="both"/>
      </w:pPr>
    </w:p>
    <w:p w14:paraId="3722ACF2" w14:textId="1F933CA7" w:rsidR="00176F54" w:rsidRDefault="0010753A" w:rsidP="00B445A9">
      <w:pPr>
        <w:pStyle w:val="Textoindependiente"/>
        <w:spacing w:before="92"/>
        <w:ind w:left="101"/>
        <w:jc w:val="both"/>
      </w:pPr>
      <w:r>
        <w:lastRenderedPageBreak/>
        <w:t>En relación con los inculpados y/o imputados registrados en las averiguaciones previas</w:t>
      </w:r>
      <w:r w:rsidR="00F755A7">
        <w:t xml:space="preserve"> </w:t>
      </w:r>
      <w:r w:rsidR="00B80B62">
        <w:t>e</w:t>
      </w:r>
      <w:r w:rsidR="00F755A7">
        <w:t xml:space="preserve"> investigaciones</w:t>
      </w:r>
      <w:r w:rsidR="00647C9C">
        <w:t xml:space="preserve"> iniciadas</w:t>
      </w:r>
      <w:r>
        <w:t xml:space="preserve"> y carpetas de investigación</w:t>
      </w:r>
      <w:r w:rsidR="00647C9C">
        <w:t xml:space="preserve"> abiertas</w:t>
      </w:r>
      <w:r>
        <w:t xml:space="preserve">, el total fue de </w:t>
      </w:r>
      <w:r w:rsidR="00D941C7" w:rsidRPr="00D941C7">
        <w:t>1</w:t>
      </w:r>
      <w:r w:rsidR="00D941C7">
        <w:t xml:space="preserve"> millón</w:t>
      </w:r>
      <w:r w:rsidR="00D941C7" w:rsidRPr="00D941C7">
        <w:t xml:space="preserve"> 869 </w:t>
      </w:r>
      <w:r w:rsidR="00D941C7">
        <w:t xml:space="preserve">mil </w:t>
      </w:r>
      <w:r w:rsidR="00D941C7" w:rsidRPr="00D941C7">
        <w:t>932</w:t>
      </w:r>
      <w:r w:rsidRPr="000E4AED">
        <w:t>,</w:t>
      </w:r>
      <w:r>
        <w:t xml:space="preserve"> incluyendo adultos</w:t>
      </w:r>
      <w:r w:rsidR="00966795">
        <w:t xml:space="preserve"> (cifra que representó 98.4%) </w:t>
      </w:r>
      <w:r>
        <w:t>y adolescentes</w:t>
      </w:r>
      <w:r w:rsidR="00966795">
        <w:t xml:space="preserve"> (1.6%)</w:t>
      </w:r>
      <w:r>
        <w:t xml:space="preserve">. </w:t>
      </w:r>
    </w:p>
    <w:p w14:paraId="4851A0DF" w14:textId="77777777" w:rsidR="00176F54" w:rsidRDefault="00176F54" w:rsidP="00B445A9">
      <w:pPr>
        <w:pStyle w:val="Textoindependiente"/>
        <w:spacing w:before="92"/>
        <w:ind w:left="101"/>
        <w:jc w:val="both"/>
      </w:pPr>
    </w:p>
    <w:p w14:paraId="7E95667F" w14:textId="77777777" w:rsidR="0010753A" w:rsidRDefault="000E4AED" w:rsidP="00B445A9">
      <w:pPr>
        <w:pStyle w:val="Textoindependiente"/>
        <w:spacing w:before="92"/>
        <w:ind w:left="101"/>
        <w:jc w:val="both"/>
      </w:pPr>
      <w:r>
        <w:t xml:space="preserve">Del total, </w:t>
      </w:r>
      <w:r w:rsidR="00A43044" w:rsidRPr="00A43044">
        <w:t>43.7% fueron hombres y 11.4% fueron mujeres, el resto correspondió a no identificados (</w:t>
      </w:r>
      <w:r w:rsidR="007210A3">
        <w:t>44.6%) y a otro tipo</w:t>
      </w:r>
      <w:r w:rsidR="00A43044" w:rsidRPr="00A43044">
        <w:t xml:space="preserve"> (0.3%)</w:t>
      </w:r>
      <w:r w:rsidR="00B445A9">
        <w:t>.</w:t>
      </w:r>
      <w:r>
        <w:t xml:space="preserve"> </w:t>
      </w:r>
      <w:r w:rsidR="0010753A">
        <w:t>Enseguida se presenta la distribución</w:t>
      </w:r>
      <w:r w:rsidR="00321CC6">
        <w:t xml:space="preserve"> po</w:t>
      </w:r>
      <w:r w:rsidR="007210A3">
        <w:t xml:space="preserve">r </w:t>
      </w:r>
      <w:r w:rsidR="00176F54">
        <w:t>sexo</w:t>
      </w:r>
      <w:r w:rsidR="00B445A9">
        <w:rPr>
          <w:rStyle w:val="Refdenotaalpie"/>
        </w:rPr>
        <w:footnoteReference w:id="10"/>
      </w:r>
      <w:r w:rsidR="00647C9C">
        <w:t>:</w:t>
      </w:r>
    </w:p>
    <w:p w14:paraId="448A0E06" w14:textId="77777777" w:rsidR="0010753A" w:rsidRDefault="0010753A" w:rsidP="0010753A">
      <w:pPr>
        <w:pStyle w:val="Textoindependiente"/>
        <w:rPr>
          <w:sz w:val="26"/>
        </w:rPr>
      </w:pPr>
    </w:p>
    <w:p w14:paraId="7F48C7A1" w14:textId="77777777" w:rsidR="007210A3" w:rsidRDefault="007210A3" w:rsidP="0010753A">
      <w:pPr>
        <w:pStyle w:val="Textoindependiente"/>
        <w:rPr>
          <w:sz w:val="26"/>
        </w:rPr>
      </w:pPr>
    </w:p>
    <w:p w14:paraId="261F6852" w14:textId="77777777" w:rsidR="0010753A" w:rsidRDefault="0010753A" w:rsidP="00A94752">
      <w:pPr>
        <w:jc w:val="center"/>
        <w:rPr>
          <w:i/>
          <w:sz w:val="24"/>
        </w:rPr>
      </w:pPr>
      <w:r>
        <w:rPr>
          <w:i/>
          <w:sz w:val="24"/>
        </w:rPr>
        <w:t xml:space="preserve">Gráfica </w:t>
      </w:r>
      <w:r w:rsidR="00A3349B">
        <w:rPr>
          <w:i/>
          <w:sz w:val="24"/>
        </w:rPr>
        <w:t>7</w:t>
      </w:r>
      <w:r>
        <w:rPr>
          <w:i/>
          <w:sz w:val="24"/>
        </w:rPr>
        <w:t>. Inculpados y/o imputados registrados en las averiguaciones previas</w:t>
      </w:r>
      <w:r w:rsidR="00647C9C">
        <w:rPr>
          <w:i/>
          <w:sz w:val="24"/>
        </w:rPr>
        <w:t xml:space="preserve"> </w:t>
      </w:r>
      <w:r w:rsidR="00B80B62">
        <w:rPr>
          <w:i/>
          <w:sz w:val="24"/>
        </w:rPr>
        <w:t>e</w:t>
      </w:r>
      <w:r w:rsidR="00647C9C">
        <w:rPr>
          <w:i/>
          <w:sz w:val="24"/>
        </w:rPr>
        <w:t xml:space="preserve"> </w:t>
      </w:r>
      <w:r w:rsidR="00A94752">
        <w:rPr>
          <w:i/>
          <w:sz w:val="24"/>
        </w:rPr>
        <w:t>i</w:t>
      </w:r>
      <w:r w:rsidR="00647C9C">
        <w:rPr>
          <w:i/>
          <w:sz w:val="24"/>
        </w:rPr>
        <w:t>nvestigaciones</w:t>
      </w:r>
      <w:r w:rsidR="00A94752">
        <w:rPr>
          <w:i/>
          <w:sz w:val="24"/>
        </w:rPr>
        <w:t xml:space="preserve"> iniciadas</w:t>
      </w:r>
      <w:r w:rsidR="00647C9C">
        <w:rPr>
          <w:i/>
          <w:sz w:val="24"/>
        </w:rPr>
        <w:t xml:space="preserve"> </w:t>
      </w:r>
      <w:r>
        <w:rPr>
          <w:i/>
          <w:sz w:val="24"/>
        </w:rPr>
        <w:t xml:space="preserve">y carpetas de </w:t>
      </w:r>
      <w:r w:rsidR="007210A3">
        <w:rPr>
          <w:i/>
          <w:sz w:val="24"/>
        </w:rPr>
        <w:t>investigación abiertas, por tipo</w:t>
      </w:r>
      <w:r>
        <w:rPr>
          <w:i/>
          <w:sz w:val="24"/>
        </w:rPr>
        <w:t xml:space="preserve">, </w:t>
      </w:r>
      <w:r w:rsidR="00495146">
        <w:rPr>
          <w:i/>
          <w:sz w:val="24"/>
        </w:rPr>
        <w:t>2018</w:t>
      </w:r>
    </w:p>
    <w:p w14:paraId="1DF1DCF2" w14:textId="77777777" w:rsidR="0010753A" w:rsidRDefault="0010753A" w:rsidP="0010753A">
      <w:pPr>
        <w:pStyle w:val="Textoindependiente"/>
        <w:rPr>
          <w:i/>
          <w:sz w:val="20"/>
        </w:rPr>
      </w:pPr>
    </w:p>
    <w:p w14:paraId="62B5EA82" w14:textId="77777777" w:rsidR="0010753A" w:rsidRDefault="000E4AED" w:rsidP="000E4AED">
      <w:pPr>
        <w:pStyle w:val="Textoindependiente"/>
        <w:jc w:val="center"/>
        <w:rPr>
          <w:i/>
          <w:sz w:val="20"/>
        </w:rPr>
      </w:pPr>
      <w:r>
        <w:rPr>
          <w:noProof/>
          <w:lang w:eastAsia="es-MX"/>
        </w:rPr>
        <w:drawing>
          <wp:inline distT="0" distB="0" distL="0" distR="0" wp14:anchorId="25A8DE70" wp14:editId="5A6A2ADB">
            <wp:extent cx="5303520" cy="2544417"/>
            <wp:effectExtent l="0" t="0" r="0" b="889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39CBF8B-7F9A-45C8-BD6E-2200A58FBB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7F258B6" w14:textId="77777777" w:rsidR="0010753A" w:rsidRDefault="0010753A" w:rsidP="0010753A">
      <w:pPr>
        <w:pStyle w:val="Textoindependiente"/>
        <w:rPr>
          <w:i/>
          <w:sz w:val="20"/>
        </w:rPr>
      </w:pPr>
    </w:p>
    <w:p w14:paraId="27423601" w14:textId="77777777" w:rsidR="00455DFB" w:rsidRDefault="00455DFB" w:rsidP="0010753A">
      <w:pPr>
        <w:pStyle w:val="Textoindependiente"/>
        <w:rPr>
          <w:sz w:val="16"/>
        </w:rPr>
      </w:pPr>
    </w:p>
    <w:p w14:paraId="321E8FD1" w14:textId="77777777" w:rsidR="007210A3" w:rsidRDefault="007210A3" w:rsidP="0005200A">
      <w:pPr>
        <w:pStyle w:val="Textoindependiente"/>
        <w:jc w:val="both"/>
      </w:pPr>
    </w:p>
    <w:p w14:paraId="59801B64" w14:textId="77777777" w:rsidR="007210A3" w:rsidRDefault="007210A3" w:rsidP="0005200A">
      <w:pPr>
        <w:pStyle w:val="Textoindependiente"/>
        <w:jc w:val="both"/>
      </w:pPr>
    </w:p>
    <w:p w14:paraId="22A7BCB2" w14:textId="77777777" w:rsidR="007210A3" w:rsidRDefault="007210A3" w:rsidP="0005200A">
      <w:pPr>
        <w:pStyle w:val="Textoindependiente"/>
        <w:jc w:val="both"/>
      </w:pPr>
    </w:p>
    <w:p w14:paraId="17FECBB0" w14:textId="77777777" w:rsidR="007210A3" w:rsidRDefault="007210A3" w:rsidP="0005200A">
      <w:pPr>
        <w:pStyle w:val="Textoindependiente"/>
        <w:jc w:val="both"/>
      </w:pPr>
    </w:p>
    <w:p w14:paraId="24D8DC4E" w14:textId="77777777" w:rsidR="007210A3" w:rsidRDefault="007210A3" w:rsidP="0005200A">
      <w:pPr>
        <w:pStyle w:val="Textoindependiente"/>
        <w:jc w:val="both"/>
      </w:pPr>
    </w:p>
    <w:p w14:paraId="2E886D1C" w14:textId="77777777" w:rsidR="007210A3" w:rsidRDefault="007210A3" w:rsidP="0005200A">
      <w:pPr>
        <w:pStyle w:val="Textoindependiente"/>
        <w:jc w:val="both"/>
      </w:pPr>
    </w:p>
    <w:p w14:paraId="42CE9DAB" w14:textId="77777777" w:rsidR="007210A3" w:rsidRDefault="007210A3" w:rsidP="0005200A">
      <w:pPr>
        <w:pStyle w:val="Textoindependiente"/>
        <w:jc w:val="both"/>
      </w:pPr>
    </w:p>
    <w:p w14:paraId="0B838270" w14:textId="77777777" w:rsidR="007210A3" w:rsidRDefault="007210A3" w:rsidP="0005200A">
      <w:pPr>
        <w:pStyle w:val="Textoindependiente"/>
        <w:jc w:val="both"/>
      </w:pPr>
    </w:p>
    <w:p w14:paraId="4F2FC9F2" w14:textId="77777777" w:rsidR="007210A3" w:rsidRDefault="007210A3" w:rsidP="0005200A">
      <w:pPr>
        <w:pStyle w:val="Textoindependiente"/>
        <w:jc w:val="both"/>
      </w:pPr>
    </w:p>
    <w:p w14:paraId="776318C9" w14:textId="77777777" w:rsidR="007210A3" w:rsidRDefault="007210A3" w:rsidP="0005200A">
      <w:pPr>
        <w:pStyle w:val="Textoindependiente"/>
        <w:jc w:val="both"/>
      </w:pPr>
    </w:p>
    <w:p w14:paraId="2FBAC8FD" w14:textId="77777777" w:rsidR="007210A3" w:rsidRDefault="007210A3" w:rsidP="0005200A">
      <w:pPr>
        <w:pStyle w:val="Textoindependiente"/>
        <w:jc w:val="both"/>
      </w:pPr>
    </w:p>
    <w:p w14:paraId="2BBD5007" w14:textId="77777777" w:rsidR="007210A3" w:rsidRDefault="007210A3" w:rsidP="0005200A">
      <w:pPr>
        <w:pStyle w:val="Textoindependiente"/>
        <w:jc w:val="both"/>
      </w:pPr>
    </w:p>
    <w:p w14:paraId="18B3E646" w14:textId="77777777" w:rsidR="007210A3" w:rsidRDefault="007210A3" w:rsidP="0005200A">
      <w:pPr>
        <w:pStyle w:val="Textoindependiente"/>
        <w:jc w:val="both"/>
      </w:pPr>
    </w:p>
    <w:p w14:paraId="4895DB14" w14:textId="77777777" w:rsidR="007210A3" w:rsidRDefault="007210A3" w:rsidP="0005200A">
      <w:pPr>
        <w:pStyle w:val="Textoindependiente"/>
        <w:jc w:val="both"/>
      </w:pPr>
    </w:p>
    <w:p w14:paraId="38026B54" w14:textId="11C91C3A" w:rsidR="007210A3" w:rsidRDefault="007210A3" w:rsidP="0005200A">
      <w:pPr>
        <w:pStyle w:val="Textoindependiente"/>
        <w:jc w:val="both"/>
      </w:pPr>
    </w:p>
    <w:p w14:paraId="6B4C94BD" w14:textId="77777777" w:rsidR="00B66EAA" w:rsidRDefault="00B66EAA" w:rsidP="0005200A">
      <w:pPr>
        <w:pStyle w:val="Textoindependiente"/>
        <w:jc w:val="both"/>
      </w:pPr>
    </w:p>
    <w:p w14:paraId="4F8D025F" w14:textId="77777777" w:rsidR="0010753A" w:rsidRDefault="007210A3" w:rsidP="0005200A">
      <w:pPr>
        <w:pStyle w:val="Textoindependiente"/>
        <w:jc w:val="both"/>
      </w:pPr>
      <w:r>
        <w:lastRenderedPageBreak/>
        <w:t>Respecto de</w:t>
      </w:r>
      <w:r w:rsidR="0005200A">
        <w:t xml:space="preserve"> las</w:t>
      </w:r>
      <w:r w:rsidR="00D810BB">
        <w:t xml:space="preserve"> conclusiones y/o</w:t>
      </w:r>
      <w:r w:rsidR="0005200A">
        <w:t xml:space="preserve"> determinacione</w:t>
      </w:r>
      <w:r w:rsidR="00A3349B">
        <w:t>s</w:t>
      </w:r>
      <w:r w:rsidR="0005200A">
        <w:t xml:space="preserve"> realizadas por los agentes y/o fiscales del Ministerio Público</w:t>
      </w:r>
      <w:r>
        <w:t xml:space="preserve"> en averiguaciones previas e investigaciones, </w:t>
      </w:r>
      <w:r w:rsidR="00A3349B">
        <w:t xml:space="preserve">66.3% correspondió a </w:t>
      </w:r>
      <w:r w:rsidR="00176F54">
        <w:t>N</w:t>
      </w:r>
      <w:r w:rsidR="00A3349B">
        <w:t>o ejercicio de la acción penal</w:t>
      </w:r>
      <w:r w:rsidR="00176F54">
        <w:t xml:space="preserve"> </w:t>
      </w:r>
      <w:r w:rsidR="00C9575E">
        <w:t>/</w:t>
      </w:r>
      <w:r w:rsidR="00176F54">
        <w:t xml:space="preserve"> I</w:t>
      </w:r>
      <w:r>
        <w:t>mprocedencia</w:t>
      </w:r>
      <w:r w:rsidR="00176F54">
        <w:t>, seguido de Reserva / Archivo con 20.8%</w:t>
      </w:r>
      <w:r>
        <w:t>.</w:t>
      </w:r>
    </w:p>
    <w:p w14:paraId="6FA0D4D8" w14:textId="77777777" w:rsidR="00B80B62" w:rsidRDefault="00B80B62" w:rsidP="0005200A">
      <w:pPr>
        <w:pStyle w:val="Textoindependiente"/>
        <w:jc w:val="both"/>
      </w:pPr>
    </w:p>
    <w:p w14:paraId="0812569D" w14:textId="77777777" w:rsidR="007210A3" w:rsidRDefault="007210A3" w:rsidP="0005200A">
      <w:pPr>
        <w:pStyle w:val="Textoindependiente"/>
        <w:jc w:val="both"/>
      </w:pPr>
    </w:p>
    <w:p w14:paraId="42916721" w14:textId="77777777" w:rsidR="007210A3" w:rsidRDefault="007210A3" w:rsidP="0005200A">
      <w:pPr>
        <w:pStyle w:val="Textoindependiente"/>
        <w:jc w:val="both"/>
      </w:pPr>
    </w:p>
    <w:p w14:paraId="5F2E2944" w14:textId="77777777" w:rsidR="0010753A" w:rsidRDefault="0010753A" w:rsidP="0010753A">
      <w:pPr>
        <w:spacing w:before="1"/>
        <w:ind w:left="120" w:right="236" w:hanging="8"/>
        <w:jc w:val="center"/>
        <w:rPr>
          <w:i/>
          <w:sz w:val="24"/>
        </w:rPr>
      </w:pPr>
      <w:r>
        <w:rPr>
          <w:i/>
          <w:sz w:val="24"/>
        </w:rPr>
        <w:t xml:space="preserve">Gráfica </w:t>
      </w:r>
      <w:r w:rsidR="00A3349B">
        <w:rPr>
          <w:i/>
          <w:sz w:val="24"/>
        </w:rPr>
        <w:t>8</w:t>
      </w:r>
      <w:r>
        <w:rPr>
          <w:i/>
          <w:sz w:val="24"/>
        </w:rPr>
        <w:t xml:space="preserve">. </w:t>
      </w:r>
      <w:r w:rsidR="007210A3">
        <w:rPr>
          <w:i/>
          <w:sz w:val="24"/>
        </w:rPr>
        <w:t>Conclusiones y/o determinaciones registradas en a</w:t>
      </w:r>
      <w:r>
        <w:rPr>
          <w:i/>
          <w:sz w:val="24"/>
        </w:rPr>
        <w:t>veriguaciones previas</w:t>
      </w:r>
      <w:r w:rsidR="00C9575E">
        <w:rPr>
          <w:i/>
          <w:sz w:val="24"/>
        </w:rPr>
        <w:t xml:space="preserve"> e investigaciones</w:t>
      </w:r>
      <w:r w:rsidR="007210A3">
        <w:rPr>
          <w:i/>
          <w:sz w:val="24"/>
        </w:rPr>
        <w:t xml:space="preserve"> </w:t>
      </w:r>
      <w:r w:rsidR="00C9575E">
        <w:rPr>
          <w:i/>
          <w:sz w:val="24"/>
        </w:rPr>
        <w:t xml:space="preserve">en </w:t>
      </w:r>
      <w:r>
        <w:rPr>
          <w:i/>
          <w:sz w:val="24"/>
        </w:rPr>
        <w:t>las Procuradurías Generales de Justicia y/o Fiscalías Generales de las entidades federativas,</w:t>
      </w:r>
      <w:r w:rsidR="00C9575E">
        <w:rPr>
          <w:i/>
          <w:sz w:val="24"/>
        </w:rPr>
        <w:t xml:space="preserve"> por tipo,</w:t>
      </w:r>
      <w:r>
        <w:rPr>
          <w:i/>
          <w:sz w:val="24"/>
        </w:rPr>
        <w:t xml:space="preserve"> </w:t>
      </w:r>
      <w:r w:rsidR="00495146">
        <w:rPr>
          <w:i/>
          <w:sz w:val="24"/>
        </w:rPr>
        <w:t>2018</w:t>
      </w:r>
    </w:p>
    <w:p w14:paraId="08F1EC19" w14:textId="77777777" w:rsidR="0010753A" w:rsidRDefault="0010753A" w:rsidP="0010753A">
      <w:pPr>
        <w:pStyle w:val="Textoindependiente"/>
        <w:rPr>
          <w:i/>
          <w:sz w:val="20"/>
        </w:rPr>
      </w:pPr>
    </w:p>
    <w:p w14:paraId="43FB3F1E" w14:textId="77777777" w:rsidR="0010753A" w:rsidRDefault="00C9575E" w:rsidP="00C9575E">
      <w:pPr>
        <w:pStyle w:val="Textoindependiente"/>
        <w:jc w:val="center"/>
        <w:rPr>
          <w:i/>
          <w:sz w:val="20"/>
        </w:rPr>
      </w:pPr>
      <w:r>
        <w:rPr>
          <w:noProof/>
          <w:lang w:eastAsia="es-MX"/>
        </w:rPr>
        <w:drawing>
          <wp:inline distT="0" distB="0" distL="0" distR="0" wp14:anchorId="35FAE7EE" wp14:editId="75A05D2A">
            <wp:extent cx="5163820" cy="2587925"/>
            <wp:effectExtent l="0" t="0" r="0" b="317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8E45CD-04DD-4D87-94EA-C2EAA8B875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8B1390B" w14:textId="77777777" w:rsidR="0010753A" w:rsidRDefault="0010753A" w:rsidP="0010753A">
      <w:pPr>
        <w:pStyle w:val="Textoindependiente"/>
        <w:rPr>
          <w:i/>
          <w:sz w:val="20"/>
        </w:rPr>
      </w:pPr>
    </w:p>
    <w:p w14:paraId="61E617FC" w14:textId="77777777" w:rsidR="00C9575E" w:rsidRDefault="00C9575E" w:rsidP="00D810BB">
      <w:pPr>
        <w:ind w:left="218" w:right="338"/>
        <w:jc w:val="both"/>
        <w:rPr>
          <w:i/>
          <w:sz w:val="20"/>
        </w:rPr>
      </w:pPr>
      <w:r>
        <w:rPr>
          <w:sz w:val="16"/>
          <w:szCs w:val="16"/>
        </w:rPr>
        <w:t xml:space="preserve">Nota: </w:t>
      </w:r>
      <w:r w:rsidR="002659D0">
        <w:rPr>
          <w:sz w:val="16"/>
          <w:szCs w:val="16"/>
        </w:rPr>
        <w:t>s</w:t>
      </w:r>
      <w:r w:rsidR="00E13EC3">
        <w:rPr>
          <w:sz w:val="16"/>
          <w:szCs w:val="16"/>
        </w:rPr>
        <w:t>olo</w:t>
      </w:r>
      <w:r w:rsidR="002659D0">
        <w:rPr>
          <w:sz w:val="16"/>
          <w:szCs w:val="16"/>
        </w:rPr>
        <w:t xml:space="preserve"> incluye </w:t>
      </w:r>
      <w:r w:rsidR="00E13EC3">
        <w:rPr>
          <w:sz w:val="16"/>
          <w:szCs w:val="16"/>
        </w:rPr>
        <w:t>información del</w:t>
      </w:r>
      <w:r w:rsidR="002659D0">
        <w:rPr>
          <w:sz w:val="16"/>
          <w:szCs w:val="16"/>
        </w:rPr>
        <w:t xml:space="preserve"> Sistema Tradicional y Sistema</w:t>
      </w:r>
      <w:r w:rsidR="007210A3">
        <w:rPr>
          <w:sz w:val="16"/>
          <w:szCs w:val="16"/>
        </w:rPr>
        <w:t xml:space="preserve"> Escrito o Mixto y Sistema Oral. </w:t>
      </w:r>
      <w:r w:rsidR="007210A3" w:rsidRPr="007210A3">
        <w:rPr>
          <w:sz w:val="16"/>
          <w:szCs w:val="16"/>
        </w:rPr>
        <w:t xml:space="preserve">La unidad de referencia de los datos corresponde a los procedimientos realizados en las averiguaciones previas </w:t>
      </w:r>
      <w:r w:rsidR="007210A3">
        <w:rPr>
          <w:sz w:val="16"/>
          <w:szCs w:val="16"/>
        </w:rPr>
        <w:t xml:space="preserve">e investigaciones </w:t>
      </w:r>
      <w:r w:rsidR="007210A3" w:rsidRPr="007210A3">
        <w:rPr>
          <w:sz w:val="16"/>
          <w:szCs w:val="16"/>
        </w:rPr>
        <w:t>para señalar su conclusión o determinación.</w:t>
      </w:r>
    </w:p>
    <w:p w14:paraId="53331934" w14:textId="77777777" w:rsidR="00455DFB" w:rsidRDefault="00455DFB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6A5AC6FD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3790D5B7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4A63A658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6BF16824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273515AE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3A8D7D91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6116F6D8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4908AE22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6D0D3D3E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2FF36D22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28AE83B3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49FF3568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5EB0A647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39E7E748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10A087CE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7986AAB8" w14:textId="77777777" w:rsidR="007210A3" w:rsidRDefault="007210A3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3E506096" w14:textId="77777777" w:rsidR="00650BF5" w:rsidRDefault="00650BF5" w:rsidP="00650BF5">
      <w:pPr>
        <w:spacing w:before="1"/>
        <w:ind w:left="120" w:right="236" w:hanging="8"/>
        <w:jc w:val="both"/>
        <w:rPr>
          <w:sz w:val="24"/>
        </w:rPr>
      </w:pPr>
    </w:p>
    <w:p w14:paraId="2C962B31" w14:textId="77777777" w:rsidR="007210A3" w:rsidRDefault="007210A3" w:rsidP="00650BF5">
      <w:pPr>
        <w:spacing w:before="1"/>
        <w:ind w:left="120" w:right="236" w:hanging="8"/>
        <w:jc w:val="both"/>
        <w:rPr>
          <w:sz w:val="24"/>
        </w:rPr>
      </w:pPr>
      <w:r>
        <w:rPr>
          <w:sz w:val="24"/>
        </w:rPr>
        <w:lastRenderedPageBreak/>
        <w:t xml:space="preserve">Por su parte, el principal tipo de conclusión y/o determinación </w:t>
      </w:r>
      <w:r w:rsidR="00650BF5">
        <w:rPr>
          <w:sz w:val="24"/>
        </w:rPr>
        <w:t>en las carpetas de investigación en la etapa de investigación inicial fue el archivo temporal, con 57.9%</w:t>
      </w:r>
      <w:r w:rsidR="00176F54">
        <w:rPr>
          <w:sz w:val="24"/>
        </w:rPr>
        <w:t>, y Ejercicio de la acción penal con 16.2%.</w:t>
      </w:r>
    </w:p>
    <w:p w14:paraId="1803C255" w14:textId="77777777" w:rsidR="00650BF5" w:rsidRDefault="00650BF5" w:rsidP="00650BF5">
      <w:pPr>
        <w:spacing w:before="1"/>
        <w:ind w:left="120" w:right="236" w:hanging="8"/>
        <w:jc w:val="both"/>
        <w:rPr>
          <w:sz w:val="24"/>
        </w:rPr>
      </w:pPr>
    </w:p>
    <w:p w14:paraId="6342EDF3" w14:textId="77777777" w:rsidR="00082361" w:rsidRPr="007210A3" w:rsidRDefault="00082361" w:rsidP="00650BF5">
      <w:pPr>
        <w:spacing w:before="1"/>
        <w:ind w:left="120" w:right="236" w:hanging="8"/>
        <w:jc w:val="both"/>
        <w:rPr>
          <w:sz w:val="24"/>
        </w:rPr>
      </w:pPr>
    </w:p>
    <w:p w14:paraId="19AF7087" w14:textId="77777777" w:rsidR="00421186" w:rsidRDefault="00C9575E" w:rsidP="00455DFB">
      <w:pPr>
        <w:spacing w:before="1"/>
        <w:ind w:left="120" w:right="236" w:hanging="8"/>
        <w:jc w:val="center"/>
        <w:rPr>
          <w:i/>
          <w:sz w:val="24"/>
        </w:rPr>
      </w:pPr>
      <w:r w:rsidRPr="00776739">
        <w:rPr>
          <w:i/>
          <w:sz w:val="24"/>
        </w:rPr>
        <w:t xml:space="preserve">Gráfica </w:t>
      </w:r>
      <w:r w:rsidR="002659D0" w:rsidRPr="00776739">
        <w:rPr>
          <w:i/>
          <w:sz w:val="24"/>
        </w:rPr>
        <w:t>9</w:t>
      </w:r>
      <w:r w:rsidRPr="00776739">
        <w:rPr>
          <w:i/>
          <w:sz w:val="24"/>
        </w:rPr>
        <w:t xml:space="preserve">. </w:t>
      </w:r>
      <w:r w:rsidR="00776739" w:rsidRPr="00776739">
        <w:rPr>
          <w:i/>
          <w:sz w:val="24"/>
        </w:rPr>
        <w:t>Conclusiones y</w:t>
      </w:r>
      <w:r w:rsidR="007210A3">
        <w:rPr>
          <w:i/>
          <w:sz w:val="24"/>
        </w:rPr>
        <w:t xml:space="preserve">/o determinaciones registradas en </w:t>
      </w:r>
      <w:r w:rsidR="00776739" w:rsidRPr="00776739">
        <w:rPr>
          <w:i/>
          <w:sz w:val="24"/>
        </w:rPr>
        <w:t xml:space="preserve">carpetas de investigación que se encontraban en la etapa de investigación inicial </w:t>
      </w:r>
      <w:r w:rsidRPr="00776739">
        <w:rPr>
          <w:i/>
          <w:sz w:val="24"/>
        </w:rPr>
        <w:t>en las Procuradurías Generales de Justicia y/o Fiscalías Generales de las entidades federativas, por tipo, 2018</w:t>
      </w:r>
    </w:p>
    <w:p w14:paraId="7A7C9812" w14:textId="77777777" w:rsidR="00421186" w:rsidRDefault="00421186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18E2F11D" w14:textId="77777777" w:rsidR="00421186" w:rsidRDefault="00421186" w:rsidP="00455DFB">
      <w:pPr>
        <w:spacing w:before="1"/>
        <w:ind w:left="120" w:right="236" w:hanging="8"/>
        <w:jc w:val="center"/>
        <w:rPr>
          <w:i/>
          <w:sz w:val="24"/>
        </w:rPr>
      </w:pPr>
    </w:p>
    <w:p w14:paraId="5548A1B4" w14:textId="77777777" w:rsidR="0010753A" w:rsidRDefault="002659D0" w:rsidP="00455DFB">
      <w:pPr>
        <w:spacing w:before="1"/>
        <w:ind w:left="120" w:right="236" w:hanging="8"/>
        <w:jc w:val="center"/>
        <w:rPr>
          <w:noProof/>
        </w:rPr>
      </w:pPr>
      <w:r>
        <w:rPr>
          <w:noProof/>
          <w:lang w:eastAsia="es-MX"/>
        </w:rPr>
        <w:drawing>
          <wp:inline distT="0" distB="0" distL="0" distR="0" wp14:anchorId="24230DF2" wp14:editId="6FDAAFCA">
            <wp:extent cx="5360670" cy="3010535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0DCD92-4E05-438E-817C-74B53FFADC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E704AC2" w14:textId="77777777" w:rsidR="00E11179" w:rsidRDefault="00E11179" w:rsidP="00E13EC3">
      <w:pPr>
        <w:pStyle w:val="Textoindependiente"/>
        <w:jc w:val="both"/>
        <w:rPr>
          <w:sz w:val="16"/>
          <w:szCs w:val="16"/>
        </w:rPr>
      </w:pPr>
    </w:p>
    <w:p w14:paraId="14F0E28D" w14:textId="77777777" w:rsidR="00650BF5" w:rsidRDefault="002659D0" w:rsidP="00650BF5">
      <w:pPr>
        <w:ind w:left="218" w:right="338"/>
        <w:jc w:val="both"/>
        <w:rPr>
          <w:i/>
          <w:sz w:val="20"/>
        </w:rPr>
      </w:pPr>
      <w:r w:rsidRPr="00E11179">
        <w:rPr>
          <w:sz w:val="16"/>
          <w:szCs w:val="16"/>
        </w:rPr>
        <w:t xml:space="preserve">Nota: </w:t>
      </w:r>
      <w:r w:rsidR="00E13EC3" w:rsidRPr="00E11179">
        <w:rPr>
          <w:sz w:val="16"/>
          <w:szCs w:val="16"/>
        </w:rPr>
        <w:t>solo incluye información de</w:t>
      </w:r>
      <w:r w:rsidR="00AA3E2A">
        <w:rPr>
          <w:sz w:val="16"/>
          <w:szCs w:val="16"/>
        </w:rPr>
        <w:t xml:space="preserve"> </w:t>
      </w:r>
      <w:r w:rsidR="00E13EC3" w:rsidRPr="00E11179">
        <w:rPr>
          <w:sz w:val="16"/>
          <w:szCs w:val="16"/>
        </w:rPr>
        <w:t>l</w:t>
      </w:r>
      <w:r w:rsidR="00AA3E2A">
        <w:rPr>
          <w:sz w:val="16"/>
          <w:szCs w:val="16"/>
        </w:rPr>
        <w:t>os</w:t>
      </w:r>
      <w:r w:rsidR="00E13EC3" w:rsidRPr="00E11179">
        <w:rPr>
          <w:sz w:val="16"/>
          <w:szCs w:val="16"/>
        </w:rPr>
        <w:t xml:space="preserve"> Sistema</w:t>
      </w:r>
      <w:r w:rsidR="00AA3E2A">
        <w:rPr>
          <w:sz w:val="16"/>
          <w:szCs w:val="16"/>
        </w:rPr>
        <w:t>s</w:t>
      </w:r>
      <w:r w:rsidR="00E13EC3" w:rsidRPr="00E11179">
        <w:rPr>
          <w:sz w:val="16"/>
          <w:szCs w:val="16"/>
        </w:rPr>
        <w:t xml:space="preserve"> Penal Acusatorio </w:t>
      </w:r>
      <w:r w:rsidR="00AA3E2A">
        <w:rPr>
          <w:sz w:val="16"/>
          <w:szCs w:val="16"/>
        </w:rPr>
        <w:t xml:space="preserve">e </w:t>
      </w:r>
      <w:r w:rsidR="00E13EC3" w:rsidRPr="00E11179">
        <w:rPr>
          <w:sz w:val="16"/>
          <w:szCs w:val="16"/>
        </w:rPr>
        <w:t xml:space="preserve">Integral de </w:t>
      </w:r>
      <w:r w:rsidR="00F34062" w:rsidRPr="00E11179">
        <w:rPr>
          <w:sz w:val="16"/>
          <w:szCs w:val="16"/>
        </w:rPr>
        <w:t>J</w:t>
      </w:r>
      <w:r w:rsidR="00E13EC3" w:rsidRPr="00E11179">
        <w:rPr>
          <w:sz w:val="16"/>
          <w:szCs w:val="16"/>
        </w:rPr>
        <w:t xml:space="preserve">usticia </w:t>
      </w:r>
      <w:r w:rsidR="00AA3E2A">
        <w:rPr>
          <w:sz w:val="16"/>
          <w:szCs w:val="16"/>
        </w:rPr>
        <w:t xml:space="preserve">Penal </w:t>
      </w:r>
      <w:r w:rsidR="00E13EC3" w:rsidRPr="00E11179">
        <w:rPr>
          <w:sz w:val="16"/>
          <w:szCs w:val="16"/>
        </w:rPr>
        <w:t>para Adolescentes</w:t>
      </w:r>
      <w:r w:rsidR="00D810BB">
        <w:rPr>
          <w:sz w:val="16"/>
          <w:szCs w:val="16"/>
        </w:rPr>
        <w:t xml:space="preserve">. </w:t>
      </w:r>
      <w:r w:rsidR="00643BD3" w:rsidRPr="00E11179">
        <w:rPr>
          <w:sz w:val="16"/>
          <w:szCs w:val="16"/>
        </w:rPr>
        <w:t>No se incluye la categoría “No ejercicio de la acción penal por la actualización de alguna causal de sobreseimiento</w:t>
      </w:r>
      <w:r w:rsidR="00643BD3">
        <w:rPr>
          <w:sz w:val="16"/>
          <w:szCs w:val="16"/>
        </w:rPr>
        <w:t>” que equivale a 0.01%.</w:t>
      </w:r>
      <w:r w:rsidR="00650BF5">
        <w:rPr>
          <w:sz w:val="16"/>
          <w:szCs w:val="16"/>
        </w:rPr>
        <w:t xml:space="preserve"> </w:t>
      </w:r>
      <w:r w:rsidR="00650BF5" w:rsidRPr="00650BF5">
        <w:rPr>
          <w:sz w:val="16"/>
          <w:szCs w:val="16"/>
        </w:rPr>
        <w:t>La unidad de referencia de los datos corresponde a los procedimientos realizados en</w:t>
      </w:r>
      <w:r w:rsidR="00650BF5">
        <w:rPr>
          <w:sz w:val="16"/>
          <w:szCs w:val="16"/>
        </w:rPr>
        <w:t xml:space="preserve"> las </w:t>
      </w:r>
      <w:r w:rsidR="00650BF5" w:rsidRPr="00650BF5">
        <w:rPr>
          <w:sz w:val="16"/>
          <w:szCs w:val="16"/>
        </w:rPr>
        <w:t>carpetas de investigación para señalar su conclusión o determinación.</w:t>
      </w:r>
    </w:p>
    <w:p w14:paraId="782FE82D" w14:textId="77777777" w:rsidR="00455DFB" w:rsidRPr="00455DFB" w:rsidRDefault="00455DFB" w:rsidP="00D810BB">
      <w:pPr>
        <w:pStyle w:val="Textoindependiente"/>
        <w:jc w:val="both"/>
      </w:pPr>
    </w:p>
    <w:p w14:paraId="60EB05F3" w14:textId="77777777" w:rsidR="00455DFB" w:rsidRDefault="00455DFB" w:rsidP="00455DFB">
      <w:pPr>
        <w:rPr>
          <w:sz w:val="16"/>
          <w:szCs w:val="16"/>
        </w:rPr>
      </w:pPr>
    </w:p>
    <w:p w14:paraId="33502201" w14:textId="77777777" w:rsidR="003821B9" w:rsidRDefault="003821B9" w:rsidP="00455DFB">
      <w:pPr>
        <w:rPr>
          <w:i/>
          <w:sz w:val="24"/>
        </w:rPr>
      </w:pPr>
    </w:p>
    <w:p w14:paraId="24355B54" w14:textId="77777777" w:rsidR="00650BF5" w:rsidRDefault="00650BF5" w:rsidP="00455DFB">
      <w:pPr>
        <w:rPr>
          <w:sz w:val="24"/>
          <w:szCs w:val="24"/>
        </w:rPr>
      </w:pPr>
    </w:p>
    <w:p w14:paraId="2DFD6CA0" w14:textId="77777777" w:rsidR="00650BF5" w:rsidRDefault="00650BF5" w:rsidP="00455DFB">
      <w:pPr>
        <w:rPr>
          <w:sz w:val="24"/>
          <w:szCs w:val="24"/>
        </w:rPr>
      </w:pPr>
    </w:p>
    <w:p w14:paraId="6E3CF80F" w14:textId="77777777" w:rsidR="00650BF5" w:rsidRDefault="00650BF5" w:rsidP="00455DFB">
      <w:pPr>
        <w:rPr>
          <w:sz w:val="24"/>
          <w:szCs w:val="24"/>
        </w:rPr>
      </w:pPr>
    </w:p>
    <w:p w14:paraId="340551A9" w14:textId="77777777" w:rsidR="00650BF5" w:rsidRDefault="00650BF5" w:rsidP="00455DFB">
      <w:pPr>
        <w:rPr>
          <w:sz w:val="24"/>
          <w:szCs w:val="24"/>
        </w:rPr>
      </w:pPr>
    </w:p>
    <w:p w14:paraId="4B1A7DC3" w14:textId="77777777" w:rsidR="00650BF5" w:rsidRDefault="00650BF5" w:rsidP="00455DFB">
      <w:pPr>
        <w:rPr>
          <w:sz w:val="24"/>
          <w:szCs w:val="24"/>
        </w:rPr>
      </w:pPr>
    </w:p>
    <w:p w14:paraId="5257729D" w14:textId="77777777" w:rsidR="00650BF5" w:rsidRDefault="00650BF5" w:rsidP="00455DFB">
      <w:pPr>
        <w:rPr>
          <w:sz w:val="24"/>
          <w:szCs w:val="24"/>
        </w:rPr>
      </w:pPr>
    </w:p>
    <w:p w14:paraId="7FD4C387" w14:textId="77777777" w:rsidR="00650BF5" w:rsidRDefault="00650BF5" w:rsidP="00455DFB">
      <w:pPr>
        <w:rPr>
          <w:sz w:val="24"/>
          <w:szCs w:val="24"/>
        </w:rPr>
      </w:pPr>
    </w:p>
    <w:p w14:paraId="205E11B9" w14:textId="77777777" w:rsidR="00650BF5" w:rsidRDefault="00650BF5" w:rsidP="00455DFB">
      <w:pPr>
        <w:rPr>
          <w:sz w:val="24"/>
          <w:szCs w:val="24"/>
        </w:rPr>
      </w:pPr>
    </w:p>
    <w:p w14:paraId="53DAAD77" w14:textId="77777777" w:rsidR="00650BF5" w:rsidRDefault="00650BF5" w:rsidP="00455DFB">
      <w:pPr>
        <w:rPr>
          <w:sz w:val="24"/>
          <w:szCs w:val="24"/>
        </w:rPr>
      </w:pPr>
    </w:p>
    <w:p w14:paraId="073D7E1C" w14:textId="77777777" w:rsidR="00650BF5" w:rsidRDefault="00650BF5" w:rsidP="00455DFB">
      <w:pPr>
        <w:rPr>
          <w:sz w:val="24"/>
          <w:szCs w:val="24"/>
        </w:rPr>
      </w:pPr>
    </w:p>
    <w:p w14:paraId="7D605349" w14:textId="77777777" w:rsidR="00062D38" w:rsidRDefault="00062D38" w:rsidP="00455DFB">
      <w:pPr>
        <w:rPr>
          <w:sz w:val="24"/>
          <w:szCs w:val="24"/>
        </w:rPr>
      </w:pPr>
    </w:p>
    <w:p w14:paraId="73681911" w14:textId="77777777" w:rsidR="00062D38" w:rsidRDefault="00062D38" w:rsidP="00455DFB">
      <w:pPr>
        <w:rPr>
          <w:sz w:val="24"/>
          <w:szCs w:val="24"/>
        </w:rPr>
      </w:pPr>
    </w:p>
    <w:p w14:paraId="76EBF29C" w14:textId="77777777" w:rsidR="00A24710" w:rsidRDefault="00A24710" w:rsidP="00455DFB">
      <w:pPr>
        <w:rPr>
          <w:sz w:val="24"/>
          <w:szCs w:val="24"/>
        </w:rPr>
      </w:pPr>
    </w:p>
    <w:p w14:paraId="14FFBF52" w14:textId="77777777" w:rsidR="00421186" w:rsidRPr="00650BF5" w:rsidRDefault="003821B9" w:rsidP="00455DFB">
      <w:pPr>
        <w:rPr>
          <w:sz w:val="24"/>
          <w:szCs w:val="24"/>
        </w:rPr>
      </w:pPr>
      <w:r w:rsidRPr="00650BF5">
        <w:rPr>
          <w:sz w:val="24"/>
          <w:szCs w:val="24"/>
        </w:rPr>
        <w:lastRenderedPageBreak/>
        <w:t xml:space="preserve">En cuanto a la etapa de investigación complementaria, el principal tipo de </w:t>
      </w:r>
      <w:r w:rsidR="00650BF5">
        <w:rPr>
          <w:sz w:val="24"/>
          <w:szCs w:val="24"/>
        </w:rPr>
        <w:t>conclusión y/o determinación</w:t>
      </w:r>
      <w:r w:rsidRPr="00650BF5">
        <w:rPr>
          <w:sz w:val="24"/>
          <w:szCs w:val="24"/>
        </w:rPr>
        <w:t xml:space="preserve"> fue </w:t>
      </w:r>
      <w:r w:rsidR="00650BF5">
        <w:rPr>
          <w:sz w:val="24"/>
          <w:szCs w:val="24"/>
        </w:rPr>
        <w:t xml:space="preserve">la </w:t>
      </w:r>
      <w:r w:rsidRPr="00650BF5">
        <w:rPr>
          <w:sz w:val="24"/>
          <w:szCs w:val="24"/>
        </w:rPr>
        <w:t>formul</w:t>
      </w:r>
      <w:r w:rsidR="00650BF5">
        <w:rPr>
          <w:sz w:val="24"/>
          <w:szCs w:val="24"/>
        </w:rPr>
        <w:t>ación de la acusación con 41.8%.</w:t>
      </w:r>
    </w:p>
    <w:p w14:paraId="325B631D" w14:textId="77777777" w:rsidR="00421186" w:rsidRDefault="00421186" w:rsidP="00455DFB">
      <w:pPr>
        <w:rPr>
          <w:i/>
          <w:sz w:val="24"/>
        </w:rPr>
      </w:pPr>
    </w:p>
    <w:p w14:paraId="76F61D75" w14:textId="77777777" w:rsidR="00082361" w:rsidRDefault="00082361" w:rsidP="00455DFB">
      <w:pPr>
        <w:rPr>
          <w:i/>
          <w:sz w:val="24"/>
        </w:rPr>
      </w:pPr>
    </w:p>
    <w:p w14:paraId="5AD50E1C" w14:textId="77777777" w:rsidR="00455DFB" w:rsidRDefault="003821B9" w:rsidP="00650BF5">
      <w:pPr>
        <w:jc w:val="center"/>
        <w:rPr>
          <w:sz w:val="16"/>
          <w:szCs w:val="16"/>
        </w:rPr>
      </w:pPr>
      <w:r w:rsidRPr="00776739">
        <w:rPr>
          <w:i/>
          <w:sz w:val="24"/>
        </w:rPr>
        <w:t xml:space="preserve">Gráfica </w:t>
      </w:r>
      <w:r>
        <w:rPr>
          <w:i/>
          <w:sz w:val="24"/>
        </w:rPr>
        <w:t>10</w:t>
      </w:r>
      <w:r w:rsidRPr="00776739">
        <w:rPr>
          <w:i/>
          <w:sz w:val="24"/>
        </w:rPr>
        <w:t>. Conclusiones y</w:t>
      </w:r>
      <w:r w:rsidR="00650BF5">
        <w:rPr>
          <w:i/>
          <w:sz w:val="24"/>
        </w:rPr>
        <w:t>/o</w:t>
      </w:r>
      <w:r w:rsidRPr="00776739">
        <w:rPr>
          <w:i/>
          <w:sz w:val="24"/>
        </w:rPr>
        <w:t xml:space="preserve"> d</w:t>
      </w:r>
      <w:r w:rsidR="00650BF5">
        <w:rPr>
          <w:i/>
          <w:sz w:val="24"/>
        </w:rPr>
        <w:t>eterminaciones registradas en</w:t>
      </w:r>
      <w:r w:rsidRPr="00776739">
        <w:rPr>
          <w:i/>
          <w:sz w:val="24"/>
        </w:rPr>
        <w:t xml:space="preserve"> carpetas de investigación que se encontraban en la etapa de investigación </w:t>
      </w:r>
      <w:r>
        <w:rPr>
          <w:i/>
          <w:sz w:val="24"/>
        </w:rPr>
        <w:t>complementaria</w:t>
      </w:r>
      <w:r w:rsidRPr="00776739">
        <w:rPr>
          <w:i/>
          <w:sz w:val="24"/>
        </w:rPr>
        <w:t xml:space="preserve"> en las Procuradurías Generales de Justicia y/o Fiscalías Generales de las entidades federativas por tipo, 2018</w:t>
      </w:r>
      <w:r w:rsidR="00176F54">
        <w:rPr>
          <w:i/>
          <w:sz w:val="24"/>
        </w:rPr>
        <w:t>.</w:t>
      </w:r>
    </w:p>
    <w:p w14:paraId="3A8B24B5" w14:textId="77777777" w:rsidR="0010753A" w:rsidRDefault="0010753A" w:rsidP="0010753A">
      <w:pPr>
        <w:pStyle w:val="Textoindependiente"/>
        <w:rPr>
          <w:sz w:val="15"/>
        </w:rPr>
      </w:pPr>
    </w:p>
    <w:p w14:paraId="070C1A1C" w14:textId="77777777" w:rsidR="00D810BB" w:rsidRDefault="003821B9" w:rsidP="0010753A">
      <w:pPr>
        <w:pStyle w:val="Textoindependiente"/>
        <w:spacing w:before="5"/>
        <w:rPr>
          <w:b/>
          <w:bCs/>
        </w:rPr>
      </w:pPr>
      <w:r>
        <w:rPr>
          <w:noProof/>
          <w:lang w:eastAsia="es-MX"/>
        </w:rPr>
        <w:drawing>
          <wp:inline distT="0" distB="0" distL="0" distR="0" wp14:anchorId="3396BF09" wp14:editId="392B906A">
            <wp:extent cx="6210300" cy="3381375"/>
            <wp:effectExtent l="0" t="0" r="0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4CA42C2-0116-4A24-9102-9D6C62E9AC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6525C4A" w14:textId="77777777" w:rsidR="00421186" w:rsidRDefault="00421186" w:rsidP="0010753A">
      <w:pPr>
        <w:pStyle w:val="Textoindependiente"/>
        <w:spacing w:before="5"/>
        <w:rPr>
          <w:sz w:val="16"/>
          <w:szCs w:val="16"/>
        </w:rPr>
      </w:pPr>
    </w:p>
    <w:p w14:paraId="50AB84F5" w14:textId="77777777" w:rsidR="00D810BB" w:rsidRDefault="003821B9" w:rsidP="00650BF5">
      <w:pPr>
        <w:pStyle w:val="Textoindependiente"/>
        <w:spacing w:before="5"/>
        <w:jc w:val="both"/>
        <w:rPr>
          <w:b/>
          <w:bCs/>
        </w:rPr>
      </w:pPr>
      <w:r w:rsidRPr="00E11179">
        <w:rPr>
          <w:sz w:val="16"/>
          <w:szCs w:val="16"/>
        </w:rPr>
        <w:t>Nota: solo incluye información de</w:t>
      </w:r>
      <w:r>
        <w:rPr>
          <w:sz w:val="16"/>
          <w:szCs w:val="16"/>
        </w:rPr>
        <w:t xml:space="preserve"> </w:t>
      </w:r>
      <w:r w:rsidRPr="00E11179">
        <w:rPr>
          <w:sz w:val="16"/>
          <w:szCs w:val="16"/>
        </w:rPr>
        <w:t>l</w:t>
      </w:r>
      <w:r>
        <w:rPr>
          <w:sz w:val="16"/>
          <w:szCs w:val="16"/>
        </w:rPr>
        <w:t>os</w:t>
      </w:r>
      <w:r w:rsidRPr="00E11179">
        <w:rPr>
          <w:sz w:val="16"/>
          <w:szCs w:val="16"/>
        </w:rPr>
        <w:t xml:space="preserve"> Sistema</w:t>
      </w:r>
      <w:r>
        <w:rPr>
          <w:sz w:val="16"/>
          <w:szCs w:val="16"/>
        </w:rPr>
        <w:t>s</w:t>
      </w:r>
      <w:r w:rsidRPr="00E11179">
        <w:rPr>
          <w:sz w:val="16"/>
          <w:szCs w:val="16"/>
        </w:rPr>
        <w:t xml:space="preserve"> Penal Acusatorio </w:t>
      </w:r>
      <w:r>
        <w:rPr>
          <w:sz w:val="16"/>
          <w:szCs w:val="16"/>
        </w:rPr>
        <w:t xml:space="preserve">e </w:t>
      </w:r>
      <w:r w:rsidRPr="00E11179">
        <w:rPr>
          <w:sz w:val="16"/>
          <w:szCs w:val="16"/>
        </w:rPr>
        <w:t xml:space="preserve">Integral de Justicia </w:t>
      </w:r>
      <w:r>
        <w:rPr>
          <w:sz w:val="16"/>
          <w:szCs w:val="16"/>
        </w:rPr>
        <w:t xml:space="preserve">Penal </w:t>
      </w:r>
      <w:r w:rsidRPr="00E11179">
        <w:rPr>
          <w:sz w:val="16"/>
          <w:szCs w:val="16"/>
        </w:rPr>
        <w:t>para Adolescentes</w:t>
      </w:r>
      <w:r>
        <w:rPr>
          <w:sz w:val="16"/>
          <w:szCs w:val="16"/>
        </w:rPr>
        <w:t>.</w:t>
      </w:r>
      <w:r w:rsidR="00650BF5">
        <w:rPr>
          <w:sz w:val="16"/>
          <w:szCs w:val="16"/>
        </w:rPr>
        <w:t xml:space="preserve"> </w:t>
      </w:r>
      <w:r w:rsidR="00650BF5" w:rsidRPr="00650BF5">
        <w:rPr>
          <w:sz w:val="16"/>
          <w:szCs w:val="16"/>
        </w:rPr>
        <w:t>La unidad de referencia de los datos corresponde a los procedimientos realizados en las carpetas de investigación para señalar su conclusión o determinación.</w:t>
      </w:r>
    </w:p>
    <w:p w14:paraId="5F18916E" w14:textId="77777777" w:rsidR="00D810BB" w:rsidRDefault="00D810BB" w:rsidP="0010753A">
      <w:pPr>
        <w:pStyle w:val="Textoindependiente"/>
        <w:spacing w:before="5"/>
        <w:rPr>
          <w:b/>
          <w:bCs/>
        </w:rPr>
      </w:pPr>
    </w:p>
    <w:p w14:paraId="4C900E6A" w14:textId="77777777" w:rsidR="00421186" w:rsidRDefault="00421186" w:rsidP="0010753A">
      <w:pPr>
        <w:pStyle w:val="Textoindependiente"/>
        <w:spacing w:before="5"/>
        <w:rPr>
          <w:b/>
          <w:bCs/>
        </w:rPr>
      </w:pPr>
    </w:p>
    <w:p w14:paraId="78313D2E" w14:textId="77777777" w:rsidR="00062D38" w:rsidRDefault="00062D38" w:rsidP="00062D38">
      <w:pPr>
        <w:pStyle w:val="Textoindependiente"/>
        <w:spacing w:before="5"/>
        <w:jc w:val="both"/>
        <w:rPr>
          <w:bCs/>
        </w:rPr>
      </w:pPr>
    </w:p>
    <w:p w14:paraId="6E753C42" w14:textId="3774DFC2" w:rsidR="004C5C24" w:rsidRPr="00062D38" w:rsidRDefault="004C5C24" w:rsidP="00062D38">
      <w:pPr>
        <w:pStyle w:val="Textoindependiente"/>
        <w:spacing w:before="5"/>
        <w:jc w:val="both"/>
        <w:rPr>
          <w:bCs/>
        </w:rPr>
      </w:pPr>
      <w:r w:rsidRPr="00062D38">
        <w:rPr>
          <w:bCs/>
        </w:rPr>
        <w:t xml:space="preserve">En relación con </w:t>
      </w:r>
      <w:r w:rsidR="00062D38" w:rsidRPr="00062D38">
        <w:rPr>
          <w:bCs/>
        </w:rPr>
        <w:t>las vinculaciones a proceso registradas en las carpetas de investigación</w:t>
      </w:r>
      <w:r w:rsidR="00C379EB">
        <w:rPr>
          <w:bCs/>
        </w:rPr>
        <w:t>,</w:t>
      </w:r>
      <w:r w:rsidR="00062D38" w:rsidRPr="00062D38">
        <w:rPr>
          <w:bCs/>
        </w:rPr>
        <w:t xml:space="preserve"> durante 2018 fueron decretadas 61 mil 315; de la que 96.5% se dictaron a adultos y 3.5% a adolescentes.</w:t>
      </w:r>
    </w:p>
    <w:p w14:paraId="7EF8BB0A" w14:textId="77777777" w:rsidR="00062D38" w:rsidRDefault="00062D38" w:rsidP="0010753A">
      <w:pPr>
        <w:pStyle w:val="Textoindependiente"/>
        <w:spacing w:before="5"/>
        <w:rPr>
          <w:b/>
          <w:bCs/>
        </w:rPr>
      </w:pPr>
    </w:p>
    <w:p w14:paraId="4D85D019" w14:textId="77777777" w:rsidR="00421186" w:rsidRDefault="00421186" w:rsidP="0010753A">
      <w:pPr>
        <w:pStyle w:val="Textoindependiente"/>
        <w:spacing w:before="5"/>
        <w:rPr>
          <w:b/>
          <w:bCs/>
        </w:rPr>
      </w:pPr>
    </w:p>
    <w:p w14:paraId="218D35E3" w14:textId="77777777" w:rsidR="00650BF5" w:rsidRDefault="00650BF5" w:rsidP="0010753A">
      <w:pPr>
        <w:pStyle w:val="Textoindependiente"/>
        <w:spacing w:before="5"/>
        <w:rPr>
          <w:b/>
          <w:bCs/>
        </w:rPr>
      </w:pPr>
    </w:p>
    <w:p w14:paraId="41590108" w14:textId="77777777" w:rsidR="00650BF5" w:rsidRDefault="00650BF5" w:rsidP="0010753A">
      <w:pPr>
        <w:pStyle w:val="Textoindependiente"/>
        <w:spacing w:before="5"/>
        <w:rPr>
          <w:b/>
          <w:bCs/>
        </w:rPr>
      </w:pPr>
    </w:p>
    <w:p w14:paraId="0E897942" w14:textId="77777777" w:rsidR="00650BF5" w:rsidRDefault="00650BF5" w:rsidP="0010753A">
      <w:pPr>
        <w:pStyle w:val="Textoindependiente"/>
        <w:spacing w:before="5"/>
        <w:rPr>
          <w:b/>
          <w:bCs/>
        </w:rPr>
      </w:pPr>
    </w:p>
    <w:p w14:paraId="4AFD9B4A" w14:textId="77777777" w:rsidR="00650BF5" w:rsidRDefault="00650BF5" w:rsidP="0010753A">
      <w:pPr>
        <w:pStyle w:val="Textoindependiente"/>
        <w:spacing w:before="5"/>
        <w:rPr>
          <w:b/>
          <w:bCs/>
        </w:rPr>
      </w:pPr>
    </w:p>
    <w:p w14:paraId="7E3B3634" w14:textId="77777777" w:rsidR="00650BF5" w:rsidRDefault="00650BF5" w:rsidP="0010753A">
      <w:pPr>
        <w:pStyle w:val="Textoindependiente"/>
        <w:spacing w:before="5"/>
        <w:rPr>
          <w:b/>
          <w:bCs/>
        </w:rPr>
      </w:pPr>
    </w:p>
    <w:p w14:paraId="409B5E4E" w14:textId="77777777" w:rsidR="00650BF5" w:rsidRDefault="00650BF5" w:rsidP="0010753A">
      <w:pPr>
        <w:pStyle w:val="Textoindependiente"/>
        <w:spacing w:before="5"/>
        <w:rPr>
          <w:b/>
          <w:bCs/>
        </w:rPr>
      </w:pPr>
    </w:p>
    <w:p w14:paraId="237DA217" w14:textId="77777777" w:rsidR="00650BF5" w:rsidRDefault="00650BF5" w:rsidP="0010753A">
      <w:pPr>
        <w:pStyle w:val="Textoindependiente"/>
        <w:spacing w:before="5"/>
        <w:rPr>
          <w:b/>
          <w:bCs/>
        </w:rPr>
      </w:pPr>
    </w:p>
    <w:p w14:paraId="25C01856" w14:textId="77777777" w:rsidR="00650BF5" w:rsidRDefault="00650BF5" w:rsidP="0010753A">
      <w:pPr>
        <w:pStyle w:val="Textoindependiente"/>
        <w:spacing w:before="5"/>
        <w:rPr>
          <w:b/>
          <w:bCs/>
        </w:rPr>
      </w:pPr>
    </w:p>
    <w:p w14:paraId="7B96A39F" w14:textId="77777777" w:rsidR="00062D38" w:rsidRDefault="00062D38" w:rsidP="0010753A">
      <w:pPr>
        <w:pStyle w:val="Textoindependiente"/>
        <w:spacing w:before="5"/>
        <w:rPr>
          <w:b/>
          <w:bCs/>
        </w:rPr>
      </w:pPr>
    </w:p>
    <w:p w14:paraId="389A868E" w14:textId="77777777" w:rsidR="00CC3A16" w:rsidRPr="00E13EC3" w:rsidRDefault="00E13EC3" w:rsidP="0010753A">
      <w:pPr>
        <w:pStyle w:val="Textoindependiente"/>
        <w:spacing w:before="5"/>
        <w:rPr>
          <w:b/>
          <w:bCs/>
          <w:sz w:val="20"/>
        </w:rPr>
      </w:pPr>
      <w:r w:rsidRPr="00E13EC3">
        <w:rPr>
          <w:b/>
          <w:bCs/>
        </w:rPr>
        <w:lastRenderedPageBreak/>
        <w:t>Mecanismos Alternativos de Solución de Controversias</w:t>
      </w:r>
    </w:p>
    <w:p w14:paraId="1B28C6BC" w14:textId="77777777" w:rsidR="00CC3A16" w:rsidRDefault="00CC3A16" w:rsidP="0010753A">
      <w:pPr>
        <w:pStyle w:val="Textoindependiente"/>
        <w:spacing w:before="5"/>
        <w:rPr>
          <w:sz w:val="20"/>
        </w:rPr>
      </w:pPr>
    </w:p>
    <w:p w14:paraId="065CE946" w14:textId="77777777" w:rsidR="00532317" w:rsidRDefault="00532317" w:rsidP="002F45A2">
      <w:pPr>
        <w:pStyle w:val="Textoindependiente"/>
        <w:jc w:val="both"/>
      </w:pPr>
    </w:p>
    <w:p w14:paraId="356DE724" w14:textId="28CD9E51" w:rsidR="00532317" w:rsidRDefault="00CC3A16" w:rsidP="002F45A2">
      <w:pPr>
        <w:pStyle w:val="Textoindependiente"/>
        <w:jc w:val="both"/>
      </w:pPr>
      <w:r w:rsidRPr="00CC3A16">
        <w:t xml:space="preserve">Por último, durante 2018 se abrieron </w:t>
      </w:r>
      <w:r w:rsidR="001D5F25" w:rsidRPr="001D5F25">
        <w:t>257</w:t>
      </w:r>
      <w:r w:rsidR="001D5F25">
        <w:t xml:space="preserve"> mil </w:t>
      </w:r>
      <w:r w:rsidR="001D5F25" w:rsidRPr="001D5F25">
        <w:t>154</w:t>
      </w:r>
      <w:r w:rsidR="001D5F25">
        <w:t xml:space="preserve"> </w:t>
      </w:r>
      <w:r w:rsidRPr="00CC3A16">
        <w:t>expedientes</w:t>
      </w:r>
      <w:r w:rsidR="006C0F8E">
        <w:t xml:space="preserve"> en materia penal y justicia para adolescentes</w:t>
      </w:r>
      <w:r w:rsidRPr="00CC3A16">
        <w:t xml:space="preserve"> en los órganos o unidades especializados en la aplicación de los Mecanismos Alternativos de Solución de Controversias</w:t>
      </w:r>
      <w:r w:rsidR="001D5F25">
        <w:t xml:space="preserve">. </w:t>
      </w:r>
    </w:p>
    <w:p w14:paraId="54491935" w14:textId="77777777" w:rsidR="00532317" w:rsidRDefault="00532317" w:rsidP="002F45A2">
      <w:pPr>
        <w:pStyle w:val="Textoindependiente"/>
        <w:jc w:val="both"/>
      </w:pPr>
    </w:p>
    <w:p w14:paraId="1358EAE3" w14:textId="77777777" w:rsidR="00CC3A16" w:rsidRDefault="001D5F25" w:rsidP="002F45A2">
      <w:pPr>
        <w:pStyle w:val="Textoindependiente"/>
        <w:jc w:val="both"/>
      </w:pPr>
      <w:r>
        <w:t>En el mismo periodo se concluyeron</w:t>
      </w:r>
      <w:r w:rsidRPr="001D5F25">
        <w:t xml:space="preserve"> 242 </w:t>
      </w:r>
      <w:r>
        <w:t xml:space="preserve">mil </w:t>
      </w:r>
      <w:r w:rsidRPr="001D5F25">
        <w:t>588</w:t>
      </w:r>
      <w:r>
        <w:t xml:space="preserve"> y </w:t>
      </w:r>
      <w:r w:rsidRPr="001D5F25">
        <w:t>20</w:t>
      </w:r>
      <w:r>
        <w:t xml:space="preserve"> mil</w:t>
      </w:r>
      <w:r w:rsidRPr="001D5F25">
        <w:t xml:space="preserve"> 610</w:t>
      </w:r>
      <w:r>
        <w:t xml:space="preserve"> permanecieron pendientes al cierre del año</w:t>
      </w:r>
      <w:r w:rsidR="00D810BB">
        <w:rPr>
          <w:rStyle w:val="Refdenotaalpie"/>
        </w:rPr>
        <w:footnoteReference w:id="11"/>
      </w:r>
      <w:r w:rsidR="00F34062">
        <w:t>:</w:t>
      </w:r>
    </w:p>
    <w:p w14:paraId="5537B7C4" w14:textId="77777777" w:rsidR="00CC3A16" w:rsidRDefault="00CC3A16" w:rsidP="00CC3A16">
      <w:pPr>
        <w:jc w:val="both"/>
        <w:rPr>
          <w:sz w:val="24"/>
          <w:szCs w:val="24"/>
        </w:rPr>
      </w:pPr>
    </w:p>
    <w:p w14:paraId="5591C7F9" w14:textId="04F52248" w:rsidR="00CC3A16" w:rsidRDefault="00CC3A16" w:rsidP="00022688">
      <w:pPr>
        <w:spacing w:before="162" w:line="274" w:lineRule="exact"/>
        <w:ind w:right="141"/>
        <w:jc w:val="center"/>
        <w:rPr>
          <w:i/>
          <w:sz w:val="24"/>
        </w:rPr>
      </w:pPr>
      <w:r>
        <w:rPr>
          <w:i/>
          <w:sz w:val="24"/>
        </w:rPr>
        <w:t xml:space="preserve">Gráfica </w:t>
      </w:r>
      <w:r w:rsidR="00E13EC3">
        <w:rPr>
          <w:i/>
          <w:sz w:val="24"/>
        </w:rPr>
        <w:t>1</w:t>
      </w:r>
      <w:r w:rsidR="00E77B0F">
        <w:rPr>
          <w:i/>
          <w:sz w:val="24"/>
        </w:rPr>
        <w:t>1</w:t>
      </w:r>
      <w:r>
        <w:rPr>
          <w:i/>
          <w:sz w:val="24"/>
        </w:rPr>
        <w:t xml:space="preserve">. </w:t>
      </w:r>
      <w:r w:rsidR="003402DA">
        <w:rPr>
          <w:i/>
          <w:sz w:val="24"/>
        </w:rPr>
        <w:t>Flujo de expedientes conocidos por</w:t>
      </w:r>
      <w:r>
        <w:rPr>
          <w:i/>
          <w:sz w:val="24"/>
        </w:rPr>
        <w:t xml:space="preserve"> los órganos</w:t>
      </w:r>
      <w:r w:rsidR="003402DA">
        <w:rPr>
          <w:i/>
          <w:sz w:val="24"/>
        </w:rPr>
        <w:t xml:space="preserve"> o unidades</w:t>
      </w:r>
      <w:r>
        <w:rPr>
          <w:i/>
          <w:sz w:val="24"/>
        </w:rPr>
        <w:t xml:space="preserve"> </w:t>
      </w:r>
      <w:r w:rsidR="003402DA">
        <w:rPr>
          <w:i/>
          <w:sz w:val="24"/>
        </w:rPr>
        <w:t>encargadas de la aplicación de</w:t>
      </w:r>
      <w:r>
        <w:rPr>
          <w:i/>
          <w:sz w:val="24"/>
        </w:rPr>
        <w:t xml:space="preserve"> </w:t>
      </w:r>
      <w:r w:rsidR="0013634D">
        <w:rPr>
          <w:i/>
          <w:sz w:val="24"/>
        </w:rPr>
        <w:t>M</w:t>
      </w:r>
      <w:r>
        <w:rPr>
          <w:i/>
          <w:sz w:val="24"/>
        </w:rPr>
        <w:t xml:space="preserve">ecanismos </w:t>
      </w:r>
      <w:r w:rsidR="0013634D">
        <w:rPr>
          <w:i/>
          <w:sz w:val="24"/>
        </w:rPr>
        <w:t>A</w:t>
      </w:r>
      <w:r>
        <w:rPr>
          <w:i/>
          <w:sz w:val="24"/>
        </w:rPr>
        <w:t xml:space="preserve">lternativos de </w:t>
      </w:r>
      <w:r w:rsidR="0013634D">
        <w:rPr>
          <w:i/>
          <w:sz w:val="24"/>
        </w:rPr>
        <w:t>S</w:t>
      </w:r>
      <w:r>
        <w:rPr>
          <w:i/>
          <w:sz w:val="24"/>
        </w:rPr>
        <w:t xml:space="preserve">olución de </w:t>
      </w:r>
      <w:r w:rsidR="0013634D">
        <w:rPr>
          <w:i/>
          <w:sz w:val="24"/>
        </w:rPr>
        <w:t>C</w:t>
      </w:r>
      <w:r>
        <w:rPr>
          <w:i/>
          <w:sz w:val="24"/>
        </w:rPr>
        <w:t>ontroversias, 2018</w:t>
      </w:r>
    </w:p>
    <w:p w14:paraId="54B17944" w14:textId="77777777" w:rsidR="00CC3A16" w:rsidRDefault="00CC3A16" w:rsidP="00CC3A16">
      <w:pPr>
        <w:pStyle w:val="Textoindependiente"/>
        <w:ind w:left="101" w:right="112"/>
        <w:jc w:val="both"/>
      </w:pPr>
    </w:p>
    <w:p w14:paraId="37860F6E" w14:textId="77777777" w:rsidR="00CC3A16" w:rsidRDefault="003402DA" w:rsidP="003402DA">
      <w:pPr>
        <w:pStyle w:val="Textoindependiente"/>
        <w:jc w:val="center"/>
        <w:rPr>
          <w:sz w:val="26"/>
        </w:rPr>
      </w:pPr>
      <w:r>
        <w:rPr>
          <w:noProof/>
          <w:lang w:eastAsia="es-MX"/>
        </w:rPr>
        <w:drawing>
          <wp:inline distT="0" distB="0" distL="0" distR="0" wp14:anchorId="57500BAC" wp14:editId="34DCA52B">
            <wp:extent cx="4572000" cy="2424223"/>
            <wp:effectExtent l="0" t="0" r="0" b="0"/>
            <wp:docPr id="34" name="Gráfico 3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F75E4A-AD81-4F8E-BB45-C427CF213D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D0AADC1" w14:textId="77777777" w:rsidR="00CC3A16" w:rsidRDefault="00CC3A16" w:rsidP="00CC3A16">
      <w:pPr>
        <w:pStyle w:val="Textoindependiente"/>
        <w:rPr>
          <w:sz w:val="26"/>
        </w:rPr>
      </w:pPr>
    </w:p>
    <w:p w14:paraId="0DB880D6" w14:textId="77777777" w:rsidR="00CC3A16" w:rsidRPr="00BB24D4" w:rsidRDefault="00BB24D4" w:rsidP="00BB24D4">
      <w:pPr>
        <w:pStyle w:val="Textoindependiente"/>
        <w:jc w:val="both"/>
        <w:rPr>
          <w:sz w:val="16"/>
          <w:szCs w:val="16"/>
        </w:rPr>
      </w:pPr>
      <w:r w:rsidRPr="00BB24D4">
        <w:rPr>
          <w:sz w:val="16"/>
          <w:szCs w:val="16"/>
        </w:rPr>
        <w:t>Nota: la categoría Concluidos s</w:t>
      </w:r>
      <w:r>
        <w:rPr>
          <w:sz w:val="16"/>
          <w:szCs w:val="16"/>
        </w:rPr>
        <w:t xml:space="preserve">e refiere a </w:t>
      </w:r>
      <w:r w:rsidRPr="00BB24D4">
        <w:rPr>
          <w:sz w:val="16"/>
          <w:szCs w:val="16"/>
        </w:rPr>
        <w:t>expedientes concluidos con una solución mutuamente acordada por los intervinientes a través de un acuerdo reparatorio celebrado y autorizado, además de los concluidos de forma anticipada sin lograr un acuerdo y los concluidos por cualquier otra causa. La categoría Pendientes de concluir incluye expedientes y solicitudes en revisión de aceptabilidad para iniciar un mecanismo de solución de controversias.</w:t>
      </w:r>
    </w:p>
    <w:p w14:paraId="7A333C4C" w14:textId="77777777" w:rsidR="00BB24D4" w:rsidRDefault="00BB24D4" w:rsidP="00CC3A16">
      <w:pPr>
        <w:pStyle w:val="Textoindependiente"/>
        <w:rPr>
          <w:sz w:val="26"/>
        </w:rPr>
      </w:pPr>
    </w:p>
    <w:p w14:paraId="1A9D3668" w14:textId="77777777" w:rsidR="00BB24D4" w:rsidRDefault="00BB24D4" w:rsidP="00CC3A16">
      <w:pPr>
        <w:pStyle w:val="Textoindependiente"/>
        <w:rPr>
          <w:sz w:val="26"/>
        </w:rPr>
      </w:pPr>
    </w:p>
    <w:p w14:paraId="1C3D04EE" w14:textId="77777777" w:rsidR="00BB24D4" w:rsidRDefault="00BB24D4" w:rsidP="002F45A2">
      <w:pPr>
        <w:pStyle w:val="Textoindependiente"/>
        <w:jc w:val="both"/>
      </w:pPr>
    </w:p>
    <w:p w14:paraId="6BF2ED6F" w14:textId="77777777" w:rsidR="00BB24D4" w:rsidRDefault="00BB24D4" w:rsidP="002F45A2">
      <w:pPr>
        <w:pStyle w:val="Textoindependiente"/>
        <w:jc w:val="both"/>
      </w:pPr>
    </w:p>
    <w:p w14:paraId="618BA665" w14:textId="77777777" w:rsidR="00BB24D4" w:rsidRDefault="00BB24D4" w:rsidP="002F45A2">
      <w:pPr>
        <w:pStyle w:val="Textoindependiente"/>
        <w:jc w:val="both"/>
      </w:pPr>
    </w:p>
    <w:p w14:paraId="457B6042" w14:textId="77777777" w:rsidR="00BB24D4" w:rsidRDefault="00BB24D4" w:rsidP="002F45A2">
      <w:pPr>
        <w:pStyle w:val="Textoindependiente"/>
        <w:jc w:val="both"/>
      </w:pPr>
    </w:p>
    <w:p w14:paraId="2928AF93" w14:textId="77777777" w:rsidR="00BB24D4" w:rsidRDefault="00BB24D4" w:rsidP="002F45A2">
      <w:pPr>
        <w:pStyle w:val="Textoindependiente"/>
        <w:jc w:val="both"/>
      </w:pPr>
    </w:p>
    <w:p w14:paraId="18E46DF3" w14:textId="77777777" w:rsidR="00BB24D4" w:rsidRDefault="00BB24D4" w:rsidP="002F45A2">
      <w:pPr>
        <w:pStyle w:val="Textoindependiente"/>
        <w:jc w:val="both"/>
      </w:pPr>
    </w:p>
    <w:p w14:paraId="0E5ACB10" w14:textId="77777777" w:rsidR="00BB24D4" w:rsidRDefault="00BB24D4" w:rsidP="002F45A2">
      <w:pPr>
        <w:pStyle w:val="Textoindependiente"/>
        <w:jc w:val="both"/>
      </w:pPr>
    </w:p>
    <w:p w14:paraId="4C2CD8BD" w14:textId="77777777" w:rsidR="00BB24D4" w:rsidRDefault="00BB24D4" w:rsidP="002F45A2">
      <w:pPr>
        <w:pStyle w:val="Textoindependiente"/>
        <w:jc w:val="both"/>
      </w:pPr>
    </w:p>
    <w:p w14:paraId="6F839FC7" w14:textId="77777777" w:rsidR="00BB24D4" w:rsidRDefault="00BB24D4" w:rsidP="002F45A2">
      <w:pPr>
        <w:pStyle w:val="Textoindependiente"/>
        <w:jc w:val="both"/>
      </w:pPr>
    </w:p>
    <w:p w14:paraId="27957C52" w14:textId="77777777" w:rsidR="00BB24D4" w:rsidRDefault="00BB24D4" w:rsidP="002F45A2">
      <w:pPr>
        <w:pStyle w:val="Textoindependiente"/>
        <w:jc w:val="both"/>
      </w:pPr>
    </w:p>
    <w:p w14:paraId="2CCF2657" w14:textId="77777777" w:rsidR="00532317" w:rsidRDefault="00532317" w:rsidP="002F45A2">
      <w:pPr>
        <w:pStyle w:val="Textoindependiente"/>
        <w:jc w:val="both"/>
      </w:pPr>
    </w:p>
    <w:p w14:paraId="21FE9533" w14:textId="5F884E8F" w:rsidR="00532317" w:rsidRDefault="002F45A2" w:rsidP="002F45A2">
      <w:pPr>
        <w:pStyle w:val="Textoindependiente"/>
        <w:jc w:val="both"/>
      </w:pPr>
      <w:r w:rsidRPr="00CC3A16">
        <w:lastRenderedPageBreak/>
        <w:t>De</w:t>
      </w:r>
      <w:r>
        <w:t>l total de expedientes abiertos</w:t>
      </w:r>
      <w:r w:rsidR="0013634D">
        <w:t xml:space="preserve"> en los Mecanismos Alternativos de Solución de C</w:t>
      </w:r>
      <w:r w:rsidR="00CC42B7">
        <w:t>ontroversias</w:t>
      </w:r>
      <w:r>
        <w:t>,</w:t>
      </w:r>
      <w:r w:rsidRPr="00CC3A16">
        <w:t xml:space="preserve"> </w:t>
      </w:r>
      <w:r>
        <w:t>98.1</w:t>
      </w:r>
      <w:r w:rsidRPr="00CC3A16">
        <w:t xml:space="preserve">% correspondió a la materia penal para adultos y </w:t>
      </w:r>
      <w:r>
        <w:t>1.9%</w:t>
      </w:r>
      <w:r w:rsidRPr="00CC3A16">
        <w:t xml:space="preserve"> a justicia para adolescentes</w:t>
      </w:r>
      <w:r>
        <w:t xml:space="preserve">. </w:t>
      </w:r>
    </w:p>
    <w:p w14:paraId="3EAE84D8" w14:textId="77777777" w:rsidR="00532317" w:rsidRDefault="00532317" w:rsidP="002F45A2">
      <w:pPr>
        <w:pStyle w:val="Textoindependiente"/>
        <w:jc w:val="both"/>
      </w:pPr>
    </w:p>
    <w:p w14:paraId="482B189A" w14:textId="77777777" w:rsidR="002F45A2" w:rsidRDefault="002F45A2" w:rsidP="002F45A2">
      <w:pPr>
        <w:pStyle w:val="Textoindependiente"/>
        <w:jc w:val="both"/>
      </w:pPr>
      <w:r>
        <w:t>En cuanto a la entidad con la mayor cantidad de expedientes abiertos</w:t>
      </w:r>
      <w:r w:rsidR="00532317">
        <w:t>,</w:t>
      </w:r>
      <w:r>
        <w:t xml:space="preserve"> en ambas materias</w:t>
      </w:r>
      <w:r w:rsidR="00532317">
        <w:t>,</w:t>
      </w:r>
      <w:r>
        <w:t xml:space="preserve"> se encuentra Guanajuato con 32</w:t>
      </w:r>
      <w:r w:rsidR="00F34062">
        <w:t xml:space="preserve"> mil</w:t>
      </w:r>
      <w:r>
        <w:t xml:space="preserve"> 696 cifra que representó el 12.7%</w:t>
      </w:r>
      <w:r w:rsidR="00532317">
        <w:t xml:space="preserve"> del total nacional</w:t>
      </w:r>
      <w:r>
        <w:t xml:space="preserve">. </w:t>
      </w:r>
    </w:p>
    <w:p w14:paraId="385BA662" w14:textId="77777777" w:rsidR="002F45A2" w:rsidRDefault="002F45A2" w:rsidP="002F45A2">
      <w:pPr>
        <w:jc w:val="both"/>
        <w:rPr>
          <w:sz w:val="24"/>
          <w:szCs w:val="24"/>
        </w:rPr>
      </w:pPr>
    </w:p>
    <w:p w14:paraId="4F596BD1" w14:textId="16A69E49" w:rsidR="003402DA" w:rsidRPr="00071A0F" w:rsidRDefault="003402DA" w:rsidP="00071A0F">
      <w:pPr>
        <w:tabs>
          <w:tab w:val="left" w:pos="3433"/>
        </w:tabs>
        <w:jc w:val="center"/>
        <w:rPr>
          <w:sz w:val="26"/>
        </w:rPr>
      </w:pPr>
      <w:r w:rsidRPr="002F45A2">
        <w:rPr>
          <w:i/>
          <w:sz w:val="24"/>
        </w:rPr>
        <w:t xml:space="preserve">Gráfica </w:t>
      </w:r>
      <w:r w:rsidR="00E13EC3">
        <w:rPr>
          <w:i/>
          <w:sz w:val="24"/>
        </w:rPr>
        <w:t>1</w:t>
      </w:r>
      <w:r w:rsidR="00E77B0F">
        <w:rPr>
          <w:i/>
          <w:sz w:val="24"/>
        </w:rPr>
        <w:t>2</w:t>
      </w:r>
      <w:r w:rsidRPr="002F45A2">
        <w:rPr>
          <w:i/>
          <w:sz w:val="24"/>
        </w:rPr>
        <w:t>.</w:t>
      </w:r>
      <w:r>
        <w:rPr>
          <w:i/>
          <w:sz w:val="24"/>
        </w:rPr>
        <w:t xml:space="preserve"> Expedientes abiertos por los órganos</w:t>
      </w:r>
      <w:r w:rsidR="002F45A2">
        <w:rPr>
          <w:i/>
          <w:sz w:val="24"/>
        </w:rPr>
        <w:t xml:space="preserve"> o unidades encargadas</w:t>
      </w:r>
      <w:r>
        <w:rPr>
          <w:i/>
          <w:sz w:val="24"/>
        </w:rPr>
        <w:t xml:space="preserve"> </w:t>
      </w:r>
      <w:r w:rsidR="002F45A2">
        <w:rPr>
          <w:i/>
          <w:sz w:val="24"/>
        </w:rPr>
        <w:t>de la aplicación de</w:t>
      </w:r>
      <w:r w:rsidR="0013634D">
        <w:rPr>
          <w:i/>
          <w:sz w:val="24"/>
        </w:rPr>
        <w:t xml:space="preserve"> M</w:t>
      </w:r>
      <w:r>
        <w:rPr>
          <w:i/>
          <w:sz w:val="24"/>
        </w:rPr>
        <w:t xml:space="preserve">ecanismos </w:t>
      </w:r>
      <w:r w:rsidR="0013634D">
        <w:rPr>
          <w:i/>
          <w:sz w:val="24"/>
        </w:rPr>
        <w:t>A</w:t>
      </w:r>
      <w:r>
        <w:rPr>
          <w:i/>
          <w:sz w:val="24"/>
        </w:rPr>
        <w:t xml:space="preserve">lternativos de </w:t>
      </w:r>
      <w:r w:rsidR="0013634D">
        <w:rPr>
          <w:i/>
          <w:sz w:val="24"/>
        </w:rPr>
        <w:t>S</w:t>
      </w:r>
      <w:r>
        <w:rPr>
          <w:i/>
          <w:sz w:val="24"/>
        </w:rPr>
        <w:t xml:space="preserve">olución de </w:t>
      </w:r>
      <w:r w:rsidR="0013634D">
        <w:rPr>
          <w:i/>
          <w:sz w:val="24"/>
        </w:rPr>
        <w:t>C</w:t>
      </w:r>
      <w:r>
        <w:rPr>
          <w:i/>
          <w:sz w:val="24"/>
        </w:rPr>
        <w:t>ontroversias, por entidad federativa, 2018</w:t>
      </w:r>
      <w:r>
        <w:t>.</w:t>
      </w:r>
    </w:p>
    <w:p w14:paraId="348A0226" w14:textId="491DFF3C" w:rsidR="0010753A" w:rsidRDefault="00BC1C50" w:rsidP="00BC1C50">
      <w:pPr>
        <w:pStyle w:val="Textoindependiente"/>
        <w:spacing w:before="10"/>
        <w:jc w:val="center"/>
        <w:rPr>
          <w:i/>
          <w:sz w:val="17"/>
        </w:rPr>
      </w:pPr>
      <w:r>
        <w:rPr>
          <w:noProof/>
          <w:lang w:eastAsia="es-MX"/>
        </w:rPr>
        <w:drawing>
          <wp:inline distT="0" distB="0" distL="0" distR="0" wp14:anchorId="58F8D11A" wp14:editId="1BF0844D">
            <wp:extent cx="4938395" cy="5819775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396EFB-F7FB-4366-81D9-65845FE052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1ED56BA7" w14:textId="7C8FB636" w:rsidR="00B66EAA" w:rsidRDefault="00B66EAA" w:rsidP="00BC1C50">
      <w:pPr>
        <w:pStyle w:val="Textoindependiente"/>
        <w:spacing w:before="10"/>
        <w:jc w:val="center"/>
        <w:rPr>
          <w:i/>
          <w:sz w:val="17"/>
        </w:rPr>
      </w:pPr>
    </w:p>
    <w:p w14:paraId="304E3FF0" w14:textId="44AC648C" w:rsidR="00B66EAA" w:rsidRPr="00B66EAA" w:rsidRDefault="00B66EAA" w:rsidP="00B66EAA">
      <w:pPr>
        <w:pStyle w:val="Textoindependiente"/>
        <w:spacing w:before="10"/>
        <w:jc w:val="center"/>
        <w:rPr>
          <w:b/>
          <w:bCs/>
          <w:i/>
        </w:rPr>
      </w:pPr>
      <w:r w:rsidRPr="00B66EAA">
        <w:rPr>
          <w:b/>
          <w:bCs/>
          <w:i/>
        </w:rPr>
        <w:t>***********</w:t>
      </w:r>
    </w:p>
    <w:sectPr w:rsidR="00B66EAA" w:rsidRPr="00B66EAA" w:rsidSect="00B66EAA">
      <w:headerReference w:type="default" r:id="rId35"/>
      <w:footerReference w:type="default" r:id="rId36"/>
      <w:pgSz w:w="12240" w:h="15840"/>
      <w:pgMar w:top="709" w:right="1160" w:bottom="1135" w:left="1300" w:header="426" w:footer="5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295C3" w14:textId="77777777" w:rsidR="009E3D0B" w:rsidRDefault="009E3D0B">
      <w:r>
        <w:separator/>
      </w:r>
    </w:p>
  </w:endnote>
  <w:endnote w:type="continuationSeparator" w:id="0">
    <w:p w14:paraId="6CFE5407" w14:textId="77777777" w:rsidR="009E3D0B" w:rsidRDefault="009E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59448" w14:textId="45AF9C97" w:rsidR="001B0B62" w:rsidRDefault="001B0B62" w:rsidP="00981967">
    <w:pPr>
      <w:pStyle w:val="Piedepgina"/>
    </w:pPr>
  </w:p>
  <w:p w14:paraId="7D172A83" w14:textId="6EE9589F" w:rsidR="00981967" w:rsidRPr="00981967" w:rsidRDefault="00981967" w:rsidP="00981967">
    <w:pPr>
      <w:pStyle w:val="Piedepgina"/>
      <w:jc w:val="center"/>
      <w:rPr>
        <w:b/>
        <w:bCs/>
        <w:color w:val="002060"/>
        <w:sz w:val="20"/>
        <w:szCs w:val="20"/>
      </w:rPr>
    </w:pPr>
    <w:r w:rsidRPr="00981967">
      <w:rPr>
        <w:b/>
        <w:bCs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22EEA" w14:textId="1B1336A5" w:rsidR="001B0B62" w:rsidRPr="00B66EAA" w:rsidRDefault="00B66EAA" w:rsidP="00B66EAA">
    <w:pPr>
      <w:pStyle w:val="Piedepgina"/>
      <w:jc w:val="center"/>
      <w:rPr>
        <w:b/>
        <w:bCs/>
        <w:color w:val="002060"/>
        <w:sz w:val="20"/>
        <w:szCs w:val="20"/>
      </w:rPr>
    </w:pPr>
    <w:r w:rsidRPr="00B66EAA">
      <w:rPr>
        <w:b/>
        <w:bCs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57469" w14:textId="77777777" w:rsidR="009E3D0B" w:rsidRDefault="009E3D0B">
      <w:r>
        <w:separator/>
      </w:r>
    </w:p>
  </w:footnote>
  <w:footnote w:type="continuationSeparator" w:id="0">
    <w:p w14:paraId="4B584DC8" w14:textId="77777777" w:rsidR="009E3D0B" w:rsidRDefault="009E3D0B">
      <w:r>
        <w:continuationSeparator/>
      </w:r>
    </w:p>
  </w:footnote>
  <w:footnote w:id="1">
    <w:p w14:paraId="46571953" w14:textId="082ABBA5" w:rsidR="003A3E1A" w:rsidRPr="003A3E1A" w:rsidRDefault="003A3E1A" w:rsidP="00981967">
      <w:pPr>
        <w:pStyle w:val="Textonotapie"/>
        <w:ind w:left="-426" w:hanging="141"/>
        <w:jc w:val="both"/>
        <w:rPr>
          <w:rFonts w:ascii="Arial" w:hAnsi="Arial" w:cs="Arial"/>
          <w:sz w:val="16"/>
          <w:szCs w:val="16"/>
        </w:rPr>
      </w:pPr>
      <w:r w:rsidRPr="003A3E1A">
        <w:rPr>
          <w:rStyle w:val="Refdenotaalpie"/>
          <w:rFonts w:ascii="Arial" w:hAnsi="Arial" w:cs="Arial"/>
          <w:sz w:val="16"/>
          <w:szCs w:val="16"/>
        </w:rPr>
        <w:footnoteRef/>
      </w:r>
      <w:r w:rsidRPr="003A3E1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La información sobre la estructura organizacional y recursos de estado de Sinaloa </w:t>
      </w:r>
      <w:r w:rsidR="00705153">
        <w:rPr>
          <w:rFonts w:ascii="Arial" w:hAnsi="Arial" w:cs="Arial"/>
          <w:sz w:val="16"/>
          <w:szCs w:val="16"/>
        </w:rPr>
        <w:t>es</w:t>
      </w:r>
      <w:r>
        <w:rPr>
          <w:rFonts w:ascii="Arial" w:hAnsi="Arial" w:cs="Arial"/>
          <w:sz w:val="16"/>
          <w:szCs w:val="16"/>
        </w:rPr>
        <w:t xml:space="preserve"> preliminar</w:t>
      </w:r>
      <w:r w:rsidR="00291D93">
        <w:rPr>
          <w:rFonts w:ascii="Arial" w:hAnsi="Arial" w:cs="Arial"/>
          <w:sz w:val="16"/>
          <w:szCs w:val="16"/>
        </w:rPr>
        <w:t>.</w:t>
      </w:r>
    </w:p>
  </w:footnote>
  <w:footnote w:id="2">
    <w:p w14:paraId="425EFC67" w14:textId="65AC1228" w:rsidR="00CE6BEE" w:rsidRPr="003A3E1A" w:rsidRDefault="00CE6BEE" w:rsidP="00981967">
      <w:pPr>
        <w:pStyle w:val="Textonotapie"/>
        <w:ind w:left="-426" w:hanging="141"/>
        <w:jc w:val="both"/>
        <w:rPr>
          <w:rFonts w:ascii="Arial" w:hAnsi="Arial" w:cs="Arial"/>
          <w:sz w:val="16"/>
          <w:szCs w:val="16"/>
        </w:rPr>
      </w:pPr>
      <w:r w:rsidRPr="003A3E1A">
        <w:rPr>
          <w:rStyle w:val="Refdenotaalpie"/>
          <w:rFonts w:ascii="Arial" w:hAnsi="Arial" w:cs="Arial"/>
          <w:sz w:val="16"/>
          <w:szCs w:val="16"/>
        </w:rPr>
        <w:footnoteRef/>
      </w:r>
      <w:r w:rsidRPr="003A3E1A">
        <w:rPr>
          <w:rFonts w:ascii="Arial" w:hAnsi="Arial" w:cs="Arial"/>
          <w:sz w:val="16"/>
          <w:szCs w:val="16"/>
        </w:rPr>
        <w:t xml:space="preserve"> </w:t>
      </w:r>
      <w:r w:rsidR="002A223D" w:rsidRPr="003A3E1A">
        <w:rPr>
          <w:rFonts w:ascii="Arial" w:hAnsi="Arial" w:cs="Arial"/>
          <w:sz w:val="16"/>
          <w:szCs w:val="16"/>
        </w:rPr>
        <w:t>Las averiguaciones previas e investigaciones corresponden al Sistema T</w:t>
      </w:r>
      <w:r w:rsidR="005D7071" w:rsidRPr="003A3E1A">
        <w:rPr>
          <w:rFonts w:ascii="Arial" w:hAnsi="Arial" w:cs="Arial"/>
          <w:sz w:val="16"/>
          <w:szCs w:val="16"/>
        </w:rPr>
        <w:t>r</w:t>
      </w:r>
      <w:r w:rsidR="002A223D" w:rsidRPr="003A3E1A">
        <w:rPr>
          <w:rFonts w:ascii="Arial" w:hAnsi="Arial" w:cs="Arial"/>
          <w:sz w:val="16"/>
          <w:szCs w:val="16"/>
        </w:rPr>
        <w:t xml:space="preserve">adicional para adultos y al Sistema Escrito o Mixto y Oral para adolescentes, mientras que las carpetas de investigación corresponden al Sistema Penal Acusatorio y al Sistema Integral de Justicia Penal para Adolescentes. </w:t>
      </w:r>
      <w:r w:rsidRPr="003A3E1A">
        <w:rPr>
          <w:rFonts w:ascii="Arial" w:hAnsi="Arial" w:cs="Arial"/>
          <w:sz w:val="16"/>
          <w:szCs w:val="16"/>
        </w:rPr>
        <w:t xml:space="preserve">Para </w:t>
      </w:r>
      <w:r w:rsidR="008F634F" w:rsidRPr="003A3E1A">
        <w:rPr>
          <w:rFonts w:ascii="Arial" w:hAnsi="Arial" w:cs="Arial"/>
          <w:sz w:val="16"/>
          <w:szCs w:val="16"/>
        </w:rPr>
        <w:t>el estado de Sinaloa solo se incluye información de adolescentes</w:t>
      </w:r>
      <w:r w:rsidRPr="003A3E1A">
        <w:rPr>
          <w:rFonts w:ascii="Arial" w:hAnsi="Arial" w:cs="Arial"/>
          <w:sz w:val="16"/>
          <w:szCs w:val="16"/>
        </w:rPr>
        <w:t>. Lo anterior debido a que a la fecha de corte para la publicación de los presentes resultados, no se ha concluido en su totalidad el proceso de generación de información estadística con la entidad federativa. Se contin</w:t>
      </w:r>
      <w:r w:rsidR="00CC42B7">
        <w:rPr>
          <w:rFonts w:ascii="Arial" w:hAnsi="Arial" w:cs="Arial"/>
          <w:sz w:val="16"/>
          <w:szCs w:val="16"/>
        </w:rPr>
        <w:t>ú</w:t>
      </w:r>
      <w:r w:rsidRPr="003A3E1A">
        <w:rPr>
          <w:rFonts w:ascii="Arial" w:hAnsi="Arial" w:cs="Arial"/>
          <w:sz w:val="16"/>
          <w:szCs w:val="16"/>
        </w:rPr>
        <w:t>a en la fase de captación y revisión primaria. Los datos se publicarán en una actualización posterior.</w:t>
      </w:r>
    </w:p>
  </w:footnote>
  <w:footnote w:id="3">
    <w:p w14:paraId="5105D628" w14:textId="3179ECA0" w:rsidR="00B72E00" w:rsidRPr="003A3E1A" w:rsidRDefault="00B72E00" w:rsidP="00981967">
      <w:pPr>
        <w:pStyle w:val="Textonotapie"/>
        <w:ind w:left="-426" w:hanging="141"/>
        <w:jc w:val="both"/>
        <w:rPr>
          <w:rFonts w:ascii="Arial" w:hAnsi="Arial" w:cs="Arial"/>
          <w:sz w:val="16"/>
          <w:szCs w:val="16"/>
        </w:rPr>
      </w:pPr>
      <w:r w:rsidRPr="003A3E1A">
        <w:rPr>
          <w:rStyle w:val="Refdenotaalpie"/>
          <w:rFonts w:ascii="Arial" w:hAnsi="Arial" w:cs="Arial"/>
          <w:sz w:val="16"/>
          <w:szCs w:val="16"/>
        </w:rPr>
        <w:footnoteRef/>
      </w:r>
      <w:r w:rsidRPr="003A3E1A">
        <w:rPr>
          <w:rFonts w:ascii="Arial" w:hAnsi="Arial" w:cs="Arial"/>
          <w:sz w:val="16"/>
          <w:szCs w:val="16"/>
        </w:rPr>
        <w:t xml:space="preserve"> </w:t>
      </w:r>
      <w:r w:rsidR="006D32F0" w:rsidRPr="003A3E1A">
        <w:rPr>
          <w:rFonts w:ascii="Arial" w:hAnsi="Arial" w:cs="Arial"/>
          <w:sz w:val="16"/>
          <w:szCs w:val="16"/>
        </w:rPr>
        <w:t>En todos estos casos</w:t>
      </w:r>
      <w:r w:rsidR="00CC42B7">
        <w:rPr>
          <w:rFonts w:ascii="Arial" w:hAnsi="Arial" w:cs="Arial"/>
          <w:sz w:val="16"/>
          <w:szCs w:val="16"/>
        </w:rPr>
        <w:t>,</w:t>
      </w:r>
      <w:r w:rsidR="006D32F0" w:rsidRPr="003A3E1A">
        <w:rPr>
          <w:rFonts w:ascii="Arial" w:hAnsi="Arial" w:cs="Arial"/>
          <w:sz w:val="16"/>
          <w:szCs w:val="16"/>
        </w:rPr>
        <w:t xml:space="preserve"> la unidad de referencia de los datos corresponde a los procedimientos realizados en las averiguaciones previas e investigaciones y carpetas de investigación.</w:t>
      </w:r>
    </w:p>
  </w:footnote>
  <w:footnote w:id="4">
    <w:p w14:paraId="67F59518" w14:textId="77777777" w:rsidR="00344565" w:rsidRPr="00344565" w:rsidRDefault="00344565" w:rsidP="00981967">
      <w:pPr>
        <w:pStyle w:val="Textonotapie"/>
        <w:ind w:left="-426" w:hanging="141"/>
        <w:jc w:val="both"/>
        <w:rPr>
          <w:rFonts w:ascii="Arial" w:hAnsi="Arial" w:cs="Arial"/>
          <w:sz w:val="16"/>
          <w:szCs w:val="16"/>
        </w:rPr>
      </w:pPr>
      <w:r w:rsidRPr="00344565">
        <w:rPr>
          <w:rStyle w:val="Refdenotaalpie"/>
          <w:rFonts w:ascii="Arial" w:hAnsi="Arial" w:cs="Arial"/>
          <w:sz w:val="16"/>
          <w:szCs w:val="16"/>
        </w:rPr>
        <w:footnoteRef/>
      </w:r>
      <w:r w:rsidRPr="00344565">
        <w:rPr>
          <w:rFonts w:ascii="Arial" w:hAnsi="Arial" w:cs="Arial"/>
          <w:sz w:val="16"/>
          <w:szCs w:val="16"/>
        </w:rPr>
        <w:t xml:space="preserve"> La cifra para adolescentes incluye delitos del fuero común y del fuero federal.</w:t>
      </w:r>
    </w:p>
  </w:footnote>
  <w:footnote w:id="5">
    <w:p w14:paraId="5365AE62" w14:textId="77777777" w:rsidR="001B0B62" w:rsidRDefault="001B0B6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F2469">
        <w:rPr>
          <w:rFonts w:ascii="Arial" w:hAnsi="Arial" w:cs="Arial"/>
          <w:sz w:val="16"/>
        </w:rPr>
        <w:t>Aplica sólo para las preguntas que solicitan datos al momento de la aplicación del cuestionario.</w:t>
      </w:r>
    </w:p>
  </w:footnote>
  <w:footnote w:id="6">
    <w:p w14:paraId="7EDFB852" w14:textId="40652F02" w:rsidR="009266C7" w:rsidRDefault="009266C7" w:rsidP="003A3E1A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3A3E1A" w:rsidRPr="003A3E1A">
        <w:rPr>
          <w:rFonts w:ascii="Arial" w:hAnsi="Arial" w:cs="Arial"/>
          <w:sz w:val="16"/>
          <w:szCs w:val="16"/>
        </w:rPr>
        <w:t xml:space="preserve">La información sobre la estructura organizacional y recursos del estado de Sinaloa </w:t>
      </w:r>
      <w:r w:rsidR="00705153">
        <w:rPr>
          <w:rFonts w:ascii="Arial" w:hAnsi="Arial" w:cs="Arial"/>
          <w:sz w:val="16"/>
          <w:szCs w:val="16"/>
        </w:rPr>
        <w:t xml:space="preserve">es </w:t>
      </w:r>
      <w:r w:rsidR="00291D93">
        <w:rPr>
          <w:rFonts w:ascii="Arial" w:hAnsi="Arial" w:cs="Arial"/>
          <w:sz w:val="16"/>
          <w:szCs w:val="16"/>
        </w:rPr>
        <w:t>preliminar</w:t>
      </w:r>
      <w:r w:rsidR="003A3E1A" w:rsidRPr="003A3E1A">
        <w:rPr>
          <w:rFonts w:ascii="Arial" w:hAnsi="Arial" w:cs="Arial"/>
          <w:sz w:val="16"/>
          <w:szCs w:val="16"/>
        </w:rPr>
        <w:t>.</w:t>
      </w:r>
    </w:p>
  </w:footnote>
  <w:footnote w:id="7">
    <w:p w14:paraId="67AF1002" w14:textId="6C7166DA" w:rsidR="00731561" w:rsidRPr="00BA25D9" w:rsidRDefault="00731561" w:rsidP="00BA25D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731561">
        <w:rPr>
          <w:rStyle w:val="Refdenotaalpie"/>
          <w:rFonts w:ascii="Arial" w:hAnsi="Arial" w:cs="Arial"/>
          <w:sz w:val="16"/>
          <w:szCs w:val="16"/>
        </w:rPr>
        <w:footnoteRef/>
      </w:r>
      <w:r w:rsidRPr="00731561">
        <w:rPr>
          <w:rFonts w:ascii="Arial" w:hAnsi="Arial" w:cs="Arial"/>
          <w:sz w:val="16"/>
          <w:szCs w:val="16"/>
        </w:rPr>
        <w:t xml:space="preserve"> </w:t>
      </w:r>
      <w:r w:rsidR="00082361">
        <w:rPr>
          <w:rFonts w:ascii="Arial" w:hAnsi="Arial" w:cs="Arial"/>
          <w:sz w:val="16"/>
          <w:szCs w:val="16"/>
        </w:rPr>
        <w:t>Las averiguaciones previas e investigaciones corresponden al Sistema T</w:t>
      </w:r>
      <w:r w:rsidR="00832C78">
        <w:rPr>
          <w:rFonts w:ascii="Arial" w:hAnsi="Arial" w:cs="Arial"/>
          <w:sz w:val="16"/>
          <w:szCs w:val="16"/>
        </w:rPr>
        <w:t>r</w:t>
      </w:r>
      <w:r w:rsidR="00082361">
        <w:rPr>
          <w:rFonts w:ascii="Arial" w:hAnsi="Arial" w:cs="Arial"/>
          <w:sz w:val="16"/>
          <w:szCs w:val="16"/>
        </w:rPr>
        <w:t xml:space="preserve">adicional para adultos y al Sistema Escrito o Mixto y Oral para adolescentes, mientras que las carpetas de investigación corresponden al Sistema Penal Acusatorio y al Sistema Integral de Justicia Penal para Adolescentes. </w:t>
      </w:r>
      <w:r w:rsidRPr="00731561">
        <w:rPr>
          <w:rFonts w:ascii="Arial" w:hAnsi="Arial" w:cs="Arial"/>
          <w:sz w:val="16"/>
          <w:szCs w:val="16"/>
        </w:rPr>
        <w:t>Para el estado de Sinaloa solo se incluye información de adolescentes. Lo anterior debido a que a la fecha de corte para la publicación</w:t>
      </w:r>
      <w:r w:rsidRPr="009266C7">
        <w:rPr>
          <w:rFonts w:ascii="Arial" w:hAnsi="Arial" w:cs="Arial"/>
          <w:sz w:val="16"/>
          <w:szCs w:val="16"/>
        </w:rPr>
        <w:t xml:space="preserve"> de los presentes resultados, no se ha concluido en su totalidad el proceso de generación de información estadística con la entidad federativa. Se contin</w:t>
      </w:r>
      <w:r w:rsidR="00CC42B7">
        <w:rPr>
          <w:rFonts w:ascii="Arial" w:hAnsi="Arial" w:cs="Arial"/>
          <w:sz w:val="16"/>
          <w:szCs w:val="16"/>
        </w:rPr>
        <w:t>ú</w:t>
      </w:r>
      <w:r w:rsidRPr="009266C7">
        <w:rPr>
          <w:rFonts w:ascii="Arial" w:hAnsi="Arial" w:cs="Arial"/>
          <w:sz w:val="16"/>
          <w:szCs w:val="16"/>
        </w:rPr>
        <w:t>a en la fase de captación y revisión primaria. Los datos se publicarán</w:t>
      </w:r>
      <w:r w:rsidR="00F10175">
        <w:rPr>
          <w:rFonts w:ascii="Arial" w:hAnsi="Arial" w:cs="Arial"/>
          <w:sz w:val="16"/>
          <w:szCs w:val="16"/>
        </w:rPr>
        <w:t xml:space="preserve"> en una actualización posterior.</w:t>
      </w:r>
    </w:p>
  </w:footnote>
  <w:footnote w:id="8">
    <w:p w14:paraId="4205FE0F" w14:textId="77777777" w:rsidR="00F10175" w:rsidRPr="006D32F0" w:rsidRDefault="00F10175" w:rsidP="00F1017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6D32F0">
        <w:rPr>
          <w:rStyle w:val="Refdenotaalpie"/>
          <w:rFonts w:ascii="Arial" w:hAnsi="Arial" w:cs="Arial"/>
          <w:sz w:val="16"/>
          <w:szCs w:val="16"/>
        </w:rPr>
        <w:footnoteRef/>
      </w:r>
      <w:r w:rsidRPr="006D32F0">
        <w:rPr>
          <w:rFonts w:ascii="Arial" w:hAnsi="Arial" w:cs="Arial"/>
          <w:sz w:val="16"/>
          <w:szCs w:val="16"/>
        </w:rPr>
        <w:t xml:space="preserve"> En </w:t>
      </w:r>
      <w:r>
        <w:rPr>
          <w:rFonts w:ascii="Arial" w:hAnsi="Arial" w:cs="Arial"/>
          <w:sz w:val="16"/>
          <w:szCs w:val="16"/>
        </w:rPr>
        <w:t xml:space="preserve">todos </w:t>
      </w:r>
      <w:r w:rsidRPr="006D32F0">
        <w:rPr>
          <w:rFonts w:ascii="Arial" w:hAnsi="Arial" w:cs="Arial"/>
          <w:sz w:val="16"/>
          <w:szCs w:val="16"/>
        </w:rPr>
        <w:t>estos casos la unidad de referencia de los datos corresponde a los procedimientos realizados en las averiguaciones previas e investigaciones y carpetas de investigación.</w:t>
      </w:r>
    </w:p>
  </w:footnote>
  <w:footnote w:id="9">
    <w:p w14:paraId="7AF05D69" w14:textId="77777777" w:rsidR="00CD2D74" w:rsidRPr="00CD2D74" w:rsidRDefault="00CD2D74">
      <w:pPr>
        <w:pStyle w:val="Textonotapie"/>
        <w:rPr>
          <w:rFonts w:ascii="Arial" w:hAnsi="Arial" w:cs="Arial"/>
          <w:sz w:val="16"/>
          <w:szCs w:val="16"/>
        </w:rPr>
      </w:pPr>
      <w:r w:rsidRPr="00CD2D74">
        <w:rPr>
          <w:rStyle w:val="Refdenotaalpie"/>
          <w:rFonts w:ascii="Arial" w:hAnsi="Arial" w:cs="Arial"/>
          <w:sz w:val="16"/>
          <w:szCs w:val="16"/>
        </w:rPr>
        <w:footnoteRef/>
      </w:r>
      <w:r w:rsidR="00CE2984">
        <w:rPr>
          <w:rFonts w:ascii="Arial" w:hAnsi="Arial" w:cs="Arial"/>
          <w:sz w:val="16"/>
          <w:szCs w:val="16"/>
        </w:rPr>
        <w:t xml:space="preserve"> Los porcentajes solo </w:t>
      </w:r>
      <w:r w:rsidRPr="00CD2D74">
        <w:rPr>
          <w:rFonts w:ascii="Arial" w:hAnsi="Arial" w:cs="Arial"/>
          <w:sz w:val="16"/>
          <w:szCs w:val="16"/>
        </w:rPr>
        <w:t>incluye</w:t>
      </w:r>
      <w:r w:rsidR="00CE2984">
        <w:rPr>
          <w:rFonts w:ascii="Arial" w:hAnsi="Arial" w:cs="Arial"/>
          <w:sz w:val="16"/>
          <w:szCs w:val="16"/>
        </w:rPr>
        <w:t>n</w:t>
      </w:r>
      <w:r w:rsidRPr="00CD2D74">
        <w:rPr>
          <w:rFonts w:ascii="Arial" w:hAnsi="Arial" w:cs="Arial"/>
          <w:sz w:val="16"/>
          <w:szCs w:val="16"/>
        </w:rPr>
        <w:t xml:space="preserve"> delitos del Fuero Común</w:t>
      </w:r>
      <w:r w:rsidR="00CE2984">
        <w:rPr>
          <w:rFonts w:ascii="Arial" w:hAnsi="Arial" w:cs="Arial"/>
          <w:sz w:val="16"/>
          <w:szCs w:val="16"/>
        </w:rPr>
        <w:t>.</w:t>
      </w:r>
    </w:p>
  </w:footnote>
  <w:footnote w:id="10">
    <w:p w14:paraId="723C8EC9" w14:textId="77777777" w:rsidR="00B445A9" w:rsidRPr="00B445A9" w:rsidRDefault="00B445A9" w:rsidP="00B445A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445A9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L</w:t>
      </w:r>
      <w:r w:rsidRPr="00B445A9">
        <w:rPr>
          <w:rFonts w:ascii="Arial" w:hAnsi="Arial" w:cs="Arial"/>
          <w:sz w:val="16"/>
          <w:szCs w:val="16"/>
        </w:rPr>
        <w:t>as distribuciones porcentuales incluyen adultos y adolescentes</w:t>
      </w:r>
      <w:r>
        <w:rPr>
          <w:rFonts w:ascii="Arial" w:hAnsi="Arial" w:cs="Arial"/>
          <w:sz w:val="16"/>
          <w:szCs w:val="16"/>
        </w:rPr>
        <w:t>.</w:t>
      </w:r>
      <w:r w:rsidRPr="00B445A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“</w:t>
      </w:r>
      <w:r w:rsidR="007210A3">
        <w:rPr>
          <w:rFonts w:ascii="Arial" w:hAnsi="Arial" w:cs="Arial"/>
          <w:sz w:val="16"/>
          <w:szCs w:val="16"/>
        </w:rPr>
        <w:t>Otro</w:t>
      </w:r>
      <w:r>
        <w:rPr>
          <w:rFonts w:ascii="Arial" w:hAnsi="Arial" w:cs="Arial"/>
          <w:sz w:val="16"/>
          <w:szCs w:val="16"/>
        </w:rPr>
        <w:t>”</w:t>
      </w:r>
      <w:r w:rsidRPr="00B445A9">
        <w:rPr>
          <w:rFonts w:ascii="Arial" w:hAnsi="Arial" w:cs="Arial"/>
          <w:sz w:val="16"/>
          <w:szCs w:val="16"/>
        </w:rPr>
        <w:t xml:space="preserve"> se refiere a los casos en que los inculpados y/o imputados son personas morales, el Estado, la Federación o cualquier otra entidad.</w:t>
      </w:r>
    </w:p>
  </w:footnote>
  <w:footnote w:id="11">
    <w:p w14:paraId="183EA8C9" w14:textId="77777777" w:rsidR="00D810BB" w:rsidRDefault="00D810B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D5F25">
        <w:rPr>
          <w:rFonts w:ascii="Arial" w:hAnsi="Arial" w:cs="Arial"/>
          <w:sz w:val="16"/>
          <w:szCs w:val="16"/>
        </w:rPr>
        <w:t>Incluye solicitudes e</w:t>
      </w:r>
      <w:r w:rsidR="00BB24D4">
        <w:rPr>
          <w:rFonts w:ascii="Arial" w:hAnsi="Arial" w:cs="Arial"/>
          <w:sz w:val="16"/>
          <w:szCs w:val="16"/>
        </w:rPr>
        <w:t>n integración al cierre del año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84812" w14:textId="5F3158DE" w:rsidR="00981967" w:rsidRPr="00DD51B3" w:rsidRDefault="00981967" w:rsidP="00981967">
    <w:pPr>
      <w:pStyle w:val="Encabezado"/>
      <w:framePr w:w="5318" w:hSpace="141" w:wrap="auto" w:vAnchor="text" w:hAnchor="page" w:x="5821" w:y="13"/>
      <w:ind w:left="567" w:hanging="11"/>
      <w:jc w:val="right"/>
      <w:rPr>
        <w:b/>
        <w:color w:val="002060"/>
        <w:sz w:val="24"/>
        <w:szCs w:val="24"/>
      </w:rPr>
    </w:pPr>
    <w:r w:rsidRPr="00DD51B3">
      <w:rPr>
        <w:b/>
        <w:color w:val="002060"/>
        <w:sz w:val="24"/>
        <w:szCs w:val="24"/>
      </w:rPr>
      <w:t xml:space="preserve">COMUNICADO DE PRENSA NÚM. </w:t>
    </w:r>
    <w:r>
      <w:rPr>
        <w:b/>
        <w:color w:val="002060"/>
        <w:sz w:val="24"/>
        <w:szCs w:val="24"/>
      </w:rPr>
      <w:t>500</w:t>
    </w:r>
    <w:r w:rsidRPr="00DD51B3">
      <w:rPr>
        <w:b/>
        <w:color w:val="002060"/>
        <w:sz w:val="24"/>
        <w:szCs w:val="24"/>
      </w:rPr>
      <w:t>/19</w:t>
    </w:r>
  </w:p>
  <w:p w14:paraId="7D01D9FD" w14:textId="77777777" w:rsidR="00981967" w:rsidRPr="00DD51B3" w:rsidRDefault="00981967" w:rsidP="00981967">
    <w:pPr>
      <w:pStyle w:val="Encabezado"/>
      <w:framePr w:w="5318" w:hSpace="141" w:wrap="auto" w:vAnchor="text" w:hAnchor="page" w:x="5821" w:y="13"/>
      <w:ind w:left="567" w:hanging="11"/>
      <w:jc w:val="right"/>
      <w:rPr>
        <w:b/>
        <w:color w:val="002060"/>
        <w:sz w:val="24"/>
        <w:szCs w:val="24"/>
        <w:lang w:val="pt-BR"/>
      </w:rPr>
    </w:pPr>
    <w:r w:rsidRPr="00DD51B3">
      <w:rPr>
        <w:b/>
        <w:color w:val="002060"/>
        <w:sz w:val="24"/>
        <w:szCs w:val="24"/>
        <w:lang w:val="pt-BR"/>
      </w:rPr>
      <w:t>2</w:t>
    </w:r>
    <w:r>
      <w:rPr>
        <w:b/>
        <w:color w:val="002060"/>
        <w:sz w:val="24"/>
        <w:szCs w:val="24"/>
        <w:lang w:val="pt-BR"/>
      </w:rPr>
      <w:t>5</w:t>
    </w:r>
    <w:r w:rsidRPr="00DD51B3">
      <w:rPr>
        <w:b/>
        <w:color w:val="002060"/>
        <w:sz w:val="24"/>
        <w:szCs w:val="24"/>
        <w:lang w:val="pt-BR"/>
      </w:rPr>
      <w:t xml:space="preserve"> DE OCTUBRE DE 2019</w:t>
    </w:r>
  </w:p>
  <w:p w14:paraId="4B14BE10" w14:textId="77777777" w:rsidR="00981967" w:rsidRPr="00DD51B3" w:rsidRDefault="00981967" w:rsidP="00981967">
    <w:pPr>
      <w:pStyle w:val="Encabezado"/>
      <w:framePr w:w="5318" w:hSpace="141" w:wrap="auto" w:vAnchor="text" w:hAnchor="page" w:x="5821" w:y="13"/>
      <w:ind w:left="567" w:hanging="11"/>
      <w:jc w:val="right"/>
      <w:rPr>
        <w:b/>
        <w:color w:val="002060"/>
        <w:sz w:val="24"/>
        <w:szCs w:val="24"/>
        <w:lang w:val="pt-BR"/>
      </w:rPr>
    </w:pPr>
    <w:r w:rsidRPr="00DD51B3">
      <w:rPr>
        <w:b/>
        <w:color w:val="002060"/>
        <w:sz w:val="24"/>
        <w:szCs w:val="24"/>
        <w:lang w:val="pt-BR"/>
      </w:rPr>
      <w:t xml:space="preserve">PÁGINA </w:t>
    </w:r>
    <w:r w:rsidRPr="00DD51B3">
      <w:rPr>
        <w:b/>
        <w:color w:val="002060"/>
        <w:sz w:val="24"/>
        <w:szCs w:val="24"/>
      </w:rPr>
      <w:fldChar w:fldCharType="begin"/>
    </w:r>
    <w:r w:rsidRPr="00DD51B3">
      <w:rPr>
        <w:b/>
        <w:color w:val="002060"/>
        <w:sz w:val="24"/>
        <w:szCs w:val="24"/>
        <w:lang w:val="pt-BR"/>
      </w:rPr>
      <w:instrText xml:space="preserve">\PAGE </w:instrText>
    </w:r>
    <w:r w:rsidRPr="00DD51B3">
      <w:rPr>
        <w:color w:val="002060"/>
        <w:sz w:val="24"/>
        <w:szCs w:val="24"/>
      </w:rPr>
      <w:fldChar w:fldCharType="separate"/>
    </w:r>
    <w:r w:rsidR="00976F57">
      <w:rPr>
        <w:b/>
        <w:noProof/>
        <w:color w:val="002060"/>
        <w:sz w:val="24"/>
        <w:szCs w:val="24"/>
        <w:lang w:val="pt-BR"/>
      </w:rPr>
      <w:t>2</w:t>
    </w:r>
    <w:r w:rsidRPr="00DD51B3">
      <w:rPr>
        <w:color w:val="002060"/>
        <w:sz w:val="24"/>
        <w:szCs w:val="24"/>
      </w:rPr>
      <w:fldChar w:fldCharType="end"/>
    </w:r>
    <w:r w:rsidRPr="00DD51B3">
      <w:rPr>
        <w:b/>
        <w:color w:val="002060"/>
        <w:sz w:val="24"/>
        <w:szCs w:val="24"/>
        <w:lang w:val="pt-BR"/>
      </w:rPr>
      <w:t>/2</w:t>
    </w:r>
  </w:p>
  <w:p w14:paraId="75CC4F17" w14:textId="77777777" w:rsidR="00981967" w:rsidRDefault="00981967" w:rsidP="00981967">
    <w:pPr>
      <w:pStyle w:val="Encabezado"/>
      <w:ind w:left="-993" w:firstLine="426"/>
    </w:pPr>
    <w:r>
      <w:rPr>
        <w:noProof/>
        <w:lang w:eastAsia="es-MX"/>
      </w:rPr>
      <w:drawing>
        <wp:inline distT="0" distB="0" distL="0" distR="0" wp14:anchorId="3A03190C" wp14:editId="23E4A638">
          <wp:extent cx="733586" cy="762000"/>
          <wp:effectExtent l="0" t="0" r="9525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50" cy="787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2520D" w14:textId="77777777" w:rsidR="001B0B62" w:rsidRDefault="001B0B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AEEED" w14:textId="77777777" w:rsidR="00981967" w:rsidRDefault="00981967" w:rsidP="00981967">
    <w:pPr>
      <w:pStyle w:val="Encabezado"/>
      <w:ind w:left="-993" w:firstLine="426"/>
      <w:jc w:val="center"/>
    </w:pPr>
    <w:r>
      <w:rPr>
        <w:noProof/>
        <w:lang w:eastAsia="es-MX"/>
      </w:rPr>
      <w:drawing>
        <wp:inline distT="0" distB="0" distL="0" distR="0" wp14:anchorId="34561BF2" wp14:editId="667AD779">
          <wp:extent cx="733586" cy="762000"/>
          <wp:effectExtent l="0" t="0" r="9525" b="0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50" cy="787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3CDF7A" w14:textId="77777777" w:rsidR="00981967" w:rsidRDefault="009819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2E66"/>
    <w:multiLevelType w:val="hybridMultilevel"/>
    <w:tmpl w:val="9168B5AA"/>
    <w:lvl w:ilvl="0" w:tplc="EB6629EE">
      <w:start w:val="1"/>
      <w:numFmt w:val="decimal"/>
      <w:lvlText w:val="%1"/>
      <w:lvlJc w:val="left"/>
      <w:pPr>
        <w:ind w:left="120" w:hanging="152"/>
      </w:pPr>
      <w:rPr>
        <w:rFonts w:hint="default"/>
        <w:w w:val="99"/>
        <w:position w:val="8"/>
      </w:rPr>
    </w:lvl>
    <w:lvl w:ilvl="1" w:tplc="D2BCFA24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A02D680">
      <w:numFmt w:val="bullet"/>
      <w:lvlText w:val="•"/>
      <w:lvlJc w:val="left"/>
      <w:pPr>
        <w:ind w:left="7400" w:hanging="360"/>
      </w:pPr>
      <w:rPr>
        <w:rFonts w:hint="default"/>
      </w:rPr>
    </w:lvl>
    <w:lvl w:ilvl="3" w:tplc="A1860FB8">
      <w:numFmt w:val="bullet"/>
      <w:lvlText w:val="•"/>
      <w:lvlJc w:val="left"/>
      <w:pPr>
        <w:ind w:left="7675" w:hanging="360"/>
      </w:pPr>
      <w:rPr>
        <w:rFonts w:hint="default"/>
      </w:rPr>
    </w:lvl>
    <w:lvl w:ilvl="4" w:tplc="4D342118">
      <w:numFmt w:val="bullet"/>
      <w:lvlText w:val="•"/>
      <w:lvlJc w:val="left"/>
      <w:pPr>
        <w:ind w:left="7950" w:hanging="360"/>
      </w:pPr>
      <w:rPr>
        <w:rFonts w:hint="default"/>
      </w:rPr>
    </w:lvl>
    <w:lvl w:ilvl="5" w:tplc="0FAEE11C">
      <w:numFmt w:val="bullet"/>
      <w:lvlText w:val="•"/>
      <w:lvlJc w:val="left"/>
      <w:pPr>
        <w:ind w:left="8225" w:hanging="360"/>
      </w:pPr>
      <w:rPr>
        <w:rFonts w:hint="default"/>
      </w:rPr>
    </w:lvl>
    <w:lvl w:ilvl="6" w:tplc="91CCE704">
      <w:numFmt w:val="bullet"/>
      <w:lvlText w:val="•"/>
      <w:lvlJc w:val="left"/>
      <w:pPr>
        <w:ind w:left="8500" w:hanging="360"/>
      </w:pPr>
      <w:rPr>
        <w:rFonts w:hint="default"/>
      </w:rPr>
    </w:lvl>
    <w:lvl w:ilvl="7" w:tplc="375AE5EC">
      <w:numFmt w:val="bullet"/>
      <w:lvlText w:val="•"/>
      <w:lvlJc w:val="left"/>
      <w:pPr>
        <w:ind w:left="8775" w:hanging="360"/>
      </w:pPr>
      <w:rPr>
        <w:rFonts w:hint="default"/>
      </w:rPr>
    </w:lvl>
    <w:lvl w:ilvl="8" w:tplc="32485852">
      <w:numFmt w:val="bullet"/>
      <w:lvlText w:val="•"/>
      <w:lvlJc w:val="left"/>
      <w:pPr>
        <w:ind w:left="9050" w:hanging="360"/>
      </w:pPr>
      <w:rPr>
        <w:rFonts w:hint="default"/>
      </w:rPr>
    </w:lvl>
  </w:abstractNum>
  <w:abstractNum w:abstractNumId="1" w15:restartNumberingAfterBreak="0">
    <w:nsid w:val="14E53EC3"/>
    <w:multiLevelType w:val="hybridMultilevel"/>
    <w:tmpl w:val="DA8E3354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8173A45"/>
    <w:multiLevelType w:val="hybridMultilevel"/>
    <w:tmpl w:val="3370D238"/>
    <w:lvl w:ilvl="0" w:tplc="3244B354">
      <w:numFmt w:val="bullet"/>
      <w:lvlText w:val=""/>
      <w:lvlJc w:val="left"/>
      <w:pPr>
        <w:ind w:left="829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2AA7506">
      <w:numFmt w:val="bullet"/>
      <w:lvlText w:val="•"/>
      <w:lvlJc w:val="left"/>
      <w:pPr>
        <w:ind w:left="1762" w:hanging="425"/>
      </w:pPr>
      <w:rPr>
        <w:rFonts w:hint="default"/>
      </w:rPr>
    </w:lvl>
    <w:lvl w:ilvl="2" w:tplc="E06076DC">
      <w:numFmt w:val="bullet"/>
      <w:lvlText w:val="•"/>
      <w:lvlJc w:val="left"/>
      <w:pPr>
        <w:ind w:left="2704" w:hanging="425"/>
      </w:pPr>
      <w:rPr>
        <w:rFonts w:hint="default"/>
      </w:rPr>
    </w:lvl>
    <w:lvl w:ilvl="3" w:tplc="5D341C6A">
      <w:numFmt w:val="bullet"/>
      <w:lvlText w:val="•"/>
      <w:lvlJc w:val="left"/>
      <w:pPr>
        <w:ind w:left="3646" w:hanging="425"/>
      </w:pPr>
      <w:rPr>
        <w:rFonts w:hint="default"/>
      </w:rPr>
    </w:lvl>
    <w:lvl w:ilvl="4" w:tplc="79A63526">
      <w:numFmt w:val="bullet"/>
      <w:lvlText w:val="•"/>
      <w:lvlJc w:val="left"/>
      <w:pPr>
        <w:ind w:left="4588" w:hanging="425"/>
      </w:pPr>
      <w:rPr>
        <w:rFonts w:hint="default"/>
      </w:rPr>
    </w:lvl>
    <w:lvl w:ilvl="5" w:tplc="46F23A08">
      <w:numFmt w:val="bullet"/>
      <w:lvlText w:val="•"/>
      <w:lvlJc w:val="left"/>
      <w:pPr>
        <w:ind w:left="5530" w:hanging="425"/>
      </w:pPr>
      <w:rPr>
        <w:rFonts w:hint="default"/>
      </w:rPr>
    </w:lvl>
    <w:lvl w:ilvl="6" w:tplc="A66AB448">
      <w:numFmt w:val="bullet"/>
      <w:lvlText w:val="•"/>
      <w:lvlJc w:val="left"/>
      <w:pPr>
        <w:ind w:left="6472" w:hanging="425"/>
      </w:pPr>
      <w:rPr>
        <w:rFonts w:hint="default"/>
      </w:rPr>
    </w:lvl>
    <w:lvl w:ilvl="7" w:tplc="C30AED68">
      <w:numFmt w:val="bullet"/>
      <w:lvlText w:val="•"/>
      <w:lvlJc w:val="left"/>
      <w:pPr>
        <w:ind w:left="7414" w:hanging="425"/>
      </w:pPr>
      <w:rPr>
        <w:rFonts w:hint="default"/>
      </w:rPr>
    </w:lvl>
    <w:lvl w:ilvl="8" w:tplc="514673A6">
      <w:numFmt w:val="bullet"/>
      <w:lvlText w:val="•"/>
      <w:lvlJc w:val="left"/>
      <w:pPr>
        <w:ind w:left="8356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96"/>
    <w:rsid w:val="000125DA"/>
    <w:rsid w:val="00012D3F"/>
    <w:rsid w:val="00022688"/>
    <w:rsid w:val="0002789F"/>
    <w:rsid w:val="0003102D"/>
    <w:rsid w:val="0004118D"/>
    <w:rsid w:val="00043939"/>
    <w:rsid w:val="0005200A"/>
    <w:rsid w:val="000558BA"/>
    <w:rsid w:val="00062D38"/>
    <w:rsid w:val="000634ED"/>
    <w:rsid w:val="00064424"/>
    <w:rsid w:val="00071A0F"/>
    <w:rsid w:val="000744B0"/>
    <w:rsid w:val="00075B1B"/>
    <w:rsid w:val="000764CD"/>
    <w:rsid w:val="00076D58"/>
    <w:rsid w:val="00082361"/>
    <w:rsid w:val="000829A2"/>
    <w:rsid w:val="0009468B"/>
    <w:rsid w:val="000A325E"/>
    <w:rsid w:val="000C1AA4"/>
    <w:rsid w:val="000E4AED"/>
    <w:rsid w:val="000F0307"/>
    <w:rsid w:val="0010753A"/>
    <w:rsid w:val="00135C0E"/>
    <w:rsid w:val="0013634D"/>
    <w:rsid w:val="00136C10"/>
    <w:rsid w:val="00150436"/>
    <w:rsid w:val="00155BCE"/>
    <w:rsid w:val="00161BE7"/>
    <w:rsid w:val="00163371"/>
    <w:rsid w:val="00176F54"/>
    <w:rsid w:val="0017772D"/>
    <w:rsid w:val="00180A2E"/>
    <w:rsid w:val="00183486"/>
    <w:rsid w:val="00192D64"/>
    <w:rsid w:val="00197F66"/>
    <w:rsid w:val="001A3CF1"/>
    <w:rsid w:val="001A4E09"/>
    <w:rsid w:val="001B0B62"/>
    <w:rsid w:val="001C7029"/>
    <w:rsid w:val="001D0D7A"/>
    <w:rsid w:val="001D4551"/>
    <w:rsid w:val="001D5F25"/>
    <w:rsid w:val="001E0FE1"/>
    <w:rsid w:val="002017CC"/>
    <w:rsid w:val="00205BD8"/>
    <w:rsid w:val="00213F17"/>
    <w:rsid w:val="00225A56"/>
    <w:rsid w:val="00230B1B"/>
    <w:rsid w:val="00236E3F"/>
    <w:rsid w:val="002427F5"/>
    <w:rsid w:val="00250AAB"/>
    <w:rsid w:val="00255F77"/>
    <w:rsid w:val="002659D0"/>
    <w:rsid w:val="00265D25"/>
    <w:rsid w:val="00291D93"/>
    <w:rsid w:val="002946FD"/>
    <w:rsid w:val="002A223D"/>
    <w:rsid w:val="002A538F"/>
    <w:rsid w:val="002A63AB"/>
    <w:rsid w:val="002A6B4E"/>
    <w:rsid w:val="002B5F32"/>
    <w:rsid w:val="002C4D4F"/>
    <w:rsid w:val="002E0654"/>
    <w:rsid w:val="002F45A2"/>
    <w:rsid w:val="002F5245"/>
    <w:rsid w:val="003006A6"/>
    <w:rsid w:val="003033F0"/>
    <w:rsid w:val="00316739"/>
    <w:rsid w:val="00320033"/>
    <w:rsid w:val="00321CC6"/>
    <w:rsid w:val="00335A4E"/>
    <w:rsid w:val="003402DA"/>
    <w:rsid w:val="00344565"/>
    <w:rsid w:val="00350143"/>
    <w:rsid w:val="00351FAB"/>
    <w:rsid w:val="0035205C"/>
    <w:rsid w:val="003662F0"/>
    <w:rsid w:val="0037361A"/>
    <w:rsid w:val="003821B9"/>
    <w:rsid w:val="00383B74"/>
    <w:rsid w:val="003A3E1A"/>
    <w:rsid w:val="003A72EF"/>
    <w:rsid w:val="003B1250"/>
    <w:rsid w:val="003B259F"/>
    <w:rsid w:val="003E3B2E"/>
    <w:rsid w:val="003F02A9"/>
    <w:rsid w:val="003F1D2E"/>
    <w:rsid w:val="003F6078"/>
    <w:rsid w:val="004001DC"/>
    <w:rsid w:val="00401F54"/>
    <w:rsid w:val="004104FF"/>
    <w:rsid w:val="00415462"/>
    <w:rsid w:val="00421186"/>
    <w:rsid w:val="0043479C"/>
    <w:rsid w:val="00436A59"/>
    <w:rsid w:val="0044066A"/>
    <w:rsid w:val="00455DFB"/>
    <w:rsid w:val="00456801"/>
    <w:rsid w:val="00470BC2"/>
    <w:rsid w:val="0047322C"/>
    <w:rsid w:val="00481ADF"/>
    <w:rsid w:val="0049235B"/>
    <w:rsid w:val="00494612"/>
    <w:rsid w:val="00495146"/>
    <w:rsid w:val="004B1E88"/>
    <w:rsid w:val="004B4BA5"/>
    <w:rsid w:val="004C4EC7"/>
    <w:rsid w:val="004C5C24"/>
    <w:rsid w:val="004D6A81"/>
    <w:rsid w:val="004E51B7"/>
    <w:rsid w:val="004F0BB2"/>
    <w:rsid w:val="004F1283"/>
    <w:rsid w:val="004F5057"/>
    <w:rsid w:val="00514A24"/>
    <w:rsid w:val="00515E5B"/>
    <w:rsid w:val="00523458"/>
    <w:rsid w:val="00532317"/>
    <w:rsid w:val="0053503E"/>
    <w:rsid w:val="00556006"/>
    <w:rsid w:val="005622A0"/>
    <w:rsid w:val="005653A8"/>
    <w:rsid w:val="00586413"/>
    <w:rsid w:val="0058730B"/>
    <w:rsid w:val="00591B50"/>
    <w:rsid w:val="005A2A1A"/>
    <w:rsid w:val="005A2D8E"/>
    <w:rsid w:val="005A56CB"/>
    <w:rsid w:val="005A75F5"/>
    <w:rsid w:val="005B6BF4"/>
    <w:rsid w:val="005C7E2D"/>
    <w:rsid w:val="005D0E27"/>
    <w:rsid w:val="005D7071"/>
    <w:rsid w:val="005E3B07"/>
    <w:rsid w:val="005F4C20"/>
    <w:rsid w:val="005F73DB"/>
    <w:rsid w:val="006264EB"/>
    <w:rsid w:val="0063184E"/>
    <w:rsid w:val="0063219A"/>
    <w:rsid w:val="00637775"/>
    <w:rsid w:val="00643BD3"/>
    <w:rsid w:val="0064441D"/>
    <w:rsid w:val="00647C9C"/>
    <w:rsid w:val="00650BF5"/>
    <w:rsid w:val="0068010B"/>
    <w:rsid w:val="00692553"/>
    <w:rsid w:val="00692D92"/>
    <w:rsid w:val="006B5C12"/>
    <w:rsid w:val="006C0F8E"/>
    <w:rsid w:val="006D31FA"/>
    <w:rsid w:val="006D32F0"/>
    <w:rsid w:val="006D7508"/>
    <w:rsid w:val="006E777E"/>
    <w:rsid w:val="006F754D"/>
    <w:rsid w:val="00703D29"/>
    <w:rsid w:val="00705153"/>
    <w:rsid w:val="0071282E"/>
    <w:rsid w:val="00716254"/>
    <w:rsid w:val="007210A3"/>
    <w:rsid w:val="00731561"/>
    <w:rsid w:val="007347AB"/>
    <w:rsid w:val="00745FEB"/>
    <w:rsid w:val="00754B10"/>
    <w:rsid w:val="00757253"/>
    <w:rsid w:val="007657F1"/>
    <w:rsid w:val="00775969"/>
    <w:rsid w:val="00776739"/>
    <w:rsid w:val="007801DE"/>
    <w:rsid w:val="00785FFD"/>
    <w:rsid w:val="0078631B"/>
    <w:rsid w:val="00794512"/>
    <w:rsid w:val="007C19FF"/>
    <w:rsid w:val="007C4691"/>
    <w:rsid w:val="007C4B18"/>
    <w:rsid w:val="007F47AF"/>
    <w:rsid w:val="007F5BA5"/>
    <w:rsid w:val="007F64D0"/>
    <w:rsid w:val="007F6734"/>
    <w:rsid w:val="008159D2"/>
    <w:rsid w:val="00823A6B"/>
    <w:rsid w:val="008256AE"/>
    <w:rsid w:val="0083101C"/>
    <w:rsid w:val="00832C78"/>
    <w:rsid w:val="00853B94"/>
    <w:rsid w:val="00860D97"/>
    <w:rsid w:val="00865026"/>
    <w:rsid w:val="0086578C"/>
    <w:rsid w:val="00873FD0"/>
    <w:rsid w:val="00874F6D"/>
    <w:rsid w:val="008945E7"/>
    <w:rsid w:val="008B0FE1"/>
    <w:rsid w:val="008C562E"/>
    <w:rsid w:val="008C74A3"/>
    <w:rsid w:val="008D6B20"/>
    <w:rsid w:val="008E0BFF"/>
    <w:rsid w:val="008E441D"/>
    <w:rsid w:val="008F634F"/>
    <w:rsid w:val="0090549E"/>
    <w:rsid w:val="009266C7"/>
    <w:rsid w:val="00966795"/>
    <w:rsid w:val="00976F57"/>
    <w:rsid w:val="00976FC5"/>
    <w:rsid w:val="00981967"/>
    <w:rsid w:val="00987ACF"/>
    <w:rsid w:val="00992CAB"/>
    <w:rsid w:val="009A0A55"/>
    <w:rsid w:val="009A7009"/>
    <w:rsid w:val="009B1765"/>
    <w:rsid w:val="009C2B43"/>
    <w:rsid w:val="009D7D9F"/>
    <w:rsid w:val="009E3D0B"/>
    <w:rsid w:val="009E4B48"/>
    <w:rsid w:val="009F5289"/>
    <w:rsid w:val="00A05E63"/>
    <w:rsid w:val="00A07AD8"/>
    <w:rsid w:val="00A24710"/>
    <w:rsid w:val="00A3324C"/>
    <w:rsid w:val="00A3349B"/>
    <w:rsid w:val="00A33E82"/>
    <w:rsid w:val="00A34209"/>
    <w:rsid w:val="00A34674"/>
    <w:rsid w:val="00A403ED"/>
    <w:rsid w:val="00A4153F"/>
    <w:rsid w:val="00A43044"/>
    <w:rsid w:val="00A46778"/>
    <w:rsid w:val="00A52FE0"/>
    <w:rsid w:val="00A663A8"/>
    <w:rsid w:val="00A66F64"/>
    <w:rsid w:val="00A757CD"/>
    <w:rsid w:val="00A77D38"/>
    <w:rsid w:val="00A91A47"/>
    <w:rsid w:val="00A94752"/>
    <w:rsid w:val="00AA3436"/>
    <w:rsid w:val="00AA3E2A"/>
    <w:rsid w:val="00AA4677"/>
    <w:rsid w:val="00AB7723"/>
    <w:rsid w:val="00AD16DA"/>
    <w:rsid w:val="00AE1B74"/>
    <w:rsid w:val="00AF4F92"/>
    <w:rsid w:val="00B06A11"/>
    <w:rsid w:val="00B11233"/>
    <w:rsid w:val="00B311B8"/>
    <w:rsid w:val="00B3695E"/>
    <w:rsid w:val="00B406FF"/>
    <w:rsid w:val="00B445A9"/>
    <w:rsid w:val="00B44DAC"/>
    <w:rsid w:val="00B46398"/>
    <w:rsid w:val="00B50BF3"/>
    <w:rsid w:val="00B534C0"/>
    <w:rsid w:val="00B55973"/>
    <w:rsid w:val="00B66EAA"/>
    <w:rsid w:val="00B72E00"/>
    <w:rsid w:val="00B80B62"/>
    <w:rsid w:val="00B817C2"/>
    <w:rsid w:val="00B865D9"/>
    <w:rsid w:val="00B9056F"/>
    <w:rsid w:val="00BA25D9"/>
    <w:rsid w:val="00BA419C"/>
    <w:rsid w:val="00BA4F74"/>
    <w:rsid w:val="00BB0A05"/>
    <w:rsid w:val="00BB24D4"/>
    <w:rsid w:val="00BC186A"/>
    <w:rsid w:val="00BC1C50"/>
    <w:rsid w:val="00BC55B9"/>
    <w:rsid w:val="00BC7565"/>
    <w:rsid w:val="00BE0341"/>
    <w:rsid w:val="00BE131E"/>
    <w:rsid w:val="00BE1BA5"/>
    <w:rsid w:val="00C046AB"/>
    <w:rsid w:val="00C12284"/>
    <w:rsid w:val="00C12FC7"/>
    <w:rsid w:val="00C14871"/>
    <w:rsid w:val="00C21C92"/>
    <w:rsid w:val="00C379EB"/>
    <w:rsid w:val="00C4263C"/>
    <w:rsid w:val="00C65FD3"/>
    <w:rsid w:val="00C9575E"/>
    <w:rsid w:val="00CA4B96"/>
    <w:rsid w:val="00CB2ACE"/>
    <w:rsid w:val="00CB53DB"/>
    <w:rsid w:val="00CC3A16"/>
    <w:rsid w:val="00CC42B7"/>
    <w:rsid w:val="00CD2D74"/>
    <w:rsid w:val="00CD6C1F"/>
    <w:rsid w:val="00CE2984"/>
    <w:rsid w:val="00CE2A2A"/>
    <w:rsid w:val="00CE6BEE"/>
    <w:rsid w:val="00D02856"/>
    <w:rsid w:val="00D02E66"/>
    <w:rsid w:val="00D04BA4"/>
    <w:rsid w:val="00D06B0A"/>
    <w:rsid w:val="00D10B5B"/>
    <w:rsid w:val="00D16ECC"/>
    <w:rsid w:val="00D21712"/>
    <w:rsid w:val="00D30002"/>
    <w:rsid w:val="00D3197F"/>
    <w:rsid w:val="00D3573A"/>
    <w:rsid w:val="00D35A59"/>
    <w:rsid w:val="00D3693B"/>
    <w:rsid w:val="00D56788"/>
    <w:rsid w:val="00D6603C"/>
    <w:rsid w:val="00D810BB"/>
    <w:rsid w:val="00D90E26"/>
    <w:rsid w:val="00D941C7"/>
    <w:rsid w:val="00D97753"/>
    <w:rsid w:val="00DB15AD"/>
    <w:rsid w:val="00DB3459"/>
    <w:rsid w:val="00DD2CD0"/>
    <w:rsid w:val="00DD53DF"/>
    <w:rsid w:val="00DD7AF5"/>
    <w:rsid w:val="00DE3303"/>
    <w:rsid w:val="00E00497"/>
    <w:rsid w:val="00E00A83"/>
    <w:rsid w:val="00E11179"/>
    <w:rsid w:val="00E13EC3"/>
    <w:rsid w:val="00E327F9"/>
    <w:rsid w:val="00E41BA2"/>
    <w:rsid w:val="00E43674"/>
    <w:rsid w:val="00E458A4"/>
    <w:rsid w:val="00E624FC"/>
    <w:rsid w:val="00E7796C"/>
    <w:rsid w:val="00E77B0F"/>
    <w:rsid w:val="00E92976"/>
    <w:rsid w:val="00EA7153"/>
    <w:rsid w:val="00EA796C"/>
    <w:rsid w:val="00EB01ED"/>
    <w:rsid w:val="00EE539C"/>
    <w:rsid w:val="00EF7B25"/>
    <w:rsid w:val="00F033CB"/>
    <w:rsid w:val="00F037F8"/>
    <w:rsid w:val="00F10175"/>
    <w:rsid w:val="00F14099"/>
    <w:rsid w:val="00F14AA5"/>
    <w:rsid w:val="00F247DC"/>
    <w:rsid w:val="00F34062"/>
    <w:rsid w:val="00F45219"/>
    <w:rsid w:val="00F47530"/>
    <w:rsid w:val="00F54CFC"/>
    <w:rsid w:val="00F70AA5"/>
    <w:rsid w:val="00F755A7"/>
    <w:rsid w:val="00F758EF"/>
    <w:rsid w:val="00F77DA1"/>
    <w:rsid w:val="00FB099C"/>
    <w:rsid w:val="00FB1592"/>
    <w:rsid w:val="00FC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42B0E"/>
  <w15:docId w15:val="{F47D91A8-8ED5-44E9-AAAB-328B08C9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BD3"/>
    <w:rPr>
      <w:rFonts w:ascii="Arial" w:eastAsia="Arial" w:hAnsi="Arial" w:cs="Arial"/>
      <w:lang w:val="es-MX"/>
    </w:rPr>
  </w:style>
  <w:style w:type="paragraph" w:styleId="Ttulo1">
    <w:name w:val="heading 1"/>
    <w:basedOn w:val="Normal"/>
    <w:uiPriority w:val="9"/>
    <w:qFormat/>
    <w:pPr>
      <w:ind w:left="334" w:right="41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nhideWhenUsed/>
    <w:rsid w:val="00823A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23A6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23A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A6B"/>
    <w:rPr>
      <w:rFonts w:ascii="Arial" w:eastAsia="Arial" w:hAnsi="Arial" w:cs="Arial"/>
    </w:rPr>
  </w:style>
  <w:style w:type="paragraph" w:customStyle="1" w:styleId="Default">
    <w:name w:val="Default"/>
    <w:rsid w:val="00823A6B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unhideWhenUsed/>
    <w:rsid w:val="00823A6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3A6B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unhideWhenUsed/>
    <w:rsid w:val="00823A6B"/>
    <w:rPr>
      <w:vertAlign w:val="superscript"/>
    </w:rPr>
  </w:style>
  <w:style w:type="character" w:styleId="Hipervnculo">
    <w:name w:val="Hyperlink"/>
    <w:basedOn w:val="Fuentedeprrafopredeter"/>
    <w:rsid w:val="00823A6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3A6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23A6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B345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F033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3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3CB"/>
    <w:rPr>
      <w:rFonts w:ascii="Arial" w:eastAsia="Arial" w:hAnsi="Arial" w:cs="Arial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3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3CB"/>
    <w:rPr>
      <w:rFonts w:ascii="Arial" w:eastAsia="Arial" w:hAnsi="Arial" w:cs="Arial"/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3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3CB"/>
    <w:rPr>
      <w:rFonts w:ascii="Segoe UI" w:eastAsia="Arial" w:hAnsi="Segoe UI" w:cs="Segoe UI"/>
      <w:sz w:val="18"/>
      <w:szCs w:val="18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2976"/>
    <w:rPr>
      <w:rFonts w:ascii="Arial" w:eastAsia="Arial" w:hAnsi="Arial" w:cs="Arial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programas/cnpje/2019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4.xml"/><Relationship Id="rId33" Type="http://schemas.openxmlformats.org/officeDocument/2006/relationships/chart" Target="charts/chart1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3.xml"/><Relationship Id="rId32" Type="http://schemas.openxmlformats.org/officeDocument/2006/relationships/chart" Target="charts/chart10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2.xml"/><Relationship Id="rId28" Type="http://schemas.openxmlformats.org/officeDocument/2006/relationships/image" Target="media/image7.png"/><Relationship Id="rId36" Type="http://schemas.openxmlformats.org/officeDocument/2006/relationships/footer" Target="footer2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1.xml"/><Relationship Id="rId27" Type="http://schemas.openxmlformats.org/officeDocument/2006/relationships/chart" Target="charts/chart6.xml"/><Relationship Id="rId30" Type="http://schemas.openxmlformats.org/officeDocument/2006/relationships/chart" Target="charts/chart8.xml"/><Relationship Id="rId35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atos%20bolet&#237;n%20CNPJE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Versiones%20finales%20PPT%20SPE,%20IJE,%20PJE%202019\Datos%20bolet&#237;n%20CNPJE%202019%2018_1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atos%20bolet&#237;n%20CNPJE%202019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Versiones%20finales%20PPT%20SPE,%20IJE,%20PJE%202019\Datos%20bolet&#237;n%20CNPJE%202019%2018_10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atos%20bolet&#237;n%20CNPJE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Versiones%20finales%20PPT%20SPE,%20IJE,%20PJE%202019\Datos%20bolet&#237;n%20CNPJE%202019%2018_1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Versiones%20finales%20PPT%20SPE,%20IJE,%20PJE%202019\Datos%20bolet&#237;n%20CNPJE%202019%2018_1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Versiones%20finales%20PPT%20SPE,%20IJE,%20PJE%202019\Datos%20bolet&#237;n%20CNPJE%202019%2018_1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Versiones%20finales%20PPT%20SPE,%20IJE,%20PJE%202019\Datos%20bolet&#237;n%20CNPJE%202019%2018_1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atos%20bolet&#237;n%20CNPJE%2020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atos%20bolet&#237;n%20CNPJE%20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atos%20bolet&#237;n%20CNPJE%20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517508482171399"/>
          <c:y val="2.42077464788732E-2"/>
          <c:w val="0.49214198834901701"/>
          <c:h val="0.9515845070422529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44CC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19-4793-9CAE-9FFAC6A3B9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'Unidades administrativas'!$O$41:$O$56</c:f>
              <c:strCache>
                <c:ptCount val="16"/>
                <c:pt idx="0">
                  <c:v>Mixta o General</c:v>
                </c:pt>
                <c:pt idx="1">
                  <c:v>Especializada en Robos</c:v>
                </c:pt>
                <c:pt idx="2">
                  <c:v>Especializada en Mecanismos de Solución 
                                         de Controversias</c:v>
                </c:pt>
                <c:pt idx="3">
                  <c:v>Especializada en Homicidios</c:v>
                </c:pt>
                <c:pt idx="4">
                  <c:v>Especializada en Delitos contra las Mujeres</c:v>
                </c:pt>
                <c:pt idx="5">
                  <c:v>Especializada en Atención de Adolescentes</c:v>
                </c:pt>
                <c:pt idx="6">
                  <c:v>Especializada contra el Robo de Vehículos</c:v>
                </c:pt>
                <c:pt idx="7">
                  <c:v>Especializada en Violencia Intrafamiliar</c:v>
                </c:pt>
                <c:pt idx="8">
                  <c:v>Especializada en Atención a Personas Desaparecidas,
                     no Localizadas,  Ausentes o Extraviadas</c:v>
                </c:pt>
                <c:pt idx="9">
                  <c:v>Especializada en Investigación y Combate al Delito 
                                                             de Secuestro</c:v>
                </c:pt>
                <c:pt idx="10">
                  <c:v>Especializada en Delitos Patrimoniales o Fraudes</c:v>
                </c:pt>
                <c:pt idx="11">
                  <c:v>Especializada en Atención a Delitos de Narcomenudeo</c:v>
                </c:pt>
                <c:pt idx="12">
                  <c:v>Especializada en Delitos Sexuales</c:v>
                </c:pt>
                <c:pt idx="13">
                  <c:v>Especializada en Asuntos Civiles</c:v>
                </c:pt>
                <c:pt idx="14">
                  <c:v>Especializada en Delitos cometidos por Servidores 
                                                                   Públicos</c:v>
                </c:pt>
                <c:pt idx="15">
                  <c:v>Otras*</c:v>
                </c:pt>
              </c:strCache>
            </c:strRef>
          </c:cat>
          <c:val>
            <c:numRef>
              <c:f>'Unidades administrativas'!$P$41:$P$56</c:f>
              <c:numCache>
                <c:formatCode>0.0%</c:formatCode>
                <c:ptCount val="16"/>
                <c:pt idx="0">
                  <c:v>0.46668465066091203</c:v>
                </c:pt>
                <c:pt idx="1">
                  <c:v>4.2891826274615602E-2</c:v>
                </c:pt>
                <c:pt idx="2">
                  <c:v>3.4799028864310799E-2</c:v>
                </c:pt>
                <c:pt idx="3">
                  <c:v>3.4259509036957098E-2</c:v>
                </c:pt>
                <c:pt idx="4">
                  <c:v>3.1561909900188798E-2</c:v>
                </c:pt>
                <c:pt idx="5">
                  <c:v>3.1292149986512002E-2</c:v>
                </c:pt>
                <c:pt idx="6">
                  <c:v>2.3738872403560801E-2</c:v>
                </c:pt>
                <c:pt idx="7">
                  <c:v>2.21203129214999E-2</c:v>
                </c:pt>
                <c:pt idx="8">
                  <c:v>2.21203129214999E-2</c:v>
                </c:pt>
                <c:pt idx="9">
                  <c:v>1.9962233612085201E-2</c:v>
                </c:pt>
                <c:pt idx="10">
                  <c:v>1.94227137847316E-2</c:v>
                </c:pt>
                <c:pt idx="11">
                  <c:v>1.78041543026706E-2</c:v>
                </c:pt>
                <c:pt idx="12">
                  <c:v>1.6455354734286502E-2</c:v>
                </c:pt>
                <c:pt idx="13">
                  <c:v>1.1329916374426799E-2</c:v>
                </c:pt>
                <c:pt idx="14">
                  <c:v>1.0790396547073099E-2</c:v>
                </c:pt>
                <c:pt idx="15">
                  <c:v>0.19476665767467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519-4793-9CAE-9FFAC6A3B9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451450936"/>
        <c:axId val="451453680"/>
      </c:barChart>
      <c:catAx>
        <c:axId val="4514509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1453680"/>
        <c:crosses val="autoZero"/>
        <c:auto val="1"/>
        <c:lblAlgn val="ctr"/>
        <c:lblOffset val="100"/>
        <c:noMultiLvlLbl val="0"/>
      </c:catAx>
      <c:valAx>
        <c:axId val="451453680"/>
        <c:scaling>
          <c:orientation val="minMax"/>
        </c:scaling>
        <c:delete val="1"/>
        <c:axPos val="t"/>
        <c:numFmt formatCode="0.0%" sourceLinked="1"/>
        <c:majorTickMark val="none"/>
        <c:minorTickMark val="none"/>
        <c:tickLblPos val="nextTo"/>
        <c:crossAx val="451450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0CE-4111-9DE2-ACE7A2F00E7A}"/>
              </c:ext>
            </c:extLst>
          </c:dPt>
          <c:dPt>
            <c:idx val="1"/>
            <c:invertIfNegative val="0"/>
            <c:bubble3D val="0"/>
            <c:spPr>
              <a:solidFill>
                <a:srgbClr val="00329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0CE-4111-9DE2-ACE7A2F00E7A}"/>
              </c:ext>
            </c:extLst>
          </c:dPt>
          <c:dPt>
            <c:idx val="2"/>
            <c:invertIfNegative val="0"/>
            <c:bubble3D val="0"/>
            <c:spPr>
              <a:solidFill>
                <a:srgbClr val="0047D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0CE-4111-9DE2-ACE7A2F00E7A}"/>
              </c:ext>
            </c:extLst>
          </c:dPt>
          <c:dPt>
            <c:idx val="3"/>
            <c:invertIfNegative val="0"/>
            <c:bubble3D val="0"/>
            <c:spPr>
              <a:solidFill>
                <a:srgbClr val="216BF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0CE-4111-9DE2-ACE7A2F00E7A}"/>
              </c:ext>
            </c:extLst>
          </c:dPt>
          <c:dPt>
            <c:idx val="5"/>
            <c:invertIfNegative val="0"/>
            <c:bubble3D val="0"/>
            <c:spPr>
              <a:solidFill>
                <a:srgbClr val="3961D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0CE-4111-9DE2-ACE7A2F00E7A}"/>
              </c:ext>
            </c:extLst>
          </c:dPt>
          <c:dPt>
            <c:idx val="6"/>
            <c:invertIfNegative val="0"/>
            <c:bubble3D val="0"/>
            <c:spPr>
              <a:solidFill>
                <a:srgbClr val="6886E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0CE-4111-9DE2-ACE7A2F00E7A}"/>
              </c:ext>
            </c:extLst>
          </c:dPt>
          <c:dPt>
            <c:idx val="7"/>
            <c:invertIfNegative val="0"/>
            <c:bubble3D val="0"/>
            <c:spPr>
              <a:solidFill>
                <a:srgbClr val="A7C4F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0CE-4111-9DE2-ACE7A2F00E7A}"/>
              </c:ext>
            </c:extLst>
          </c:dPt>
          <c:dPt>
            <c:idx val="8"/>
            <c:invertIfNegative val="0"/>
            <c:bubble3D val="0"/>
            <c:spPr>
              <a:solidFill>
                <a:srgbClr val="33CCF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0CE-4111-9DE2-ACE7A2F00E7A}"/>
              </c:ext>
            </c:extLst>
          </c:dPt>
          <c:dPt>
            <c:idx val="9"/>
            <c:invertIfNegative val="0"/>
            <c:bubble3D val="0"/>
            <c:spPr>
              <a:solidFill>
                <a:srgbClr val="A5A5A5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30CE-4111-9DE2-ACE7A2F00E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Hoja1!$P$3:$P$12</c:f>
              <c:strCache>
                <c:ptCount val="10"/>
                <c:pt idx="0">
                  <c:v>Formulación de la acusación</c:v>
                </c:pt>
                <c:pt idx="1">
                  <c:v>Incompetencias en la etapa de investigación complementaria</c:v>
                </c:pt>
                <c:pt idx="2">
                  <c:v>Soluciones alternas en las que se haya decretado la extinción de la acción penal</c:v>
                </c:pt>
                <c:pt idx="3">
                  <c:v>Suspensión del proceso</c:v>
                </c:pt>
                <c:pt idx="4">
                  <c:v>Otras conclusiones y/o determinaciones en la etapa de investigación complementaria</c:v>
                </c:pt>
                <c:pt idx="5">
                  <c:v>Procedimientos abreviados concluidos con sentencia</c:v>
                </c:pt>
                <c:pt idx="6">
                  <c:v>Sobreseimiento total o parcial decretado por el Juez de Control o Garantías en la etapa de investigación complementaria</c:v>
                </c:pt>
                <c:pt idx="7">
                  <c:v>Desistimiento de la acción penal del Ministerio Público en la etapa de investigación complementaria </c:v>
                </c:pt>
                <c:pt idx="8">
                  <c:v>Criterios de oportunidad en los que se haya declarado la extinción penal en la etapa de investigación complementaria</c:v>
                </c:pt>
                <c:pt idx="9">
                  <c:v>No especificado</c:v>
                </c:pt>
              </c:strCache>
            </c:strRef>
          </c:cat>
          <c:val>
            <c:numRef>
              <c:f>Hoja1!$Q$3:$Q$12</c:f>
              <c:numCache>
                <c:formatCode>0.0%</c:formatCode>
                <c:ptCount val="10"/>
                <c:pt idx="0">
                  <c:v>0.41759112519809799</c:v>
                </c:pt>
                <c:pt idx="1">
                  <c:v>0.13225295230305201</c:v>
                </c:pt>
                <c:pt idx="2">
                  <c:v>0.127894790654874</c:v>
                </c:pt>
                <c:pt idx="3">
                  <c:v>6.9000000000000006E-2</c:v>
                </c:pt>
                <c:pt idx="4">
                  <c:v>6.8350288840038895E-2</c:v>
                </c:pt>
                <c:pt idx="5">
                  <c:v>6.4107151986094804E-2</c:v>
                </c:pt>
                <c:pt idx="6">
                  <c:v>6.4030468789939204E-2</c:v>
                </c:pt>
                <c:pt idx="7">
                  <c:v>2.9331322529522998E-2</c:v>
                </c:pt>
                <c:pt idx="8">
                  <c:v>9.5470579213741604E-3</c:v>
                </c:pt>
                <c:pt idx="9">
                  <c:v>1.8416747610040401E-2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0CE-4111-9DE2-ACE7A2F00E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221262904"/>
        <c:axId val="221262120"/>
      </c:barChart>
      <c:catAx>
        <c:axId val="221262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21262120"/>
        <c:crosses val="autoZero"/>
        <c:auto val="1"/>
        <c:lblAlgn val="ctr"/>
        <c:lblOffset val="100"/>
        <c:noMultiLvlLbl val="0"/>
      </c:catAx>
      <c:valAx>
        <c:axId val="221262120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221262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15C-4B48-B8CE-8058502A0A85}"/>
              </c:ext>
            </c:extLst>
          </c:dPt>
          <c:dPt>
            <c:idx val="1"/>
            <c:invertIfNegative val="0"/>
            <c:bubble3D val="0"/>
            <c:spPr>
              <a:solidFill>
                <a:srgbClr val="0053FA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15C-4B48-B8CE-8058502A0A85}"/>
              </c:ext>
            </c:extLst>
          </c:dPt>
          <c:dPt>
            <c:idx val="2"/>
            <c:invertIfNegative val="0"/>
            <c:bubble3D val="0"/>
            <c:spPr>
              <a:solidFill>
                <a:srgbClr val="A7C4F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15C-4B48-B8CE-8058502A0A85}"/>
              </c:ext>
            </c:extLst>
          </c:dPt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MASC!$M$4:$O$4</c:f>
              <c:strCache>
                <c:ptCount val="3"/>
                <c:pt idx="0">
                  <c:v>Abiertos</c:v>
                </c:pt>
                <c:pt idx="1">
                  <c:v>Concluidos</c:v>
                </c:pt>
                <c:pt idx="2">
                  <c:v>Pendientes de concluir</c:v>
                </c:pt>
              </c:strCache>
            </c:strRef>
          </c:cat>
          <c:val>
            <c:numRef>
              <c:f>MASC!$M$5:$O$5</c:f>
              <c:numCache>
                <c:formatCode>#\ ###\ ##0</c:formatCode>
                <c:ptCount val="3"/>
                <c:pt idx="0">
                  <c:v>257154</c:v>
                </c:pt>
                <c:pt idx="1">
                  <c:v>242588</c:v>
                </c:pt>
                <c:pt idx="2">
                  <c:v>20610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15C-4B48-B8CE-8058502A0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221260944"/>
        <c:axId val="221258592"/>
      </c:barChart>
      <c:catAx>
        <c:axId val="22126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21258592"/>
        <c:crosses val="autoZero"/>
        <c:auto val="1"/>
        <c:lblAlgn val="ctr"/>
        <c:lblOffset val="100"/>
        <c:noMultiLvlLbl val="0"/>
      </c:catAx>
      <c:valAx>
        <c:axId val="221258592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22126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6081181473796919"/>
          <c:y val="2.1744497023478766E-2"/>
          <c:w val="0.59804386284442945"/>
          <c:h val="0.95651100595304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ED7-497A-B763-88B9399DDE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MASC!$W$8:$W$39</c:f>
              <c:strCache>
                <c:ptCount val="32"/>
                <c:pt idx="0">
                  <c:v>GTO</c:v>
                </c:pt>
                <c:pt idx="1">
                  <c:v>JAL</c:v>
                </c:pt>
                <c:pt idx="2">
                  <c:v>BC</c:v>
                </c:pt>
                <c:pt idx="3">
                  <c:v>NL</c:v>
                </c:pt>
                <c:pt idx="4">
                  <c:v>CHIH</c:v>
                </c:pt>
                <c:pt idx="5">
                  <c:v>COAH</c:v>
                </c:pt>
                <c:pt idx="6">
                  <c:v>QRO</c:v>
                </c:pt>
                <c:pt idx="7">
                  <c:v>PUE</c:v>
                </c:pt>
                <c:pt idx="8">
                  <c:v>TAMP</c:v>
                </c:pt>
                <c:pt idx="9">
                  <c:v>CDMX</c:v>
                </c:pt>
                <c:pt idx="10">
                  <c:v>MEX</c:v>
                </c:pt>
                <c:pt idx="11">
                  <c:v>OAX</c:v>
                </c:pt>
                <c:pt idx="12">
                  <c:v>SLP</c:v>
                </c:pt>
                <c:pt idx="13">
                  <c:v>ZAC</c:v>
                </c:pt>
                <c:pt idx="14">
                  <c:v>VER</c:v>
                </c:pt>
                <c:pt idx="15">
                  <c:v>TAB</c:v>
                </c:pt>
                <c:pt idx="16">
                  <c:v>CHIS</c:v>
                </c:pt>
                <c:pt idx="17">
                  <c:v>NAY</c:v>
                </c:pt>
                <c:pt idx="18">
                  <c:v>HGO</c:v>
                </c:pt>
                <c:pt idx="19">
                  <c:v>SON</c:v>
                </c:pt>
                <c:pt idx="20">
                  <c:v>DGO</c:v>
                </c:pt>
                <c:pt idx="21">
                  <c:v>YUC</c:v>
                </c:pt>
                <c:pt idx="22">
                  <c:v>MORE</c:v>
                </c:pt>
                <c:pt idx="23">
                  <c:v>MICH</c:v>
                </c:pt>
                <c:pt idx="24">
                  <c:v>SIN</c:v>
                </c:pt>
                <c:pt idx="25">
                  <c:v>TLAX</c:v>
                </c:pt>
                <c:pt idx="26">
                  <c:v>AGS</c:v>
                </c:pt>
                <c:pt idx="27">
                  <c:v>CAMP</c:v>
                </c:pt>
                <c:pt idx="28">
                  <c:v>BCS</c:v>
                </c:pt>
                <c:pt idx="29">
                  <c:v>QROO</c:v>
                </c:pt>
                <c:pt idx="30">
                  <c:v>COL</c:v>
                </c:pt>
                <c:pt idx="31">
                  <c:v>GRO</c:v>
                </c:pt>
              </c:strCache>
            </c:strRef>
          </c:cat>
          <c:val>
            <c:numRef>
              <c:f>MASC!$X$8:$X$39</c:f>
              <c:numCache>
                <c:formatCode>#,##0</c:formatCode>
                <c:ptCount val="32"/>
                <c:pt idx="0">
                  <c:v>32696</c:v>
                </c:pt>
                <c:pt idx="1">
                  <c:v>24426</c:v>
                </c:pt>
                <c:pt idx="2">
                  <c:v>20001</c:v>
                </c:pt>
                <c:pt idx="3">
                  <c:v>16421</c:v>
                </c:pt>
                <c:pt idx="4">
                  <c:v>13074</c:v>
                </c:pt>
                <c:pt idx="5">
                  <c:v>11267</c:v>
                </c:pt>
                <c:pt idx="6">
                  <c:v>10884</c:v>
                </c:pt>
                <c:pt idx="7">
                  <c:v>10270</c:v>
                </c:pt>
                <c:pt idx="8">
                  <c:v>10180</c:v>
                </c:pt>
                <c:pt idx="9">
                  <c:v>8960</c:v>
                </c:pt>
                <c:pt idx="10">
                  <c:v>8946</c:v>
                </c:pt>
                <c:pt idx="11">
                  <c:v>7418</c:v>
                </c:pt>
                <c:pt idx="12">
                  <c:v>7019</c:v>
                </c:pt>
                <c:pt idx="13">
                  <c:v>6973</c:v>
                </c:pt>
                <c:pt idx="14">
                  <c:v>6177</c:v>
                </c:pt>
                <c:pt idx="15">
                  <c:v>6162</c:v>
                </c:pt>
                <c:pt idx="16">
                  <c:v>6153</c:v>
                </c:pt>
                <c:pt idx="17">
                  <c:v>5719</c:v>
                </c:pt>
                <c:pt idx="18">
                  <c:v>4407</c:v>
                </c:pt>
                <c:pt idx="19">
                  <c:v>4273</c:v>
                </c:pt>
                <c:pt idx="20">
                  <c:v>4224</c:v>
                </c:pt>
                <c:pt idx="21">
                  <c:v>3891</c:v>
                </c:pt>
                <c:pt idx="22">
                  <c:v>3773</c:v>
                </c:pt>
                <c:pt idx="23">
                  <c:v>3264</c:v>
                </c:pt>
                <c:pt idx="24">
                  <c:v>3120</c:v>
                </c:pt>
                <c:pt idx="25">
                  <c:v>3063</c:v>
                </c:pt>
                <c:pt idx="26">
                  <c:v>2852</c:v>
                </c:pt>
                <c:pt idx="27">
                  <c:v>2834</c:v>
                </c:pt>
                <c:pt idx="28">
                  <c:v>2699</c:v>
                </c:pt>
                <c:pt idx="29">
                  <c:v>2425</c:v>
                </c:pt>
                <c:pt idx="30">
                  <c:v>2315</c:v>
                </c:pt>
                <c:pt idx="31">
                  <c:v>1268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ED7-497A-B763-88B9399DDE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226642368"/>
        <c:axId val="220052224"/>
      </c:barChart>
      <c:catAx>
        <c:axId val="2266423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20052224"/>
        <c:crosses val="autoZero"/>
        <c:auto val="1"/>
        <c:lblAlgn val="ctr"/>
        <c:lblOffset val="100"/>
        <c:noMultiLvlLbl val="0"/>
      </c:catAx>
      <c:valAx>
        <c:axId val="220052224"/>
        <c:scaling>
          <c:orientation val="minMax"/>
        </c:scaling>
        <c:delete val="1"/>
        <c:axPos val="t"/>
        <c:numFmt formatCode="#,##0" sourceLinked="1"/>
        <c:majorTickMark val="none"/>
        <c:minorTickMark val="none"/>
        <c:tickLblPos val="nextTo"/>
        <c:crossAx val="22664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7B-41F4-8982-549CE93DC070}"/>
              </c:ext>
            </c:extLst>
          </c:dPt>
          <c:dPt>
            <c:idx val="1"/>
            <c:invertIfNegative val="0"/>
            <c:bubble3D val="0"/>
            <c:spPr>
              <a:solidFill>
                <a:srgbClr val="00329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7B-41F4-8982-549CE93DC070}"/>
              </c:ext>
            </c:extLst>
          </c:dPt>
          <c:dPt>
            <c:idx val="2"/>
            <c:invertIfNegative val="0"/>
            <c:bubble3D val="0"/>
            <c:spPr>
              <a:solidFill>
                <a:srgbClr val="0053FA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07B-41F4-8982-549CE93DC070}"/>
              </c:ext>
            </c:extLst>
          </c:dPt>
          <c:dPt>
            <c:idx val="3"/>
            <c:invertIfNegative val="0"/>
            <c:bubble3D val="0"/>
            <c:spPr>
              <a:solidFill>
                <a:srgbClr val="3F7FF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07B-41F4-8982-549CE93DC070}"/>
              </c:ext>
            </c:extLst>
          </c:dPt>
          <c:dPt>
            <c:idx val="4"/>
            <c:invertIfNegative val="0"/>
            <c:bubble3D val="0"/>
            <c:spPr>
              <a:solidFill>
                <a:srgbClr val="8FAADC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07B-41F4-8982-549CE93DC070}"/>
              </c:ext>
            </c:extLst>
          </c:dPt>
          <c:dPt>
            <c:idx val="5"/>
            <c:invertIfNegative val="0"/>
            <c:bubble3D val="0"/>
            <c:spPr>
              <a:solidFill>
                <a:srgbClr val="A7C4F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07B-41F4-8982-549CE93DC070}"/>
              </c:ext>
            </c:extLst>
          </c:dPt>
          <c:dPt>
            <c:idx val="6"/>
            <c:invertIfNegative val="0"/>
            <c:bubble3D val="0"/>
            <c:spPr>
              <a:solidFill>
                <a:srgbClr val="C7DDF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07B-41F4-8982-549CE93DC070}"/>
              </c:ext>
            </c:extLst>
          </c:dPt>
          <c:dPt>
            <c:idx val="7"/>
            <c:invertIfNegative val="0"/>
            <c:bubble3D val="0"/>
            <c:spPr>
              <a:solidFill>
                <a:srgbClr val="8E8E8E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207B-41F4-8982-549CE93DC0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'Personal agencias MP'!$R$24:$R$31</c:f>
              <c:strCache>
                <c:ptCount val="8"/>
                <c:pt idx="0">
                  <c:v>Personal administrativo y de apoyo</c:v>
                </c:pt>
                <c:pt idx="1">
                  <c:v>Policías Ministeriales o Investigadores
                                          o Judiciales</c:v>
                </c:pt>
                <c:pt idx="2">
                  <c:v>Agentes del Ministerio Público</c:v>
                </c:pt>
                <c:pt idx="3">
                  <c:v>Secretarios del Ministerio Público</c:v>
                </c:pt>
                <c:pt idx="4">
                  <c:v>Fiscales del Ministerio Público</c:v>
                </c:pt>
                <c:pt idx="5">
                  <c:v>Peritos</c:v>
                </c:pt>
                <c:pt idx="6">
                  <c:v>Actuarios del Ministerio Público</c:v>
                </c:pt>
                <c:pt idx="7">
                  <c:v>Otro</c:v>
                </c:pt>
              </c:strCache>
            </c:strRef>
          </c:cat>
          <c:val>
            <c:numRef>
              <c:f>'Personal agencias MP'!$S$24:$S$31</c:f>
              <c:numCache>
                <c:formatCode>0.0%</c:formatCode>
                <c:ptCount val="8"/>
                <c:pt idx="0">
                  <c:v>0.246943145969098</c:v>
                </c:pt>
                <c:pt idx="1">
                  <c:v>0.23572892440186999</c:v>
                </c:pt>
                <c:pt idx="2">
                  <c:v>0.22018559882100999</c:v>
                </c:pt>
                <c:pt idx="3">
                  <c:v>0.15082782600686201</c:v>
                </c:pt>
                <c:pt idx="4">
                  <c:v>5.69691666474774E-2</c:v>
                </c:pt>
                <c:pt idx="5">
                  <c:v>4.8449121514265302E-2</c:v>
                </c:pt>
                <c:pt idx="6">
                  <c:v>1.62111129021116E-2</c:v>
                </c:pt>
                <c:pt idx="7">
                  <c:v>2.4685103737306299E-2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207B-41F4-8982-549CE93DC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451454464"/>
        <c:axId val="451451328"/>
      </c:barChart>
      <c:catAx>
        <c:axId val="45145446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1451328"/>
        <c:crosses val="autoZero"/>
        <c:auto val="1"/>
        <c:lblAlgn val="ctr"/>
        <c:lblOffset val="100"/>
        <c:noMultiLvlLbl val="0"/>
      </c:catAx>
      <c:valAx>
        <c:axId val="451451328"/>
        <c:scaling>
          <c:orientation val="minMax"/>
          <c:max val="0.3"/>
        </c:scaling>
        <c:delete val="1"/>
        <c:axPos val="t"/>
        <c:numFmt formatCode="0.0%" sourceLinked="1"/>
        <c:majorTickMark val="none"/>
        <c:minorTickMark val="none"/>
        <c:tickLblPos val="nextTo"/>
        <c:crossAx val="451454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395329436746296E-3"/>
          <c:y val="0.120727867699256"/>
          <c:w val="0.987281401168976"/>
          <c:h val="0.550400402756261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989-4E9D-B51C-622D267C8E86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989-4E9D-B51C-622D267C8E86}"/>
              </c:ext>
            </c:extLst>
          </c:dPt>
          <c:dPt>
            <c:idx val="17"/>
            <c:invertIfNegative val="0"/>
            <c:bubble3D val="0"/>
            <c:spPr>
              <a:solidFill>
                <a:srgbClr val="0053FB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4E6-4546-8820-579BACEF3D8A}"/>
              </c:ext>
            </c:extLst>
          </c:dPt>
          <c:dPt>
            <c:idx val="2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989-4E9D-B51C-622D267C8E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'Personal agencias sin Guanajuat'!$P$73:$P$105</c:f>
              <c:strCache>
                <c:ptCount val="33"/>
                <c:pt idx="0">
                  <c:v>CHIH</c:v>
                </c:pt>
                <c:pt idx="1">
                  <c:v>QROO</c:v>
                </c:pt>
                <c:pt idx="2">
                  <c:v>CDMX</c:v>
                </c:pt>
                <c:pt idx="3">
                  <c:v>YUC</c:v>
                </c:pt>
                <c:pt idx="4">
                  <c:v>GRO</c:v>
                </c:pt>
                <c:pt idx="5">
                  <c:v>BCS</c:v>
                </c:pt>
                <c:pt idx="6">
                  <c:v>ZAC</c:v>
                </c:pt>
                <c:pt idx="7">
                  <c:v>COL</c:v>
                </c:pt>
                <c:pt idx="8">
                  <c:v>MICH</c:v>
                </c:pt>
                <c:pt idx="9">
                  <c:v>CHIS</c:v>
                </c:pt>
                <c:pt idx="10">
                  <c:v>NAY</c:v>
                </c:pt>
                <c:pt idx="11">
                  <c:v>TAB</c:v>
                </c:pt>
                <c:pt idx="12">
                  <c:v>OAX</c:v>
                </c:pt>
                <c:pt idx="13">
                  <c:v>HGO</c:v>
                </c:pt>
                <c:pt idx="14">
                  <c:v>AGS</c:v>
                </c:pt>
                <c:pt idx="15">
                  <c:v>COAH</c:v>
                </c:pt>
                <c:pt idx="16">
                  <c:v>MORE</c:v>
                </c:pt>
                <c:pt idx="17">
                  <c:v>NACIONAL</c:v>
                </c:pt>
                <c:pt idx="18">
                  <c:v>SIN</c:v>
                </c:pt>
                <c:pt idx="19">
                  <c:v>GTO</c:v>
                </c:pt>
                <c:pt idx="20">
                  <c:v>BC</c:v>
                </c:pt>
                <c:pt idx="21">
                  <c:v>SLP</c:v>
                </c:pt>
                <c:pt idx="22">
                  <c:v>CAMP</c:v>
                </c:pt>
                <c:pt idx="23">
                  <c:v>TAMP</c:v>
                </c:pt>
                <c:pt idx="24">
                  <c:v>QRO</c:v>
                </c:pt>
                <c:pt idx="25">
                  <c:v>TLAX</c:v>
                </c:pt>
                <c:pt idx="26">
                  <c:v>SON</c:v>
                </c:pt>
                <c:pt idx="27">
                  <c:v>DGO</c:v>
                </c:pt>
                <c:pt idx="28">
                  <c:v>VER</c:v>
                </c:pt>
                <c:pt idx="29">
                  <c:v>PUE</c:v>
                </c:pt>
                <c:pt idx="30">
                  <c:v>MEX</c:v>
                </c:pt>
                <c:pt idx="31">
                  <c:v>JAL</c:v>
                </c:pt>
                <c:pt idx="32">
                  <c:v>NL</c:v>
                </c:pt>
              </c:strCache>
            </c:strRef>
          </c:cat>
          <c:val>
            <c:numRef>
              <c:f>'Personal agencias sin Guanajuat'!$Q$73:$Q$105</c:f>
              <c:numCache>
                <c:formatCode>0.0</c:formatCode>
                <c:ptCount val="33"/>
                <c:pt idx="0">
                  <c:v>29.4</c:v>
                </c:pt>
                <c:pt idx="1">
                  <c:v>17.5</c:v>
                </c:pt>
                <c:pt idx="2">
                  <c:v>16.600000000000001</c:v>
                </c:pt>
                <c:pt idx="3">
                  <c:v>15.8</c:v>
                </c:pt>
                <c:pt idx="4">
                  <c:v>14.3</c:v>
                </c:pt>
                <c:pt idx="5">
                  <c:v>13.4</c:v>
                </c:pt>
                <c:pt idx="6">
                  <c:v>13.3</c:v>
                </c:pt>
                <c:pt idx="7">
                  <c:v>13</c:v>
                </c:pt>
                <c:pt idx="8">
                  <c:v>12.1</c:v>
                </c:pt>
                <c:pt idx="9">
                  <c:v>11.8</c:v>
                </c:pt>
                <c:pt idx="10">
                  <c:v>11.7</c:v>
                </c:pt>
                <c:pt idx="11">
                  <c:v>11.6</c:v>
                </c:pt>
                <c:pt idx="12">
                  <c:v>11.3</c:v>
                </c:pt>
                <c:pt idx="13">
                  <c:v>11.1</c:v>
                </c:pt>
                <c:pt idx="14">
                  <c:v>10.9</c:v>
                </c:pt>
                <c:pt idx="15">
                  <c:v>10.9</c:v>
                </c:pt>
                <c:pt idx="16">
                  <c:v>10.5</c:v>
                </c:pt>
                <c:pt idx="17">
                  <c:v>9.6</c:v>
                </c:pt>
                <c:pt idx="18">
                  <c:v>8.8000000000000007</c:v>
                </c:pt>
                <c:pt idx="19">
                  <c:v>8.7000000000000011</c:v>
                </c:pt>
                <c:pt idx="20">
                  <c:v>8.3000000000000007</c:v>
                </c:pt>
                <c:pt idx="21">
                  <c:v>8.3000000000000007</c:v>
                </c:pt>
                <c:pt idx="22">
                  <c:v>7.9</c:v>
                </c:pt>
                <c:pt idx="23">
                  <c:v>7.8</c:v>
                </c:pt>
                <c:pt idx="24">
                  <c:v>7.7</c:v>
                </c:pt>
                <c:pt idx="25">
                  <c:v>6.6</c:v>
                </c:pt>
                <c:pt idx="26">
                  <c:v>6.3</c:v>
                </c:pt>
                <c:pt idx="27">
                  <c:v>6.1</c:v>
                </c:pt>
                <c:pt idx="28">
                  <c:v>5.9</c:v>
                </c:pt>
                <c:pt idx="29">
                  <c:v>5.8</c:v>
                </c:pt>
                <c:pt idx="30">
                  <c:v>5.4</c:v>
                </c:pt>
                <c:pt idx="31">
                  <c:v>5.0999999999999996</c:v>
                </c:pt>
                <c:pt idx="32">
                  <c:v>4.0999999999999996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989-4E9D-B51C-622D267C8E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222080072"/>
        <c:axId val="222081640"/>
      </c:barChart>
      <c:catAx>
        <c:axId val="222080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22081640"/>
        <c:crosses val="autoZero"/>
        <c:auto val="1"/>
        <c:lblAlgn val="ctr"/>
        <c:lblOffset val="100"/>
        <c:noMultiLvlLbl val="0"/>
      </c:catAx>
      <c:valAx>
        <c:axId val="22208164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22080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"/>
            <c:invertIfNegative val="0"/>
            <c:bubble3D val="0"/>
            <c:spPr>
              <a:solidFill>
                <a:srgbClr val="0044CC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971-405B-A830-A8E4E91BB932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971-405B-A830-A8E4E91BB932}"/>
              </c:ext>
            </c:extLst>
          </c:dPt>
          <c:dPt>
            <c:idx val="3"/>
            <c:invertIfNegative val="0"/>
            <c:bubble3D val="0"/>
            <c:spPr>
              <a:solidFill>
                <a:srgbClr val="A7C4F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971-405B-A830-A8E4E91BB932}"/>
              </c:ext>
            </c:extLst>
          </c:dPt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'M2 Y M3'!$AF$4:$AI$4</c:f>
              <c:strCache>
                <c:ptCount val="4"/>
                <c:pt idx="0">
                  <c:v>Iniciadas y/o 
abiertas</c:v>
                </c:pt>
                <c:pt idx="1">
                  <c:v>Determinadas</c:v>
                </c:pt>
                <c:pt idx="2">
                  <c:v>Cerradas</c:v>
                </c:pt>
                <c:pt idx="3">
                  <c:v>Pendientes</c:v>
                </c:pt>
              </c:strCache>
            </c:strRef>
          </c:cat>
          <c:val>
            <c:numRef>
              <c:f>'M2 Y M3'!$AF$6:$AI$6</c:f>
              <c:numCache>
                <c:formatCode>#,##0</c:formatCode>
                <c:ptCount val="4"/>
                <c:pt idx="0">
                  <c:v>1880460</c:v>
                </c:pt>
                <c:pt idx="1">
                  <c:v>1324273</c:v>
                </c:pt>
                <c:pt idx="2">
                  <c:v>78244</c:v>
                </c:pt>
                <c:pt idx="3">
                  <c:v>1555953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971-405B-A830-A8E4E91BB9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222080856"/>
        <c:axId val="154867792"/>
      </c:barChart>
      <c:catAx>
        <c:axId val="222080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4867792"/>
        <c:crosses val="autoZero"/>
        <c:auto val="1"/>
        <c:lblAlgn val="ctr"/>
        <c:lblOffset val="100"/>
        <c:noMultiLvlLbl val="0"/>
      </c:catAx>
      <c:valAx>
        <c:axId val="15486779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22080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7"/>
            <c:invertIfNegative val="0"/>
            <c:bubble3D val="0"/>
            <c:spPr>
              <a:solidFill>
                <a:srgbClr val="0053FA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FC-4C8A-9DA2-7DE235E736C5}"/>
              </c:ext>
            </c:extLst>
          </c:dPt>
          <c:dPt>
            <c:idx val="2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FC-4C8A-9DA2-7DE235E736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'Carga de trabajo'!$L$2:$L$34</c:f>
              <c:strCache>
                <c:ptCount val="33"/>
                <c:pt idx="0">
                  <c:v>NL</c:v>
                </c:pt>
                <c:pt idx="1">
                  <c:v>QRO</c:v>
                </c:pt>
                <c:pt idx="2">
                  <c:v>BC</c:v>
                </c:pt>
                <c:pt idx="3">
                  <c:v>MEX</c:v>
                </c:pt>
                <c:pt idx="4">
                  <c:v>JAL</c:v>
                </c:pt>
                <c:pt idx="5">
                  <c:v>DGO</c:v>
                </c:pt>
                <c:pt idx="6">
                  <c:v>GTO</c:v>
                </c:pt>
                <c:pt idx="7">
                  <c:v>COL</c:v>
                </c:pt>
                <c:pt idx="8">
                  <c:v>AGS</c:v>
                </c:pt>
                <c:pt idx="9">
                  <c:v>MORE</c:v>
                </c:pt>
                <c:pt idx="10">
                  <c:v>BCS</c:v>
                </c:pt>
                <c:pt idx="11">
                  <c:v>TAB</c:v>
                </c:pt>
                <c:pt idx="12">
                  <c:v>COAH</c:v>
                </c:pt>
                <c:pt idx="13">
                  <c:v>CDMX</c:v>
                </c:pt>
                <c:pt idx="14">
                  <c:v>PUE</c:v>
                </c:pt>
                <c:pt idx="15">
                  <c:v>SLP</c:v>
                </c:pt>
                <c:pt idx="16">
                  <c:v>TAMP</c:v>
                </c:pt>
                <c:pt idx="17">
                  <c:v>NACIONAL</c:v>
                </c:pt>
                <c:pt idx="18">
                  <c:v>HGO</c:v>
                </c:pt>
                <c:pt idx="19">
                  <c:v>QROO</c:v>
                </c:pt>
                <c:pt idx="20">
                  <c:v>VER</c:v>
                </c:pt>
                <c:pt idx="21">
                  <c:v>ZAC</c:v>
                </c:pt>
                <c:pt idx="22">
                  <c:v>SON</c:v>
                </c:pt>
                <c:pt idx="23">
                  <c:v>OAX</c:v>
                </c:pt>
                <c:pt idx="24">
                  <c:v>MICH</c:v>
                </c:pt>
                <c:pt idx="25">
                  <c:v>TLAX</c:v>
                </c:pt>
                <c:pt idx="26">
                  <c:v>CHIH</c:v>
                </c:pt>
                <c:pt idx="27">
                  <c:v>GRO</c:v>
                </c:pt>
                <c:pt idx="28">
                  <c:v>CHIS</c:v>
                </c:pt>
                <c:pt idx="29">
                  <c:v>YUC</c:v>
                </c:pt>
                <c:pt idx="30">
                  <c:v>NAY</c:v>
                </c:pt>
                <c:pt idx="31">
                  <c:v>CAMP</c:v>
                </c:pt>
                <c:pt idx="32">
                  <c:v>SIN</c:v>
                </c:pt>
              </c:strCache>
            </c:strRef>
          </c:cat>
          <c:val>
            <c:numRef>
              <c:f>'Carga de trabajo'!$K$2:$K$34</c:f>
              <c:numCache>
                <c:formatCode>0.0</c:formatCode>
                <c:ptCount val="33"/>
                <c:pt idx="0">
                  <c:v>364.6</c:v>
                </c:pt>
                <c:pt idx="1">
                  <c:v>338.1</c:v>
                </c:pt>
                <c:pt idx="2">
                  <c:v>329.2</c:v>
                </c:pt>
                <c:pt idx="3">
                  <c:v>305.5</c:v>
                </c:pt>
                <c:pt idx="4">
                  <c:v>304.2</c:v>
                </c:pt>
                <c:pt idx="5">
                  <c:v>284.8</c:v>
                </c:pt>
                <c:pt idx="6">
                  <c:v>251.4</c:v>
                </c:pt>
                <c:pt idx="7">
                  <c:v>250.6</c:v>
                </c:pt>
                <c:pt idx="8">
                  <c:v>242.2</c:v>
                </c:pt>
                <c:pt idx="9">
                  <c:v>241.9</c:v>
                </c:pt>
                <c:pt idx="10">
                  <c:v>229.4</c:v>
                </c:pt>
                <c:pt idx="11">
                  <c:v>180.7</c:v>
                </c:pt>
                <c:pt idx="12">
                  <c:v>172.2</c:v>
                </c:pt>
                <c:pt idx="13">
                  <c:v>171.8</c:v>
                </c:pt>
                <c:pt idx="14">
                  <c:v>163.69999999999999</c:v>
                </c:pt>
                <c:pt idx="15">
                  <c:v>163.30000000000001</c:v>
                </c:pt>
                <c:pt idx="16">
                  <c:v>156.80000000000001</c:v>
                </c:pt>
                <c:pt idx="17">
                  <c:v>156.19999999999999</c:v>
                </c:pt>
                <c:pt idx="18">
                  <c:v>148.5</c:v>
                </c:pt>
                <c:pt idx="19">
                  <c:v>119.7</c:v>
                </c:pt>
                <c:pt idx="20">
                  <c:v>116.6</c:v>
                </c:pt>
                <c:pt idx="21">
                  <c:v>97.1</c:v>
                </c:pt>
                <c:pt idx="22">
                  <c:v>96</c:v>
                </c:pt>
                <c:pt idx="23">
                  <c:v>91.2</c:v>
                </c:pt>
                <c:pt idx="24">
                  <c:v>78.5</c:v>
                </c:pt>
                <c:pt idx="25">
                  <c:v>71.7</c:v>
                </c:pt>
                <c:pt idx="26">
                  <c:v>64.5</c:v>
                </c:pt>
                <c:pt idx="27">
                  <c:v>49.5</c:v>
                </c:pt>
                <c:pt idx="28">
                  <c:v>41.5</c:v>
                </c:pt>
                <c:pt idx="29">
                  <c:v>38.9</c:v>
                </c:pt>
                <c:pt idx="30">
                  <c:v>31.8</c:v>
                </c:pt>
                <c:pt idx="31">
                  <c:v>27.6</c:v>
                </c:pt>
                <c:pt idx="32">
                  <c:v>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AFC-4C8A-9DA2-7DE235E736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54866616"/>
        <c:axId val="154867008"/>
      </c:barChart>
      <c:catAx>
        <c:axId val="1548666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4867008"/>
        <c:crosses val="autoZero"/>
        <c:auto val="1"/>
        <c:lblAlgn val="ctr"/>
        <c:lblOffset val="100"/>
        <c:noMultiLvlLbl val="0"/>
      </c:catAx>
      <c:valAx>
        <c:axId val="154867008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154866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'Delitos final por entidad'!$T$1</c:f>
              <c:strCache>
                <c:ptCount val="1"/>
                <c:pt idx="0">
                  <c:v>Robo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F55-49ED-BB3B-6731508E844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'Delitos final por entidad'!$S$2:$S$34</c:f>
              <c:strCache>
                <c:ptCount val="33"/>
                <c:pt idx="0">
                  <c:v>TLAX</c:v>
                </c:pt>
                <c:pt idx="1">
                  <c:v>PUE</c:v>
                </c:pt>
                <c:pt idx="2">
                  <c:v>JAL</c:v>
                </c:pt>
                <c:pt idx="3">
                  <c:v>QRO</c:v>
                </c:pt>
                <c:pt idx="4">
                  <c:v>CDMX</c:v>
                </c:pt>
                <c:pt idx="5">
                  <c:v>MEX</c:v>
                </c:pt>
                <c:pt idx="6">
                  <c:v>CAMP</c:v>
                </c:pt>
                <c:pt idx="7">
                  <c:v>BCS</c:v>
                </c:pt>
                <c:pt idx="8">
                  <c:v>TAB</c:v>
                </c:pt>
                <c:pt idx="9">
                  <c:v>BC</c:v>
                </c:pt>
                <c:pt idx="10">
                  <c:v>QROO</c:v>
                </c:pt>
                <c:pt idx="11">
                  <c:v>MICH</c:v>
                </c:pt>
                <c:pt idx="12">
                  <c:v>AGS</c:v>
                </c:pt>
                <c:pt idx="13">
                  <c:v>NACIONAL</c:v>
                </c:pt>
                <c:pt idx="14">
                  <c:v>SON</c:v>
                </c:pt>
                <c:pt idx="15">
                  <c:v>VER</c:v>
                </c:pt>
                <c:pt idx="16">
                  <c:v>MORE</c:v>
                </c:pt>
                <c:pt idx="17">
                  <c:v>ZAC</c:v>
                </c:pt>
                <c:pt idx="18">
                  <c:v>SLP</c:v>
                </c:pt>
                <c:pt idx="19">
                  <c:v>CHIS</c:v>
                </c:pt>
                <c:pt idx="20">
                  <c:v>COL</c:v>
                </c:pt>
                <c:pt idx="21">
                  <c:v>TAMP</c:v>
                </c:pt>
                <c:pt idx="22">
                  <c:v>GTO</c:v>
                </c:pt>
                <c:pt idx="23">
                  <c:v>DGO</c:v>
                </c:pt>
                <c:pt idx="24">
                  <c:v>GRO</c:v>
                </c:pt>
                <c:pt idx="25">
                  <c:v>OAX</c:v>
                </c:pt>
                <c:pt idx="26">
                  <c:v>HGO</c:v>
                </c:pt>
                <c:pt idx="27">
                  <c:v>NAY</c:v>
                </c:pt>
                <c:pt idx="28">
                  <c:v>CHIH</c:v>
                </c:pt>
                <c:pt idx="29">
                  <c:v>SIN</c:v>
                </c:pt>
                <c:pt idx="30">
                  <c:v>NL</c:v>
                </c:pt>
                <c:pt idx="31">
                  <c:v>YUC</c:v>
                </c:pt>
                <c:pt idx="32">
                  <c:v>COAH</c:v>
                </c:pt>
              </c:strCache>
            </c:strRef>
          </c:cat>
          <c:val>
            <c:numRef>
              <c:f>'Delitos final por entidad'!$T$2:$T$34</c:f>
              <c:numCache>
                <c:formatCode>0.0%</c:formatCode>
                <c:ptCount val="33"/>
                <c:pt idx="0">
                  <c:v>0.67669644256386197</c:v>
                </c:pt>
                <c:pt idx="1">
                  <c:v>0.56629201879550395</c:v>
                </c:pt>
                <c:pt idx="2">
                  <c:v>0.52479356574938496</c:v>
                </c:pt>
                <c:pt idx="3">
                  <c:v>0.52013234634365202</c:v>
                </c:pt>
                <c:pt idx="4">
                  <c:v>0.51779040639465601</c:v>
                </c:pt>
                <c:pt idx="5">
                  <c:v>0.450874205917702</c:v>
                </c:pt>
                <c:pt idx="6">
                  <c:v>0.44671781756180701</c:v>
                </c:pt>
                <c:pt idx="7">
                  <c:v>0.43948881789137401</c:v>
                </c:pt>
                <c:pt idx="8">
                  <c:v>0.42984311050477497</c:v>
                </c:pt>
                <c:pt idx="9">
                  <c:v>0.41823364776614502</c:v>
                </c:pt>
                <c:pt idx="10">
                  <c:v>0.41809319329194</c:v>
                </c:pt>
                <c:pt idx="11">
                  <c:v>0.41283469794202299</c:v>
                </c:pt>
                <c:pt idx="12">
                  <c:v>0.40719417129464502</c:v>
                </c:pt>
                <c:pt idx="13">
                  <c:v>0.402101612619922</c:v>
                </c:pt>
                <c:pt idx="14">
                  <c:v>0.39812241044737001</c:v>
                </c:pt>
                <c:pt idx="15">
                  <c:v>0.380521462837206</c:v>
                </c:pt>
                <c:pt idx="16">
                  <c:v>0.38000712123909602</c:v>
                </c:pt>
                <c:pt idx="17">
                  <c:v>0.368876351669017</c:v>
                </c:pt>
                <c:pt idx="18">
                  <c:v>0.36470986914133802</c:v>
                </c:pt>
                <c:pt idx="19">
                  <c:v>0.340890211823342</c:v>
                </c:pt>
                <c:pt idx="20">
                  <c:v>0.33353132177080902</c:v>
                </c:pt>
                <c:pt idx="21">
                  <c:v>0.32225476174260498</c:v>
                </c:pt>
                <c:pt idx="22">
                  <c:v>0.31765324991411997</c:v>
                </c:pt>
                <c:pt idx="23">
                  <c:v>0.30784276610511702</c:v>
                </c:pt>
                <c:pt idx="24">
                  <c:v>0.30118928213211099</c:v>
                </c:pt>
                <c:pt idx="25">
                  <c:v>0.29858290033065699</c:v>
                </c:pt>
                <c:pt idx="26">
                  <c:v>0.28585373472336101</c:v>
                </c:pt>
                <c:pt idx="27">
                  <c:v>0.25247738043946599</c:v>
                </c:pt>
                <c:pt idx="28">
                  <c:v>0.24412713687309001</c:v>
                </c:pt>
                <c:pt idx="29">
                  <c:v>0.21559633027522901</c:v>
                </c:pt>
                <c:pt idx="30">
                  <c:v>0.19690623512613001</c:v>
                </c:pt>
                <c:pt idx="31">
                  <c:v>0.186284619917501</c:v>
                </c:pt>
                <c:pt idx="32">
                  <c:v>0.15745822011472799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55-49ED-BB3B-6731508E8449}"/>
            </c:ext>
          </c:extLst>
        </c:ser>
        <c:ser>
          <c:idx val="1"/>
          <c:order val="1"/>
          <c:tx>
            <c:strRef>
              <c:f>'Delitos final por entidad'!$U$1</c:f>
              <c:strCache>
                <c:ptCount val="1"/>
                <c:pt idx="0">
                  <c:v>Lesiones</c:v>
                </c:pt>
              </c:strCache>
            </c:strRef>
          </c:tx>
          <c:spPr>
            <a:solidFill>
              <a:srgbClr val="00329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'Delitos final por entidad'!$S$2:$S$34</c:f>
              <c:strCache>
                <c:ptCount val="33"/>
                <c:pt idx="0">
                  <c:v>TLAX</c:v>
                </c:pt>
                <c:pt idx="1">
                  <c:v>PUE</c:v>
                </c:pt>
                <c:pt idx="2">
                  <c:v>JAL</c:v>
                </c:pt>
                <c:pt idx="3">
                  <c:v>QRO</c:v>
                </c:pt>
                <c:pt idx="4">
                  <c:v>CDMX</c:v>
                </c:pt>
                <c:pt idx="5">
                  <c:v>MEX</c:v>
                </c:pt>
                <c:pt idx="6">
                  <c:v>CAMP</c:v>
                </c:pt>
                <c:pt idx="7">
                  <c:v>BCS</c:v>
                </c:pt>
                <c:pt idx="8">
                  <c:v>TAB</c:v>
                </c:pt>
                <c:pt idx="9">
                  <c:v>BC</c:v>
                </c:pt>
                <c:pt idx="10">
                  <c:v>QROO</c:v>
                </c:pt>
                <c:pt idx="11">
                  <c:v>MICH</c:v>
                </c:pt>
                <c:pt idx="12">
                  <c:v>AGS</c:v>
                </c:pt>
                <c:pt idx="13">
                  <c:v>NACIONAL</c:v>
                </c:pt>
                <c:pt idx="14">
                  <c:v>SON</c:v>
                </c:pt>
                <c:pt idx="15">
                  <c:v>VER</c:v>
                </c:pt>
                <c:pt idx="16">
                  <c:v>MORE</c:v>
                </c:pt>
                <c:pt idx="17">
                  <c:v>ZAC</c:v>
                </c:pt>
                <c:pt idx="18">
                  <c:v>SLP</c:v>
                </c:pt>
                <c:pt idx="19">
                  <c:v>CHIS</c:v>
                </c:pt>
                <c:pt idx="20">
                  <c:v>COL</c:v>
                </c:pt>
                <c:pt idx="21">
                  <c:v>TAMP</c:v>
                </c:pt>
                <c:pt idx="22">
                  <c:v>GTO</c:v>
                </c:pt>
                <c:pt idx="23">
                  <c:v>DGO</c:v>
                </c:pt>
                <c:pt idx="24">
                  <c:v>GRO</c:v>
                </c:pt>
                <c:pt idx="25">
                  <c:v>OAX</c:v>
                </c:pt>
                <c:pt idx="26">
                  <c:v>HGO</c:v>
                </c:pt>
                <c:pt idx="27">
                  <c:v>NAY</c:v>
                </c:pt>
                <c:pt idx="28">
                  <c:v>CHIH</c:v>
                </c:pt>
                <c:pt idx="29">
                  <c:v>SIN</c:v>
                </c:pt>
                <c:pt idx="30">
                  <c:v>NL</c:v>
                </c:pt>
                <c:pt idx="31">
                  <c:v>YUC</c:v>
                </c:pt>
                <c:pt idx="32">
                  <c:v>COAH</c:v>
                </c:pt>
              </c:strCache>
            </c:strRef>
          </c:cat>
          <c:val>
            <c:numRef>
              <c:f>'Delitos final por entidad'!$U$2:$U$34</c:f>
              <c:numCache>
                <c:formatCode>0.0%</c:formatCode>
                <c:ptCount val="33"/>
                <c:pt idx="0">
                  <c:v>5.2499608211878997E-2</c:v>
                </c:pt>
                <c:pt idx="1">
                  <c:v>4.9811528597738401E-2</c:v>
                </c:pt>
                <c:pt idx="2">
                  <c:v>7.6179908905331398E-2</c:v>
                </c:pt>
                <c:pt idx="3">
                  <c:v>0.112027067444295</c:v>
                </c:pt>
                <c:pt idx="4">
                  <c:v>4.8450382236346103E-2</c:v>
                </c:pt>
                <c:pt idx="5">
                  <c:v>0.14155768900589499</c:v>
                </c:pt>
                <c:pt idx="6">
                  <c:v>8.8661551577152595E-2</c:v>
                </c:pt>
                <c:pt idx="7">
                  <c:v>7.8296059637912696E-2</c:v>
                </c:pt>
                <c:pt idx="8">
                  <c:v>9.2854706684856805E-2</c:v>
                </c:pt>
                <c:pt idx="9">
                  <c:v>7.9807193946304603E-2</c:v>
                </c:pt>
                <c:pt idx="10">
                  <c:v>9.0553008762258497E-2</c:v>
                </c:pt>
                <c:pt idx="11">
                  <c:v>0.15959283027218399</c:v>
                </c:pt>
                <c:pt idx="12">
                  <c:v>0.13191012380903899</c:v>
                </c:pt>
                <c:pt idx="13">
                  <c:v>9.5790083391185804E-2</c:v>
                </c:pt>
                <c:pt idx="14">
                  <c:v>7.8617506686946004E-2</c:v>
                </c:pt>
                <c:pt idx="15">
                  <c:v>0.108809419973833</c:v>
                </c:pt>
                <c:pt idx="16">
                  <c:v>0.10183371906711799</c:v>
                </c:pt>
                <c:pt idx="17">
                  <c:v>8.8011283497884299E-2</c:v>
                </c:pt>
                <c:pt idx="18">
                  <c:v>9.4312079662165704E-2</c:v>
                </c:pt>
                <c:pt idx="19">
                  <c:v>7.8810743458396795E-2</c:v>
                </c:pt>
                <c:pt idx="20">
                  <c:v>1.3898788310762701E-2</c:v>
                </c:pt>
                <c:pt idx="21">
                  <c:v>8.3384412813003697E-2</c:v>
                </c:pt>
                <c:pt idx="22">
                  <c:v>0.104766150900094</c:v>
                </c:pt>
                <c:pt idx="23">
                  <c:v>0.12735819294592701</c:v>
                </c:pt>
                <c:pt idx="24">
                  <c:v>0.112910159048574</c:v>
                </c:pt>
                <c:pt idx="25">
                  <c:v>0.13920642418516799</c:v>
                </c:pt>
                <c:pt idx="26">
                  <c:v>0.13935418374917</c:v>
                </c:pt>
                <c:pt idx="27">
                  <c:v>4.1576906505816497E-2</c:v>
                </c:pt>
                <c:pt idx="28">
                  <c:v>7.1436657987093893E-2</c:v>
                </c:pt>
                <c:pt idx="29">
                  <c:v>0.194954128440367</c:v>
                </c:pt>
                <c:pt idx="30">
                  <c:v>9.8595906711090003E-2</c:v>
                </c:pt>
                <c:pt idx="31">
                  <c:v>3.9186800235710098E-2</c:v>
                </c:pt>
                <c:pt idx="32">
                  <c:v>0.10316656898786999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55-49ED-BB3B-6731508E8449}"/>
            </c:ext>
          </c:extLst>
        </c:ser>
        <c:ser>
          <c:idx val="2"/>
          <c:order val="2"/>
          <c:tx>
            <c:strRef>
              <c:f>'Delitos final por entidad'!$V$1</c:f>
              <c:strCache>
                <c:ptCount val="1"/>
                <c:pt idx="0">
                  <c:v>Violencia familiar</c:v>
                </c:pt>
              </c:strCache>
            </c:strRef>
          </c:tx>
          <c:spPr>
            <a:solidFill>
              <a:srgbClr val="0053F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'Delitos final por entidad'!$S$2:$S$34</c:f>
              <c:strCache>
                <c:ptCount val="33"/>
                <c:pt idx="0">
                  <c:v>TLAX</c:v>
                </c:pt>
                <c:pt idx="1">
                  <c:v>PUE</c:v>
                </c:pt>
                <c:pt idx="2">
                  <c:v>JAL</c:v>
                </c:pt>
                <c:pt idx="3">
                  <c:v>QRO</c:v>
                </c:pt>
                <c:pt idx="4">
                  <c:v>CDMX</c:v>
                </c:pt>
                <c:pt idx="5">
                  <c:v>MEX</c:v>
                </c:pt>
                <c:pt idx="6">
                  <c:v>CAMP</c:v>
                </c:pt>
                <c:pt idx="7">
                  <c:v>BCS</c:v>
                </c:pt>
                <c:pt idx="8">
                  <c:v>TAB</c:v>
                </c:pt>
                <c:pt idx="9">
                  <c:v>BC</c:v>
                </c:pt>
                <c:pt idx="10">
                  <c:v>QROO</c:v>
                </c:pt>
                <c:pt idx="11">
                  <c:v>MICH</c:v>
                </c:pt>
                <c:pt idx="12">
                  <c:v>AGS</c:v>
                </c:pt>
                <c:pt idx="13">
                  <c:v>NACIONAL</c:v>
                </c:pt>
                <c:pt idx="14">
                  <c:v>SON</c:v>
                </c:pt>
                <c:pt idx="15">
                  <c:v>VER</c:v>
                </c:pt>
                <c:pt idx="16">
                  <c:v>MORE</c:v>
                </c:pt>
                <c:pt idx="17">
                  <c:v>ZAC</c:v>
                </c:pt>
                <c:pt idx="18">
                  <c:v>SLP</c:v>
                </c:pt>
                <c:pt idx="19">
                  <c:v>CHIS</c:v>
                </c:pt>
                <c:pt idx="20">
                  <c:v>COL</c:v>
                </c:pt>
                <c:pt idx="21">
                  <c:v>TAMP</c:v>
                </c:pt>
                <c:pt idx="22">
                  <c:v>GTO</c:v>
                </c:pt>
                <c:pt idx="23">
                  <c:v>DGO</c:v>
                </c:pt>
                <c:pt idx="24">
                  <c:v>GRO</c:v>
                </c:pt>
                <c:pt idx="25">
                  <c:v>OAX</c:v>
                </c:pt>
                <c:pt idx="26">
                  <c:v>HGO</c:v>
                </c:pt>
                <c:pt idx="27">
                  <c:v>NAY</c:v>
                </c:pt>
                <c:pt idx="28">
                  <c:v>CHIH</c:v>
                </c:pt>
                <c:pt idx="29">
                  <c:v>SIN</c:v>
                </c:pt>
                <c:pt idx="30">
                  <c:v>NL</c:v>
                </c:pt>
                <c:pt idx="31">
                  <c:v>YUC</c:v>
                </c:pt>
                <c:pt idx="32">
                  <c:v>COAH</c:v>
                </c:pt>
              </c:strCache>
            </c:strRef>
          </c:cat>
          <c:val>
            <c:numRef>
              <c:f>'Delitos final por entidad'!$V$2:$V$34</c:f>
              <c:numCache>
                <c:formatCode>0.0%</c:formatCode>
                <c:ptCount val="33"/>
                <c:pt idx="0">
                  <c:v>2.03729822911769E-2</c:v>
                </c:pt>
                <c:pt idx="1">
                  <c:v>0.126112325513348</c:v>
                </c:pt>
                <c:pt idx="2">
                  <c:v>5.4288989560281303E-2</c:v>
                </c:pt>
                <c:pt idx="3">
                  <c:v>3.1553761028862003E-2</c:v>
                </c:pt>
                <c:pt idx="4">
                  <c:v>8.17572333060404E-2</c:v>
                </c:pt>
                <c:pt idx="5">
                  <c:v>2.28924626566703E-2</c:v>
                </c:pt>
                <c:pt idx="6">
                  <c:v>2.3444160272804802E-2</c:v>
                </c:pt>
                <c:pt idx="7">
                  <c:v>9.0947816826411093E-2</c:v>
                </c:pt>
                <c:pt idx="8">
                  <c:v>0.110112551159618</c:v>
                </c:pt>
                <c:pt idx="9">
                  <c:v>0.101689644449052</c:v>
                </c:pt>
                <c:pt idx="10">
                  <c:v>0.117187953345326</c:v>
                </c:pt>
                <c:pt idx="11">
                  <c:v>2.8169949103783998E-2</c:v>
                </c:pt>
                <c:pt idx="12">
                  <c:v>4.1244204412289202E-2</c:v>
                </c:pt>
                <c:pt idx="13">
                  <c:v>9.2691665899947304E-2</c:v>
                </c:pt>
                <c:pt idx="14">
                  <c:v>0.11863428961032101</c:v>
                </c:pt>
                <c:pt idx="15">
                  <c:v>0.101442277739705</c:v>
                </c:pt>
                <c:pt idx="16">
                  <c:v>0.11024568274879799</c:v>
                </c:pt>
                <c:pt idx="17">
                  <c:v>0.10145745181006099</c:v>
                </c:pt>
                <c:pt idx="18">
                  <c:v>0.15765601376362001</c:v>
                </c:pt>
                <c:pt idx="19">
                  <c:v>0.20877751626747901</c:v>
                </c:pt>
                <c:pt idx="20">
                  <c:v>9.7766690425279204E-2</c:v>
                </c:pt>
                <c:pt idx="21">
                  <c:v>0.159572294490227</c:v>
                </c:pt>
                <c:pt idx="22">
                  <c:v>7.6363662941550503E-2</c:v>
                </c:pt>
                <c:pt idx="23">
                  <c:v>0.179254211622184</c:v>
                </c:pt>
                <c:pt idx="24">
                  <c:v>0.10180541624874601</c:v>
                </c:pt>
                <c:pt idx="25">
                  <c:v>0.13488427019367</c:v>
                </c:pt>
                <c:pt idx="26">
                  <c:v>9.9234703838194493E-2</c:v>
                </c:pt>
                <c:pt idx="27">
                  <c:v>8.7031451960361897E-2</c:v>
                </c:pt>
                <c:pt idx="28">
                  <c:v>0.160619268651647</c:v>
                </c:pt>
                <c:pt idx="29">
                  <c:v>0.103211009174312</c:v>
                </c:pt>
                <c:pt idx="30">
                  <c:v>0.19742979533555399</c:v>
                </c:pt>
                <c:pt idx="31">
                  <c:v>0.14282557454331199</c:v>
                </c:pt>
                <c:pt idx="32">
                  <c:v>0.17388601772426199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F55-49ED-BB3B-6731508E8449}"/>
            </c:ext>
          </c:extLst>
        </c:ser>
        <c:ser>
          <c:idx val="3"/>
          <c:order val="3"/>
          <c:tx>
            <c:strRef>
              <c:f>'Delitos final por entidad'!$W$1</c:f>
              <c:strCache>
                <c:ptCount val="1"/>
                <c:pt idx="0">
                  <c:v>Daño a la propiedad</c:v>
                </c:pt>
              </c:strCache>
            </c:strRef>
          </c:tx>
          <c:spPr>
            <a:solidFill>
              <a:srgbClr val="60C6E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'Delitos final por entidad'!$S$2:$S$34</c:f>
              <c:strCache>
                <c:ptCount val="33"/>
                <c:pt idx="0">
                  <c:v>TLAX</c:v>
                </c:pt>
                <c:pt idx="1">
                  <c:v>PUE</c:v>
                </c:pt>
                <c:pt idx="2">
                  <c:v>JAL</c:v>
                </c:pt>
                <c:pt idx="3">
                  <c:v>QRO</c:v>
                </c:pt>
                <c:pt idx="4">
                  <c:v>CDMX</c:v>
                </c:pt>
                <c:pt idx="5">
                  <c:v>MEX</c:v>
                </c:pt>
                <c:pt idx="6">
                  <c:v>CAMP</c:v>
                </c:pt>
                <c:pt idx="7">
                  <c:v>BCS</c:v>
                </c:pt>
                <c:pt idx="8">
                  <c:v>TAB</c:v>
                </c:pt>
                <c:pt idx="9">
                  <c:v>BC</c:v>
                </c:pt>
                <c:pt idx="10">
                  <c:v>QROO</c:v>
                </c:pt>
                <c:pt idx="11">
                  <c:v>MICH</c:v>
                </c:pt>
                <c:pt idx="12">
                  <c:v>AGS</c:v>
                </c:pt>
                <c:pt idx="13">
                  <c:v>NACIONAL</c:v>
                </c:pt>
                <c:pt idx="14">
                  <c:v>SON</c:v>
                </c:pt>
                <c:pt idx="15">
                  <c:v>VER</c:v>
                </c:pt>
                <c:pt idx="16">
                  <c:v>MORE</c:v>
                </c:pt>
                <c:pt idx="17">
                  <c:v>ZAC</c:v>
                </c:pt>
                <c:pt idx="18">
                  <c:v>SLP</c:v>
                </c:pt>
                <c:pt idx="19">
                  <c:v>CHIS</c:v>
                </c:pt>
                <c:pt idx="20">
                  <c:v>COL</c:v>
                </c:pt>
                <c:pt idx="21">
                  <c:v>TAMP</c:v>
                </c:pt>
                <c:pt idx="22">
                  <c:v>GTO</c:v>
                </c:pt>
                <c:pt idx="23">
                  <c:v>DGO</c:v>
                </c:pt>
                <c:pt idx="24">
                  <c:v>GRO</c:v>
                </c:pt>
                <c:pt idx="25">
                  <c:v>OAX</c:v>
                </c:pt>
                <c:pt idx="26">
                  <c:v>HGO</c:v>
                </c:pt>
                <c:pt idx="27">
                  <c:v>NAY</c:v>
                </c:pt>
                <c:pt idx="28">
                  <c:v>CHIH</c:v>
                </c:pt>
                <c:pt idx="29">
                  <c:v>SIN</c:v>
                </c:pt>
                <c:pt idx="30">
                  <c:v>NL</c:v>
                </c:pt>
                <c:pt idx="31">
                  <c:v>YUC</c:v>
                </c:pt>
                <c:pt idx="32">
                  <c:v>COAH</c:v>
                </c:pt>
              </c:strCache>
            </c:strRef>
          </c:cat>
          <c:val>
            <c:numRef>
              <c:f>'Delitos final por entidad'!$W$2:$W$34</c:f>
              <c:numCache>
                <c:formatCode>0.0%</c:formatCode>
                <c:ptCount val="33"/>
                <c:pt idx="0">
                  <c:v>3.1656480175521098E-2</c:v>
                </c:pt>
                <c:pt idx="1">
                  <c:v>1.8416840221002099E-2</c:v>
                </c:pt>
                <c:pt idx="2">
                  <c:v>5.6949493339545298E-2</c:v>
                </c:pt>
                <c:pt idx="3">
                  <c:v>0.10068042470465099</c:v>
                </c:pt>
                <c:pt idx="4">
                  <c:v>4.4510469952088703E-2</c:v>
                </c:pt>
                <c:pt idx="5">
                  <c:v>2.27350769759057E-2</c:v>
                </c:pt>
                <c:pt idx="6">
                  <c:v>7.0332480818414297E-2</c:v>
                </c:pt>
                <c:pt idx="7">
                  <c:v>7.3780617678381302E-2</c:v>
                </c:pt>
                <c:pt idx="8">
                  <c:v>4.5497953615279703E-2</c:v>
                </c:pt>
                <c:pt idx="9">
                  <c:v>5.55302166476625E-2</c:v>
                </c:pt>
                <c:pt idx="10">
                  <c:v>0.107265130853595</c:v>
                </c:pt>
                <c:pt idx="11">
                  <c:v>6.0079663642398799E-2</c:v>
                </c:pt>
                <c:pt idx="12">
                  <c:v>0.110179854282366</c:v>
                </c:pt>
                <c:pt idx="13">
                  <c:v>6.5624555651279295E-2</c:v>
                </c:pt>
                <c:pt idx="14">
                  <c:v>6.8757539203860102E-2</c:v>
                </c:pt>
                <c:pt idx="15">
                  <c:v>7.1241667185845098E-2</c:v>
                </c:pt>
                <c:pt idx="16">
                  <c:v>5.6257788855260803E-2</c:v>
                </c:pt>
                <c:pt idx="17">
                  <c:v>8.8763516690174002E-2</c:v>
                </c:pt>
                <c:pt idx="18">
                  <c:v>9.9290965017465205E-2</c:v>
                </c:pt>
                <c:pt idx="19">
                  <c:v>5.8909040564862201E-2</c:v>
                </c:pt>
                <c:pt idx="20">
                  <c:v>9.7093529737863296E-2</c:v>
                </c:pt>
                <c:pt idx="21">
                  <c:v>9.0853367840359606E-2</c:v>
                </c:pt>
                <c:pt idx="22">
                  <c:v>9.29549258509417E-2</c:v>
                </c:pt>
                <c:pt idx="23">
                  <c:v>8.6346141712410895E-2</c:v>
                </c:pt>
                <c:pt idx="24">
                  <c:v>7.2539045708554198E-2</c:v>
                </c:pt>
                <c:pt idx="25">
                  <c:v>6.6698157770429797E-2</c:v>
                </c:pt>
                <c:pt idx="26">
                  <c:v>7.3093592596931004E-2</c:v>
                </c:pt>
                <c:pt idx="27">
                  <c:v>1.9819043515726002E-2</c:v>
                </c:pt>
                <c:pt idx="28">
                  <c:v>0.102527453866184</c:v>
                </c:pt>
                <c:pt idx="29">
                  <c:v>0.121559633027523</c:v>
                </c:pt>
                <c:pt idx="30">
                  <c:v>0.10503331746787201</c:v>
                </c:pt>
                <c:pt idx="31">
                  <c:v>9.0601060695344696E-2</c:v>
                </c:pt>
                <c:pt idx="32">
                  <c:v>0.13904132701085101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F55-49ED-BB3B-6731508E8449}"/>
            </c:ext>
          </c:extLst>
        </c:ser>
        <c:ser>
          <c:idx val="4"/>
          <c:order val="4"/>
          <c:tx>
            <c:strRef>
              <c:f>'Delitos final por entidad'!$X$1</c:f>
              <c:strCache>
                <c:ptCount val="1"/>
                <c:pt idx="0">
                  <c:v>Amenazas</c:v>
                </c:pt>
              </c:strCache>
            </c:strRef>
          </c:tx>
          <c:spPr>
            <a:solidFill>
              <a:srgbClr val="A7C4FF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A7C4F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F55-49ED-BB3B-6731508E8449}"/>
              </c:ext>
            </c:extLst>
          </c:dPt>
          <c:cat>
            <c:strRef>
              <c:f>'Delitos final por entidad'!$S$2:$S$34</c:f>
              <c:strCache>
                <c:ptCount val="33"/>
                <c:pt idx="0">
                  <c:v>TLAX</c:v>
                </c:pt>
                <c:pt idx="1">
                  <c:v>PUE</c:v>
                </c:pt>
                <c:pt idx="2">
                  <c:v>JAL</c:v>
                </c:pt>
                <c:pt idx="3">
                  <c:v>QRO</c:v>
                </c:pt>
                <c:pt idx="4">
                  <c:v>CDMX</c:v>
                </c:pt>
                <c:pt idx="5">
                  <c:v>MEX</c:v>
                </c:pt>
                <c:pt idx="6">
                  <c:v>CAMP</c:v>
                </c:pt>
                <c:pt idx="7">
                  <c:v>BCS</c:v>
                </c:pt>
                <c:pt idx="8">
                  <c:v>TAB</c:v>
                </c:pt>
                <c:pt idx="9">
                  <c:v>BC</c:v>
                </c:pt>
                <c:pt idx="10">
                  <c:v>QROO</c:v>
                </c:pt>
                <c:pt idx="11">
                  <c:v>MICH</c:v>
                </c:pt>
                <c:pt idx="12">
                  <c:v>AGS</c:v>
                </c:pt>
                <c:pt idx="13">
                  <c:v>NACIONAL</c:v>
                </c:pt>
                <c:pt idx="14">
                  <c:v>SON</c:v>
                </c:pt>
                <c:pt idx="15">
                  <c:v>VER</c:v>
                </c:pt>
                <c:pt idx="16">
                  <c:v>MORE</c:v>
                </c:pt>
                <c:pt idx="17">
                  <c:v>ZAC</c:v>
                </c:pt>
                <c:pt idx="18">
                  <c:v>SLP</c:v>
                </c:pt>
                <c:pt idx="19">
                  <c:v>CHIS</c:v>
                </c:pt>
                <c:pt idx="20">
                  <c:v>COL</c:v>
                </c:pt>
                <c:pt idx="21">
                  <c:v>TAMP</c:v>
                </c:pt>
                <c:pt idx="22">
                  <c:v>GTO</c:v>
                </c:pt>
                <c:pt idx="23">
                  <c:v>DGO</c:v>
                </c:pt>
                <c:pt idx="24">
                  <c:v>GRO</c:v>
                </c:pt>
                <c:pt idx="25">
                  <c:v>OAX</c:v>
                </c:pt>
                <c:pt idx="26">
                  <c:v>HGO</c:v>
                </c:pt>
                <c:pt idx="27">
                  <c:v>NAY</c:v>
                </c:pt>
                <c:pt idx="28">
                  <c:v>CHIH</c:v>
                </c:pt>
                <c:pt idx="29">
                  <c:v>SIN</c:v>
                </c:pt>
                <c:pt idx="30">
                  <c:v>NL</c:v>
                </c:pt>
                <c:pt idx="31">
                  <c:v>YUC</c:v>
                </c:pt>
                <c:pt idx="32">
                  <c:v>COAH</c:v>
                </c:pt>
              </c:strCache>
            </c:strRef>
          </c:cat>
          <c:val>
            <c:numRef>
              <c:f>'Delitos final por entidad'!$X$2:$X$34</c:f>
              <c:numCache>
                <c:formatCode>0.0%</c:formatCode>
                <c:ptCount val="33"/>
                <c:pt idx="0">
                  <c:v>1.1596928381131501E-2</c:v>
                </c:pt>
                <c:pt idx="1">
                  <c:v>1.43548081722577E-2</c:v>
                </c:pt>
                <c:pt idx="2">
                  <c:v>6.0621478970372802E-2</c:v>
                </c:pt>
                <c:pt idx="3">
                  <c:v>5.1256168685509203E-2</c:v>
                </c:pt>
                <c:pt idx="4">
                  <c:v>4.5126587922466398E-2</c:v>
                </c:pt>
                <c:pt idx="5">
                  <c:v>0</c:v>
                </c:pt>
                <c:pt idx="6">
                  <c:v>4.0068201193520898E-2</c:v>
                </c:pt>
                <c:pt idx="7">
                  <c:v>4.5197018104366403E-2</c:v>
                </c:pt>
                <c:pt idx="8">
                  <c:v>6.7053206002728502E-2</c:v>
                </c:pt>
                <c:pt idx="9">
                  <c:v>2.6951383849901499E-2</c:v>
                </c:pt>
                <c:pt idx="10">
                  <c:v>4.1403121917251803E-2</c:v>
                </c:pt>
                <c:pt idx="11">
                  <c:v>5.8552777163089202E-2</c:v>
                </c:pt>
                <c:pt idx="12">
                  <c:v>7.7699087991032798E-2</c:v>
                </c:pt>
                <c:pt idx="13">
                  <c:v>4.6661320541666301E-2</c:v>
                </c:pt>
                <c:pt idx="14">
                  <c:v>1.8828342161850298E-2</c:v>
                </c:pt>
                <c:pt idx="15">
                  <c:v>5.3002928166469399E-2</c:v>
                </c:pt>
                <c:pt idx="16">
                  <c:v>0.100609756097561</c:v>
                </c:pt>
                <c:pt idx="17">
                  <c:v>3.61542078044194E-2</c:v>
                </c:pt>
                <c:pt idx="18">
                  <c:v>4.5748396851050498E-2</c:v>
                </c:pt>
                <c:pt idx="19">
                  <c:v>1.8967188148968601E-2</c:v>
                </c:pt>
                <c:pt idx="20">
                  <c:v>9.8558644175180204E-2</c:v>
                </c:pt>
                <c:pt idx="21">
                  <c:v>5.02849099866058E-2</c:v>
                </c:pt>
                <c:pt idx="22">
                  <c:v>6.8389624248094194E-2</c:v>
                </c:pt>
                <c:pt idx="23">
                  <c:v>5.12335163101773E-2</c:v>
                </c:pt>
                <c:pt idx="24">
                  <c:v>6.2401490184840203E-2</c:v>
                </c:pt>
                <c:pt idx="25">
                  <c:v>7.1610769957486997E-2</c:v>
                </c:pt>
                <c:pt idx="26">
                  <c:v>7.9789934012728894E-2</c:v>
                </c:pt>
                <c:pt idx="27">
                  <c:v>1.6803102111158999E-2</c:v>
                </c:pt>
                <c:pt idx="28">
                  <c:v>4.4421487603305797E-2</c:v>
                </c:pt>
                <c:pt idx="29">
                  <c:v>4.1284403669724801E-2</c:v>
                </c:pt>
                <c:pt idx="30">
                  <c:v>6.0411708710137998E-2</c:v>
                </c:pt>
                <c:pt idx="31">
                  <c:v>0.126694166175604</c:v>
                </c:pt>
                <c:pt idx="32">
                  <c:v>6.8268598930861193E-2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F55-49ED-BB3B-6731508E8449}"/>
            </c:ext>
          </c:extLst>
        </c:ser>
        <c:ser>
          <c:idx val="5"/>
          <c:order val="5"/>
          <c:tx>
            <c:strRef>
              <c:f>'Delitos final por entidad'!$Y$1</c:f>
              <c:strCache>
                <c:ptCount val="1"/>
                <c:pt idx="0">
                  <c:v>Resto de delitos del Fuero Común</c:v>
                </c:pt>
              </c:strCache>
            </c:strRef>
          </c:tx>
          <c:spPr>
            <a:solidFill>
              <a:srgbClr val="8E8E8E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'Delitos final por entidad'!$S$2:$S$34</c:f>
              <c:strCache>
                <c:ptCount val="33"/>
                <c:pt idx="0">
                  <c:v>TLAX</c:v>
                </c:pt>
                <c:pt idx="1">
                  <c:v>PUE</c:v>
                </c:pt>
                <c:pt idx="2">
                  <c:v>JAL</c:v>
                </c:pt>
                <c:pt idx="3">
                  <c:v>QRO</c:v>
                </c:pt>
                <c:pt idx="4">
                  <c:v>CDMX</c:v>
                </c:pt>
                <c:pt idx="5">
                  <c:v>MEX</c:v>
                </c:pt>
                <c:pt idx="6">
                  <c:v>CAMP</c:v>
                </c:pt>
                <c:pt idx="7">
                  <c:v>BCS</c:v>
                </c:pt>
                <c:pt idx="8">
                  <c:v>TAB</c:v>
                </c:pt>
                <c:pt idx="9">
                  <c:v>BC</c:v>
                </c:pt>
                <c:pt idx="10">
                  <c:v>QROO</c:v>
                </c:pt>
                <c:pt idx="11">
                  <c:v>MICH</c:v>
                </c:pt>
                <c:pt idx="12">
                  <c:v>AGS</c:v>
                </c:pt>
                <c:pt idx="13">
                  <c:v>NACIONAL</c:v>
                </c:pt>
                <c:pt idx="14">
                  <c:v>SON</c:v>
                </c:pt>
                <c:pt idx="15">
                  <c:v>VER</c:v>
                </c:pt>
                <c:pt idx="16">
                  <c:v>MORE</c:v>
                </c:pt>
                <c:pt idx="17">
                  <c:v>ZAC</c:v>
                </c:pt>
                <c:pt idx="18">
                  <c:v>SLP</c:v>
                </c:pt>
                <c:pt idx="19">
                  <c:v>CHIS</c:v>
                </c:pt>
                <c:pt idx="20">
                  <c:v>COL</c:v>
                </c:pt>
                <c:pt idx="21">
                  <c:v>TAMP</c:v>
                </c:pt>
                <c:pt idx="22">
                  <c:v>GTO</c:v>
                </c:pt>
                <c:pt idx="23">
                  <c:v>DGO</c:v>
                </c:pt>
                <c:pt idx="24">
                  <c:v>GRO</c:v>
                </c:pt>
                <c:pt idx="25">
                  <c:v>OAX</c:v>
                </c:pt>
                <c:pt idx="26">
                  <c:v>HGO</c:v>
                </c:pt>
                <c:pt idx="27">
                  <c:v>NAY</c:v>
                </c:pt>
                <c:pt idx="28">
                  <c:v>CHIH</c:v>
                </c:pt>
                <c:pt idx="29">
                  <c:v>SIN</c:v>
                </c:pt>
                <c:pt idx="30">
                  <c:v>NL</c:v>
                </c:pt>
                <c:pt idx="31">
                  <c:v>YUC</c:v>
                </c:pt>
                <c:pt idx="32">
                  <c:v>COAH</c:v>
                </c:pt>
              </c:strCache>
            </c:strRef>
          </c:cat>
          <c:val>
            <c:numRef>
              <c:f>'Delitos final por entidad'!$Y$2:$Y$34</c:f>
              <c:numCache>
                <c:formatCode>0.0%</c:formatCode>
                <c:ptCount val="33"/>
                <c:pt idx="0">
                  <c:v>0.20717755837643001</c:v>
                </c:pt>
                <c:pt idx="1">
                  <c:v>0.22501247870015001</c:v>
                </c:pt>
                <c:pt idx="2">
                  <c:v>0.22716656347508399</c:v>
                </c:pt>
                <c:pt idx="3">
                  <c:v>0.18435023179303101</c:v>
                </c:pt>
                <c:pt idx="4">
                  <c:v>0.26236492018840202</c:v>
                </c:pt>
                <c:pt idx="5">
                  <c:v>0.36194056544382802</c:v>
                </c:pt>
                <c:pt idx="6">
                  <c:v>0.33077578857630002</c:v>
                </c:pt>
                <c:pt idx="7">
                  <c:v>0.27228966986155501</c:v>
                </c:pt>
                <c:pt idx="8">
                  <c:v>0.25463847203274198</c:v>
                </c:pt>
                <c:pt idx="9">
                  <c:v>0.31778791334093498</c:v>
                </c:pt>
                <c:pt idx="10">
                  <c:v>0.225497591829629</c:v>
                </c:pt>
                <c:pt idx="11">
                  <c:v>0.28077008187652103</c:v>
                </c:pt>
                <c:pt idx="12">
                  <c:v>0.231772558210628</c:v>
                </c:pt>
                <c:pt idx="13">
                  <c:v>0.29713076189599902</c:v>
                </c:pt>
                <c:pt idx="14">
                  <c:v>0.31703991188965203</c:v>
                </c:pt>
                <c:pt idx="15">
                  <c:v>0.28498224409694101</c:v>
                </c:pt>
                <c:pt idx="16">
                  <c:v>0.25104593199216702</c:v>
                </c:pt>
                <c:pt idx="17">
                  <c:v>0.31673718852844401</c:v>
                </c:pt>
                <c:pt idx="18">
                  <c:v>0.238282675564361</c:v>
                </c:pt>
                <c:pt idx="19">
                  <c:v>0.29364529973695103</c:v>
                </c:pt>
                <c:pt idx="20">
                  <c:v>0.35915102558010598</c:v>
                </c:pt>
                <c:pt idx="21">
                  <c:v>0.293650253127199</c:v>
                </c:pt>
                <c:pt idx="22">
                  <c:v>0.33987238614519899</c:v>
                </c:pt>
                <c:pt idx="23">
                  <c:v>0.247965171304183</c:v>
                </c:pt>
                <c:pt idx="24">
                  <c:v>0.34915460667717402</c:v>
                </c:pt>
                <c:pt idx="25">
                  <c:v>0.289017477562589</c:v>
                </c:pt>
                <c:pt idx="26">
                  <c:v>0.32267385107961399</c:v>
                </c:pt>
                <c:pt idx="27">
                  <c:v>0.58229211546747095</c:v>
                </c:pt>
                <c:pt idx="28">
                  <c:v>0.37686799501868001</c:v>
                </c:pt>
                <c:pt idx="29">
                  <c:v>0.32339449541284399</c:v>
                </c:pt>
                <c:pt idx="30">
                  <c:v>0.34162303664921501</c:v>
                </c:pt>
                <c:pt idx="31">
                  <c:v>0.41440777843252802</c:v>
                </c:pt>
                <c:pt idx="32">
                  <c:v>0.35817926723142801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F55-49ED-BB3B-6731508E8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51630824"/>
        <c:axId val="451631216"/>
      </c:barChart>
      <c:catAx>
        <c:axId val="45163082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1631216"/>
        <c:crosses val="autoZero"/>
        <c:auto val="1"/>
        <c:lblAlgn val="ctr"/>
        <c:lblOffset val="100"/>
        <c:noMultiLvlLbl val="0"/>
      </c:catAx>
      <c:valAx>
        <c:axId val="451631216"/>
        <c:scaling>
          <c:orientation val="minMax"/>
          <c:max val="1"/>
        </c:scaling>
        <c:delete val="1"/>
        <c:axPos val="t"/>
        <c:numFmt formatCode="0.0%" sourceLinked="1"/>
        <c:majorTickMark val="none"/>
        <c:minorTickMark val="none"/>
        <c:tickLblPos val="nextTo"/>
        <c:crossAx val="451630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494419679021599E-2"/>
          <c:y val="0.94385716096111405"/>
          <c:w val="0.924682933151875"/>
          <c:h val="4.38256729827974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825144663934499"/>
          <c:y val="0.11855906657956"/>
          <c:w val="0.314685985889191"/>
          <c:h val="0.70495157537622199"/>
        </c:manualLayout>
      </c:layout>
      <c:pieChart>
        <c:varyColors val="1"/>
        <c:ser>
          <c:idx val="0"/>
          <c:order val="0"/>
          <c:spPr>
            <a:solidFill>
              <a:srgbClr val="8E8E8E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dPt>
            <c:idx val="0"/>
            <c:bubble3D val="0"/>
            <c:spPr>
              <a:solidFill>
                <a:srgbClr val="00206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F12-45A8-B18A-7E2CA0C4A6AF}"/>
              </c:ext>
            </c:extLst>
          </c:dPt>
          <c:dPt>
            <c:idx val="1"/>
            <c:bubble3D val="0"/>
            <c:spPr>
              <a:solidFill>
                <a:srgbClr val="0A30D4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F12-45A8-B18A-7E2CA0C4A6AF}"/>
              </c:ext>
            </c:extLst>
          </c:dPt>
          <c:dPt>
            <c:idx val="2"/>
            <c:bubble3D val="0"/>
            <c:spPr>
              <a:solidFill>
                <a:srgbClr val="1160FF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F12-45A8-B18A-7E2CA0C4A6AF}"/>
              </c:ext>
            </c:extLst>
          </c:dPt>
          <c:dPt>
            <c:idx val="3"/>
            <c:bubble3D val="0"/>
            <c:spPr>
              <a:solidFill>
                <a:srgbClr val="8E8E8E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F12-45A8-B18A-7E2CA0C4A6AF}"/>
              </c:ext>
            </c:extLst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'Inculpados e imputados'!$AB$4:$AE$4</c:f>
              <c:strCache>
                <c:ptCount val="4"/>
                <c:pt idx="0">
                  <c:v>Hombres</c:v>
                </c:pt>
                <c:pt idx="1">
                  <c:v>Mujeres</c:v>
                </c:pt>
                <c:pt idx="2">
                  <c:v>No identificado</c:v>
                </c:pt>
                <c:pt idx="3">
                  <c:v>Otro*</c:v>
                </c:pt>
              </c:strCache>
            </c:strRef>
          </c:cat>
          <c:val>
            <c:numRef>
              <c:f>'Inculpados e imputados'!$AB$10:$AE$10</c:f>
              <c:numCache>
                <c:formatCode>0.0%</c:formatCode>
                <c:ptCount val="4"/>
                <c:pt idx="0">
                  <c:v>0.43731964584808403</c:v>
                </c:pt>
                <c:pt idx="1">
                  <c:v>0.113538888045127</c:v>
                </c:pt>
                <c:pt idx="2">
                  <c:v>0.445793216009994</c:v>
                </c:pt>
                <c:pt idx="3">
                  <c:v>3.3482500967949602E-3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F12-45A8-B18A-7E2CA0C4A6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24F-4917-825A-10B6D14F3F96}"/>
              </c:ext>
            </c:extLst>
          </c:dPt>
          <c:dPt>
            <c:idx val="1"/>
            <c:invertIfNegative val="0"/>
            <c:bubble3D val="0"/>
            <c:spPr>
              <a:solidFill>
                <a:srgbClr val="0A30D4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24F-4917-825A-10B6D14F3F96}"/>
              </c:ext>
            </c:extLst>
          </c:dPt>
          <c:dPt>
            <c:idx val="2"/>
            <c:invertIfNegative val="0"/>
            <c:bubble3D val="0"/>
            <c:spPr>
              <a:solidFill>
                <a:srgbClr val="0053FA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24F-4917-825A-10B6D14F3F96}"/>
              </c:ext>
            </c:extLst>
          </c:dPt>
          <c:dPt>
            <c:idx val="3"/>
            <c:invertIfNegative val="0"/>
            <c:bubble3D val="0"/>
            <c:spPr>
              <a:solidFill>
                <a:srgbClr val="60C6EA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24F-4917-825A-10B6D14F3F96}"/>
              </c:ext>
            </c:extLst>
          </c:dPt>
          <c:dPt>
            <c:idx val="4"/>
            <c:invertIfNegative val="0"/>
            <c:bubble3D val="0"/>
            <c:spPr>
              <a:solidFill>
                <a:srgbClr val="8E8E8E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24F-4917-825A-10B6D14F3F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Determinaciones!$S$4:$S$8</c:f>
              <c:strCache>
                <c:ptCount val="5"/>
                <c:pt idx="0">
                  <c:v>No ejercicio de la acción 
    penal/ Improcedencia</c:v>
                </c:pt>
                <c:pt idx="1">
                  <c:v>Reserva/Archivo</c:v>
                </c:pt>
                <c:pt idx="2">
                  <c:v>Ejercicio de la acción 
   penal/Procedencia</c:v>
                </c:pt>
                <c:pt idx="3">
                  <c:v>Incompetencia</c:v>
                </c:pt>
                <c:pt idx="4">
                  <c:v>Otra</c:v>
                </c:pt>
              </c:strCache>
            </c:strRef>
          </c:cat>
          <c:val>
            <c:numRef>
              <c:f>Determinaciones!$T$4:$T$8</c:f>
              <c:numCache>
                <c:formatCode>0.0%</c:formatCode>
                <c:ptCount val="5"/>
                <c:pt idx="0">
                  <c:v>0.66307557155407004</c:v>
                </c:pt>
                <c:pt idx="1">
                  <c:v>0.20762786312699499</c:v>
                </c:pt>
                <c:pt idx="2">
                  <c:v>4.2253219343918097E-2</c:v>
                </c:pt>
                <c:pt idx="3">
                  <c:v>9.7405240941912507E-3</c:v>
                </c:pt>
                <c:pt idx="4">
                  <c:v>7.7302821880825406E-2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24F-4917-825A-10B6D14F3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51632784"/>
        <c:axId val="451629256"/>
      </c:barChart>
      <c:catAx>
        <c:axId val="45163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1629256"/>
        <c:crosses val="autoZero"/>
        <c:auto val="1"/>
        <c:lblAlgn val="ctr"/>
        <c:lblOffset val="100"/>
        <c:noMultiLvlLbl val="0"/>
      </c:catAx>
      <c:valAx>
        <c:axId val="451629256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451632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4261109152401E-2"/>
          <c:y val="2.5789436096906402E-3"/>
          <c:w val="0.94788493800098295"/>
          <c:h val="0.4655495925251830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E3E-4DA8-ADCB-5ED9E28E5533}"/>
              </c:ext>
            </c:extLst>
          </c:dPt>
          <c:dPt>
            <c:idx val="1"/>
            <c:invertIfNegative val="0"/>
            <c:bubble3D val="0"/>
            <c:spPr>
              <a:solidFill>
                <a:srgbClr val="0A30D4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E3E-4DA8-ADCB-5ED9E28E5533}"/>
              </c:ext>
            </c:extLst>
          </c:dPt>
          <c:dPt>
            <c:idx val="2"/>
            <c:invertIfNegative val="0"/>
            <c:bubble3D val="0"/>
            <c:spPr>
              <a:solidFill>
                <a:srgbClr val="0053FA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E3E-4DA8-ADCB-5ED9E28E5533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E3E-4DA8-ADCB-5ED9E28E5533}"/>
              </c:ext>
            </c:extLst>
          </c:dPt>
          <c:dPt>
            <c:idx val="4"/>
            <c:invertIfNegative val="0"/>
            <c:bubble3D val="0"/>
            <c:spPr>
              <a:solidFill>
                <a:srgbClr val="60C6EA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E3E-4DA8-ADCB-5ED9E28E5533}"/>
              </c:ext>
            </c:extLst>
          </c:dPt>
          <c:dPt>
            <c:idx val="5"/>
            <c:invertIfNegative val="0"/>
            <c:bubble3D val="0"/>
            <c:spPr>
              <a:solidFill>
                <a:srgbClr val="7ED9EE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E3E-4DA8-ADCB-5ED9E28E5533}"/>
              </c:ext>
            </c:extLst>
          </c:dPt>
          <c:dPt>
            <c:idx val="6"/>
            <c:invertIfNegative val="0"/>
            <c:bubble3D val="0"/>
            <c:spPr>
              <a:solidFill>
                <a:srgbClr val="A7C4F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E3E-4DA8-ADCB-5ED9E28E5533}"/>
              </c:ext>
            </c:extLst>
          </c:dPt>
          <c:dPt>
            <c:idx val="7"/>
            <c:invertIfNegative val="0"/>
            <c:bubble3D val="0"/>
            <c:spPr>
              <a:solidFill>
                <a:srgbClr val="8E8E8E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2E3E-4DA8-ADCB-5ED9E28E55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Determinaciones!$S$11:$S$18</c:f>
              <c:strCache>
                <c:ptCount val="8"/>
                <c:pt idx="0">
                  <c:v>Archivo temporal</c:v>
                </c:pt>
                <c:pt idx="1">
                  <c:v>Ejercicio de la acción 
                       penal</c:v>
                </c:pt>
                <c:pt idx="2">
                  <c:v>No ejercicio de la acción penal 
 por la actualización de alguna 
       causal de sobreseimiento</c:v>
                </c:pt>
                <c:pt idx="3">
                  <c:v>Incompetencia</c:v>
                </c:pt>
                <c:pt idx="4">
                  <c:v>Acuerdos reparatorios 
                  aprobados</c:v>
                </c:pt>
                <c:pt idx="5">
                  <c:v>Facultad de abstenerse 
                 de investigar</c:v>
                </c:pt>
                <c:pt idx="6">
                  <c:v>Criterios de oportunidad</c:v>
                </c:pt>
                <c:pt idx="7">
                  <c:v>Otras</c:v>
                </c:pt>
              </c:strCache>
            </c:strRef>
          </c:cat>
          <c:val>
            <c:numRef>
              <c:f>Determinaciones!$T$11:$T$18</c:f>
              <c:numCache>
                <c:formatCode>0.0%</c:formatCode>
                <c:ptCount val="8"/>
                <c:pt idx="0">
                  <c:v>0.57888402244714998</c:v>
                </c:pt>
                <c:pt idx="1">
                  <c:v>0.16190492777642301</c:v>
                </c:pt>
                <c:pt idx="2">
                  <c:v>0.11</c:v>
                </c:pt>
                <c:pt idx="3">
                  <c:v>5.1788493727301203E-2</c:v>
                </c:pt>
                <c:pt idx="4">
                  <c:v>4.3904308114817103E-2</c:v>
                </c:pt>
                <c:pt idx="5">
                  <c:v>2.13416590431178E-2</c:v>
                </c:pt>
                <c:pt idx="6">
                  <c:v>9.7065040635501507E-3</c:v>
                </c:pt>
                <c:pt idx="7">
                  <c:v>2.1804571929329199E-2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2E3E-4DA8-ADCB-5ED9E28E55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55217632"/>
        <c:axId val="455231744"/>
      </c:barChart>
      <c:catAx>
        <c:axId val="45521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5231744"/>
        <c:crosses val="autoZero"/>
        <c:auto val="1"/>
        <c:lblAlgn val="ctr"/>
        <c:lblOffset val="100"/>
        <c:noMultiLvlLbl val="0"/>
      </c:catAx>
      <c:valAx>
        <c:axId val="455231744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455217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823086D-BF4C-454D-8223-1751EAD7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2457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SANCHEZ JOSE EDUARDO</dc:creator>
  <cp:keywords/>
  <dc:description/>
  <cp:lastModifiedBy>ESTRADA HERNANDEZ JORGE RICARDO</cp:lastModifiedBy>
  <cp:revision>2</cp:revision>
  <cp:lastPrinted>2019-10-22T20:03:00Z</cp:lastPrinted>
  <dcterms:created xsi:type="dcterms:W3CDTF">2019-10-24T17:46:00Z</dcterms:created>
  <dcterms:modified xsi:type="dcterms:W3CDTF">2019-10-24T17:46:00Z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2019-10-07T00:00:00Z</vt:filetime>
  </property>
</Properties>
</file>