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F19" w:rsidRDefault="00FC3DA1" w:rsidP="00E53615">
      <w:pPr>
        <w:pStyle w:val="Default"/>
        <w:ind w:left="-567" w:right="-518"/>
        <w:jc w:val="center"/>
        <w:rPr>
          <w:b/>
          <w:bCs/>
        </w:rPr>
      </w:pPr>
      <w:bookmarkStart w:id="0" w:name="_GoBack"/>
      <w:bookmarkEnd w:id="0"/>
      <w:r w:rsidRPr="00C911CB">
        <w:rPr>
          <w:b/>
          <w:bCs/>
        </w:rPr>
        <w:t>INFORMACIÓN OPORTUNA</w:t>
      </w:r>
      <w:r w:rsidR="00E53615">
        <w:rPr>
          <w:rStyle w:val="Refdenotaalpie"/>
          <w:b/>
          <w:bCs/>
        </w:rPr>
        <w:footnoteReference w:id="1"/>
      </w:r>
      <w:r w:rsidR="00E53615">
        <w:rPr>
          <w:b/>
          <w:bCs/>
        </w:rPr>
        <w:t xml:space="preserve"> </w:t>
      </w:r>
      <w:r w:rsidR="00AC0CFB" w:rsidRPr="00AC0CFB">
        <w:rPr>
          <w:b/>
          <w:bCs/>
        </w:rPr>
        <w:t xml:space="preserve">DEL DÉCIMO CENSO NACIONAL DE GOBIERNO, SEGURIDAD PÚBLICA Y SISTEMA PENITENCIARIO ESTATALES Y </w:t>
      </w:r>
      <w:r w:rsidR="00E53615">
        <w:rPr>
          <w:b/>
          <w:bCs/>
        </w:rPr>
        <w:t>D</w:t>
      </w:r>
      <w:r w:rsidR="00AC0CFB" w:rsidRPr="00AC0CFB">
        <w:rPr>
          <w:b/>
          <w:bCs/>
        </w:rPr>
        <w:t>EL NOVENO CENSO NACIONAL</w:t>
      </w:r>
      <w:r w:rsidR="00227C2D">
        <w:rPr>
          <w:b/>
          <w:bCs/>
        </w:rPr>
        <w:t xml:space="preserve"> DE</w:t>
      </w:r>
      <w:r w:rsidR="00AC0CFB" w:rsidRPr="00AC0CFB">
        <w:rPr>
          <w:b/>
          <w:bCs/>
        </w:rPr>
        <w:t xml:space="preserve"> IMPARTICIÓN DE JUSTICIA ESTATAL</w:t>
      </w:r>
    </w:p>
    <w:p w:rsidR="00AC0CFB" w:rsidRPr="00A33DCC" w:rsidRDefault="00AC0CFB" w:rsidP="00935457">
      <w:pPr>
        <w:pStyle w:val="Default"/>
        <w:rPr>
          <w:b/>
          <w:bCs/>
        </w:rPr>
      </w:pPr>
    </w:p>
    <w:p w:rsidR="00C83B2D" w:rsidRDefault="00AC0CFB" w:rsidP="00C83B2D">
      <w:pPr>
        <w:pStyle w:val="Prrafodelista"/>
        <w:numPr>
          <w:ilvl w:val="0"/>
          <w:numId w:val="13"/>
        </w:numPr>
        <w:ind w:left="284" w:hanging="426"/>
        <w:jc w:val="both"/>
        <w:rPr>
          <w:rFonts w:ascii="Arial" w:hAnsi="Arial" w:cs="Arial"/>
          <w:sz w:val="24"/>
          <w:szCs w:val="24"/>
        </w:rPr>
      </w:pPr>
      <w:r w:rsidRPr="00AC0CFB">
        <w:rPr>
          <w:rFonts w:ascii="Arial" w:hAnsi="Arial" w:cs="Arial"/>
          <w:sz w:val="24"/>
          <w:szCs w:val="24"/>
        </w:rPr>
        <w:t>En 2018 hubo un millón 889 mil 255 servidores públicos adscritos a las mil 992 instituciones de las Administraciones Públicas Estatales: 56.0% mujeres</w:t>
      </w:r>
      <w:r w:rsidR="003567D3">
        <w:rPr>
          <w:rFonts w:ascii="Arial" w:hAnsi="Arial" w:cs="Arial"/>
          <w:sz w:val="24"/>
          <w:szCs w:val="24"/>
        </w:rPr>
        <w:t xml:space="preserve"> y 44% hombres</w:t>
      </w:r>
      <w:r w:rsidRPr="00AC0CFB">
        <w:rPr>
          <w:rFonts w:ascii="Arial" w:hAnsi="Arial" w:cs="Arial"/>
          <w:sz w:val="24"/>
          <w:szCs w:val="24"/>
        </w:rPr>
        <w:t>.</w:t>
      </w:r>
    </w:p>
    <w:p w:rsidR="00EC2F19" w:rsidRPr="00C83B2D" w:rsidRDefault="00BF1760" w:rsidP="00C83B2D">
      <w:pPr>
        <w:pStyle w:val="Prrafodelista"/>
        <w:numPr>
          <w:ilvl w:val="0"/>
          <w:numId w:val="13"/>
        </w:numPr>
        <w:ind w:left="284" w:hanging="426"/>
        <w:jc w:val="both"/>
        <w:rPr>
          <w:rFonts w:ascii="Arial" w:hAnsi="Arial" w:cs="Arial"/>
          <w:sz w:val="24"/>
          <w:szCs w:val="24"/>
        </w:rPr>
      </w:pPr>
      <w:r w:rsidRPr="00C83B2D">
        <w:rPr>
          <w:rFonts w:ascii="Arial" w:hAnsi="Arial" w:cs="Arial"/>
          <w:bCs/>
          <w:color w:val="000000"/>
          <w:sz w:val="24"/>
          <w:szCs w:val="24"/>
        </w:rPr>
        <w:t>Durante 2018 ingresaron 2 millones 117 mil 274 causas penales y</w:t>
      </w:r>
      <w:r w:rsidR="00AC0CFB" w:rsidRPr="00C83B2D">
        <w:rPr>
          <w:rFonts w:ascii="Arial" w:hAnsi="Arial" w:cs="Arial"/>
          <w:bCs/>
          <w:color w:val="000000"/>
          <w:sz w:val="24"/>
          <w:szCs w:val="24"/>
        </w:rPr>
        <w:t xml:space="preserve"> exp</w:t>
      </w:r>
      <w:r w:rsidRPr="00C83B2D">
        <w:rPr>
          <w:rFonts w:ascii="Arial" w:hAnsi="Arial" w:cs="Arial"/>
          <w:bCs/>
          <w:color w:val="000000"/>
          <w:sz w:val="24"/>
          <w:szCs w:val="24"/>
        </w:rPr>
        <w:t>edientes en todas las materias a</w:t>
      </w:r>
      <w:r w:rsidR="00AC0CFB" w:rsidRPr="00C83B2D">
        <w:rPr>
          <w:rFonts w:ascii="Arial" w:hAnsi="Arial" w:cs="Arial"/>
          <w:bCs/>
          <w:color w:val="000000"/>
          <w:sz w:val="24"/>
          <w:szCs w:val="24"/>
        </w:rPr>
        <w:t xml:space="preserve"> los órganos jurisdiccionales de primera instancia de los Poderes Judiciales Estatales, mientras</w:t>
      </w:r>
      <w:r w:rsidRPr="00C83B2D">
        <w:rPr>
          <w:rFonts w:ascii="Arial" w:hAnsi="Arial" w:cs="Arial"/>
          <w:bCs/>
          <w:color w:val="000000"/>
          <w:sz w:val="24"/>
          <w:szCs w:val="24"/>
        </w:rPr>
        <w:t xml:space="preserve"> que se concluyeron </w:t>
      </w:r>
      <w:r w:rsidR="00E53615" w:rsidRPr="00C83B2D">
        <w:rPr>
          <w:rFonts w:ascii="Arial" w:hAnsi="Arial" w:cs="Arial"/>
          <w:bCs/>
          <w:color w:val="000000"/>
          <w:sz w:val="24"/>
          <w:szCs w:val="24"/>
        </w:rPr>
        <w:t>un</w:t>
      </w:r>
      <w:r w:rsidRPr="00C83B2D">
        <w:rPr>
          <w:rFonts w:ascii="Arial" w:hAnsi="Arial" w:cs="Arial"/>
          <w:bCs/>
          <w:color w:val="000000"/>
          <w:sz w:val="24"/>
          <w:szCs w:val="24"/>
        </w:rPr>
        <w:t xml:space="preserve"> millón 265 mil 322</w:t>
      </w:r>
      <w:r w:rsidR="00AD3D87" w:rsidRPr="00C83B2D">
        <w:rPr>
          <w:rFonts w:ascii="Arial" w:hAnsi="Arial" w:cs="Arial"/>
          <w:bCs/>
          <w:color w:val="000000"/>
          <w:sz w:val="24"/>
          <w:szCs w:val="24"/>
        </w:rPr>
        <w:t>.</w:t>
      </w:r>
    </w:p>
    <w:p w:rsidR="00AC0CFB" w:rsidRPr="00480896" w:rsidRDefault="00AC0CFB" w:rsidP="00E53615">
      <w:pPr>
        <w:ind w:left="-567" w:right="-518"/>
        <w:jc w:val="both"/>
        <w:rPr>
          <w:rFonts w:ascii="Arial" w:hAnsi="Arial" w:cs="Arial"/>
          <w:sz w:val="24"/>
          <w:szCs w:val="24"/>
        </w:rPr>
      </w:pPr>
      <w:r w:rsidRPr="00480896">
        <w:rPr>
          <w:rFonts w:ascii="Arial" w:hAnsi="Arial" w:cs="Arial"/>
          <w:sz w:val="24"/>
          <w:szCs w:val="24"/>
        </w:rPr>
        <w:t xml:space="preserve">El Instituto Nacional de Estadística y Geografía (INEGI) da a conocer los resultados preliminares del décimo Censo Nacional de Gobierno, Seguridad Pública y Sistema Penitenciario Estatales (CNGSPSPE), así como </w:t>
      </w:r>
      <w:r w:rsidR="00E53615">
        <w:rPr>
          <w:rFonts w:ascii="Arial" w:hAnsi="Arial" w:cs="Arial"/>
          <w:sz w:val="24"/>
          <w:szCs w:val="24"/>
        </w:rPr>
        <w:t xml:space="preserve">de </w:t>
      </w:r>
      <w:r w:rsidRPr="00480896">
        <w:rPr>
          <w:rFonts w:ascii="Arial" w:hAnsi="Arial" w:cs="Arial"/>
          <w:sz w:val="24"/>
          <w:szCs w:val="24"/>
        </w:rPr>
        <w:t>la novena edici</w:t>
      </w:r>
      <w:r>
        <w:rPr>
          <w:rFonts w:ascii="Arial" w:hAnsi="Arial" w:cs="Arial"/>
          <w:sz w:val="24"/>
          <w:szCs w:val="24"/>
        </w:rPr>
        <w:t>ón</w:t>
      </w:r>
      <w:r w:rsidRPr="00480896">
        <w:rPr>
          <w:rFonts w:ascii="Arial" w:hAnsi="Arial" w:cs="Arial"/>
          <w:sz w:val="24"/>
          <w:szCs w:val="24"/>
        </w:rPr>
        <w:t xml:space="preserve"> del Censo Nacional de Impartici</w:t>
      </w:r>
      <w:r w:rsidR="00CA12A8">
        <w:rPr>
          <w:rFonts w:ascii="Arial" w:hAnsi="Arial" w:cs="Arial"/>
          <w:sz w:val="24"/>
          <w:szCs w:val="24"/>
        </w:rPr>
        <w:t>ón de Justicia Estatal (CNIJE)</w:t>
      </w:r>
      <w:r w:rsidR="009E165E">
        <w:rPr>
          <w:rFonts w:ascii="Arial" w:hAnsi="Arial" w:cs="Arial"/>
          <w:sz w:val="24"/>
          <w:szCs w:val="24"/>
        </w:rPr>
        <w:t>.</w:t>
      </w:r>
      <w:r w:rsidR="00CA12A8">
        <w:rPr>
          <w:rStyle w:val="Refdenotaalpie"/>
          <w:rFonts w:ascii="Arial" w:hAnsi="Arial" w:cs="Arial"/>
          <w:sz w:val="24"/>
          <w:szCs w:val="24"/>
        </w:rPr>
        <w:footnoteReference w:id="2"/>
      </w:r>
    </w:p>
    <w:p w:rsidR="00AC0CFB" w:rsidRPr="00480896" w:rsidRDefault="00AC0CFB" w:rsidP="00E53615">
      <w:pPr>
        <w:ind w:left="-567" w:right="-518"/>
        <w:jc w:val="both"/>
        <w:rPr>
          <w:rFonts w:ascii="Arial" w:hAnsi="Arial" w:cs="Arial"/>
          <w:sz w:val="24"/>
          <w:szCs w:val="24"/>
        </w:rPr>
      </w:pPr>
      <w:r w:rsidRPr="00480896">
        <w:rPr>
          <w:rFonts w:ascii="Arial" w:hAnsi="Arial" w:cs="Arial"/>
          <w:color w:val="000000" w:themeColor="text1"/>
          <w:sz w:val="24"/>
          <w:szCs w:val="24"/>
        </w:rPr>
        <w:t xml:space="preserve">El </w:t>
      </w:r>
      <w:r w:rsidRPr="00E53615">
        <w:rPr>
          <w:rFonts w:ascii="Arial" w:hAnsi="Arial" w:cs="Arial"/>
          <w:sz w:val="24"/>
          <w:szCs w:val="24"/>
        </w:rPr>
        <w:t>Censo Nacional de Gobierno, Seguridad Pública y Sistema Penitenciario Estatales (CNGSPSPE) 2019</w:t>
      </w:r>
      <w:r w:rsidRPr="00480896">
        <w:rPr>
          <w:rFonts w:ascii="Arial" w:hAnsi="Arial" w:cs="Arial"/>
          <w:sz w:val="24"/>
          <w:szCs w:val="24"/>
        </w:rPr>
        <w:t xml:space="preserve"> tiene por objet</w:t>
      </w:r>
      <w:r w:rsidR="00227C2D">
        <w:rPr>
          <w:rFonts w:ascii="Arial" w:hAnsi="Arial" w:cs="Arial"/>
          <w:sz w:val="24"/>
          <w:szCs w:val="24"/>
        </w:rPr>
        <w:t>ivo</w:t>
      </w:r>
      <w:r w:rsidRPr="00480896">
        <w:rPr>
          <w:rFonts w:ascii="Arial" w:hAnsi="Arial" w:cs="Arial"/>
          <w:sz w:val="24"/>
          <w:szCs w:val="24"/>
        </w:rPr>
        <w:t xml:space="preserve"> generar información estadística y geográfica de la gestión y desempeño de las instituciones que integran a la Administración Pública de cada Entidad Federativa, específicamente en las funciones de gobierno, seguridad pública, sistema penitenciario y medio ambiente, así como justicia cívica (esta última aplicable únicamente para el caso de Ciudad de México). </w:t>
      </w:r>
    </w:p>
    <w:p w:rsidR="00AC0CFB" w:rsidRPr="00480896" w:rsidRDefault="00AC0CFB" w:rsidP="00E53615">
      <w:pPr>
        <w:ind w:left="-567" w:right="-518"/>
        <w:jc w:val="both"/>
        <w:rPr>
          <w:rFonts w:ascii="Arial" w:hAnsi="Arial" w:cs="Arial"/>
          <w:color w:val="000000" w:themeColor="text1"/>
          <w:sz w:val="24"/>
          <w:szCs w:val="24"/>
        </w:rPr>
      </w:pPr>
      <w:r w:rsidRPr="00480896">
        <w:rPr>
          <w:rFonts w:ascii="Arial" w:hAnsi="Arial" w:cs="Arial"/>
          <w:color w:val="000000" w:themeColor="text1"/>
          <w:sz w:val="24"/>
          <w:szCs w:val="24"/>
        </w:rPr>
        <w:t xml:space="preserve">El CNGSPSPE 2019 cuenta con </w:t>
      </w:r>
      <w:r w:rsidR="00713261">
        <w:rPr>
          <w:rFonts w:ascii="Arial" w:hAnsi="Arial" w:cs="Arial"/>
          <w:color w:val="000000" w:themeColor="text1"/>
          <w:sz w:val="24"/>
          <w:szCs w:val="24"/>
        </w:rPr>
        <w:t>21</w:t>
      </w:r>
      <w:r w:rsidRPr="00480896">
        <w:rPr>
          <w:rFonts w:ascii="Arial" w:hAnsi="Arial" w:cs="Arial"/>
          <w:color w:val="000000" w:themeColor="text1"/>
          <w:sz w:val="24"/>
          <w:szCs w:val="24"/>
        </w:rPr>
        <w:t xml:space="preserve"> tabulados</w:t>
      </w:r>
      <w:r w:rsidR="00227C2D">
        <w:rPr>
          <w:rFonts w:ascii="Arial" w:hAnsi="Arial" w:cs="Arial"/>
          <w:color w:val="000000" w:themeColor="text1"/>
          <w:sz w:val="24"/>
          <w:szCs w:val="24"/>
        </w:rPr>
        <w:t xml:space="preserve"> </w:t>
      </w:r>
      <w:r w:rsidRPr="00480896">
        <w:rPr>
          <w:rFonts w:ascii="Arial" w:hAnsi="Arial" w:cs="Arial"/>
          <w:color w:val="000000" w:themeColor="text1"/>
          <w:sz w:val="24"/>
          <w:szCs w:val="24"/>
        </w:rPr>
        <w:t xml:space="preserve">organizados </w:t>
      </w:r>
      <w:r>
        <w:rPr>
          <w:rFonts w:ascii="Arial" w:hAnsi="Arial" w:cs="Arial"/>
          <w:color w:val="000000" w:themeColor="text1"/>
          <w:sz w:val="24"/>
          <w:szCs w:val="24"/>
        </w:rPr>
        <w:t>de manera general en tres</w:t>
      </w:r>
      <w:r w:rsidRPr="00480896">
        <w:rPr>
          <w:rFonts w:ascii="Arial" w:hAnsi="Arial" w:cs="Arial"/>
          <w:color w:val="000000" w:themeColor="text1"/>
          <w:sz w:val="24"/>
          <w:szCs w:val="24"/>
        </w:rPr>
        <w:t xml:space="preserve"> apartados conforme a los siguientes temas: Administración Pública de la Entidad Federativa; Seguridad Pública</w:t>
      </w:r>
      <w:r>
        <w:rPr>
          <w:rFonts w:ascii="Arial" w:hAnsi="Arial" w:cs="Arial"/>
          <w:color w:val="000000" w:themeColor="text1"/>
          <w:sz w:val="24"/>
          <w:szCs w:val="24"/>
        </w:rPr>
        <w:t xml:space="preserve"> y Sistema Penitenciario</w:t>
      </w:r>
      <w:r w:rsidRPr="00480896">
        <w:rPr>
          <w:rFonts w:ascii="Arial" w:hAnsi="Arial" w:cs="Arial"/>
          <w:color w:val="000000" w:themeColor="text1"/>
          <w:sz w:val="24"/>
          <w:szCs w:val="24"/>
        </w:rPr>
        <w:t xml:space="preserve">. </w:t>
      </w:r>
    </w:p>
    <w:p w:rsidR="00AC0CFB" w:rsidRPr="00480896" w:rsidRDefault="00AC0CFB" w:rsidP="00E53615">
      <w:pPr>
        <w:ind w:left="-567" w:right="-518"/>
        <w:jc w:val="both"/>
        <w:rPr>
          <w:rFonts w:ascii="Arial" w:hAnsi="Arial" w:cs="Arial"/>
          <w:b/>
          <w:color w:val="000000" w:themeColor="text1"/>
          <w:sz w:val="24"/>
          <w:szCs w:val="24"/>
        </w:rPr>
      </w:pPr>
      <w:r w:rsidRPr="00480896">
        <w:rPr>
          <w:rFonts w:ascii="Arial" w:hAnsi="Arial" w:cs="Arial"/>
          <w:color w:val="000000" w:themeColor="text1"/>
          <w:sz w:val="24"/>
          <w:szCs w:val="24"/>
        </w:rPr>
        <w:t>Entre los datos que aporta este Censo, que se realiza desde 2010</w:t>
      </w:r>
      <w:r w:rsidRPr="00480896">
        <w:rPr>
          <w:rStyle w:val="Refdenotaalpie"/>
          <w:rFonts w:ascii="Arial" w:hAnsi="Arial" w:cs="Arial"/>
          <w:color w:val="000000" w:themeColor="text1"/>
          <w:sz w:val="24"/>
          <w:szCs w:val="24"/>
        </w:rPr>
        <w:footnoteReference w:id="3"/>
      </w:r>
      <w:r w:rsidRPr="00480896">
        <w:rPr>
          <w:rFonts w:ascii="Arial" w:hAnsi="Arial" w:cs="Arial"/>
          <w:color w:val="000000" w:themeColor="text1"/>
          <w:sz w:val="24"/>
          <w:szCs w:val="24"/>
        </w:rPr>
        <w:t xml:space="preserve">, se encuentran:   </w:t>
      </w:r>
    </w:p>
    <w:p w:rsidR="00AC0CFB" w:rsidRPr="00935457" w:rsidRDefault="00AC0CFB" w:rsidP="00E53615">
      <w:pPr>
        <w:pStyle w:val="Prrafodelista"/>
        <w:widowControl w:val="0"/>
        <w:numPr>
          <w:ilvl w:val="0"/>
          <w:numId w:val="14"/>
        </w:numPr>
        <w:spacing w:after="0" w:line="240" w:lineRule="auto"/>
        <w:ind w:left="142" w:hanging="426"/>
        <w:jc w:val="both"/>
        <w:rPr>
          <w:rFonts w:ascii="Arial" w:eastAsia="Arial" w:hAnsi="Arial" w:cs="Arial"/>
          <w:bCs/>
          <w:sz w:val="24"/>
          <w:szCs w:val="24"/>
        </w:rPr>
      </w:pPr>
      <w:r w:rsidRPr="00480896">
        <w:rPr>
          <w:rFonts w:ascii="Arial" w:hAnsi="Arial" w:cs="Arial"/>
          <w:sz w:val="24"/>
          <w:szCs w:val="24"/>
        </w:rPr>
        <w:t>En 2018 hubo un millón 889 mil 255 servidores públicos adscritos a las mil 992 instituciones de las Administraciones Públicas Estatales</w:t>
      </w:r>
      <w:r w:rsidRPr="00480896">
        <w:rPr>
          <w:rStyle w:val="Refdenotaalpie"/>
          <w:rFonts w:ascii="Arial" w:hAnsi="Arial" w:cs="Arial"/>
          <w:sz w:val="24"/>
          <w:szCs w:val="24"/>
        </w:rPr>
        <w:footnoteReference w:id="4"/>
      </w:r>
      <w:r w:rsidRPr="00480896">
        <w:rPr>
          <w:rFonts w:ascii="Arial" w:hAnsi="Arial" w:cs="Arial"/>
          <w:sz w:val="24"/>
          <w:szCs w:val="24"/>
        </w:rPr>
        <w:t xml:space="preserve">: </w:t>
      </w:r>
      <w:r>
        <w:rPr>
          <w:rFonts w:ascii="Arial" w:hAnsi="Arial" w:cs="Arial"/>
          <w:sz w:val="24"/>
          <w:szCs w:val="24"/>
        </w:rPr>
        <w:t xml:space="preserve">Del total del personal, </w:t>
      </w:r>
      <w:r w:rsidRPr="00480896">
        <w:rPr>
          <w:rFonts w:ascii="Arial" w:hAnsi="Arial" w:cs="Arial"/>
          <w:sz w:val="24"/>
          <w:szCs w:val="24"/>
        </w:rPr>
        <w:t>5</w:t>
      </w:r>
      <w:r>
        <w:rPr>
          <w:rFonts w:ascii="Arial" w:hAnsi="Arial" w:cs="Arial"/>
          <w:sz w:val="24"/>
          <w:szCs w:val="24"/>
        </w:rPr>
        <w:t>6.0</w:t>
      </w:r>
      <w:r w:rsidRPr="00480896">
        <w:rPr>
          <w:rFonts w:ascii="Arial" w:hAnsi="Arial" w:cs="Arial"/>
          <w:sz w:val="24"/>
          <w:szCs w:val="24"/>
        </w:rPr>
        <w:t xml:space="preserve">% </w:t>
      </w:r>
      <w:r>
        <w:rPr>
          <w:rFonts w:ascii="Arial" w:hAnsi="Arial" w:cs="Arial"/>
          <w:sz w:val="24"/>
          <w:szCs w:val="24"/>
        </w:rPr>
        <w:t xml:space="preserve">fueron </w:t>
      </w:r>
      <w:r w:rsidRPr="00480896">
        <w:rPr>
          <w:rFonts w:ascii="Arial" w:hAnsi="Arial" w:cs="Arial"/>
          <w:sz w:val="24"/>
          <w:szCs w:val="24"/>
        </w:rPr>
        <w:t>mujeres</w:t>
      </w:r>
      <w:r>
        <w:rPr>
          <w:rFonts w:ascii="Arial" w:hAnsi="Arial" w:cs="Arial"/>
          <w:sz w:val="24"/>
          <w:szCs w:val="24"/>
        </w:rPr>
        <w:t xml:space="preserve"> y 44% hombres</w:t>
      </w:r>
      <w:r w:rsidRPr="00480896">
        <w:rPr>
          <w:rFonts w:ascii="Arial" w:hAnsi="Arial" w:cs="Arial"/>
          <w:sz w:val="24"/>
          <w:szCs w:val="24"/>
        </w:rPr>
        <w:t>.</w:t>
      </w:r>
    </w:p>
    <w:p w:rsidR="003010A4" w:rsidRDefault="00AC0CFB" w:rsidP="00E53615">
      <w:pPr>
        <w:pStyle w:val="Prrafodelista"/>
        <w:widowControl w:val="0"/>
        <w:numPr>
          <w:ilvl w:val="0"/>
          <w:numId w:val="14"/>
        </w:numPr>
        <w:spacing w:after="0" w:line="240" w:lineRule="auto"/>
        <w:ind w:left="142" w:hanging="426"/>
        <w:jc w:val="both"/>
        <w:rPr>
          <w:rFonts w:ascii="Arial" w:eastAsia="Arial" w:hAnsi="Arial" w:cs="Arial"/>
          <w:bCs/>
          <w:color w:val="000000" w:themeColor="text1"/>
          <w:sz w:val="24"/>
          <w:szCs w:val="24"/>
        </w:rPr>
      </w:pPr>
      <w:r w:rsidRPr="00F432E1">
        <w:rPr>
          <w:rFonts w:ascii="Arial" w:eastAsia="Arial" w:hAnsi="Arial" w:cs="Arial"/>
          <w:bCs/>
          <w:color w:val="000000" w:themeColor="text1"/>
          <w:sz w:val="24"/>
          <w:szCs w:val="24"/>
        </w:rPr>
        <w:t>En lo que respecta al personal destinado a funciones de seguridad pública, al cierre de 2018 se tuvo registro de</w:t>
      </w:r>
      <w:r w:rsidR="00FA4F49">
        <w:rPr>
          <w:rFonts w:ascii="Arial" w:eastAsia="Arial" w:hAnsi="Arial" w:cs="Arial"/>
          <w:bCs/>
          <w:color w:val="000000" w:themeColor="text1"/>
          <w:sz w:val="24"/>
          <w:szCs w:val="24"/>
        </w:rPr>
        <w:t xml:space="preserve"> </w:t>
      </w:r>
      <w:r w:rsidR="00FA4F49" w:rsidRPr="005032F7">
        <w:rPr>
          <w:rFonts w:ascii="Arial" w:hAnsi="Arial" w:cs="Arial"/>
          <w:sz w:val="24"/>
          <w:szCs w:val="24"/>
        </w:rPr>
        <w:t>205</w:t>
      </w:r>
      <w:r w:rsidR="00FA4F49">
        <w:rPr>
          <w:rFonts w:ascii="Arial" w:hAnsi="Arial" w:cs="Arial"/>
          <w:sz w:val="24"/>
          <w:szCs w:val="24"/>
        </w:rPr>
        <w:t xml:space="preserve"> mil</w:t>
      </w:r>
      <w:r w:rsidR="00FA4F49" w:rsidRPr="005032F7">
        <w:rPr>
          <w:rFonts w:ascii="Arial" w:hAnsi="Arial" w:cs="Arial"/>
          <w:sz w:val="24"/>
          <w:szCs w:val="24"/>
        </w:rPr>
        <w:t xml:space="preserve"> 361</w:t>
      </w:r>
      <w:r w:rsidRPr="00F432E1">
        <w:rPr>
          <w:rStyle w:val="Refdenotaalpie"/>
          <w:rFonts w:ascii="Arial" w:eastAsia="Arial" w:hAnsi="Arial" w:cs="Arial"/>
          <w:bCs/>
          <w:color w:val="000000" w:themeColor="text1"/>
          <w:sz w:val="24"/>
          <w:szCs w:val="24"/>
        </w:rPr>
        <w:footnoteReference w:id="5"/>
      </w:r>
      <w:r w:rsidR="00A70A1A">
        <w:rPr>
          <w:rFonts w:ascii="Arial" w:eastAsia="Arial" w:hAnsi="Arial" w:cs="Arial"/>
          <w:bCs/>
          <w:color w:val="000000" w:themeColor="text1"/>
          <w:sz w:val="24"/>
          <w:szCs w:val="24"/>
        </w:rPr>
        <w:t>.</w:t>
      </w:r>
      <w:r w:rsidRPr="00F432E1">
        <w:rPr>
          <w:rFonts w:ascii="Arial" w:eastAsia="Arial" w:hAnsi="Arial" w:cs="Arial"/>
          <w:bCs/>
          <w:color w:val="000000" w:themeColor="text1"/>
          <w:sz w:val="24"/>
          <w:szCs w:val="24"/>
        </w:rPr>
        <w:t xml:space="preserve"> De éstos</w:t>
      </w:r>
      <w:r w:rsidRPr="00B26B71">
        <w:rPr>
          <w:rFonts w:ascii="Arial" w:eastAsia="Arial" w:hAnsi="Arial" w:cs="Arial"/>
          <w:bCs/>
          <w:color w:val="000000" w:themeColor="text1"/>
          <w:sz w:val="24"/>
          <w:szCs w:val="24"/>
        </w:rPr>
        <w:t>, 52.1%</w:t>
      </w:r>
      <w:r w:rsidRPr="00F432E1">
        <w:rPr>
          <w:rFonts w:ascii="Arial" w:eastAsia="Arial" w:hAnsi="Arial" w:cs="Arial"/>
          <w:bCs/>
          <w:color w:val="000000" w:themeColor="text1"/>
          <w:sz w:val="24"/>
          <w:szCs w:val="24"/>
        </w:rPr>
        <w:t xml:space="preserve"> estu</w:t>
      </w:r>
      <w:r w:rsidR="00227C2D">
        <w:rPr>
          <w:rFonts w:ascii="Arial" w:eastAsia="Arial" w:hAnsi="Arial" w:cs="Arial"/>
          <w:bCs/>
          <w:color w:val="000000" w:themeColor="text1"/>
          <w:sz w:val="24"/>
          <w:szCs w:val="24"/>
        </w:rPr>
        <w:t>vo adscrito a corporaciones de p</w:t>
      </w:r>
      <w:r w:rsidRPr="00F432E1">
        <w:rPr>
          <w:rFonts w:ascii="Arial" w:eastAsia="Arial" w:hAnsi="Arial" w:cs="Arial"/>
          <w:bCs/>
          <w:color w:val="000000" w:themeColor="text1"/>
          <w:sz w:val="24"/>
          <w:szCs w:val="24"/>
        </w:rPr>
        <w:t xml:space="preserve">olicía </w:t>
      </w:r>
      <w:r>
        <w:rPr>
          <w:rFonts w:ascii="Arial" w:eastAsia="Arial" w:hAnsi="Arial" w:cs="Arial"/>
          <w:bCs/>
          <w:color w:val="000000" w:themeColor="text1"/>
          <w:sz w:val="24"/>
          <w:szCs w:val="24"/>
        </w:rPr>
        <w:t>p</w:t>
      </w:r>
      <w:r w:rsidRPr="00F432E1">
        <w:rPr>
          <w:rFonts w:ascii="Arial" w:eastAsia="Arial" w:hAnsi="Arial" w:cs="Arial"/>
          <w:bCs/>
          <w:color w:val="000000" w:themeColor="text1"/>
          <w:sz w:val="24"/>
          <w:szCs w:val="24"/>
        </w:rPr>
        <w:t>reventiva.</w:t>
      </w:r>
    </w:p>
    <w:p w:rsidR="00E53615" w:rsidRPr="00935457" w:rsidRDefault="00E53615" w:rsidP="00E53615">
      <w:pPr>
        <w:pStyle w:val="Prrafodelista"/>
        <w:widowControl w:val="0"/>
        <w:spacing w:after="0" w:line="240" w:lineRule="auto"/>
        <w:ind w:left="142"/>
        <w:jc w:val="both"/>
        <w:rPr>
          <w:rFonts w:ascii="Arial" w:eastAsia="Arial" w:hAnsi="Arial" w:cs="Arial"/>
          <w:bCs/>
          <w:color w:val="000000" w:themeColor="text1"/>
          <w:sz w:val="24"/>
          <w:szCs w:val="24"/>
        </w:rPr>
      </w:pPr>
    </w:p>
    <w:p w:rsidR="00AC0CFB" w:rsidRPr="00AD3D87" w:rsidRDefault="00AC0CFB" w:rsidP="00E53615">
      <w:pPr>
        <w:pStyle w:val="Prrafodelista"/>
        <w:widowControl w:val="0"/>
        <w:numPr>
          <w:ilvl w:val="0"/>
          <w:numId w:val="14"/>
        </w:numPr>
        <w:spacing w:after="0" w:line="240" w:lineRule="auto"/>
        <w:ind w:left="142" w:hanging="426"/>
        <w:jc w:val="both"/>
        <w:rPr>
          <w:rFonts w:ascii="Arial" w:eastAsia="Arial" w:hAnsi="Arial" w:cs="Arial"/>
          <w:bCs/>
          <w:sz w:val="24"/>
          <w:szCs w:val="24"/>
        </w:rPr>
      </w:pPr>
      <w:r w:rsidRPr="005A31F0">
        <w:rPr>
          <w:rFonts w:ascii="Arial" w:hAnsi="Arial" w:cs="Arial"/>
          <w:sz w:val="24"/>
          <w:szCs w:val="24"/>
        </w:rPr>
        <w:lastRenderedPageBreak/>
        <w:t>Durante 2018 ingresaron 99 mil 567 personas a los centros penitenciarios y centros de tratamiento o internamiento para adolescentes a cargo de las entidades federativas, en el mismo periodo egresaron 10</w:t>
      </w:r>
      <w:r>
        <w:rPr>
          <w:rFonts w:ascii="Arial" w:hAnsi="Arial" w:cs="Arial"/>
          <w:sz w:val="24"/>
          <w:szCs w:val="24"/>
        </w:rPr>
        <w:t>4</w:t>
      </w:r>
      <w:r w:rsidRPr="005A31F0">
        <w:rPr>
          <w:rFonts w:ascii="Arial" w:hAnsi="Arial" w:cs="Arial"/>
          <w:sz w:val="24"/>
          <w:szCs w:val="24"/>
        </w:rPr>
        <w:t xml:space="preserve"> mil </w:t>
      </w:r>
      <w:r>
        <w:rPr>
          <w:rFonts w:ascii="Arial" w:hAnsi="Arial" w:cs="Arial"/>
          <w:sz w:val="24"/>
          <w:szCs w:val="24"/>
        </w:rPr>
        <w:t>060</w:t>
      </w:r>
      <w:r w:rsidRPr="005A31F0">
        <w:rPr>
          <w:rFonts w:ascii="Arial" w:hAnsi="Arial" w:cs="Arial"/>
          <w:sz w:val="24"/>
          <w:szCs w:val="24"/>
        </w:rPr>
        <w:t xml:space="preserve"> personas</w:t>
      </w:r>
      <w:r>
        <w:rPr>
          <w:rFonts w:ascii="Arial" w:hAnsi="Arial" w:cs="Arial"/>
          <w:sz w:val="24"/>
          <w:szCs w:val="24"/>
        </w:rPr>
        <w:t xml:space="preserve">. Finalmente 178 mil 481 personas permanecieron privadas de la libertad al cierre del año. </w:t>
      </w:r>
    </w:p>
    <w:p w:rsidR="00AD3D87" w:rsidRPr="00AD3D87" w:rsidRDefault="00AD3D87" w:rsidP="00AD3D87">
      <w:pPr>
        <w:pStyle w:val="Prrafodelista"/>
        <w:widowControl w:val="0"/>
        <w:spacing w:after="0" w:line="240" w:lineRule="auto"/>
        <w:ind w:left="284"/>
        <w:jc w:val="both"/>
        <w:rPr>
          <w:rFonts w:ascii="Arial" w:eastAsia="Arial" w:hAnsi="Arial" w:cs="Arial"/>
          <w:bCs/>
          <w:sz w:val="24"/>
          <w:szCs w:val="24"/>
        </w:rPr>
      </w:pPr>
    </w:p>
    <w:p w:rsidR="00AC0CFB" w:rsidRDefault="00AC0CFB" w:rsidP="00E53615">
      <w:pPr>
        <w:ind w:left="-567" w:right="-518"/>
        <w:jc w:val="both"/>
        <w:rPr>
          <w:rFonts w:ascii="Arial" w:hAnsi="Arial" w:cs="Arial"/>
          <w:color w:val="000000" w:themeColor="text1"/>
          <w:sz w:val="24"/>
          <w:szCs w:val="24"/>
        </w:rPr>
      </w:pPr>
      <w:bookmarkStart w:id="1" w:name="_Hlk12957625"/>
      <w:r w:rsidRPr="00480896">
        <w:rPr>
          <w:rFonts w:ascii="Arial" w:hAnsi="Arial" w:cs="Arial"/>
          <w:color w:val="000000" w:themeColor="text1"/>
          <w:sz w:val="24"/>
          <w:szCs w:val="24"/>
        </w:rPr>
        <w:t>El</w:t>
      </w:r>
      <w:bookmarkEnd w:id="1"/>
      <w:r w:rsidRPr="00F773B8">
        <w:rPr>
          <w:rFonts w:ascii="Arial" w:hAnsi="Arial" w:cs="Arial"/>
          <w:color w:val="000000" w:themeColor="text1"/>
          <w:sz w:val="24"/>
          <w:szCs w:val="24"/>
        </w:rPr>
        <w:t xml:space="preserve"> </w:t>
      </w:r>
      <w:r w:rsidRPr="00F773B8">
        <w:rPr>
          <w:rFonts w:ascii="Arial" w:hAnsi="Arial" w:cs="Arial"/>
          <w:b/>
          <w:color w:val="000000" w:themeColor="text1"/>
          <w:sz w:val="24"/>
          <w:szCs w:val="24"/>
        </w:rPr>
        <w:t>Censo Nacional de Impartición de Justicia Estatal (CNIJE) 201</w:t>
      </w:r>
      <w:r>
        <w:rPr>
          <w:rFonts w:ascii="Arial" w:hAnsi="Arial" w:cs="Arial"/>
          <w:b/>
          <w:color w:val="000000" w:themeColor="text1"/>
          <w:sz w:val="24"/>
          <w:szCs w:val="24"/>
        </w:rPr>
        <w:t>9</w:t>
      </w:r>
      <w:r w:rsidRPr="00F773B8">
        <w:rPr>
          <w:rFonts w:ascii="Arial" w:hAnsi="Arial" w:cs="Arial"/>
          <w:color w:val="000000" w:themeColor="text1"/>
          <w:sz w:val="24"/>
          <w:szCs w:val="24"/>
        </w:rPr>
        <w:t xml:space="preserve"> tiene por objeto generar información estadística y geográfica de la gestión y desempeño de las instituciones que integran al Tribunal Superior de Justicia y al Consejo de la Judicatura de cada Entidad Federativa, específicamente en las funciones de gobierno, impartición de justicia, justicia para adolescentes y justicia alternativa.</w:t>
      </w:r>
    </w:p>
    <w:p w:rsidR="00AC0CFB" w:rsidRDefault="00AC0CFB" w:rsidP="00E53615">
      <w:pPr>
        <w:ind w:left="-567" w:right="-518"/>
        <w:jc w:val="both"/>
        <w:rPr>
          <w:rFonts w:ascii="Arial" w:hAnsi="Arial" w:cs="Arial"/>
          <w:color w:val="000000" w:themeColor="text1"/>
          <w:sz w:val="24"/>
          <w:szCs w:val="24"/>
        </w:rPr>
      </w:pPr>
      <w:r w:rsidRPr="00F773B8">
        <w:rPr>
          <w:rFonts w:ascii="Arial" w:hAnsi="Arial" w:cs="Arial"/>
          <w:color w:val="000000" w:themeColor="text1"/>
          <w:sz w:val="24"/>
          <w:szCs w:val="24"/>
        </w:rPr>
        <w:t>En su versión 201</w:t>
      </w:r>
      <w:r>
        <w:rPr>
          <w:rFonts w:ascii="Arial" w:hAnsi="Arial" w:cs="Arial"/>
          <w:color w:val="000000" w:themeColor="text1"/>
          <w:sz w:val="24"/>
          <w:szCs w:val="24"/>
        </w:rPr>
        <w:t xml:space="preserve">9, el CNIJE </w:t>
      </w:r>
      <w:r w:rsidRPr="00F773B8">
        <w:rPr>
          <w:rFonts w:ascii="Arial" w:hAnsi="Arial" w:cs="Arial"/>
          <w:color w:val="000000" w:themeColor="text1"/>
          <w:sz w:val="24"/>
          <w:szCs w:val="24"/>
        </w:rPr>
        <w:t xml:space="preserve">cuenta </w:t>
      </w:r>
      <w:r w:rsidRPr="000651BA">
        <w:rPr>
          <w:rFonts w:ascii="Arial" w:hAnsi="Arial" w:cs="Arial"/>
          <w:color w:val="000000" w:themeColor="text1"/>
          <w:sz w:val="24"/>
          <w:szCs w:val="24"/>
        </w:rPr>
        <w:t>con 2</w:t>
      </w:r>
      <w:r w:rsidR="00713261">
        <w:rPr>
          <w:rFonts w:ascii="Arial" w:hAnsi="Arial" w:cs="Arial"/>
          <w:color w:val="000000" w:themeColor="text1"/>
          <w:sz w:val="24"/>
          <w:szCs w:val="24"/>
        </w:rPr>
        <w:t>2</w:t>
      </w:r>
      <w:r w:rsidRPr="000651BA">
        <w:rPr>
          <w:rFonts w:ascii="Arial" w:hAnsi="Arial" w:cs="Arial"/>
          <w:color w:val="000000" w:themeColor="text1"/>
          <w:sz w:val="24"/>
          <w:szCs w:val="24"/>
        </w:rPr>
        <w:t xml:space="preserve"> tabulados con información básica</w:t>
      </w:r>
      <w:r>
        <w:rPr>
          <w:rFonts w:ascii="Arial" w:hAnsi="Arial" w:cs="Arial"/>
          <w:color w:val="000000" w:themeColor="text1"/>
          <w:sz w:val="24"/>
          <w:szCs w:val="24"/>
        </w:rPr>
        <w:t xml:space="preserve"> organizada en cuatro</w:t>
      </w:r>
      <w:r w:rsidRPr="00F773B8">
        <w:rPr>
          <w:rFonts w:ascii="Arial" w:hAnsi="Arial" w:cs="Arial"/>
          <w:color w:val="000000" w:themeColor="text1"/>
          <w:sz w:val="24"/>
          <w:szCs w:val="24"/>
        </w:rPr>
        <w:t xml:space="preserve"> apartados conforme a los siguientes temas: Estructura Organizacional y Recursos; Impartición de Justicia en Materia Pe</w:t>
      </w:r>
      <w:r>
        <w:rPr>
          <w:rFonts w:ascii="Arial" w:hAnsi="Arial" w:cs="Arial"/>
          <w:color w:val="000000" w:themeColor="text1"/>
          <w:sz w:val="24"/>
          <w:szCs w:val="24"/>
        </w:rPr>
        <w:t>nal; Justicia para Adolescentes e</w:t>
      </w:r>
      <w:r w:rsidRPr="00F773B8">
        <w:rPr>
          <w:rFonts w:ascii="Arial" w:hAnsi="Arial" w:cs="Arial"/>
          <w:color w:val="000000" w:themeColor="text1"/>
          <w:sz w:val="24"/>
          <w:szCs w:val="24"/>
        </w:rPr>
        <w:t xml:space="preserve"> Impartición de Justicia en Todas las Materias (Excep</w:t>
      </w:r>
      <w:r>
        <w:rPr>
          <w:rFonts w:ascii="Arial" w:hAnsi="Arial" w:cs="Arial"/>
          <w:color w:val="000000" w:themeColor="text1"/>
          <w:sz w:val="24"/>
          <w:szCs w:val="24"/>
        </w:rPr>
        <w:t>to Penal).</w:t>
      </w:r>
    </w:p>
    <w:p w:rsidR="00AC0CFB" w:rsidRDefault="00AC0CFB" w:rsidP="00E53615">
      <w:pPr>
        <w:ind w:left="-567" w:right="-518"/>
        <w:jc w:val="both"/>
        <w:rPr>
          <w:rFonts w:ascii="Arial" w:hAnsi="Arial" w:cs="Arial"/>
          <w:color w:val="000000" w:themeColor="text1"/>
          <w:sz w:val="24"/>
          <w:szCs w:val="24"/>
        </w:rPr>
      </w:pPr>
      <w:r w:rsidRPr="00B9217F">
        <w:rPr>
          <w:rFonts w:ascii="Arial" w:hAnsi="Arial" w:cs="Arial"/>
          <w:color w:val="000000" w:themeColor="text1"/>
          <w:sz w:val="24"/>
          <w:szCs w:val="24"/>
        </w:rPr>
        <w:t>Entre los datos que aporta este Censo destacan los siguientes:</w:t>
      </w:r>
    </w:p>
    <w:p w:rsidR="00AC0CFB" w:rsidRPr="00935457" w:rsidRDefault="009E165E" w:rsidP="00E53615">
      <w:pPr>
        <w:pStyle w:val="Prrafodelista"/>
        <w:numPr>
          <w:ilvl w:val="0"/>
          <w:numId w:val="1"/>
        </w:numPr>
        <w:ind w:left="142" w:hanging="426"/>
        <w:jc w:val="both"/>
        <w:rPr>
          <w:rFonts w:ascii="Arial" w:hAnsi="Arial" w:cs="Arial"/>
          <w:color w:val="000000" w:themeColor="text1"/>
          <w:sz w:val="24"/>
          <w:szCs w:val="24"/>
        </w:rPr>
      </w:pPr>
      <w:r>
        <w:rPr>
          <w:rFonts w:ascii="Arial" w:hAnsi="Arial" w:cs="Arial"/>
          <w:color w:val="000000" w:themeColor="text1"/>
          <w:sz w:val="24"/>
          <w:szCs w:val="24"/>
        </w:rPr>
        <w:t>En 2018, se reportaron 66 mil 757</w:t>
      </w:r>
      <w:r w:rsidR="00AC0CFB" w:rsidRPr="00935457">
        <w:rPr>
          <w:rFonts w:ascii="Arial" w:hAnsi="Arial" w:cs="Arial"/>
          <w:color w:val="000000" w:themeColor="text1"/>
          <w:sz w:val="24"/>
          <w:szCs w:val="24"/>
        </w:rPr>
        <w:t xml:space="preserve"> servidores públicos en los órganos jurisdiccionales </w:t>
      </w:r>
      <w:r>
        <w:rPr>
          <w:rFonts w:ascii="Arial" w:hAnsi="Arial" w:cs="Arial"/>
          <w:color w:val="000000" w:themeColor="text1"/>
          <w:sz w:val="24"/>
          <w:szCs w:val="24"/>
        </w:rPr>
        <w:t xml:space="preserve">y </w:t>
      </w:r>
      <w:r>
        <w:rPr>
          <w:rFonts w:ascii="Arial" w:hAnsi="Arial" w:cs="Arial"/>
          <w:sz w:val="24"/>
          <w:szCs w:val="24"/>
        </w:rPr>
        <w:t>órganos y/o unidades administrativ</w:t>
      </w:r>
      <w:r w:rsidR="00E53615">
        <w:rPr>
          <w:rFonts w:ascii="Arial" w:hAnsi="Arial" w:cs="Arial"/>
          <w:sz w:val="24"/>
          <w:szCs w:val="24"/>
        </w:rPr>
        <w:t>a</w:t>
      </w:r>
      <w:r>
        <w:rPr>
          <w:rFonts w:ascii="Arial" w:hAnsi="Arial" w:cs="Arial"/>
          <w:sz w:val="24"/>
          <w:szCs w:val="24"/>
        </w:rPr>
        <w:t>s</w:t>
      </w:r>
      <w:r w:rsidRPr="00935457">
        <w:rPr>
          <w:rFonts w:ascii="Arial" w:hAnsi="Arial" w:cs="Arial"/>
          <w:color w:val="000000" w:themeColor="text1"/>
          <w:sz w:val="24"/>
          <w:szCs w:val="24"/>
        </w:rPr>
        <w:t xml:space="preserve"> </w:t>
      </w:r>
      <w:r w:rsidR="00AC0CFB" w:rsidRPr="00935457">
        <w:rPr>
          <w:rFonts w:ascii="Arial" w:hAnsi="Arial" w:cs="Arial"/>
          <w:color w:val="000000" w:themeColor="text1"/>
          <w:sz w:val="24"/>
          <w:szCs w:val="24"/>
        </w:rPr>
        <w:t xml:space="preserve">de los Poderes Judiciales Estatales. De </w:t>
      </w:r>
      <w:r>
        <w:rPr>
          <w:rFonts w:ascii="Arial" w:hAnsi="Arial" w:cs="Arial"/>
          <w:color w:val="000000" w:themeColor="text1"/>
          <w:sz w:val="24"/>
          <w:szCs w:val="24"/>
        </w:rPr>
        <w:t>ellos, 40.6% fueron hombres y 59.4</w:t>
      </w:r>
      <w:r w:rsidR="00AC0CFB" w:rsidRPr="00935457">
        <w:rPr>
          <w:rFonts w:ascii="Arial" w:hAnsi="Arial" w:cs="Arial"/>
          <w:color w:val="000000" w:themeColor="text1"/>
          <w:sz w:val="24"/>
          <w:szCs w:val="24"/>
        </w:rPr>
        <w:t>%, mujeres.</w:t>
      </w:r>
    </w:p>
    <w:p w:rsidR="00AC0CFB" w:rsidRPr="00935457" w:rsidRDefault="00AC0CFB" w:rsidP="00E53615">
      <w:pPr>
        <w:pStyle w:val="Prrafodelista"/>
        <w:numPr>
          <w:ilvl w:val="0"/>
          <w:numId w:val="1"/>
        </w:numPr>
        <w:ind w:left="142" w:hanging="426"/>
        <w:jc w:val="both"/>
        <w:rPr>
          <w:rFonts w:ascii="Arial" w:hAnsi="Arial" w:cs="Arial"/>
          <w:color w:val="000000" w:themeColor="text1"/>
          <w:sz w:val="24"/>
          <w:szCs w:val="24"/>
        </w:rPr>
      </w:pPr>
      <w:r w:rsidRPr="00935457">
        <w:rPr>
          <w:rFonts w:ascii="Arial" w:hAnsi="Arial" w:cs="Arial"/>
          <w:color w:val="000000" w:themeColor="text1"/>
          <w:sz w:val="24"/>
          <w:szCs w:val="24"/>
        </w:rPr>
        <w:t xml:space="preserve">Durante 2018, </w:t>
      </w:r>
      <w:r w:rsidR="00B06E21" w:rsidRPr="00935457">
        <w:rPr>
          <w:rFonts w:ascii="Arial" w:hAnsi="Arial" w:cs="Arial"/>
          <w:color w:val="000000" w:themeColor="text1"/>
          <w:sz w:val="24"/>
          <w:szCs w:val="24"/>
        </w:rPr>
        <w:t>ingresaron 2 millones 117 mil 274 causas penales y expedientes en todas las materias a los órganos jurisdiccionales de primera instancia de los Poderes Judiciales Estatales, mientras que se concluyeron 1 millón 265 mil 322</w:t>
      </w:r>
      <w:r w:rsidR="00227C2D">
        <w:rPr>
          <w:rFonts w:ascii="Arial" w:hAnsi="Arial" w:cs="Arial"/>
          <w:color w:val="000000" w:themeColor="text1"/>
          <w:sz w:val="24"/>
          <w:szCs w:val="24"/>
        </w:rPr>
        <w:t>,</w:t>
      </w:r>
      <w:r w:rsidR="00B06E21" w:rsidRPr="00935457">
        <w:rPr>
          <w:rFonts w:ascii="Arial" w:hAnsi="Arial" w:cs="Arial"/>
          <w:color w:val="000000" w:themeColor="text1"/>
          <w:sz w:val="24"/>
          <w:szCs w:val="24"/>
        </w:rPr>
        <w:t xml:space="preserve"> </w:t>
      </w:r>
      <w:r w:rsidR="0088150D" w:rsidRPr="00935457">
        <w:rPr>
          <w:rFonts w:ascii="Arial" w:hAnsi="Arial" w:cs="Arial"/>
          <w:color w:val="000000" w:themeColor="text1"/>
          <w:sz w:val="24"/>
          <w:szCs w:val="24"/>
        </w:rPr>
        <w:t>y 3</w:t>
      </w:r>
      <w:r w:rsidR="0068782B" w:rsidRPr="00935457">
        <w:rPr>
          <w:rFonts w:ascii="Arial" w:hAnsi="Arial" w:cs="Arial"/>
          <w:color w:val="000000" w:themeColor="text1"/>
          <w:sz w:val="24"/>
          <w:szCs w:val="24"/>
        </w:rPr>
        <w:t xml:space="preserve"> millones 200 mil 474</w:t>
      </w:r>
      <w:r w:rsidR="00B06E21" w:rsidRPr="00935457">
        <w:rPr>
          <w:rFonts w:ascii="Arial" w:hAnsi="Arial" w:cs="Arial"/>
          <w:color w:val="000000" w:themeColor="text1"/>
          <w:sz w:val="24"/>
          <w:szCs w:val="24"/>
        </w:rPr>
        <w:t xml:space="preserve"> </w:t>
      </w:r>
      <w:r w:rsidRPr="00935457">
        <w:rPr>
          <w:rFonts w:ascii="Arial" w:hAnsi="Arial" w:cs="Arial"/>
          <w:color w:val="000000" w:themeColor="text1"/>
          <w:sz w:val="24"/>
          <w:szCs w:val="24"/>
        </w:rPr>
        <w:t>quedaron pendientes de concluir</w:t>
      </w:r>
      <w:r w:rsidR="0068782B" w:rsidRPr="00935457">
        <w:rPr>
          <w:rFonts w:ascii="Arial" w:hAnsi="Arial" w:cs="Arial"/>
          <w:color w:val="000000" w:themeColor="text1"/>
          <w:sz w:val="24"/>
          <w:szCs w:val="24"/>
        </w:rPr>
        <w:t xml:space="preserve"> al cierre del año</w:t>
      </w:r>
      <w:r w:rsidRPr="00935457">
        <w:rPr>
          <w:rFonts w:ascii="Arial" w:hAnsi="Arial" w:cs="Arial"/>
          <w:color w:val="000000" w:themeColor="text1"/>
          <w:sz w:val="24"/>
          <w:szCs w:val="24"/>
        </w:rPr>
        <w:t>.</w:t>
      </w:r>
    </w:p>
    <w:p w:rsidR="003010A4" w:rsidRPr="00935457" w:rsidRDefault="00AC0CFB" w:rsidP="00935457">
      <w:pPr>
        <w:ind w:left="-284"/>
        <w:jc w:val="both"/>
        <w:rPr>
          <w:rFonts w:ascii="Arial" w:hAnsi="Arial" w:cs="Arial"/>
          <w:color w:val="000000" w:themeColor="text1"/>
          <w:sz w:val="24"/>
          <w:szCs w:val="24"/>
        </w:rPr>
      </w:pPr>
      <w:r w:rsidRPr="004F6BBC">
        <w:rPr>
          <w:rFonts w:ascii="Arial" w:hAnsi="Arial" w:cs="Arial"/>
          <w:color w:val="000000" w:themeColor="text1"/>
          <w:sz w:val="24"/>
          <w:szCs w:val="24"/>
        </w:rPr>
        <w:t xml:space="preserve">La Junta de Gobierno del INEGI </w:t>
      </w:r>
      <w:proofErr w:type="gramStart"/>
      <w:r w:rsidR="00857882" w:rsidRPr="004F6BBC">
        <w:rPr>
          <w:rFonts w:ascii="Arial" w:hAnsi="Arial" w:cs="Arial"/>
          <w:color w:val="000000" w:themeColor="text1"/>
          <w:sz w:val="24"/>
          <w:szCs w:val="24"/>
        </w:rPr>
        <w:t>declaró</w:t>
      </w:r>
      <w:r w:rsidRPr="004F6BBC">
        <w:rPr>
          <w:rFonts w:ascii="Arial" w:hAnsi="Arial" w:cs="Arial"/>
          <w:color w:val="000000" w:themeColor="text1"/>
          <w:sz w:val="24"/>
          <w:szCs w:val="24"/>
        </w:rPr>
        <w:t xml:space="preserve"> </w:t>
      </w:r>
      <w:r w:rsidR="00857882">
        <w:rPr>
          <w:rFonts w:ascii="Arial" w:hAnsi="Arial" w:cs="Arial"/>
          <w:color w:val="000000" w:themeColor="text1"/>
          <w:sz w:val="24"/>
          <w:szCs w:val="24"/>
        </w:rPr>
        <w:t>como</w:t>
      </w:r>
      <w:proofErr w:type="gramEnd"/>
      <w:r w:rsidR="00857882">
        <w:rPr>
          <w:rFonts w:ascii="Arial" w:hAnsi="Arial" w:cs="Arial"/>
          <w:color w:val="000000" w:themeColor="text1"/>
          <w:sz w:val="24"/>
          <w:szCs w:val="24"/>
        </w:rPr>
        <w:t xml:space="preserve"> </w:t>
      </w:r>
      <w:r w:rsidRPr="004F6BBC">
        <w:rPr>
          <w:rFonts w:ascii="Arial" w:hAnsi="Arial" w:cs="Arial"/>
          <w:color w:val="000000" w:themeColor="text1"/>
          <w:sz w:val="24"/>
          <w:szCs w:val="24"/>
        </w:rPr>
        <w:t>Información de Interés Nacional los datos del CNGSPSPE en diciembre de 2011 y, en diciembre de 2012, a los del CNIJE.</w:t>
      </w:r>
    </w:p>
    <w:p w:rsidR="00A74059" w:rsidRPr="00E53615" w:rsidRDefault="00EC2F19" w:rsidP="00CF4D53">
      <w:pPr>
        <w:ind w:left="-284"/>
        <w:jc w:val="center"/>
        <w:rPr>
          <w:rFonts w:ascii="Arial" w:hAnsi="Arial" w:cs="Arial"/>
          <w:b/>
          <w:bCs/>
          <w:sz w:val="24"/>
          <w:szCs w:val="24"/>
        </w:rPr>
      </w:pPr>
      <w:r w:rsidRPr="00E53615">
        <w:rPr>
          <w:rFonts w:ascii="Arial" w:hAnsi="Arial" w:cs="Arial"/>
          <w:b/>
          <w:bCs/>
          <w:sz w:val="24"/>
          <w:szCs w:val="24"/>
        </w:rPr>
        <w:t>Se anexa nota técnica</w:t>
      </w:r>
    </w:p>
    <w:p w:rsidR="00E53615" w:rsidRDefault="00E53615" w:rsidP="00CF4D53">
      <w:pPr>
        <w:ind w:left="-284"/>
        <w:jc w:val="center"/>
        <w:rPr>
          <w:b/>
          <w:bCs/>
        </w:rPr>
      </w:pPr>
    </w:p>
    <w:p w:rsidR="00E53615" w:rsidRPr="00CF4D53" w:rsidRDefault="00E53615" w:rsidP="00CF4D53">
      <w:pPr>
        <w:ind w:left="-284"/>
        <w:jc w:val="center"/>
        <w:rPr>
          <w:rFonts w:ascii="Arial" w:hAnsi="Arial" w:cs="Arial"/>
          <w:color w:val="000000" w:themeColor="text1"/>
          <w:sz w:val="24"/>
          <w:szCs w:val="24"/>
        </w:rPr>
      </w:pPr>
    </w:p>
    <w:p w:rsidR="00EC2F19" w:rsidRPr="00E53615" w:rsidRDefault="00EC2F19" w:rsidP="00EC2F19">
      <w:pPr>
        <w:pStyle w:val="NormalWeb"/>
        <w:spacing w:before="0" w:beforeAutospacing="0" w:after="0" w:afterAutospacing="0"/>
        <w:ind w:left="-426" w:right="-518"/>
        <w:contextualSpacing/>
        <w:jc w:val="center"/>
        <w:rPr>
          <w:rFonts w:ascii="Arial" w:hAnsi="Arial" w:cs="Arial"/>
          <w:sz w:val="22"/>
          <w:szCs w:val="22"/>
        </w:rPr>
      </w:pPr>
      <w:r w:rsidRPr="00E53615">
        <w:rPr>
          <w:rFonts w:ascii="Arial" w:hAnsi="Arial" w:cs="Arial"/>
          <w:sz w:val="22"/>
          <w:szCs w:val="22"/>
        </w:rPr>
        <w:t xml:space="preserve">Para consultas de medios y periodistas, contactar a: </w:t>
      </w:r>
      <w:hyperlink r:id="rId8" w:history="1">
        <w:r w:rsidRPr="00E53615">
          <w:rPr>
            <w:rStyle w:val="Hipervnculo"/>
            <w:rFonts w:ascii="Arial" w:hAnsi="Arial" w:cs="Arial"/>
            <w:sz w:val="22"/>
            <w:szCs w:val="22"/>
          </w:rPr>
          <w:t>comunicacionsocial@inegi.org.mx</w:t>
        </w:r>
      </w:hyperlink>
      <w:r w:rsidRPr="00E53615">
        <w:rPr>
          <w:rFonts w:ascii="Arial" w:hAnsi="Arial" w:cs="Arial"/>
          <w:sz w:val="22"/>
          <w:szCs w:val="22"/>
        </w:rPr>
        <w:t xml:space="preserve"> </w:t>
      </w:r>
    </w:p>
    <w:p w:rsidR="00EC2F19" w:rsidRPr="00E53615" w:rsidRDefault="00EC2F19" w:rsidP="00EC2F19">
      <w:pPr>
        <w:pStyle w:val="NormalWeb"/>
        <w:spacing w:before="0" w:beforeAutospacing="0" w:after="0" w:afterAutospacing="0"/>
        <w:ind w:left="-426" w:right="-518"/>
        <w:contextualSpacing/>
        <w:jc w:val="center"/>
        <w:rPr>
          <w:rFonts w:ascii="Arial" w:hAnsi="Arial" w:cs="Arial"/>
          <w:sz w:val="22"/>
          <w:szCs w:val="22"/>
        </w:rPr>
      </w:pPr>
    </w:p>
    <w:p w:rsidR="00EC2F19" w:rsidRPr="00E53615" w:rsidRDefault="00EC2F19" w:rsidP="00EC2F19">
      <w:pPr>
        <w:pStyle w:val="NormalWeb"/>
        <w:spacing w:before="0" w:beforeAutospacing="0" w:after="0" w:afterAutospacing="0"/>
        <w:ind w:left="-426" w:right="-518"/>
        <w:contextualSpacing/>
        <w:jc w:val="center"/>
        <w:rPr>
          <w:rFonts w:ascii="Arial" w:hAnsi="Arial" w:cs="Arial"/>
          <w:sz w:val="22"/>
          <w:szCs w:val="22"/>
        </w:rPr>
      </w:pPr>
      <w:r w:rsidRPr="00E53615">
        <w:rPr>
          <w:rFonts w:ascii="Arial" w:hAnsi="Arial" w:cs="Arial"/>
          <w:sz w:val="22"/>
          <w:szCs w:val="22"/>
        </w:rPr>
        <w:t xml:space="preserve">o llamar al teléfono (55) 52-78-10-00, </w:t>
      </w:r>
      <w:r w:rsidR="00A70A1A" w:rsidRPr="00E53615">
        <w:rPr>
          <w:rFonts w:ascii="Arial" w:hAnsi="Arial" w:cs="Arial"/>
          <w:sz w:val="22"/>
          <w:szCs w:val="22"/>
        </w:rPr>
        <w:t>E</w:t>
      </w:r>
      <w:r w:rsidRPr="00E53615">
        <w:rPr>
          <w:rFonts w:ascii="Arial" w:hAnsi="Arial" w:cs="Arial"/>
          <w:sz w:val="22"/>
          <w:szCs w:val="22"/>
        </w:rPr>
        <w:t>xt</w:t>
      </w:r>
      <w:r w:rsidR="00A70A1A" w:rsidRPr="00E53615">
        <w:rPr>
          <w:rFonts w:ascii="Arial" w:hAnsi="Arial" w:cs="Arial"/>
          <w:sz w:val="22"/>
          <w:szCs w:val="22"/>
        </w:rPr>
        <w:t>ensiones:</w:t>
      </w:r>
      <w:r w:rsidRPr="00E53615">
        <w:rPr>
          <w:rFonts w:ascii="Arial" w:hAnsi="Arial" w:cs="Arial"/>
          <w:sz w:val="22"/>
          <w:szCs w:val="22"/>
        </w:rPr>
        <w:t xml:space="preserve"> 1134, 1260 y 1241.</w:t>
      </w:r>
    </w:p>
    <w:p w:rsidR="00EC2F19" w:rsidRPr="00E53615" w:rsidRDefault="00EC2F19" w:rsidP="00EC2F19">
      <w:pPr>
        <w:pStyle w:val="NormalWeb"/>
        <w:spacing w:before="0" w:beforeAutospacing="0" w:after="0" w:afterAutospacing="0"/>
        <w:ind w:left="-426" w:right="-518"/>
        <w:contextualSpacing/>
        <w:jc w:val="center"/>
        <w:rPr>
          <w:rFonts w:ascii="Arial" w:hAnsi="Arial" w:cs="Arial"/>
          <w:sz w:val="22"/>
          <w:szCs w:val="22"/>
        </w:rPr>
      </w:pPr>
    </w:p>
    <w:p w:rsidR="00EC2F19" w:rsidRPr="00E53615" w:rsidRDefault="00EC2F19" w:rsidP="00EC2F19">
      <w:pPr>
        <w:ind w:left="-426" w:right="-518"/>
        <w:contextualSpacing/>
        <w:jc w:val="center"/>
        <w:rPr>
          <w:rFonts w:ascii="Arial" w:hAnsi="Arial" w:cs="Arial"/>
        </w:rPr>
      </w:pPr>
      <w:r w:rsidRPr="00E53615">
        <w:rPr>
          <w:rFonts w:ascii="Arial" w:hAnsi="Arial" w:cs="Arial"/>
        </w:rPr>
        <w:t xml:space="preserve">Dirección de Atención a Medios / Dirección General Adjunta de Comunicación </w:t>
      </w:r>
    </w:p>
    <w:p w:rsidR="00A74059" w:rsidRPr="001B505F" w:rsidRDefault="00A74059" w:rsidP="001A15C6">
      <w:pPr>
        <w:ind w:right="-518"/>
        <w:contextualSpacing/>
        <w:rPr>
          <w:rFonts w:ascii="Arial" w:hAnsi="Arial" w:cs="Arial"/>
          <w:sz w:val="20"/>
          <w:szCs w:val="20"/>
        </w:rPr>
      </w:pPr>
    </w:p>
    <w:p w:rsidR="00EC2F19" w:rsidRDefault="00EC2F19" w:rsidP="00365E8E">
      <w:pPr>
        <w:ind w:left="-425" w:right="-516"/>
        <w:contextualSpacing/>
        <w:jc w:val="center"/>
        <w:rPr>
          <w:rFonts w:ascii="Arial" w:hAnsi="Arial" w:cs="Arial"/>
          <w:b/>
          <w:bCs/>
          <w:color w:val="000000"/>
          <w:sz w:val="28"/>
          <w:szCs w:val="28"/>
        </w:rPr>
      </w:pPr>
      <w:r w:rsidRPr="008F0992">
        <w:rPr>
          <w:noProof/>
          <w:lang w:val="en-US"/>
        </w:rPr>
        <w:drawing>
          <wp:inline distT="0" distB="0" distL="0" distR="0" wp14:anchorId="6789328E" wp14:editId="15654CED">
            <wp:extent cx="318472" cy="322419"/>
            <wp:effectExtent l="0" t="0" r="5715" b="1905"/>
            <wp:docPr id="8" name="Imagen 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6A44E3AE" wp14:editId="6FDF8444">
            <wp:extent cx="327704" cy="325467"/>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6CE220C8" wp14:editId="3A109111">
            <wp:extent cx="321276" cy="324093"/>
            <wp:effectExtent l="0" t="0" r="3175"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289A0F1F" wp14:editId="3942D8DA">
            <wp:extent cx="321276" cy="326574"/>
            <wp:effectExtent l="0" t="0" r="3175"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n-US"/>
        </w:rPr>
        <w:drawing>
          <wp:inline distT="0" distB="0" distL="0" distR="0" wp14:anchorId="5485ECB3" wp14:editId="30D67023">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rsidR="00EC2F19" w:rsidRDefault="00EC2F19" w:rsidP="00EC2F19">
      <w:pPr>
        <w:tabs>
          <w:tab w:val="left" w:pos="1608"/>
        </w:tabs>
        <w:sectPr w:rsidR="00EC2F19" w:rsidSect="00EC2F19">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134" w:left="1701" w:header="708" w:footer="708" w:gutter="0"/>
          <w:cols w:space="708"/>
          <w:docGrid w:linePitch="360"/>
        </w:sectPr>
      </w:pPr>
    </w:p>
    <w:p w:rsidR="00EC2F19" w:rsidRPr="00532488" w:rsidRDefault="00365E8E" w:rsidP="00CF4D53">
      <w:pPr>
        <w:jc w:val="center"/>
        <w:rPr>
          <w:rFonts w:ascii="Arial" w:hAnsi="Arial" w:cs="Arial"/>
          <w:color w:val="000000"/>
          <w:sz w:val="24"/>
          <w:szCs w:val="24"/>
        </w:rPr>
      </w:pPr>
      <w:r>
        <w:br w:type="page"/>
      </w:r>
      <w:r w:rsidR="00EC2F19" w:rsidRPr="00532488">
        <w:rPr>
          <w:rFonts w:ascii="Arial" w:hAnsi="Arial" w:cs="Arial"/>
          <w:b/>
          <w:bCs/>
          <w:color w:val="000000"/>
          <w:sz w:val="24"/>
          <w:szCs w:val="24"/>
        </w:rPr>
        <w:lastRenderedPageBreak/>
        <w:t>NOTA TÉCNICA</w:t>
      </w:r>
    </w:p>
    <w:p w:rsidR="00EC2F19" w:rsidRPr="00532488" w:rsidRDefault="00EC2F19" w:rsidP="00EC2F19">
      <w:pPr>
        <w:autoSpaceDE w:val="0"/>
        <w:autoSpaceDN w:val="0"/>
        <w:adjustRightInd w:val="0"/>
        <w:spacing w:after="0" w:line="240" w:lineRule="auto"/>
        <w:rPr>
          <w:rFonts w:ascii="Arial" w:hAnsi="Arial" w:cs="Arial"/>
          <w:b/>
          <w:bCs/>
          <w:color w:val="000000"/>
          <w:sz w:val="24"/>
          <w:szCs w:val="24"/>
        </w:rPr>
      </w:pPr>
    </w:p>
    <w:p w:rsidR="00AD3D87" w:rsidRDefault="00365E8E" w:rsidP="00AD3D87">
      <w:pPr>
        <w:jc w:val="center"/>
        <w:rPr>
          <w:rFonts w:ascii="Arial" w:hAnsi="Arial" w:cs="Arial"/>
          <w:b/>
          <w:bCs/>
          <w:color w:val="000000"/>
          <w:sz w:val="24"/>
          <w:szCs w:val="24"/>
        </w:rPr>
      </w:pPr>
      <w:r w:rsidRPr="00365E8E">
        <w:rPr>
          <w:rFonts w:ascii="Arial" w:hAnsi="Arial" w:cs="Arial"/>
          <w:b/>
          <w:bCs/>
          <w:color w:val="000000"/>
          <w:sz w:val="24"/>
          <w:szCs w:val="24"/>
        </w:rPr>
        <w:t>INEGI PRESENTA DÉCIMO CENSO NACIONAL DE GOBIERNO, SEGURIDAD PÚBLICA Y SISTEMA PENITENCIARIO ESTATALES Y NOVENO CENSO NACIONAL DE IMPARTICIÓN DE JUSTICIA ESTATAL</w:t>
      </w:r>
    </w:p>
    <w:p w:rsidR="00365E8E" w:rsidRDefault="00AD3D87" w:rsidP="00AD3D87">
      <w:pPr>
        <w:jc w:val="center"/>
        <w:rPr>
          <w:rFonts w:ascii="Arial" w:hAnsi="Arial" w:cs="Arial"/>
          <w:b/>
          <w:bCs/>
          <w:color w:val="000000"/>
          <w:sz w:val="24"/>
          <w:szCs w:val="24"/>
        </w:rPr>
      </w:pPr>
      <w:r>
        <w:rPr>
          <w:rFonts w:ascii="Arial" w:hAnsi="Arial" w:cs="Arial"/>
          <w:b/>
          <w:bCs/>
          <w:color w:val="000000"/>
          <w:sz w:val="24"/>
          <w:szCs w:val="24"/>
        </w:rPr>
        <w:t>INFORMACIÓN OPORTUNA (DATOS PRELIMINARES)</w:t>
      </w:r>
      <w:r>
        <w:rPr>
          <w:rStyle w:val="Refdenotaalpie"/>
          <w:rFonts w:ascii="Arial" w:hAnsi="Arial" w:cs="Arial"/>
          <w:b/>
          <w:bCs/>
          <w:color w:val="000000"/>
          <w:sz w:val="24"/>
          <w:szCs w:val="24"/>
        </w:rPr>
        <w:footnoteReference w:id="6"/>
      </w:r>
    </w:p>
    <w:p w:rsidR="00365E8E" w:rsidRPr="008525E7" w:rsidRDefault="00227C2D" w:rsidP="00365E8E">
      <w:pPr>
        <w:pStyle w:val="Prrafodelista"/>
        <w:widowControl w:val="0"/>
        <w:numPr>
          <w:ilvl w:val="0"/>
          <w:numId w:val="15"/>
        </w:numPr>
        <w:spacing w:after="0" w:line="240" w:lineRule="auto"/>
        <w:ind w:left="284" w:hanging="284"/>
        <w:jc w:val="both"/>
        <w:rPr>
          <w:rFonts w:ascii="Arial" w:hAnsi="Arial" w:cs="Arial"/>
          <w:b/>
          <w:color w:val="000000" w:themeColor="text1"/>
          <w:sz w:val="24"/>
          <w:szCs w:val="24"/>
        </w:rPr>
      </w:pPr>
      <w:r>
        <w:rPr>
          <w:rFonts w:ascii="Arial" w:hAnsi="Arial" w:cs="Arial"/>
          <w:b/>
          <w:color w:val="000000" w:themeColor="text1"/>
          <w:sz w:val="24"/>
          <w:szCs w:val="24"/>
        </w:rPr>
        <w:t>Se constituyen como programas</w:t>
      </w:r>
      <w:r w:rsidR="00365E8E" w:rsidRPr="008525E7">
        <w:rPr>
          <w:rFonts w:ascii="Arial" w:hAnsi="Arial" w:cs="Arial"/>
          <w:b/>
          <w:color w:val="000000" w:themeColor="text1"/>
          <w:sz w:val="24"/>
          <w:szCs w:val="24"/>
        </w:rPr>
        <w:t xml:space="preserve"> estadísticos realizados en el ámbito estatal del Estado Mexicano, ofreciendo información relevante de la estructura, organización, recursos y ejercicio de la función de las Administraciones Públicas Estatales, Tribunales Superiores de Justicia y Consejos de la Judicatura de las Entidades Federativas, respectivamente.</w:t>
      </w:r>
    </w:p>
    <w:p w:rsidR="00365E8E" w:rsidRDefault="00365E8E" w:rsidP="00365E8E">
      <w:pPr>
        <w:ind w:right="333"/>
        <w:jc w:val="both"/>
        <w:rPr>
          <w:rFonts w:ascii="Arial" w:hAnsi="Arial" w:cs="Arial"/>
          <w:color w:val="000000" w:themeColor="text1"/>
          <w:sz w:val="24"/>
          <w:szCs w:val="24"/>
        </w:rPr>
      </w:pPr>
    </w:p>
    <w:p w:rsidR="00365E8E" w:rsidRDefault="00365E8E" w:rsidP="00365E8E">
      <w:pPr>
        <w:jc w:val="both"/>
        <w:rPr>
          <w:rFonts w:ascii="Arial" w:hAnsi="Arial" w:cs="Arial"/>
          <w:color w:val="000000" w:themeColor="text1"/>
          <w:sz w:val="24"/>
          <w:szCs w:val="24"/>
        </w:rPr>
      </w:pPr>
      <w:r w:rsidRPr="008525E7">
        <w:rPr>
          <w:rFonts w:ascii="Arial" w:hAnsi="Arial" w:cs="Arial"/>
          <w:color w:val="000000" w:themeColor="text1"/>
          <w:sz w:val="24"/>
          <w:szCs w:val="24"/>
        </w:rPr>
        <w:t>El Instituto Nacional de Estadística y Geografía (INEGI) da a conocer hoy la información</w:t>
      </w:r>
      <w:r>
        <w:rPr>
          <w:rFonts w:ascii="Arial" w:hAnsi="Arial" w:cs="Arial"/>
          <w:color w:val="000000" w:themeColor="text1"/>
          <w:sz w:val="24"/>
          <w:szCs w:val="24"/>
        </w:rPr>
        <w:t xml:space="preserve"> </w:t>
      </w:r>
      <w:r w:rsidR="000D4A2B">
        <w:rPr>
          <w:rFonts w:ascii="Arial" w:hAnsi="Arial" w:cs="Arial"/>
          <w:color w:val="000000" w:themeColor="text1"/>
          <w:sz w:val="24"/>
          <w:szCs w:val="24"/>
        </w:rPr>
        <w:t xml:space="preserve">oportuna (datos preliminares) </w:t>
      </w:r>
      <w:r>
        <w:rPr>
          <w:rFonts w:ascii="Arial" w:hAnsi="Arial" w:cs="Arial"/>
          <w:color w:val="000000" w:themeColor="text1"/>
          <w:sz w:val="24"/>
          <w:szCs w:val="24"/>
        </w:rPr>
        <w:t>de dos</w:t>
      </w:r>
      <w:r w:rsidR="00227C2D">
        <w:rPr>
          <w:rFonts w:ascii="Arial" w:hAnsi="Arial" w:cs="Arial"/>
          <w:color w:val="000000" w:themeColor="text1"/>
          <w:sz w:val="24"/>
          <w:szCs w:val="24"/>
        </w:rPr>
        <w:t xml:space="preserve"> programas</w:t>
      </w:r>
      <w:r w:rsidRPr="008525E7">
        <w:rPr>
          <w:rFonts w:ascii="Arial" w:hAnsi="Arial" w:cs="Arial"/>
          <w:color w:val="000000" w:themeColor="text1"/>
          <w:sz w:val="24"/>
          <w:szCs w:val="24"/>
        </w:rPr>
        <w:t xml:space="preserve"> estadísticos: el Censo Nacional de Gobierno, Seguridad Pública y</w:t>
      </w:r>
      <w:r>
        <w:rPr>
          <w:rFonts w:ascii="Arial" w:hAnsi="Arial" w:cs="Arial"/>
          <w:color w:val="000000" w:themeColor="text1"/>
          <w:sz w:val="24"/>
          <w:szCs w:val="24"/>
        </w:rPr>
        <w:t xml:space="preserve"> </w:t>
      </w:r>
      <w:r w:rsidRPr="008525E7">
        <w:rPr>
          <w:rFonts w:ascii="Arial" w:hAnsi="Arial" w:cs="Arial"/>
          <w:color w:val="000000" w:themeColor="text1"/>
          <w:sz w:val="24"/>
          <w:szCs w:val="24"/>
        </w:rPr>
        <w:t>Sistema Penitenciario Estatales (CNGSPSPE) 201</w:t>
      </w:r>
      <w:r>
        <w:rPr>
          <w:rFonts w:ascii="Arial" w:hAnsi="Arial" w:cs="Arial"/>
          <w:color w:val="000000" w:themeColor="text1"/>
          <w:sz w:val="24"/>
          <w:szCs w:val="24"/>
        </w:rPr>
        <w:t>9 y</w:t>
      </w:r>
      <w:r w:rsidRPr="008525E7">
        <w:rPr>
          <w:rFonts w:ascii="Arial" w:hAnsi="Arial" w:cs="Arial"/>
          <w:color w:val="000000" w:themeColor="text1"/>
          <w:sz w:val="24"/>
          <w:szCs w:val="24"/>
        </w:rPr>
        <w:t xml:space="preserve"> el Censo Nacional de Impartición de Justicia Estatal</w:t>
      </w:r>
      <w:r>
        <w:rPr>
          <w:rFonts w:ascii="Arial" w:hAnsi="Arial" w:cs="Arial"/>
          <w:color w:val="000000" w:themeColor="text1"/>
          <w:sz w:val="24"/>
          <w:szCs w:val="24"/>
        </w:rPr>
        <w:t xml:space="preserve"> </w:t>
      </w:r>
      <w:r w:rsidRPr="008525E7">
        <w:rPr>
          <w:rFonts w:ascii="Arial" w:hAnsi="Arial" w:cs="Arial"/>
          <w:color w:val="000000" w:themeColor="text1"/>
          <w:sz w:val="24"/>
          <w:szCs w:val="24"/>
        </w:rPr>
        <w:t>(CNIJE) 201</w:t>
      </w:r>
      <w:r>
        <w:rPr>
          <w:rFonts w:ascii="Arial" w:hAnsi="Arial" w:cs="Arial"/>
          <w:color w:val="000000" w:themeColor="text1"/>
          <w:sz w:val="24"/>
          <w:szCs w:val="24"/>
        </w:rPr>
        <w:t>9</w:t>
      </w:r>
      <w:r w:rsidR="009E165E">
        <w:rPr>
          <w:rFonts w:ascii="Arial" w:hAnsi="Arial" w:cs="Arial"/>
          <w:color w:val="000000" w:themeColor="text1"/>
          <w:sz w:val="24"/>
          <w:szCs w:val="24"/>
        </w:rPr>
        <w:t>.</w:t>
      </w:r>
      <w:r w:rsidR="00A36F6E">
        <w:rPr>
          <w:rStyle w:val="Refdenotaalpie"/>
          <w:rFonts w:ascii="Arial" w:hAnsi="Arial" w:cs="Arial"/>
          <w:color w:val="000000" w:themeColor="text1"/>
          <w:sz w:val="24"/>
          <w:szCs w:val="24"/>
        </w:rPr>
        <w:footnoteReference w:id="7"/>
      </w:r>
    </w:p>
    <w:p w:rsidR="00365E8E" w:rsidRDefault="00365E8E" w:rsidP="00365E8E">
      <w:pPr>
        <w:jc w:val="both"/>
        <w:rPr>
          <w:rFonts w:ascii="Arial" w:hAnsi="Arial" w:cs="Arial"/>
          <w:color w:val="000000" w:themeColor="text1"/>
          <w:sz w:val="24"/>
          <w:szCs w:val="24"/>
        </w:rPr>
      </w:pPr>
      <w:r w:rsidRPr="008525E7">
        <w:rPr>
          <w:rFonts w:ascii="Arial" w:hAnsi="Arial" w:cs="Arial"/>
          <w:color w:val="000000" w:themeColor="text1"/>
          <w:sz w:val="24"/>
          <w:szCs w:val="24"/>
        </w:rPr>
        <w:t>El Censo Nacional de Gobierno, Seguridad Pública y Sistema Penitenciario</w:t>
      </w:r>
      <w:r>
        <w:rPr>
          <w:rFonts w:ascii="Arial" w:hAnsi="Arial" w:cs="Arial"/>
          <w:color w:val="000000" w:themeColor="text1"/>
          <w:sz w:val="24"/>
          <w:szCs w:val="24"/>
        </w:rPr>
        <w:t xml:space="preserve"> </w:t>
      </w:r>
      <w:r w:rsidRPr="008525E7">
        <w:rPr>
          <w:rFonts w:ascii="Arial" w:hAnsi="Arial" w:cs="Arial"/>
          <w:color w:val="000000" w:themeColor="text1"/>
          <w:sz w:val="24"/>
          <w:szCs w:val="24"/>
        </w:rPr>
        <w:t>Estatales (CNGSPSPE) 201</w:t>
      </w:r>
      <w:r>
        <w:rPr>
          <w:rFonts w:ascii="Arial" w:hAnsi="Arial" w:cs="Arial"/>
          <w:color w:val="000000" w:themeColor="text1"/>
          <w:sz w:val="24"/>
          <w:szCs w:val="24"/>
        </w:rPr>
        <w:t>9</w:t>
      </w:r>
      <w:r w:rsidRPr="008525E7">
        <w:rPr>
          <w:rFonts w:ascii="Arial" w:hAnsi="Arial" w:cs="Arial"/>
          <w:color w:val="000000" w:themeColor="text1"/>
          <w:sz w:val="24"/>
          <w:szCs w:val="24"/>
        </w:rPr>
        <w:t xml:space="preserve"> tiene por objeto generar información estadística y</w:t>
      </w:r>
      <w:r w:rsidR="00A74059">
        <w:rPr>
          <w:rFonts w:ascii="Arial" w:hAnsi="Arial" w:cs="Arial"/>
          <w:color w:val="000000" w:themeColor="text1"/>
          <w:sz w:val="24"/>
          <w:szCs w:val="24"/>
        </w:rPr>
        <w:t xml:space="preserve"> </w:t>
      </w:r>
      <w:r w:rsidRPr="008525E7">
        <w:rPr>
          <w:rFonts w:ascii="Arial" w:hAnsi="Arial" w:cs="Arial"/>
          <w:color w:val="000000" w:themeColor="text1"/>
          <w:sz w:val="24"/>
          <w:szCs w:val="24"/>
        </w:rPr>
        <w:t>geográfica de la gestión y desempeño de las instituciones que integran a la</w:t>
      </w:r>
      <w:r>
        <w:rPr>
          <w:rFonts w:ascii="Arial" w:hAnsi="Arial" w:cs="Arial"/>
          <w:color w:val="000000" w:themeColor="text1"/>
          <w:sz w:val="24"/>
          <w:szCs w:val="24"/>
        </w:rPr>
        <w:t xml:space="preserve"> </w:t>
      </w:r>
      <w:r w:rsidRPr="008525E7">
        <w:rPr>
          <w:rFonts w:ascii="Arial" w:hAnsi="Arial" w:cs="Arial"/>
          <w:color w:val="000000" w:themeColor="text1"/>
          <w:sz w:val="24"/>
          <w:szCs w:val="24"/>
        </w:rPr>
        <w:t>Administración Pública de cada Entidad Federativa, específicamente en las funciones de</w:t>
      </w:r>
      <w:r>
        <w:rPr>
          <w:rFonts w:ascii="Arial" w:hAnsi="Arial" w:cs="Arial"/>
          <w:color w:val="000000" w:themeColor="text1"/>
          <w:sz w:val="24"/>
          <w:szCs w:val="24"/>
        </w:rPr>
        <w:t xml:space="preserve"> </w:t>
      </w:r>
      <w:r w:rsidRPr="008525E7">
        <w:rPr>
          <w:rFonts w:ascii="Arial" w:hAnsi="Arial" w:cs="Arial"/>
          <w:color w:val="000000" w:themeColor="text1"/>
          <w:sz w:val="24"/>
          <w:szCs w:val="24"/>
        </w:rPr>
        <w:t>gobierno, seguridad pública, sistema penitenciario y medio ambiente, así como justicia</w:t>
      </w:r>
      <w:r>
        <w:rPr>
          <w:rFonts w:ascii="Arial" w:hAnsi="Arial" w:cs="Arial"/>
          <w:color w:val="000000" w:themeColor="text1"/>
          <w:sz w:val="24"/>
          <w:szCs w:val="24"/>
        </w:rPr>
        <w:t xml:space="preserve"> </w:t>
      </w:r>
      <w:r w:rsidRPr="008525E7">
        <w:rPr>
          <w:rFonts w:ascii="Arial" w:hAnsi="Arial" w:cs="Arial"/>
          <w:color w:val="000000" w:themeColor="text1"/>
          <w:sz w:val="24"/>
          <w:szCs w:val="24"/>
        </w:rPr>
        <w:t>cívica (esta última aplicable únicamente para el caso de Ciudad de México). Los datos</w:t>
      </w:r>
      <w:r>
        <w:rPr>
          <w:rFonts w:ascii="Arial" w:hAnsi="Arial" w:cs="Arial"/>
          <w:color w:val="000000" w:themeColor="text1"/>
          <w:sz w:val="24"/>
          <w:szCs w:val="24"/>
        </w:rPr>
        <w:t xml:space="preserve"> </w:t>
      </w:r>
      <w:r w:rsidR="00227C2D">
        <w:rPr>
          <w:rFonts w:ascii="Arial" w:hAnsi="Arial" w:cs="Arial"/>
          <w:color w:val="000000" w:themeColor="text1"/>
          <w:sz w:val="24"/>
          <w:szCs w:val="24"/>
        </w:rPr>
        <w:t>de dicho programa</w:t>
      </w:r>
      <w:r w:rsidRPr="008525E7">
        <w:rPr>
          <w:rFonts w:ascii="Arial" w:hAnsi="Arial" w:cs="Arial"/>
          <w:color w:val="000000" w:themeColor="text1"/>
          <w:sz w:val="24"/>
          <w:szCs w:val="24"/>
        </w:rPr>
        <w:t xml:space="preserve"> fueron declarados Información de Interés Nacional por la Junta de</w:t>
      </w:r>
      <w:r>
        <w:rPr>
          <w:rFonts w:ascii="Arial" w:hAnsi="Arial" w:cs="Arial"/>
          <w:color w:val="000000" w:themeColor="text1"/>
          <w:sz w:val="24"/>
          <w:szCs w:val="24"/>
        </w:rPr>
        <w:t xml:space="preserve"> </w:t>
      </w:r>
      <w:r w:rsidRPr="008525E7">
        <w:rPr>
          <w:rFonts w:ascii="Arial" w:hAnsi="Arial" w:cs="Arial"/>
          <w:color w:val="000000" w:themeColor="text1"/>
          <w:sz w:val="24"/>
          <w:szCs w:val="24"/>
        </w:rPr>
        <w:t>Gobierno del INEGI en diciembre de 2011</w:t>
      </w:r>
      <w:r>
        <w:rPr>
          <w:rFonts w:ascii="Arial" w:hAnsi="Arial" w:cs="Arial"/>
          <w:color w:val="000000" w:themeColor="text1"/>
          <w:sz w:val="24"/>
          <w:szCs w:val="24"/>
        </w:rPr>
        <w:t xml:space="preserve">. </w:t>
      </w:r>
    </w:p>
    <w:p w:rsidR="00365E8E" w:rsidRPr="004B4324" w:rsidRDefault="00365E8E" w:rsidP="00365E8E">
      <w:pPr>
        <w:jc w:val="both"/>
        <w:rPr>
          <w:rFonts w:ascii="Arial" w:hAnsi="Arial" w:cs="Arial"/>
          <w:color w:val="000000" w:themeColor="text1"/>
          <w:sz w:val="24"/>
          <w:szCs w:val="24"/>
        </w:rPr>
      </w:pPr>
      <w:r w:rsidRPr="008525E7">
        <w:rPr>
          <w:rFonts w:ascii="Arial" w:hAnsi="Arial" w:cs="Arial"/>
          <w:color w:val="000000" w:themeColor="text1"/>
          <w:sz w:val="24"/>
          <w:szCs w:val="24"/>
        </w:rPr>
        <w:t xml:space="preserve">En esta </w:t>
      </w:r>
      <w:r>
        <w:rPr>
          <w:rFonts w:ascii="Arial" w:hAnsi="Arial" w:cs="Arial"/>
          <w:color w:val="000000" w:themeColor="text1"/>
          <w:sz w:val="24"/>
          <w:szCs w:val="24"/>
        </w:rPr>
        <w:t>décima</w:t>
      </w:r>
      <w:r w:rsidRPr="008525E7">
        <w:rPr>
          <w:rFonts w:ascii="Arial" w:hAnsi="Arial" w:cs="Arial"/>
          <w:color w:val="000000" w:themeColor="text1"/>
          <w:sz w:val="24"/>
          <w:szCs w:val="24"/>
        </w:rPr>
        <w:t xml:space="preserve"> edición, el CNGSPSPE integra información </w:t>
      </w:r>
      <w:r>
        <w:rPr>
          <w:rFonts w:ascii="Arial" w:hAnsi="Arial" w:cs="Arial"/>
          <w:color w:val="000000" w:themeColor="text1"/>
          <w:sz w:val="24"/>
          <w:szCs w:val="24"/>
        </w:rPr>
        <w:t xml:space="preserve">oportuna </w:t>
      </w:r>
      <w:r w:rsidRPr="008525E7">
        <w:rPr>
          <w:rFonts w:ascii="Arial" w:hAnsi="Arial" w:cs="Arial"/>
          <w:color w:val="000000" w:themeColor="text1"/>
          <w:sz w:val="24"/>
          <w:szCs w:val="24"/>
        </w:rPr>
        <w:t>correspondiente a 20</w:t>
      </w:r>
      <w:r>
        <w:rPr>
          <w:rFonts w:ascii="Arial" w:hAnsi="Arial" w:cs="Arial"/>
          <w:color w:val="000000" w:themeColor="text1"/>
          <w:sz w:val="24"/>
          <w:szCs w:val="24"/>
        </w:rPr>
        <w:t>18</w:t>
      </w:r>
      <w:r w:rsidRPr="008525E7">
        <w:rPr>
          <w:rFonts w:ascii="Arial" w:hAnsi="Arial" w:cs="Arial"/>
          <w:color w:val="000000" w:themeColor="text1"/>
          <w:sz w:val="24"/>
          <w:szCs w:val="24"/>
        </w:rPr>
        <w:t xml:space="preserve"> </w:t>
      </w:r>
      <w:r w:rsidR="00713261">
        <w:rPr>
          <w:rFonts w:ascii="Arial" w:hAnsi="Arial" w:cs="Arial"/>
          <w:color w:val="000000" w:themeColor="text1"/>
          <w:sz w:val="24"/>
          <w:szCs w:val="24"/>
        </w:rPr>
        <w:t>en 21</w:t>
      </w:r>
      <w:r w:rsidRPr="000651BA">
        <w:rPr>
          <w:rFonts w:ascii="Arial" w:hAnsi="Arial" w:cs="Arial"/>
          <w:color w:val="000000" w:themeColor="text1"/>
          <w:sz w:val="24"/>
          <w:szCs w:val="24"/>
        </w:rPr>
        <w:t xml:space="preserve"> tabulados</w:t>
      </w:r>
      <w:r w:rsidRPr="008525E7">
        <w:rPr>
          <w:rFonts w:ascii="Arial" w:hAnsi="Arial" w:cs="Arial"/>
          <w:color w:val="000000" w:themeColor="text1"/>
          <w:sz w:val="24"/>
          <w:szCs w:val="24"/>
        </w:rPr>
        <w:t xml:space="preserve">, mismos que se organizan en </w:t>
      </w:r>
      <w:r>
        <w:rPr>
          <w:rFonts w:ascii="Arial" w:hAnsi="Arial" w:cs="Arial"/>
          <w:color w:val="000000" w:themeColor="text1"/>
          <w:sz w:val="24"/>
          <w:szCs w:val="24"/>
        </w:rPr>
        <w:t>tres</w:t>
      </w:r>
      <w:r w:rsidRPr="004B4324">
        <w:rPr>
          <w:rFonts w:ascii="Arial" w:hAnsi="Arial" w:cs="Arial"/>
          <w:color w:val="000000" w:themeColor="text1"/>
          <w:sz w:val="24"/>
          <w:szCs w:val="24"/>
        </w:rPr>
        <w:t xml:space="preserve"> apartados conforme a la siguiente estructura temática:</w:t>
      </w:r>
    </w:p>
    <w:p w:rsidR="00365E8E" w:rsidRPr="004B4324" w:rsidRDefault="00365E8E" w:rsidP="00365E8E">
      <w:pPr>
        <w:jc w:val="both"/>
        <w:rPr>
          <w:rFonts w:ascii="Arial" w:hAnsi="Arial" w:cs="Arial"/>
          <w:color w:val="000000" w:themeColor="text1"/>
          <w:sz w:val="24"/>
          <w:szCs w:val="24"/>
        </w:rPr>
      </w:pPr>
      <w:r w:rsidRPr="004B4324">
        <w:rPr>
          <w:rFonts w:ascii="Arial" w:hAnsi="Arial" w:cs="Arial"/>
          <w:color w:val="000000" w:themeColor="text1"/>
          <w:sz w:val="24"/>
          <w:szCs w:val="24"/>
        </w:rPr>
        <w:t>1) Administración pública de la Entidad Federativa; 2) Seguridad públ</w:t>
      </w:r>
      <w:r>
        <w:rPr>
          <w:rFonts w:ascii="Arial" w:hAnsi="Arial" w:cs="Arial"/>
          <w:color w:val="000000" w:themeColor="text1"/>
          <w:sz w:val="24"/>
          <w:szCs w:val="24"/>
        </w:rPr>
        <w:t>ica; 3) Sistema penitenciario</w:t>
      </w:r>
      <w:r w:rsidRPr="004B4324">
        <w:rPr>
          <w:rFonts w:ascii="Arial" w:hAnsi="Arial" w:cs="Arial"/>
          <w:color w:val="000000" w:themeColor="text1"/>
          <w:sz w:val="24"/>
          <w:szCs w:val="24"/>
        </w:rPr>
        <w:t>.</w:t>
      </w:r>
    </w:p>
    <w:p w:rsidR="00A36F6E" w:rsidRDefault="00A36F6E" w:rsidP="00365E8E">
      <w:pPr>
        <w:jc w:val="both"/>
        <w:rPr>
          <w:rFonts w:ascii="Arial" w:hAnsi="Arial" w:cs="Arial"/>
          <w:color w:val="000000" w:themeColor="text1"/>
          <w:sz w:val="24"/>
          <w:szCs w:val="24"/>
        </w:rPr>
      </w:pPr>
    </w:p>
    <w:p w:rsidR="00A36F6E" w:rsidRDefault="00A36F6E" w:rsidP="00365E8E">
      <w:pPr>
        <w:jc w:val="both"/>
        <w:rPr>
          <w:rFonts w:ascii="Arial" w:hAnsi="Arial" w:cs="Arial"/>
          <w:color w:val="000000" w:themeColor="text1"/>
          <w:sz w:val="24"/>
          <w:szCs w:val="24"/>
        </w:rPr>
      </w:pPr>
    </w:p>
    <w:p w:rsidR="00365E8E" w:rsidRDefault="00365E8E" w:rsidP="00365E8E">
      <w:pPr>
        <w:jc w:val="both"/>
        <w:rPr>
          <w:rFonts w:ascii="Arial" w:hAnsi="Arial" w:cs="Arial"/>
          <w:color w:val="000000" w:themeColor="text1"/>
          <w:sz w:val="24"/>
          <w:szCs w:val="24"/>
        </w:rPr>
      </w:pPr>
      <w:r w:rsidRPr="008525E7">
        <w:rPr>
          <w:rFonts w:ascii="Arial" w:hAnsi="Arial" w:cs="Arial"/>
          <w:color w:val="000000" w:themeColor="text1"/>
          <w:sz w:val="24"/>
          <w:szCs w:val="24"/>
        </w:rPr>
        <w:lastRenderedPageBreak/>
        <w:t>Entre la información que se puede consultar en los tabulados es posible conocer las</w:t>
      </w:r>
      <w:r>
        <w:rPr>
          <w:rFonts w:ascii="Arial" w:hAnsi="Arial" w:cs="Arial"/>
          <w:color w:val="000000" w:themeColor="text1"/>
          <w:sz w:val="24"/>
          <w:szCs w:val="24"/>
        </w:rPr>
        <w:t xml:space="preserve"> </w:t>
      </w:r>
      <w:r w:rsidRPr="008525E7">
        <w:rPr>
          <w:rFonts w:ascii="Arial" w:hAnsi="Arial" w:cs="Arial"/>
          <w:color w:val="000000" w:themeColor="text1"/>
          <w:sz w:val="24"/>
          <w:szCs w:val="24"/>
        </w:rPr>
        <w:t>características de la estructura organizacional y recursos con los que contaron las</w:t>
      </w:r>
      <w:r>
        <w:rPr>
          <w:rFonts w:ascii="Arial" w:hAnsi="Arial" w:cs="Arial"/>
          <w:color w:val="000000" w:themeColor="text1"/>
          <w:sz w:val="24"/>
          <w:szCs w:val="24"/>
        </w:rPr>
        <w:t xml:space="preserve"> </w:t>
      </w:r>
      <w:r w:rsidRPr="008525E7">
        <w:rPr>
          <w:rFonts w:ascii="Arial" w:hAnsi="Arial" w:cs="Arial"/>
          <w:color w:val="000000" w:themeColor="text1"/>
          <w:sz w:val="24"/>
          <w:szCs w:val="24"/>
        </w:rPr>
        <w:t>Administraciones Públicas Estatales (</w:t>
      </w:r>
      <w:proofErr w:type="spellStart"/>
      <w:r w:rsidRPr="008525E7">
        <w:rPr>
          <w:rFonts w:ascii="Arial" w:hAnsi="Arial" w:cs="Arial"/>
          <w:color w:val="000000" w:themeColor="text1"/>
          <w:sz w:val="24"/>
          <w:szCs w:val="24"/>
        </w:rPr>
        <w:t>APE’s</w:t>
      </w:r>
      <w:proofErr w:type="spellEnd"/>
      <w:r w:rsidRPr="008525E7">
        <w:rPr>
          <w:rFonts w:ascii="Arial" w:hAnsi="Arial" w:cs="Arial"/>
          <w:color w:val="000000" w:themeColor="text1"/>
          <w:sz w:val="24"/>
          <w:szCs w:val="24"/>
        </w:rPr>
        <w:t>), destacando que al cierre de 201</w:t>
      </w:r>
      <w:r>
        <w:rPr>
          <w:rFonts w:ascii="Arial" w:hAnsi="Arial" w:cs="Arial"/>
          <w:color w:val="000000" w:themeColor="text1"/>
          <w:sz w:val="24"/>
          <w:szCs w:val="24"/>
        </w:rPr>
        <w:t>8</w:t>
      </w:r>
      <w:r w:rsidRPr="008525E7">
        <w:rPr>
          <w:rFonts w:ascii="Arial" w:hAnsi="Arial" w:cs="Arial"/>
          <w:color w:val="000000" w:themeColor="text1"/>
          <w:sz w:val="24"/>
          <w:szCs w:val="24"/>
        </w:rPr>
        <w:t xml:space="preserve"> se tuvo</w:t>
      </w:r>
      <w:r>
        <w:rPr>
          <w:rFonts w:ascii="Arial" w:hAnsi="Arial" w:cs="Arial"/>
          <w:color w:val="000000" w:themeColor="text1"/>
          <w:sz w:val="24"/>
          <w:szCs w:val="24"/>
        </w:rPr>
        <w:t xml:space="preserve"> </w:t>
      </w:r>
      <w:r w:rsidRPr="008525E7">
        <w:rPr>
          <w:rFonts w:ascii="Arial" w:hAnsi="Arial" w:cs="Arial"/>
          <w:color w:val="000000" w:themeColor="text1"/>
          <w:sz w:val="24"/>
          <w:szCs w:val="24"/>
        </w:rPr>
        <w:t xml:space="preserve">registro de </w:t>
      </w:r>
      <w:r>
        <w:rPr>
          <w:rFonts w:ascii="Arial" w:hAnsi="Arial" w:cs="Arial"/>
          <w:color w:val="000000" w:themeColor="text1"/>
          <w:sz w:val="24"/>
          <w:szCs w:val="24"/>
        </w:rPr>
        <w:t xml:space="preserve">mil 992 </w:t>
      </w:r>
      <w:r w:rsidRPr="008525E7">
        <w:rPr>
          <w:rFonts w:ascii="Arial" w:hAnsi="Arial" w:cs="Arial"/>
          <w:color w:val="000000" w:themeColor="text1"/>
          <w:sz w:val="24"/>
          <w:szCs w:val="24"/>
        </w:rPr>
        <w:t xml:space="preserve">instituciones públicas y </w:t>
      </w:r>
      <w:r>
        <w:rPr>
          <w:rFonts w:ascii="Arial" w:hAnsi="Arial" w:cs="Arial"/>
          <w:color w:val="000000" w:themeColor="text1"/>
          <w:sz w:val="24"/>
          <w:szCs w:val="24"/>
        </w:rPr>
        <w:t xml:space="preserve">un millón 889 mil 255 </w:t>
      </w:r>
      <w:r w:rsidRPr="008525E7">
        <w:rPr>
          <w:rFonts w:ascii="Arial" w:hAnsi="Arial" w:cs="Arial"/>
          <w:color w:val="000000" w:themeColor="text1"/>
          <w:sz w:val="24"/>
          <w:szCs w:val="24"/>
        </w:rPr>
        <w:t>servidores públicos</w:t>
      </w:r>
      <w:r>
        <w:rPr>
          <w:rFonts w:ascii="Arial" w:hAnsi="Arial" w:cs="Arial"/>
          <w:color w:val="000000" w:themeColor="text1"/>
          <w:sz w:val="24"/>
          <w:szCs w:val="24"/>
        </w:rPr>
        <w:t xml:space="preserve"> </w:t>
      </w:r>
      <w:r w:rsidRPr="008525E7">
        <w:rPr>
          <w:rFonts w:ascii="Arial" w:hAnsi="Arial" w:cs="Arial"/>
          <w:color w:val="000000" w:themeColor="text1"/>
          <w:sz w:val="24"/>
          <w:szCs w:val="24"/>
        </w:rPr>
        <w:t xml:space="preserve">adscritos a </w:t>
      </w:r>
      <w:r>
        <w:rPr>
          <w:rFonts w:ascii="Arial" w:hAnsi="Arial" w:cs="Arial"/>
          <w:color w:val="000000" w:themeColor="text1"/>
          <w:sz w:val="24"/>
          <w:szCs w:val="24"/>
        </w:rPr>
        <w:t>e</w:t>
      </w:r>
      <w:r w:rsidRPr="008525E7">
        <w:rPr>
          <w:rFonts w:ascii="Arial" w:hAnsi="Arial" w:cs="Arial"/>
          <w:color w:val="000000" w:themeColor="text1"/>
          <w:sz w:val="24"/>
          <w:szCs w:val="24"/>
        </w:rPr>
        <w:t xml:space="preserve">stas. </w:t>
      </w:r>
      <w:r w:rsidRPr="00496746">
        <w:rPr>
          <w:rFonts w:ascii="Arial" w:hAnsi="Arial" w:cs="Arial"/>
          <w:color w:val="000000" w:themeColor="text1"/>
          <w:sz w:val="24"/>
          <w:szCs w:val="24"/>
        </w:rPr>
        <w:t>El</w:t>
      </w:r>
      <w:r w:rsidRPr="00480896">
        <w:rPr>
          <w:rFonts w:ascii="Arial" w:hAnsi="Arial" w:cs="Arial"/>
          <w:sz w:val="24"/>
          <w:szCs w:val="24"/>
        </w:rPr>
        <w:t xml:space="preserve"> promedio de servidores públicos por institución lo encabeza </w:t>
      </w:r>
      <w:r>
        <w:rPr>
          <w:rFonts w:ascii="Arial" w:hAnsi="Arial" w:cs="Arial"/>
          <w:sz w:val="24"/>
          <w:szCs w:val="24"/>
        </w:rPr>
        <w:t>el estado de México</w:t>
      </w:r>
      <w:r w:rsidRPr="00480896">
        <w:rPr>
          <w:rFonts w:ascii="Arial" w:hAnsi="Arial" w:cs="Arial"/>
          <w:sz w:val="24"/>
          <w:szCs w:val="24"/>
        </w:rPr>
        <w:t>, con</w:t>
      </w:r>
      <w:r>
        <w:rPr>
          <w:rFonts w:ascii="Arial" w:hAnsi="Arial" w:cs="Arial"/>
          <w:sz w:val="24"/>
          <w:szCs w:val="24"/>
        </w:rPr>
        <w:t xml:space="preserve"> 2 mil 693</w:t>
      </w:r>
      <w:r w:rsidRPr="00480896">
        <w:rPr>
          <w:rFonts w:ascii="Arial" w:hAnsi="Arial" w:cs="Arial"/>
          <w:sz w:val="24"/>
          <w:szCs w:val="24"/>
        </w:rPr>
        <w:t xml:space="preserve"> servidores por institución.</w:t>
      </w:r>
      <w:r w:rsidRPr="00480896">
        <w:rPr>
          <w:rStyle w:val="Refdenotaalpie"/>
          <w:rFonts w:ascii="Arial" w:hAnsi="Arial" w:cs="Arial"/>
          <w:color w:val="000000" w:themeColor="text1"/>
          <w:sz w:val="24"/>
          <w:szCs w:val="24"/>
        </w:rPr>
        <w:footnoteReference w:id="8"/>
      </w:r>
    </w:p>
    <w:p w:rsidR="003010A4" w:rsidRDefault="003010A4" w:rsidP="00A36F6E">
      <w:pPr>
        <w:rPr>
          <w:rFonts w:ascii="Arial" w:hAnsi="Arial" w:cs="Arial"/>
          <w:b/>
          <w:bCs/>
          <w:i/>
          <w:sz w:val="24"/>
          <w:szCs w:val="24"/>
        </w:rPr>
      </w:pPr>
    </w:p>
    <w:p w:rsidR="00365E8E" w:rsidRDefault="00365E8E" w:rsidP="00365E8E">
      <w:pPr>
        <w:jc w:val="center"/>
        <w:rPr>
          <w:rFonts w:ascii="Arial" w:hAnsi="Arial" w:cs="Arial"/>
          <w:b/>
          <w:bCs/>
          <w:i/>
          <w:sz w:val="24"/>
          <w:szCs w:val="24"/>
        </w:rPr>
      </w:pPr>
      <w:r>
        <w:rPr>
          <w:rFonts w:ascii="Arial" w:hAnsi="Arial" w:cs="Arial"/>
          <w:b/>
          <w:bCs/>
          <w:i/>
          <w:sz w:val="24"/>
          <w:szCs w:val="24"/>
        </w:rPr>
        <w:t>Mapa 1</w:t>
      </w:r>
      <w:r w:rsidRPr="00480896">
        <w:rPr>
          <w:rFonts w:ascii="Arial" w:hAnsi="Arial" w:cs="Arial"/>
          <w:b/>
          <w:bCs/>
          <w:i/>
          <w:sz w:val="24"/>
          <w:szCs w:val="24"/>
        </w:rPr>
        <w:t>. Promedio de servidores públicos por institución pública, por entidad federativa, 2018</w:t>
      </w:r>
    </w:p>
    <w:p w:rsidR="00365E8E" w:rsidRDefault="00365E8E" w:rsidP="00365E8E">
      <w:pPr>
        <w:jc w:val="center"/>
        <w:rPr>
          <w:rFonts w:ascii="Arial" w:hAnsi="Arial" w:cs="Arial"/>
          <w:b/>
          <w:bCs/>
          <w:i/>
          <w:sz w:val="24"/>
          <w:szCs w:val="24"/>
        </w:rPr>
      </w:pPr>
      <w:r>
        <w:rPr>
          <w:rFonts w:ascii="Arial" w:hAnsi="Arial" w:cs="Arial"/>
          <w:b/>
          <w:bCs/>
          <w:i/>
          <w:noProof/>
          <w:sz w:val="24"/>
          <w:szCs w:val="24"/>
          <w:lang w:val="en-US"/>
        </w:rPr>
        <w:drawing>
          <wp:inline distT="0" distB="0" distL="0" distR="0" wp14:anchorId="759A194B" wp14:editId="11B362A5">
            <wp:extent cx="5562502" cy="36396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2502" cy="3639600"/>
                    </a:xfrm>
                    <a:prstGeom prst="rect">
                      <a:avLst/>
                    </a:prstGeom>
                    <a:noFill/>
                  </pic:spPr>
                </pic:pic>
              </a:graphicData>
            </a:graphic>
          </wp:inline>
        </w:drawing>
      </w:r>
    </w:p>
    <w:p w:rsidR="00365E8E" w:rsidRPr="00A71D8B" w:rsidRDefault="00365E8E" w:rsidP="002A28A8">
      <w:pPr>
        <w:spacing w:after="0"/>
        <w:jc w:val="both"/>
        <w:rPr>
          <w:rFonts w:ascii="Arial" w:hAnsi="Arial" w:cs="Arial"/>
          <w:color w:val="000000" w:themeColor="text1"/>
          <w:sz w:val="18"/>
          <w:szCs w:val="18"/>
        </w:rPr>
      </w:pPr>
      <w:r>
        <w:rPr>
          <w:rFonts w:ascii="Arial" w:hAnsi="Arial" w:cs="Arial"/>
          <w:color w:val="000000" w:themeColor="text1"/>
          <w:sz w:val="18"/>
          <w:szCs w:val="18"/>
        </w:rPr>
        <w:t>(-)</w:t>
      </w:r>
      <w:r w:rsidRPr="00A71D8B">
        <w:rPr>
          <w:rFonts w:ascii="Arial" w:hAnsi="Arial" w:cs="Arial"/>
          <w:color w:val="000000" w:themeColor="text1"/>
          <w:sz w:val="18"/>
          <w:szCs w:val="18"/>
        </w:rPr>
        <w:t xml:space="preserve">: </w:t>
      </w:r>
      <w:r>
        <w:rPr>
          <w:rFonts w:ascii="Arial" w:hAnsi="Arial" w:cs="Arial"/>
          <w:color w:val="000000" w:themeColor="text1"/>
          <w:sz w:val="18"/>
          <w:szCs w:val="18"/>
        </w:rPr>
        <w:t>n</w:t>
      </w:r>
      <w:r w:rsidRPr="00A71D8B">
        <w:rPr>
          <w:rFonts w:ascii="Arial" w:hAnsi="Arial" w:cs="Arial"/>
          <w:color w:val="000000" w:themeColor="text1"/>
          <w:sz w:val="18"/>
          <w:szCs w:val="18"/>
        </w:rPr>
        <w:t xml:space="preserve">o </w:t>
      </w:r>
      <w:r>
        <w:rPr>
          <w:rFonts w:ascii="Arial" w:hAnsi="Arial" w:cs="Arial"/>
          <w:color w:val="000000" w:themeColor="text1"/>
          <w:sz w:val="18"/>
          <w:szCs w:val="18"/>
        </w:rPr>
        <w:t>contó con datos o elementos para responder</w:t>
      </w:r>
      <w:r w:rsidRPr="00A71D8B">
        <w:rPr>
          <w:rFonts w:ascii="Arial" w:hAnsi="Arial" w:cs="Arial"/>
          <w:color w:val="000000" w:themeColor="text1"/>
          <w:sz w:val="18"/>
          <w:szCs w:val="18"/>
        </w:rPr>
        <w:t xml:space="preserve">. </w:t>
      </w:r>
    </w:p>
    <w:p w:rsidR="00365E8E" w:rsidRPr="00A71D8B" w:rsidRDefault="00365E8E" w:rsidP="002A28A8">
      <w:pPr>
        <w:spacing w:after="0"/>
        <w:jc w:val="both"/>
        <w:rPr>
          <w:rFonts w:ascii="Arial" w:hAnsi="Arial" w:cs="Arial"/>
          <w:color w:val="000000" w:themeColor="text1"/>
          <w:sz w:val="18"/>
          <w:szCs w:val="18"/>
        </w:rPr>
      </w:pPr>
      <w:r>
        <w:rPr>
          <w:rFonts w:ascii="Arial" w:hAnsi="Arial" w:cs="Arial"/>
          <w:color w:val="000000" w:themeColor="text1"/>
          <w:sz w:val="18"/>
          <w:szCs w:val="18"/>
        </w:rPr>
        <w:t>ND: n</w:t>
      </w:r>
      <w:r w:rsidRPr="00A71D8B">
        <w:rPr>
          <w:rFonts w:ascii="Arial" w:hAnsi="Arial" w:cs="Arial"/>
          <w:color w:val="000000" w:themeColor="text1"/>
          <w:sz w:val="18"/>
          <w:szCs w:val="18"/>
        </w:rPr>
        <w:t>o disponible</w:t>
      </w:r>
      <w:r>
        <w:rPr>
          <w:rFonts w:ascii="Arial" w:hAnsi="Arial" w:cs="Arial"/>
          <w:color w:val="000000" w:themeColor="text1"/>
          <w:sz w:val="18"/>
          <w:szCs w:val="18"/>
        </w:rPr>
        <w:t>.</w:t>
      </w:r>
      <w:r w:rsidRPr="00A71D8B">
        <w:rPr>
          <w:rFonts w:ascii="Arial" w:hAnsi="Arial" w:cs="Arial"/>
          <w:color w:val="000000" w:themeColor="text1"/>
          <w:sz w:val="18"/>
          <w:szCs w:val="18"/>
        </w:rPr>
        <w:t xml:space="preserve"> </w:t>
      </w:r>
    </w:p>
    <w:p w:rsidR="00365E8E" w:rsidRDefault="00365E8E" w:rsidP="00365E8E">
      <w:pPr>
        <w:pStyle w:val="Prrafodelista"/>
        <w:ind w:left="284"/>
        <w:jc w:val="both"/>
        <w:rPr>
          <w:rFonts w:ascii="Arial" w:hAnsi="Arial" w:cs="Arial"/>
          <w:color w:val="000000" w:themeColor="text1"/>
          <w:sz w:val="24"/>
          <w:szCs w:val="24"/>
        </w:rPr>
      </w:pPr>
    </w:p>
    <w:p w:rsidR="009F06BA" w:rsidRDefault="009F06BA" w:rsidP="00365E8E">
      <w:pPr>
        <w:pStyle w:val="Prrafodelista"/>
        <w:ind w:left="284"/>
        <w:jc w:val="both"/>
        <w:rPr>
          <w:rFonts w:ascii="Arial" w:hAnsi="Arial" w:cs="Arial"/>
          <w:color w:val="000000" w:themeColor="text1"/>
          <w:sz w:val="24"/>
          <w:szCs w:val="24"/>
        </w:rPr>
      </w:pPr>
    </w:p>
    <w:p w:rsidR="009F06BA" w:rsidRPr="00480896" w:rsidRDefault="009F06BA" w:rsidP="00365E8E">
      <w:pPr>
        <w:pStyle w:val="Prrafodelista"/>
        <w:ind w:left="284"/>
        <w:jc w:val="both"/>
        <w:rPr>
          <w:rFonts w:ascii="Arial" w:hAnsi="Arial" w:cs="Arial"/>
          <w:color w:val="000000" w:themeColor="text1"/>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A36F6E" w:rsidRDefault="00A36F6E"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65E8E" w:rsidRDefault="00365E8E" w:rsidP="00365E8E">
      <w:pPr>
        <w:jc w:val="both"/>
        <w:rPr>
          <w:rFonts w:ascii="Arial" w:hAnsi="Arial" w:cs="Arial"/>
          <w:sz w:val="24"/>
          <w:szCs w:val="24"/>
        </w:rPr>
      </w:pPr>
      <w:r w:rsidRPr="00480896">
        <w:rPr>
          <w:rFonts w:ascii="Arial" w:hAnsi="Arial" w:cs="Arial"/>
          <w:sz w:val="24"/>
          <w:szCs w:val="24"/>
        </w:rPr>
        <w:t xml:space="preserve">En lo que respecta a la información del personal destinado a funciones de seguridad pública, al cierre de 2018 se identificaron </w:t>
      </w:r>
      <w:r w:rsidR="005032F7" w:rsidRPr="005032F7">
        <w:rPr>
          <w:rFonts w:ascii="Arial" w:hAnsi="Arial" w:cs="Arial"/>
          <w:sz w:val="24"/>
          <w:szCs w:val="24"/>
        </w:rPr>
        <w:t>205</w:t>
      </w:r>
      <w:r w:rsidR="005032F7">
        <w:rPr>
          <w:rFonts w:ascii="Arial" w:hAnsi="Arial" w:cs="Arial"/>
          <w:sz w:val="24"/>
          <w:szCs w:val="24"/>
        </w:rPr>
        <w:t xml:space="preserve"> mil</w:t>
      </w:r>
      <w:r w:rsidR="005032F7" w:rsidRPr="005032F7">
        <w:rPr>
          <w:rFonts w:ascii="Arial" w:hAnsi="Arial" w:cs="Arial"/>
          <w:sz w:val="24"/>
          <w:szCs w:val="24"/>
        </w:rPr>
        <w:t xml:space="preserve"> 361</w:t>
      </w:r>
      <w:r w:rsidR="00836D47">
        <w:rPr>
          <w:rStyle w:val="Refdenotaalpie"/>
          <w:rFonts w:ascii="Arial" w:hAnsi="Arial" w:cs="Arial"/>
          <w:sz w:val="24"/>
          <w:szCs w:val="24"/>
        </w:rPr>
        <w:footnoteReference w:id="9"/>
      </w:r>
      <w:r w:rsidR="009E165E">
        <w:rPr>
          <w:rFonts w:ascii="Arial" w:hAnsi="Arial" w:cs="Arial"/>
          <w:sz w:val="24"/>
          <w:szCs w:val="24"/>
        </w:rPr>
        <w:t xml:space="preserve"> </w:t>
      </w:r>
      <w:r w:rsidRPr="00480896">
        <w:rPr>
          <w:rFonts w:ascii="Arial" w:hAnsi="Arial" w:cs="Arial"/>
          <w:sz w:val="24"/>
          <w:szCs w:val="24"/>
        </w:rPr>
        <w:t xml:space="preserve">elementos adscritos a las diferentes corporaciones policiales de las </w:t>
      </w:r>
      <w:r>
        <w:rPr>
          <w:rFonts w:ascii="Arial" w:hAnsi="Arial" w:cs="Arial"/>
          <w:sz w:val="24"/>
          <w:szCs w:val="24"/>
        </w:rPr>
        <w:t>e</w:t>
      </w:r>
      <w:r w:rsidRPr="00480896">
        <w:rPr>
          <w:rFonts w:ascii="Arial" w:hAnsi="Arial" w:cs="Arial"/>
          <w:sz w:val="24"/>
          <w:szCs w:val="24"/>
        </w:rPr>
        <w:t xml:space="preserve">ntidades </w:t>
      </w:r>
      <w:r>
        <w:rPr>
          <w:rFonts w:ascii="Arial" w:hAnsi="Arial" w:cs="Arial"/>
          <w:sz w:val="24"/>
          <w:szCs w:val="24"/>
        </w:rPr>
        <w:t>f</w:t>
      </w:r>
      <w:r w:rsidRPr="00480896">
        <w:rPr>
          <w:rFonts w:ascii="Arial" w:hAnsi="Arial" w:cs="Arial"/>
          <w:sz w:val="24"/>
          <w:szCs w:val="24"/>
        </w:rPr>
        <w:t>eder</w:t>
      </w:r>
      <w:r w:rsidR="00CF4D53">
        <w:rPr>
          <w:rFonts w:ascii="Arial" w:hAnsi="Arial" w:cs="Arial"/>
          <w:sz w:val="24"/>
          <w:szCs w:val="24"/>
        </w:rPr>
        <w:t>ativas</w:t>
      </w:r>
      <w:r w:rsidRPr="00480896">
        <w:rPr>
          <w:rFonts w:ascii="Arial" w:hAnsi="Arial" w:cs="Arial"/>
          <w:sz w:val="24"/>
          <w:szCs w:val="24"/>
        </w:rPr>
        <w:t xml:space="preserve">. Destaca Ciudad de México </w:t>
      </w:r>
      <w:r w:rsidR="00A33E65">
        <w:rPr>
          <w:rFonts w:ascii="Arial" w:hAnsi="Arial" w:cs="Arial"/>
          <w:sz w:val="24"/>
          <w:szCs w:val="24"/>
        </w:rPr>
        <w:t>con la tasa más alta: 958.9 elementos por cada 100</w:t>
      </w:r>
      <w:r w:rsidRPr="005C7D48">
        <w:rPr>
          <w:rFonts w:ascii="Arial" w:hAnsi="Arial" w:cs="Arial"/>
          <w:sz w:val="24"/>
          <w:szCs w:val="24"/>
        </w:rPr>
        <w:t xml:space="preserve"> </w:t>
      </w:r>
      <w:r w:rsidR="001B2305">
        <w:rPr>
          <w:rFonts w:ascii="Arial" w:hAnsi="Arial" w:cs="Arial"/>
          <w:sz w:val="24"/>
          <w:szCs w:val="24"/>
        </w:rPr>
        <w:t xml:space="preserve">mil </w:t>
      </w:r>
      <w:r w:rsidR="00A33E65">
        <w:rPr>
          <w:rFonts w:ascii="Arial" w:hAnsi="Arial" w:cs="Arial"/>
          <w:sz w:val="24"/>
          <w:szCs w:val="24"/>
        </w:rPr>
        <w:t>habitantes.</w:t>
      </w:r>
    </w:p>
    <w:p w:rsidR="003010A4" w:rsidRDefault="003010A4" w:rsidP="00365E8E">
      <w:pPr>
        <w:jc w:val="both"/>
        <w:rPr>
          <w:rFonts w:ascii="Arial" w:hAnsi="Arial" w:cs="Arial"/>
          <w:sz w:val="24"/>
          <w:szCs w:val="24"/>
        </w:rPr>
      </w:pPr>
    </w:p>
    <w:p w:rsidR="00365E8E" w:rsidRDefault="00365E8E" w:rsidP="00365E8E">
      <w:pPr>
        <w:jc w:val="center"/>
        <w:rPr>
          <w:rFonts w:ascii="Arial" w:hAnsi="Arial" w:cs="Arial"/>
          <w:b/>
          <w:i/>
          <w:sz w:val="24"/>
          <w:szCs w:val="24"/>
        </w:rPr>
      </w:pPr>
      <w:r>
        <w:rPr>
          <w:rFonts w:ascii="Arial" w:hAnsi="Arial" w:cs="Arial"/>
          <w:b/>
          <w:i/>
          <w:sz w:val="24"/>
          <w:szCs w:val="24"/>
        </w:rPr>
        <w:t>Mapa 2</w:t>
      </w:r>
      <w:r w:rsidRPr="005C7D48">
        <w:rPr>
          <w:rFonts w:ascii="Arial" w:hAnsi="Arial" w:cs="Arial"/>
          <w:b/>
          <w:i/>
          <w:sz w:val="24"/>
          <w:szCs w:val="24"/>
        </w:rPr>
        <w:t xml:space="preserve">. </w:t>
      </w:r>
      <w:r>
        <w:rPr>
          <w:rFonts w:ascii="Arial" w:hAnsi="Arial" w:cs="Arial"/>
          <w:b/>
          <w:i/>
          <w:sz w:val="24"/>
          <w:szCs w:val="24"/>
        </w:rPr>
        <w:t>P</w:t>
      </w:r>
      <w:r w:rsidRPr="005C7D48">
        <w:rPr>
          <w:rFonts w:ascii="Arial" w:hAnsi="Arial" w:cs="Arial"/>
          <w:b/>
          <w:i/>
          <w:sz w:val="24"/>
          <w:szCs w:val="24"/>
        </w:rPr>
        <w:t xml:space="preserve">ersonal destinado a funciones de seguridad pública </w:t>
      </w:r>
      <w:r>
        <w:rPr>
          <w:rFonts w:ascii="Arial" w:hAnsi="Arial" w:cs="Arial"/>
          <w:b/>
          <w:i/>
          <w:sz w:val="24"/>
          <w:szCs w:val="24"/>
        </w:rPr>
        <w:t>por cada 100 mil habitantes</w:t>
      </w:r>
      <w:r w:rsidRPr="005C7D48">
        <w:rPr>
          <w:rFonts w:ascii="Arial" w:hAnsi="Arial" w:cs="Arial"/>
          <w:b/>
          <w:i/>
          <w:sz w:val="24"/>
          <w:szCs w:val="24"/>
        </w:rPr>
        <w:t>, por entidad federativa</w:t>
      </w:r>
      <w:r>
        <w:rPr>
          <w:rFonts w:ascii="Arial" w:hAnsi="Arial" w:cs="Arial"/>
          <w:b/>
          <w:i/>
          <w:sz w:val="24"/>
          <w:szCs w:val="24"/>
        </w:rPr>
        <w:t>, 2018</w:t>
      </w:r>
    </w:p>
    <w:p w:rsidR="002A28A8" w:rsidRDefault="005032F7" w:rsidP="009F4A9B">
      <w:pPr>
        <w:spacing w:after="0"/>
        <w:jc w:val="both"/>
        <w:rPr>
          <w:rFonts w:ascii="Arial" w:hAnsi="Arial" w:cs="Arial"/>
          <w:sz w:val="24"/>
          <w:szCs w:val="24"/>
        </w:rPr>
      </w:pPr>
      <w:r>
        <w:rPr>
          <w:rFonts w:ascii="Arial" w:hAnsi="Arial" w:cs="Arial"/>
          <w:noProof/>
          <w:sz w:val="24"/>
          <w:szCs w:val="24"/>
          <w:lang w:val="en-US"/>
        </w:rPr>
        <w:drawing>
          <wp:inline distT="0" distB="0" distL="0" distR="0" wp14:anchorId="70C858A4" wp14:editId="49433ED5">
            <wp:extent cx="5486400" cy="34004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09358" cy="3414654"/>
                    </a:xfrm>
                    <a:prstGeom prst="rect">
                      <a:avLst/>
                    </a:prstGeom>
                    <a:noFill/>
                  </pic:spPr>
                </pic:pic>
              </a:graphicData>
            </a:graphic>
          </wp:inline>
        </w:drawing>
      </w:r>
    </w:p>
    <w:p w:rsidR="005032F7" w:rsidRPr="00A71D8B" w:rsidRDefault="005032F7" w:rsidP="009F4A9B">
      <w:pPr>
        <w:spacing w:after="0"/>
        <w:jc w:val="both"/>
        <w:rPr>
          <w:rFonts w:ascii="Arial" w:hAnsi="Arial" w:cs="Arial"/>
          <w:color w:val="000000" w:themeColor="text1"/>
          <w:sz w:val="18"/>
          <w:szCs w:val="18"/>
        </w:rPr>
      </w:pPr>
      <w:r>
        <w:rPr>
          <w:rFonts w:ascii="Arial" w:hAnsi="Arial" w:cs="Arial"/>
          <w:color w:val="000000" w:themeColor="text1"/>
          <w:sz w:val="18"/>
          <w:szCs w:val="18"/>
        </w:rPr>
        <w:t>ND: n</w:t>
      </w:r>
      <w:r w:rsidRPr="00A71D8B">
        <w:rPr>
          <w:rFonts w:ascii="Arial" w:hAnsi="Arial" w:cs="Arial"/>
          <w:color w:val="000000" w:themeColor="text1"/>
          <w:sz w:val="18"/>
          <w:szCs w:val="18"/>
        </w:rPr>
        <w:t>o disponible</w:t>
      </w:r>
      <w:r>
        <w:rPr>
          <w:rFonts w:ascii="Arial" w:hAnsi="Arial" w:cs="Arial"/>
          <w:color w:val="000000" w:themeColor="text1"/>
          <w:sz w:val="18"/>
          <w:szCs w:val="18"/>
        </w:rPr>
        <w:t>.</w:t>
      </w:r>
      <w:r w:rsidRPr="00A71D8B">
        <w:rPr>
          <w:rFonts w:ascii="Arial" w:hAnsi="Arial" w:cs="Arial"/>
          <w:color w:val="000000" w:themeColor="text1"/>
          <w:sz w:val="18"/>
          <w:szCs w:val="18"/>
        </w:rPr>
        <w:t xml:space="preserve"> </w:t>
      </w:r>
    </w:p>
    <w:p w:rsidR="009F4A9B" w:rsidRPr="00A71D8B" w:rsidRDefault="00B26B71" w:rsidP="009F4A9B">
      <w:pPr>
        <w:spacing w:after="0"/>
        <w:jc w:val="both"/>
        <w:rPr>
          <w:rFonts w:ascii="Arial" w:hAnsi="Arial" w:cs="Arial"/>
          <w:color w:val="000000" w:themeColor="text1"/>
          <w:sz w:val="18"/>
          <w:szCs w:val="18"/>
        </w:rPr>
      </w:pPr>
      <w:r>
        <w:rPr>
          <w:rFonts w:ascii="Arial" w:hAnsi="Arial" w:cs="Arial"/>
          <w:color w:val="000000" w:themeColor="text1"/>
          <w:sz w:val="18"/>
          <w:szCs w:val="18"/>
        </w:rPr>
        <w:t>NOTA: l</w:t>
      </w:r>
      <w:r w:rsidR="009F4A9B" w:rsidRPr="009F4A9B">
        <w:rPr>
          <w:rFonts w:ascii="Arial" w:hAnsi="Arial" w:cs="Arial"/>
          <w:color w:val="000000" w:themeColor="text1"/>
          <w:sz w:val="18"/>
          <w:szCs w:val="18"/>
        </w:rPr>
        <w:t>a información poblacional se obtuvo de las proyecciones CONAPO para mediados de 201</w:t>
      </w:r>
      <w:r w:rsidR="009F4A9B">
        <w:rPr>
          <w:rFonts w:ascii="Arial" w:hAnsi="Arial" w:cs="Arial"/>
          <w:color w:val="000000" w:themeColor="text1"/>
          <w:sz w:val="18"/>
          <w:szCs w:val="18"/>
        </w:rPr>
        <w:t>8.</w:t>
      </w:r>
      <w:r w:rsidR="009F4A9B" w:rsidRPr="00A71D8B">
        <w:rPr>
          <w:rFonts w:ascii="Arial" w:hAnsi="Arial" w:cs="Arial"/>
          <w:color w:val="000000" w:themeColor="text1"/>
          <w:sz w:val="18"/>
          <w:szCs w:val="18"/>
        </w:rPr>
        <w:t xml:space="preserve"> </w:t>
      </w:r>
    </w:p>
    <w:p w:rsidR="005032F7" w:rsidRDefault="005032F7"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A36F6E" w:rsidRDefault="00A36F6E" w:rsidP="00365E8E">
      <w:pPr>
        <w:jc w:val="both"/>
        <w:rPr>
          <w:rFonts w:ascii="Arial" w:hAnsi="Arial" w:cs="Arial"/>
          <w:sz w:val="24"/>
          <w:szCs w:val="24"/>
        </w:rPr>
      </w:pPr>
    </w:p>
    <w:p w:rsidR="007F7478" w:rsidRDefault="007F7478" w:rsidP="00365E8E">
      <w:pPr>
        <w:jc w:val="both"/>
        <w:rPr>
          <w:rFonts w:ascii="Arial" w:hAnsi="Arial" w:cs="Arial"/>
          <w:sz w:val="24"/>
          <w:szCs w:val="24"/>
        </w:rPr>
      </w:pPr>
    </w:p>
    <w:p w:rsidR="00CF72E6" w:rsidRDefault="002C1F03" w:rsidP="00365E8E">
      <w:pPr>
        <w:jc w:val="both"/>
        <w:rPr>
          <w:rFonts w:ascii="Arial" w:hAnsi="Arial" w:cs="Arial"/>
          <w:sz w:val="24"/>
          <w:szCs w:val="24"/>
        </w:rPr>
      </w:pPr>
      <w:r>
        <w:rPr>
          <w:rFonts w:ascii="Arial" w:hAnsi="Arial" w:cs="Arial"/>
          <w:sz w:val="24"/>
          <w:szCs w:val="24"/>
        </w:rPr>
        <w:t xml:space="preserve">Durante 2018, se registraron </w:t>
      </w:r>
      <w:r w:rsidRPr="002C1F03">
        <w:rPr>
          <w:rFonts w:ascii="Arial" w:hAnsi="Arial" w:cs="Arial"/>
          <w:sz w:val="24"/>
          <w:szCs w:val="24"/>
        </w:rPr>
        <w:t xml:space="preserve">1 </w:t>
      </w:r>
      <w:r>
        <w:rPr>
          <w:rFonts w:ascii="Arial" w:hAnsi="Arial" w:cs="Arial"/>
          <w:sz w:val="24"/>
          <w:szCs w:val="24"/>
        </w:rPr>
        <w:t xml:space="preserve">millón </w:t>
      </w:r>
      <w:r w:rsidR="00FB0C71">
        <w:rPr>
          <w:rFonts w:ascii="Arial" w:hAnsi="Arial" w:cs="Arial"/>
          <w:sz w:val="24"/>
          <w:szCs w:val="24"/>
        </w:rPr>
        <w:t>322</w:t>
      </w:r>
      <w:r w:rsidRPr="002C1F03">
        <w:rPr>
          <w:rFonts w:ascii="Arial" w:hAnsi="Arial" w:cs="Arial"/>
          <w:sz w:val="24"/>
          <w:szCs w:val="24"/>
        </w:rPr>
        <w:t xml:space="preserve"> </w:t>
      </w:r>
      <w:r>
        <w:rPr>
          <w:rFonts w:ascii="Arial" w:hAnsi="Arial" w:cs="Arial"/>
          <w:sz w:val="24"/>
          <w:szCs w:val="24"/>
        </w:rPr>
        <w:t xml:space="preserve">mil </w:t>
      </w:r>
      <w:r w:rsidR="00FB0C71">
        <w:rPr>
          <w:rFonts w:ascii="Arial" w:hAnsi="Arial" w:cs="Arial"/>
          <w:sz w:val="24"/>
          <w:szCs w:val="24"/>
        </w:rPr>
        <w:t>585</w:t>
      </w:r>
      <w:r>
        <w:rPr>
          <w:rFonts w:ascii="Arial" w:hAnsi="Arial" w:cs="Arial"/>
          <w:sz w:val="24"/>
          <w:szCs w:val="24"/>
        </w:rPr>
        <w:t xml:space="preserve"> intervenciones </w:t>
      </w:r>
      <w:r w:rsidR="005C3B67">
        <w:rPr>
          <w:rFonts w:ascii="Arial" w:hAnsi="Arial" w:cs="Arial"/>
          <w:sz w:val="24"/>
          <w:szCs w:val="24"/>
        </w:rPr>
        <w:t>de la policía en las entidades federativas</w:t>
      </w:r>
      <w:r w:rsidR="00836D47">
        <w:rPr>
          <w:rStyle w:val="Refdenotaalpie"/>
          <w:rFonts w:ascii="Arial" w:hAnsi="Arial" w:cs="Arial"/>
          <w:sz w:val="24"/>
          <w:szCs w:val="24"/>
        </w:rPr>
        <w:footnoteReference w:id="10"/>
      </w:r>
      <w:r>
        <w:rPr>
          <w:rFonts w:ascii="Arial" w:hAnsi="Arial" w:cs="Arial"/>
          <w:sz w:val="24"/>
          <w:szCs w:val="24"/>
        </w:rPr>
        <w:t>,</w:t>
      </w:r>
      <w:r w:rsidR="00912AB5">
        <w:rPr>
          <w:rFonts w:ascii="Arial" w:hAnsi="Arial" w:cs="Arial"/>
          <w:sz w:val="24"/>
          <w:szCs w:val="24"/>
        </w:rPr>
        <w:t xml:space="preserve"> </w:t>
      </w:r>
      <w:r w:rsidR="005F4682">
        <w:rPr>
          <w:rFonts w:ascii="Arial" w:hAnsi="Arial" w:cs="Arial"/>
          <w:sz w:val="24"/>
          <w:szCs w:val="24"/>
        </w:rPr>
        <w:t xml:space="preserve">49.9% de ellas por presuntas infracciones, mientras que </w:t>
      </w:r>
      <w:r w:rsidR="003C6019">
        <w:rPr>
          <w:rFonts w:ascii="Arial" w:hAnsi="Arial" w:cs="Arial"/>
          <w:sz w:val="24"/>
          <w:szCs w:val="24"/>
        </w:rPr>
        <w:t>15</w:t>
      </w:r>
      <w:r>
        <w:rPr>
          <w:rFonts w:ascii="Arial" w:hAnsi="Arial" w:cs="Arial"/>
          <w:sz w:val="24"/>
          <w:szCs w:val="24"/>
        </w:rPr>
        <w:t>.</w:t>
      </w:r>
      <w:r w:rsidR="00F62E68">
        <w:rPr>
          <w:rFonts w:ascii="Arial" w:hAnsi="Arial" w:cs="Arial"/>
          <w:sz w:val="24"/>
          <w:szCs w:val="24"/>
        </w:rPr>
        <w:t>7</w:t>
      </w:r>
      <w:r>
        <w:rPr>
          <w:rFonts w:ascii="Arial" w:hAnsi="Arial" w:cs="Arial"/>
          <w:sz w:val="24"/>
          <w:szCs w:val="24"/>
        </w:rPr>
        <w:t xml:space="preserve">% </w:t>
      </w:r>
      <w:r w:rsidR="005F4682">
        <w:rPr>
          <w:rFonts w:ascii="Arial" w:hAnsi="Arial" w:cs="Arial"/>
          <w:sz w:val="24"/>
          <w:szCs w:val="24"/>
        </w:rPr>
        <w:t>fueron</w:t>
      </w:r>
      <w:r w:rsidR="003C6019">
        <w:rPr>
          <w:rFonts w:ascii="Arial" w:hAnsi="Arial" w:cs="Arial"/>
          <w:sz w:val="24"/>
          <w:szCs w:val="24"/>
        </w:rPr>
        <w:t xml:space="preserve"> por </w:t>
      </w:r>
      <w:r w:rsidR="005F4682">
        <w:rPr>
          <w:rFonts w:ascii="Arial" w:hAnsi="Arial" w:cs="Arial"/>
          <w:sz w:val="24"/>
          <w:szCs w:val="24"/>
        </w:rPr>
        <w:t xml:space="preserve">presuntos </w:t>
      </w:r>
      <w:r w:rsidR="003C6019">
        <w:rPr>
          <w:rFonts w:ascii="Arial" w:hAnsi="Arial" w:cs="Arial"/>
          <w:sz w:val="24"/>
          <w:szCs w:val="24"/>
        </w:rPr>
        <w:t>delitos del fuero com</w:t>
      </w:r>
      <w:r w:rsidR="005F4682">
        <w:rPr>
          <w:rFonts w:ascii="Arial" w:hAnsi="Arial" w:cs="Arial"/>
          <w:sz w:val="24"/>
          <w:szCs w:val="24"/>
        </w:rPr>
        <w:t>ún y del fuero federal</w:t>
      </w:r>
      <w:r w:rsidR="003C6019">
        <w:rPr>
          <w:rFonts w:ascii="Arial" w:hAnsi="Arial" w:cs="Arial"/>
          <w:sz w:val="24"/>
          <w:szCs w:val="24"/>
        </w:rPr>
        <w:t>.</w:t>
      </w:r>
    </w:p>
    <w:p w:rsidR="003010A4" w:rsidRDefault="003010A4" w:rsidP="002A28A8">
      <w:pPr>
        <w:jc w:val="center"/>
        <w:rPr>
          <w:rFonts w:ascii="Arial" w:hAnsi="Arial" w:cs="Arial"/>
          <w:b/>
          <w:i/>
          <w:sz w:val="24"/>
          <w:szCs w:val="24"/>
        </w:rPr>
      </w:pPr>
    </w:p>
    <w:p w:rsidR="003010A4" w:rsidRDefault="003010A4" w:rsidP="002A28A8">
      <w:pPr>
        <w:jc w:val="center"/>
        <w:rPr>
          <w:rFonts w:ascii="Arial" w:hAnsi="Arial" w:cs="Arial"/>
          <w:b/>
          <w:i/>
          <w:sz w:val="24"/>
          <w:szCs w:val="24"/>
        </w:rPr>
      </w:pPr>
    </w:p>
    <w:p w:rsidR="00836D47" w:rsidRDefault="001C2B06" w:rsidP="002A28A8">
      <w:pPr>
        <w:jc w:val="center"/>
        <w:rPr>
          <w:rFonts w:ascii="Arial" w:hAnsi="Arial" w:cs="Arial"/>
          <w:b/>
          <w:i/>
          <w:sz w:val="24"/>
          <w:szCs w:val="24"/>
        </w:rPr>
      </w:pPr>
      <w:r>
        <w:rPr>
          <w:rFonts w:ascii="Arial" w:hAnsi="Arial" w:cs="Arial"/>
          <w:b/>
          <w:i/>
          <w:sz w:val="24"/>
          <w:szCs w:val="24"/>
        </w:rPr>
        <w:t>Gráfica 1. Intervenciones de las policías estatales, por tipo, 2018</w:t>
      </w:r>
    </w:p>
    <w:p w:rsidR="00836D47" w:rsidRDefault="00836D47" w:rsidP="002A28A8">
      <w:pPr>
        <w:jc w:val="center"/>
        <w:rPr>
          <w:rFonts w:ascii="Arial" w:hAnsi="Arial" w:cs="Arial"/>
          <w:b/>
          <w:i/>
          <w:sz w:val="24"/>
          <w:szCs w:val="24"/>
        </w:rPr>
      </w:pPr>
      <w:r>
        <w:rPr>
          <w:noProof/>
          <w:lang w:val="en-US"/>
        </w:rPr>
        <w:drawing>
          <wp:inline distT="0" distB="0" distL="0" distR="0" wp14:anchorId="662DE1C4" wp14:editId="1A73C401">
            <wp:extent cx="6038850" cy="2321781"/>
            <wp:effectExtent l="0" t="0" r="0" b="2540"/>
            <wp:docPr id="17" name="Gráfico 17">
              <a:extLst xmlns:a="http://schemas.openxmlformats.org/drawingml/2006/main">
                <a:ext uri="{FF2B5EF4-FFF2-40B4-BE49-F238E27FC236}">
                  <a16:creationId xmlns:a16="http://schemas.microsoft.com/office/drawing/2014/main" id="{F6C122B7-CE7E-48F2-8CC8-288AB3CD6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010A4" w:rsidRDefault="003010A4" w:rsidP="00B26B71">
      <w:pPr>
        <w:jc w:val="both"/>
        <w:rPr>
          <w:rFonts w:ascii="Arial" w:hAnsi="Arial" w:cs="Arial"/>
          <w:sz w:val="24"/>
          <w:szCs w:val="24"/>
        </w:rPr>
      </w:pPr>
    </w:p>
    <w:p w:rsidR="003010A4" w:rsidRDefault="003010A4"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7F7478" w:rsidRDefault="007F7478" w:rsidP="00B26B71">
      <w:pPr>
        <w:jc w:val="both"/>
        <w:rPr>
          <w:rFonts w:ascii="Arial" w:hAnsi="Arial" w:cs="Arial"/>
          <w:sz w:val="24"/>
          <w:szCs w:val="24"/>
        </w:rPr>
      </w:pPr>
    </w:p>
    <w:p w:rsidR="008903E5" w:rsidRDefault="00CF72E6" w:rsidP="00B26B71">
      <w:pPr>
        <w:jc w:val="both"/>
        <w:rPr>
          <w:rFonts w:ascii="Arial" w:hAnsi="Arial" w:cs="Arial"/>
          <w:sz w:val="24"/>
          <w:szCs w:val="24"/>
        </w:rPr>
      </w:pPr>
      <w:r>
        <w:rPr>
          <w:rFonts w:ascii="Arial" w:hAnsi="Arial" w:cs="Arial"/>
          <w:sz w:val="24"/>
          <w:szCs w:val="24"/>
        </w:rPr>
        <w:lastRenderedPageBreak/>
        <w:t xml:space="preserve">En total, se registraron </w:t>
      </w:r>
      <w:r w:rsidR="00FB0C71">
        <w:rPr>
          <w:rFonts w:ascii="Arial" w:hAnsi="Arial" w:cs="Arial"/>
          <w:sz w:val="24"/>
          <w:szCs w:val="24"/>
        </w:rPr>
        <w:t>882 mil</w:t>
      </w:r>
      <w:r w:rsidR="00836D47">
        <w:rPr>
          <w:rFonts w:ascii="Arial" w:hAnsi="Arial" w:cs="Arial"/>
          <w:sz w:val="24"/>
          <w:szCs w:val="24"/>
        </w:rPr>
        <w:t xml:space="preserve"> </w:t>
      </w:r>
      <w:r w:rsidR="00FB0C71">
        <w:rPr>
          <w:rFonts w:ascii="Arial" w:hAnsi="Arial" w:cs="Arial"/>
          <w:sz w:val="24"/>
          <w:szCs w:val="24"/>
        </w:rPr>
        <w:t>051</w:t>
      </w:r>
      <w:r w:rsidR="00836D47">
        <w:rPr>
          <w:rFonts w:ascii="Arial" w:hAnsi="Arial" w:cs="Arial"/>
          <w:sz w:val="24"/>
          <w:szCs w:val="24"/>
        </w:rPr>
        <w:t xml:space="preserve"> </w:t>
      </w:r>
      <w:r>
        <w:rPr>
          <w:rFonts w:ascii="Arial" w:hAnsi="Arial" w:cs="Arial"/>
          <w:sz w:val="24"/>
          <w:szCs w:val="24"/>
        </w:rPr>
        <w:t>presuntos delitos y presuntas infracciones</w:t>
      </w:r>
      <w:r w:rsidR="009F06BA">
        <w:rPr>
          <w:rFonts w:ascii="Arial" w:hAnsi="Arial" w:cs="Arial"/>
          <w:sz w:val="24"/>
          <w:szCs w:val="24"/>
        </w:rPr>
        <w:t xml:space="preserve"> en las intervenciones de la policí</w:t>
      </w:r>
      <w:r w:rsidR="005C3B67">
        <w:rPr>
          <w:rFonts w:ascii="Arial" w:hAnsi="Arial" w:cs="Arial"/>
          <w:sz w:val="24"/>
          <w:szCs w:val="24"/>
        </w:rPr>
        <w:t>a</w:t>
      </w:r>
      <w:r w:rsidR="0002334A">
        <w:rPr>
          <w:rStyle w:val="Refdenotaalpie"/>
          <w:rFonts w:ascii="Arial" w:hAnsi="Arial" w:cs="Arial"/>
          <w:sz w:val="24"/>
          <w:szCs w:val="24"/>
        </w:rPr>
        <w:footnoteReference w:id="11"/>
      </w:r>
      <w:r w:rsidR="005C3B67">
        <w:rPr>
          <w:rFonts w:ascii="Arial" w:hAnsi="Arial" w:cs="Arial"/>
          <w:sz w:val="24"/>
          <w:szCs w:val="24"/>
        </w:rPr>
        <w:t xml:space="preserve">, </w:t>
      </w:r>
      <w:r w:rsidR="00F62E68">
        <w:rPr>
          <w:rFonts w:ascii="Arial" w:hAnsi="Arial" w:cs="Arial"/>
          <w:sz w:val="24"/>
          <w:szCs w:val="24"/>
        </w:rPr>
        <w:t>22.7</w:t>
      </w:r>
      <w:r w:rsidR="005C3B67">
        <w:rPr>
          <w:rFonts w:ascii="Arial" w:hAnsi="Arial" w:cs="Arial"/>
          <w:sz w:val="24"/>
          <w:szCs w:val="24"/>
        </w:rPr>
        <w:t>% correspondieron a delitos del fuero común y 1.</w:t>
      </w:r>
      <w:r w:rsidR="00F62E68">
        <w:rPr>
          <w:rFonts w:ascii="Arial" w:hAnsi="Arial" w:cs="Arial"/>
          <w:sz w:val="24"/>
          <w:szCs w:val="24"/>
        </w:rPr>
        <w:t>9</w:t>
      </w:r>
      <w:r w:rsidR="005C3B67">
        <w:rPr>
          <w:rFonts w:ascii="Arial" w:hAnsi="Arial" w:cs="Arial"/>
          <w:sz w:val="24"/>
          <w:szCs w:val="24"/>
        </w:rPr>
        <w:t>% a delitos del fuero federal.</w:t>
      </w:r>
    </w:p>
    <w:p w:rsidR="00B26B71" w:rsidRDefault="00B26B71" w:rsidP="00B26B71">
      <w:pPr>
        <w:jc w:val="both"/>
        <w:rPr>
          <w:rFonts w:ascii="Arial" w:hAnsi="Arial" w:cs="Arial"/>
          <w:b/>
          <w:i/>
          <w:sz w:val="24"/>
          <w:szCs w:val="24"/>
        </w:rPr>
      </w:pPr>
    </w:p>
    <w:p w:rsidR="009F06BA" w:rsidRDefault="009F06BA" w:rsidP="009F06BA">
      <w:pPr>
        <w:jc w:val="center"/>
        <w:rPr>
          <w:rFonts w:ascii="Arial" w:hAnsi="Arial" w:cs="Arial"/>
          <w:b/>
          <w:i/>
          <w:sz w:val="24"/>
          <w:szCs w:val="24"/>
        </w:rPr>
      </w:pPr>
      <w:r>
        <w:rPr>
          <w:rFonts w:ascii="Arial" w:hAnsi="Arial" w:cs="Arial"/>
          <w:b/>
          <w:i/>
          <w:sz w:val="24"/>
          <w:szCs w:val="24"/>
        </w:rPr>
        <w:t>Mapa 3</w:t>
      </w:r>
      <w:r w:rsidRPr="005C7D48">
        <w:rPr>
          <w:rFonts w:ascii="Arial" w:hAnsi="Arial" w:cs="Arial"/>
          <w:b/>
          <w:i/>
          <w:sz w:val="24"/>
          <w:szCs w:val="24"/>
        </w:rPr>
        <w:t xml:space="preserve">. </w:t>
      </w:r>
      <w:r w:rsidR="00B26B71">
        <w:rPr>
          <w:rFonts w:ascii="Arial" w:hAnsi="Arial" w:cs="Arial"/>
          <w:b/>
          <w:i/>
          <w:sz w:val="24"/>
          <w:szCs w:val="24"/>
        </w:rPr>
        <w:t>Presuntos delitos</w:t>
      </w:r>
      <w:r w:rsidR="005C3B67">
        <w:rPr>
          <w:rFonts w:ascii="Arial" w:hAnsi="Arial" w:cs="Arial"/>
          <w:b/>
          <w:i/>
          <w:sz w:val="24"/>
          <w:szCs w:val="24"/>
        </w:rPr>
        <w:t xml:space="preserve"> registrad</w:t>
      </w:r>
      <w:r w:rsidR="00C32549">
        <w:rPr>
          <w:rFonts w:ascii="Arial" w:hAnsi="Arial" w:cs="Arial"/>
          <w:b/>
          <w:i/>
          <w:sz w:val="24"/>
          <w:szCs w:val="24"/>
        </w:rPr>
        <w:t>o</w:t>
      </w:r>
      <w:r w:rsidR="005C3B67">
        <w:rPr>
          <w:rFonts w:ascii="Arial" w:hAnsi="Arial" w:cs="Arial"/>
          <w:b/>
          <w:i/>
          <w:sz w:val="24"/>
          <w:szCs w:val="24"/>
        </w:rPr>
        <w:t>s en las intervenciones de la policía estatal, por cada 100 mil habitantes, p</w:t>
      </w:r>
      <w:r w:rsidRPr="005C7D48">
        <w:rPr>
          <w:rFonts w:ascii="Arial" w:hAnsi="Arial" w:cs="Arial"/>
          <w:b/>
          <w:i/>
          <w:sz w:val="24"/>
          <w:szCs w:val="24"/>
        </w:rPr>
        <w:t>or entidad federativa</w:t>
      </w:r>
      <w:r>
        <w:rPr>
          <w:rFonts w:ascii="Arial" w:hAnsi="Arial" w:cs="Arial"/>
          <w:b/>
          <w:i/>
          <w:sz w:val="24"/>
          <w:szCs w:val="24"/>
        </w:rPr>
        <w:t>, 2018</w:t>
      </w:r>
    </w:p>
    <w:p w:rsidR="00C545A8" w:rsidRDefault="00B26B71" w:rsidP="00365E8E">
      <w:pPr>
        <w:jc w:val="both"/>
        <w:rPr>
          <w:rFonts w:ascii="Arial" w:hAnsi="Arial" w:cs="Arial"/>
          <w:sz w:val="24"/>
          <w:szCs w:val="24"/>
        </w:rPr>
      </w:pPr>
      <w:r>
        <w:rPr>
          <w:rFonts w:ascii="Arial" w:hAnsi="Arial" w:cs="Arial"/>
          <w:noProof/>
          <w:sz w:val="24"/>
          <w:szCs w:val="24"/>
          <w:lang w:val="en-US"/>
        </w:rPr>
        <w:drawing>
          <wp:anchor distT="0" distB="0" distL="114300" distR="114300" simplePos="0" relativeHeight="251658240" behindDoc="0" locked="0" layoutInCell="1" allowOverlap="1" wp14:anchorId="60CEE104" wp14:editId="6627B9A8">
            <wp:simplePos x="0" y="0"/>
            <wp:positionH relativeFrom="column">
              <wp:posOffset>-365</wp:posOffset>
            </wp:positionH>
            <wp:positionV relativeFrom="paragraph">
              <wp:posOffset>-2094</wp:posOffset>
            </wp:positionV>
            <wp:extent cx="5562501" cy="3639600"/>
            <wp:effectExtent l="0" t="0" r="63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2501" cy="3639600"/>
                    </a:xfrm>
                    <a:prstGeom prst="rect">
                      <a:avLst/>
                    </a:prstGeom>
                    <a:noFill/>
                  </pic:spPr>
                </pic:pic>
              </a:graphicData>
            </a:graphic>
          </wp:anchor>
        </w:drawing>
      </w:r>
    </w:p>
    <w:p w:rsidR="00C545A8" w:rsidRDefault="009F4A9B" w:rsidP="009F4A9B">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NOTA: </w:t>
      </w:r>
      <w:r w:rsidR="00B26B71">
        <w:rPr>
          <w:rFonts w:ascii="Arial" w:hAnsi="Arial" w:cs="Arial"/>
          <w:color w:val="000000" w:themeColor="text1"/>
          <w:sz w:val="18"/>
          <w:szCs w:val="18"/>
        </w:rPr>
        <w:t xml:space="preserve">incluye delitos del fuero común y federal. </w:t>
      </w:r>
      <w:r>
        <w:rPr>
          <w:rFonts w:ascii="Arial" w:hAnsi="Arial" w:cs="Arial"/>
          <w:color w:val="000000" w:themeColor="text1"/>
          <w:sz w:val="18"/>
          <w:szCs w:val="18"/>
        </w:rPr>
        <w:t>L</w:t>
      </w:r>
      <w:r w:rsidRPr="009F4A9B">
        <w:rPr>
          <w:rFonts w:ascii="Arial" w:hAnsi="Arial" w:cs="Arial"/>
          <w:color w:val="000000" w:themeColor="text1"/>
          <w:sz w:val="18"/>
          <w:szCs w:val="18"/>
        </w:rPr>
        <w:t>a información poblacional se obtuvo de las proyecciones CONAPO para mediados de 201</w:t>
      </w:r>
      <w:r>
        <w:rPr>
          <w:rFonts w:ascii="Arial" w:hAnsi="Arial" w:cs="Arial"/>
          <w:color w:val="000000" w:themeColor="text1"/>
          <w:sz w:val="18"/>
          <w:szCs w:val="18"/>
        </w:rPr>
        <w:t>8.</w:t>
      </w:r>
      <w:r w:rsidRPr="00A71D8B">
        <w:rPr>
          <w:rFonts w:ascii="Arial" w:hAnsi="Arial" w:cs="Arial"/>
          <w:color w:val="000000" w:themeColor="text1"/>
          <w:sz w:val="18"/>
          <w:szCs w:val="18"/>
        </w:rPr>
        <w:t xml:space="preserve"> </w:t>
      </w:r>
    </w:p>
    <w:p w:rsidR="009F4A9B" w:rsidRPr="009F4A9B" w:rsidRDefault="009F4A9B" w:rsidP="009F4A9B">
      <w:pPr>
        <w:spacing w:after="0"/>
        <w:jc w:val="both"/>
        <w:rPr>
          <w:rFonts w:ascii="Arial" w:hAnsi="Arial" w:cs="Arial"/>
          <w:color w:val="000000" w:themeColor="text1"/>
          <w:sz w:val="18"/>
          <w:szCs w:val="18"/>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1A15C6" w:rsidRDefault="001A15C6" w:rsidP="00365E8E">
      <w:pPr>
        <w:jc w:val="both"/>
        <w:rPr>
          <w:rFonts w:ascii="Arial" w:hAnsi="Arial" w:cs="Arial"/>
          <w:sz w:val="24"/>
          <w:szCs w:val="24"/>
        </w:rPr>
      </w:pPr>
    </w:p>
    <w:p w:rsidR="001A15C6" w:rsidRDefault="001A15C6" w:rsidP="00365E8E">
      <w:pPr>
        <w:jc w:val="both"/>
        <w:rPr>
          <w:rFonts w:ascii="Arial" w:hAnsi="Arial" w:cs="Arial"/>
          <w:sz w:val="24"/>
          <w:szCs w:val="24"/>
        </w:rPr>
      </w:pPr>
    </w:p>
    <w:p w:rsidR="00C32549" w:rsidRPr="00817563" w:rsidRDefault="00365E8E" w:rsidP="00365E8E">
      <w:pPr>
        <w:jc w:val="both"/>
        <w:rPr>
          <w:rFonts w:ascii="Arial" w:hAnsi="Arial" w:cs="Arial"/>
          <w:sz w:val="24"/>
          <w:szCs w:val="24"/>
        </w:rPr>
      </w:pPr>
      <w:r w:rsidRPr="00817563">
        <w:rPr>
          <w:rFonts w:ascii="Arial" w:hAnsi="Arial" w:cs="Arial"/>
          <w:sz w:val="24"/>
          <w:szCs w:val="24"/>
        </w:rPr>
        <w:t xml:space="preserve">En lo concerniente a la información del sistema penitenciario, </w:t>
      </w:r>
      <w:r w:rsidR="00DD7D6B" w:rsidRPr="00817563">
        <w:rPr>
          <w:rFonts w:ascii="Arial" w:hAnsi="Arial" w:cs="Arial"/>
          <w:sz w:val="24"/>
          <w:szCs w:val="24"/>
        </w:rPr>
        <w:t>al cierre de 2018 las entidades federativas contaron con 255 centros penitenciarios. A continuación se presenta su distribución:</w:t>
      </w:r>
    </w:p>
    <w:p w:rsidR="003010A4" w:rsidRDefault="003010A4" w:rsidP="00DD7D6B">
      <w:pPr>
        <w:jc w:val="center"/>
        <w:rPr>
          <w:rFonts w:ascii="Arial" w:hAnsi="Arial" w:cs="Arial"/>
          <w:b/>
          <w:i/>
          <w:sz w:val="24"/>
          <w:szCs w:val="24"/>
        </w:rPr>
      </w:pPr>
    </w:p>
    <w:p w:rsidR="00DD7D6B" w:rsidRDefault="00DD7D6B" w:rsidP="00DD7D6B">
      <w:pPr>
        <w:jc w:val="center"/>
        <w:rPr>
          <w:rFonts w:ascii="Arial" w:hAnsi="Arial" w:cs="Arial"/>
          <w:b/>
          <w:i/>
          <w:sz w:val="24"/>
          <w:szCs w:val="24"/>
        </w:rPr>
      </w:pPr>
      <w:r>
        <w:rPr>
          <w:rFonts w:ascii="Arial" w:hAnsi="Arial" w:cs="Arial"/>
          <w:b/>
          <w:i/>
          <w:sz w:val="24"/>
          <w:szCs w:val="24"/>
        </w:rPr>
        <w:t>Gráfica 2. Centros penitenciarios, por entidad federativa, 2018</w:t>
      </w:r>
    </w:p>
    <w:p w:rsidR="00C32549" w:rsidRDefault="00DD7D6B" w:rsidP="00DD7D6B">
      <w:pPr>
        <w:jc w:val="center"/>
        <w:rPr>
          <w:rFonts w:ascii="Arial" w:hAnsi="Arial" w:cs="Arial"/>
          <w:sz w:val="24"/>
          <w:szCs w:val="24"/>
          <w:highlight w:val="green"/>
        </w:rPr>
      </w:pPr>
      <w:r>
        <w:rPr>
          <w:noProof/>
          <w:lang w:val="en-US"/>
        </w:rPr>
        <w:drawing>
          <wp:inline distT="0" distB="0" distL="0" distR="0" wp14:anchorId="4F0C75BA" wp14:editId="1F00BAA4">
            <wp:extent cx="4572000" cy="5019675"/>
            <wp:effectExtent l="0" t="0" r="0" b="0"/>
            <wp:docPr id="15" name="Gráfico 15">
              <a:extLst xmlns:a="http://schemas.openxmlformats.org/drawingml/2006/main">
                <a:ext uri="{FF2B5EF4-FFF2-40B4-BE49-F238E27FC236}">
                  <a16:creationId xmlns:a16="http://schemas.microsoft.com/office/drawing/2014/main" id="{64CD2AAD-CEC9-435F-8D27-7C216F694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32549" w:rsidRDefault="00C32549" w:rsidP="00365E8E">
      <w:pPr>
        <w:jc w:val="both"/>
        <w:rPr>
          <w:rFonts w:ascii="Arial" w:hAnsi="Arial" w:cs="Arial"/>
          <w:sz w:val="24"/>
          <w:szCs w:val="24"/>
          <w:highlight w:val="green"/>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3010A4" w:rsidRDefault="003010A4" w:rsidP="00365E8E">
      <w:pPr>
        <w:jc w:val="both"/>
        <w:rPr>
          <w:rFonts w:ascii="Arial" w:hAnsi="Arial" w:cs="Arial"/>
          <w:sz w:val="24"/>
          <w:szCs w:val="24"/>
        </w:rPr>
      </w:pPr>
    </w:p>
    <w:p w:rsidR="007F7478" w:rsidRDefault="007F7478" w:rsidP="00365E8E">
      <w:pPr>
        <w:jc w:val="both"/>
        <w:rPr>
          <w:rFonts w:ascii="Arial" w:hAnsi="Arial" w:cs="Arial"/>
          <w:sz w:val="24"/>
          <w:szCs w:val="24"/>
        </w:rPr>
      </w:pPr>
    </w:p>
    <w:p w:rsidR="00365E8E" w:rsidRDefault="00DD7D6B" w:rsidP="00365E8E">
      <w:pPr>
        <w:jc w:val="both"/>
        <w:rPr>
          <w:rFonts w:ascii="Arial" w:hAnsi="Arial" w:cs="Arial"/>
          <w:sz w:val="24"/>
          <w:szCs w:val="24"/>
        </w:rPr>
      </w:pPr>
      <w:r w:rsidRPr="0002334A">
        <w:rPr>
          <w:rFonts w:ascii="Arial" w:hAnsi="Arial" w:cs="Arial"/>
          <w:sz w:val="24"/>
          <w:szCs w:val="24"/>
        </w:rPr>
        <w:t>Referente al ejercicio de la función</w:t>
      </w:r>
      <w:r w:rsidR="00817563" w:rsidRPr="0002334A">
        <w:rPr>
          <w:rFonts w:ascii="Arial" w:hAnsi="Arial" w:cs="Arial"/>
          <w:sz w:val="24"/>
          <w:szCs w:val="24"/>
        </w:rPr>
        <w:t>,</w:t>
      </w:r>
      <w:r w:rsidRPr="0002334A">
        <w:rPr>
          <w:rFonts w:ascii="Arial" w:hAnsi="Arial" w:cs="Arial"/>
          <w:sz w:val="24"/>
          <w:szCs w:val="24"/>
        </w:rPr>
        <w:t xml:space="preserve"> </w:t>
      </w:r>
      <w:r w:rsidR="00365E8E" w:rsidRPr="0002334A">
        <w:rPr>
          <w:rFonts w:ascii="Arial" w:hAnsi="Arial" w:cs="Arial"/>
          <w:sz w:val="24"/>
          <w:szCs w:val="24"/>
        </w:rPr>
        <w:t xml:space="preserve">destaca que durante 2018 ingresaron </w:t>
      </w:r>
      <w:r w:rsidR="00D0403B" w:rsidRPr="0002334A">
        <w:rPr>
          <w:rFonts w:ascii="Arial" w:hAnsi="Arial" w:cs="Arial"/>
          <w:sz w:val="24"/>
          <w:szCs w:val="24"/>
        </w:rPr>
        <w:t xml:space="preserve">97 mil 500 </w:t>
      </w:r>
      <w:r w:rsidR="00365E8E" w:rsidRPr="0002334A">
        <w:rPr>
          <w:rFonts w:ascii="Arial" w:hAnsi="Arial" w:cs="Arial"/>
          <w:sz w:val="24"/>
          <w:szCs w:val="24"/>
        </w:rPr>
        <w:t xml:space="preserve">personas </w:t>
      </w:r>
      <w:r w:rsidR="005C5319">
        <w:rPr>
          <w:rFonts w:ascii="Arial" w:hAnsi="Arial" w:cs="Arial"/>
          <w:sz w:val="24"/>
          <w:szCs w:val="24"/>
        </w:rPr>
        <w:t xml:space="preserve">adultas </w:t>
      </w:r>
      <w:r w:rsidR="00365E8E" w:rsidRPr="0002334A">
        <w:rPr>
          <w:rFonts w:ascii="Arial" w:hAnsi="Arial" w:cs="Arial"/>
          <w:sz w:val="24"/>
          <w:szCs w:val="24"/>
        </w:rPr>
        <w:t xml:space="preserve">a </w:t>
      </w:r>
      <w:r w:rsidR="00C32549" w:rsidRPr="0002334A">
        <w:rPr>
          <w:rFonts w:ascii="Arial" w:hAnsi="Arial" w:cs="Arial"/>
          <w:sz w:val="24"/>
          <w:szCs w:val="24"/>
        </w:rPr>
        <w:t xml:space="preserve">los </w:t>
      </w:r>
      <w:r w:rsidR="00365E8E" w:rsidRPr="0002334A">
        <w:rPr>
          <w:rFonts w:ascii="Arial" w:hAnsi="Arial" w:cs="Arial"/>
          <w:sz w:val="24"/>
          <w:szCs w:val="24"/>
        </w:rPr>
        <w:t>centros penitenciarios</w:t>
      </w:r>
      <w:r w:rsidR="00C32549" w:rsidRPr="0002334A">
        <w:rPr>
          <w:rFonts w:ascii="Arial" w:hAnsi="Arial" w:cs="Arial"/>
          <w:sz w:val="24"/>
          <w:szCs w:val="24"/>
        </w:rPr>
        <w:t xml:space="preserve"> estatales</w:t>
      </w:r>
      <w:r w:rsidR="00D0403B" w:rsidRPr="0002334A">
        <w:rPr>
          <w:rFonts w:ascii="Arial" w:hAnsi="Arial" w:cs="Arial"/>
          <w:sz w:val="24"/>
          <w:szCs w:val="24"/>
        </w:rPr>
        <w:t xml:space="preserve">, </w:t>
      </w:r>
      <w:r w:rsidR="00365E8E" w:rsidRPr="0002334A">
        <w:rPr>
          <w:rFonts w:ascii="Arial" w:hAnsi="Arial" w:cs="Arial"/>
          <w:sz w:val="24"/>
          <w:szCs w:val="24"/>
        </w:rPr>
        <w:t>por un total de</w:t>
      </w:r>
      <w:r w:rsidR="00D0403B" w:rsidRPr="0002334A">
        <w:rPr>
          <w:rFonts w:ascii="Arial" w:hAnsi="Arial" w:cs="Arial"/>
          <w:sz w:val="24"/>
          <w:szCs w:val="24"/>
        </w:rPr>
        <w:t xml:space="preserve"> 101 mil 991</w:t>
      </w:r>
      <w:r w:rsidR="00365E8E" w:rsidRPr="0002334A">
        <w:rPr>
          <w:rFonts w:ascii="Arial" w:hAnsi="Arial" w:cs="Arial"/>
          <w:sz w:val="24"/>
          <w:szCs w:val="24"/>
        </w:rPr>
        <w:t xml:space="preserve"> </w:t>
      </w:r>
      <w:r w:rsidR="00D0403B" w:rsidRPr="0002334A">
        <w:rPr>
          <w:rFonts w:ascii="Arial" w:hAnsi="Arial" w:cs="Arial"/>
          <w:sz w:val="24"/>
          <w:szCs w:val="24"/>
        </w:rPr>
        <w:t xml:space="preserve">personas </w:t>
      </w:r>
      <w:r w:rsidR="00365E8E" w:rsidRPr="0002334A">
        <w:rPr>
          <w:rFonts w:ascii="Arial" w:hAnsi="Arial" w:cs="Arial"/>
          <w:sz w:val="24"/>
          <w:szCs w:val="24"/>
        </w:rPr>
        <w:t>egresadas</w:t>
      </w:r>
      <w:r w:rsidRPr="0002334A">
        <w:rPr>
          <w:rFonts w:ascii="Arial" w:hAnsi="Arial" w:cs="Arial"/>
          <w:sz w:val="24"/>
          <w:szCs w:val="24"/>
        </w:rPr>
        <w:t xml:space="preserve">, mientras que </w:t>
      </w:r>
      <w:r w:rsidR="00D0403B" w:rsidRPr="0002334A">
        <w:rPr>
          <w:rFonts w:ascii="Arial" w:hAnsi="Arial" w:cs="Arial"/>
          <w:sz w:val="24"/>
          <w:szCs w:val="24"/>
        </w:rPr>
        <w:t>176 mil 895</w:t>
      </w:r>
      <w:r w:rsidR="00857882" w:rsidRPr="0002334A">
        <w:rPr>
          <w:rFonts w:ascii="Arial" w:hAnsi="Arial" w:cs="Arial"/>
          <w:sz w:val="24"/>
          <w:szCs w:val="24"/>
        </w:rPr>
        <w:t xml:space="preserve"> más</w:t>
      </w:r>
      <w:r w:rsidRPr="0002334A">
        <w:rPr>
          <w:rFonts w:ascii="Arial" w:hAnsi="Arial" w:cs="Arial"/>
          <w:sz w:val="24"/>
          <w:szCs w:val="24"/>
        </w:rPr>
        <w:t xml:space="preserve"> se encontraban privadas de la libertad</w:t>
      </w:r>
      <w:r w:rsidR="0069252E">
        <w:rPr>
          <w:rFonts w:ascii="Arial" w:hAnsi="Arial" w:cs="Arial"/>
          <w:sz w:val="24"/>
          <w:szCs w:val="24"/>
        </w:rPr>
        <w:t xml:space="preserve"> al cierre del año</w:t>
      </w:r>
      <w:r w:rsidR="00365E8E" w:rsidRPr="0002334A">
        <w:rPr>
          <w:rFonts w:ascii="Arial" w:hAnsi="Arial" w:cs="Arial"/>
          <w:sz w:val="24"/>
          <w:szCs w:val="24"/>
        </w:rPr>
        <w:t xml:space="preserve">. De este último grupo, </w:t>
      </w:r>
      <w:r w:rsidR="001A15C6">
        <w:rPr>
          <w:rFonts w:ascii="Arial" w:hAnsi="Arial" w:cs="Arial"/>
          <w:sz w:val="24"/>
          <w:szCs w:val="24"/>
        </w:rPr>
        <w:t xml:space="preserve">el estado de </w:t>
      </w:r>
      <w:r w:rsidR="00365E8E" w:rsidRPr="0002334A">
        <w:rPr>
          <w:rFonts w:ascii="Arial" w:hAnsi="Arial" w:cs="Arial"/>
          <w:sz w:val="24"/>
          <w:szCs w:val="24"/>
        </w:rPr>
        <w:t xml:space="preserve">México concentró </w:t>
      </w:r>
      <w:r w:rsidR="00D0403B" w:rsidRPr="0002334A">
        <w:rPr>
          <w:rFonts w:ascii="Arial" w:hAnsi="Arial" w:cs="Arial"/>
          <w:sz w:val="24"/>
          <w:szCs w:val="24"/>
        </w:rPr>
        <w:t>15.7</w:t>
      </w:r>
      <w:r w:rsidR="00365E8E" w:rsidRPr="0002334A">
        <w:rPr>
          <w:rFonts w:ascii="Arial" w:hAnsi="Arial" w:cs="Arial"/>
          <w:sz w:val="24"/>
          <w:szCs w:val="24"/>
        </w:rPr>
        <w:t>% del total nacional.</w:t>
      </w:r>
    </w:p>
    <w:p w:rsidR="00BF2DC7" w:rsidRDefault="00BF2DC7" w:rsidP="00365E8E">
      <w:pPr>
        <w:jc w:val="center"/>
        <w:rPr>
          <w:rFonts w:ascii="Arial" w:hAnsi="Arial" w:cs="Arial"/>
          <w:b/>
          <w:i/>
          <w:sz w:val="24"/>
          <w:szCs w:val="24"/>
        </w:rPr>
      </w:pPr>
    </w:p>
    <w:p w:rsidR="00365E8E" w:rsidRDefault="00365E8E" w:rsidP="00365E8E">
      <w:pPr>
        <w:jc w:val="center"/>
        <w:rPr>
          <w:rFonts w:ascii="Arial" w:hAnsi="Arial" w:cs="Arial"/>
          <w:b/>
          <w:i/>
          <w:sz w:val="24"/>
          <w:szCs w:val="24"/>
        </w:rPr>
      </w:pPr>
      <w:r>
        <w:rPr>
          <w:rFonts w:ascii="Arial" w:hAnsi="Arial" w:cs="Arial"/>
          <w:b/>
          <w:i/>
          <w:sz w:val="24"/>
          <w:szCs w:val="24"/>
        </w:rPr>
        <w:t xml:space="preserve">Gráfica </w:t>
      </w:r>
      <w:r w:rsidR="00B56AF7">
        <w:rPr>
          <w:rFonts w:ascii="Arial" w:hAnsi="Arial" w:cs="Arial"/>
          <w:b/>
          <w:i/>
          <w:sz w:val="24"/>
          <w:szCs w:val="24"/>
        </w:rPr>
        <w:t>3</w:t>
      </w:r>
      <w:r>
        <w:rPr>
          <w:rFonts w:ascii="Arial" w:hAnsi="Arial" w:cs="Arial"/>
          <w:b/>
          <w:i/>
          <w:sz w:val="24"/>
          <w:szCs w:val="24"/>
        </w:rPr>
        <w:t>. Personas privadas de la libertad en los centros penitenciarios estatales</w:t>
      </w:r>
      <w:r w:rsidRPr="00171B57">
        <w:rPr>
          <w:rFonts w:ascii="Arial" w:hAnsi="Arial" w:cs="Arial"/>
          <w:b/>
          <w:i/>
          <w:sz w:val="24"/>
          <w:szCs w:val="24"/>
        </w:rPr>
        <w:t>, por entidad federativa</w:t>
      </w:r>
      <w:r>
        <w:rPr>
          <w:rFonts w:ascii="Arial" w:hAnsi="Arial" w:cs="Arial"/>
          <w:b/>
          <w:i/>
          <w:sz w:val="24"/>
          <w:szCs w:val="24"/>
        </w:rPr>
        <w:t>, 2018</w:t>
      </w:r>
    </w:p>
    <w:p w:rsidR="00365E8E" w:rsidRPr="00817563" w:rsidRDefault="002B6F87" w:rsidP="00817563">
      <w:pPr>
        <w:jc w:val="center"/>
        <w:rPr>
          <w:rFonts w:ascii="Arial" w:hAnsi="Arial" w:cs="Arial"/>
          <w:b/>
          <w:i/>
          <w:sz w:val="24"/>
          <w:szCs w:val="24"/>
        </w:rPr>
      </w:pPr>
      <w:r>
        <w:rPr>
          <w:noProof/>
          <w:lang w:val="en-US"/>
        </w:rPr>
        <w:drawing>
          <wp:inline distT="0" distB="0" distL="0" distR="0" wp14:anchorId="3E3B46DE" wp14:editId="7A04EDE1">
            <wp:extent cx="5295900" cy="5148263"/>
            <wp:effectExtent l="0" t="0" r="0" b="0"/>
            <wp:docPr id="1" name="Gráfico 1">
              <a:extLst xmlns:a="http://schemas.openxmlformats.org/drawingml/2006/main">
                <a:ext uri="{FF2B5EF4-FFF2-40B4-BE49-F238E27FC236}">
                  <a16:creationId xmlns:a16="http://schemas.microsoft.com/office/drawing/2014/main" id="{44A6649F-70B4-4396-9D4E-096C35B7D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65E8E" w:rsidRPr="007E6AAC" w:rsidRDefault="00365E8E" w:rsidP="00365E8E">
      <w:pPr>
        <w:tabs>
          <w:tab w:val="left" w:pos="5230"/>
        </w:tabs>
        <w:rPr>
          <w:rFonts w:ascii="Arial" w:hAnsi="Arial" w:cs="Arial"/>
          <w:sz w:val="24"/>
          <w:szCs w:val="24"/>
        </w:rPr>
      </w:pPr>
      <w:r>
        <w:rPr>
          <w:rFonts w:ascii="Arial" w:hAnsi="Arial" w:cs="Arial"/>
          <w:sz w:val="24"/>
          <w:szCs w:val="24"/>
        </w:rPr>
        <w:tab/>
      </w:r>
    </w:p>
    <w:p w:rsidR="003010A4" w:rsidRDefault="003010A4" w:rsidP="004948BD">
      <w:pPr>
        <w:jc w:val="both"/>
        <w:rPr>
          <w:rFonts w:ascii="Arial" w:hAnsi="Arial" w:cs="Arial"/>
          <w:sz w:val="24"/>
          <w:szCs w:val="24"/>
        </w:rPr>
      </w:pPr>
    </w:p>
    <w:p w:rsidR="003010A4" w:rsidRDefault="003010A4" w:rsidP="004948BD">
      <w:pPr>
        <w:jc w:val="both"/>
        <w:rPr>
          <w:rFonts w:ascii="Arial" w:hAnsi="Arial" w:cs="Arial"/>
          <w:sz w:val="24"/>
          <w:szCs w:val="24"/>
        </w:rPr>
      </w:pPr>
    </w:p>
    <w:p w:rsidR="007213F3" w:rsidRDefault="00E359FD" w:rsidP="004948BD">
      <w:pPr>
        <w:jc w:val="both"/>
        <w:rPr>
          <w:rFonts w:ascii="Arial" w:hAnsi="Arial" w:cs="Arial"/>
          <w:sz w:val="24"/>
          <w:szCs w:val="24"/>
        </w:rPr>
      </w:pPr>
      <w:r>
        <w:rPr>
          <w:rFonts w:ascii="Arial" w:hAnsi="Arial" w:cs="Arial"/>
          <w:sz w:val="24"/>
          <w:szCs w:val="24"/>
        </w:rPr>
        <w:lastRenderedPageBreak/>
        <w:t>En cuanto a la</w:t>
      </w:r>
      <w:r w:rsidR="004948BD">
        <w:rPr>
          <w:rFonts w:ascii="Arial" w:hAnsi="Arial" w:cs="Arial"/>
          <w:sz w:val="24"/>
          <w:szCs w:val="24"/>
        </w:rPr>
        <w:t xml:space="preserve"> relación entre población </w:t>
      </w:r>
      <w:r w:rsidR="005C5319">
        <w:rPr>
          <w:rFonts w:ascii="Arial" w:hAnsi="Arial" w:cs="Arial"/>
          <w:sz w:val="24"/>
          <w:szCs w:val="24"/>
        </w:rPr>
        <w:t xml:space="preserve">adulta </w:t>
      </w:r>
      <w:r w:rsidR="004948BD">
        <w:rPr>
          <w:rFonts w:ascii="Arial" w:hAnsi="Arial" w:cs="Arial"/>
          <w:sz w:val="24"/>
          <w:szCs w:val="24"/>
        </w:rPr>
        <w:t>privada de la libertad y la capacidad instalada</w:t>
      </w:r>
      <w:r>
        <w:rPr>
          <w:rFonts w:ascii="Arial" w:hAnsi="Arial" w:cs="Arial"/>
          <w:sz w:val="24"/>
          <w:szCs w:val="24"/>
        </w:rPr>
        <w:t xml:space="preserve"> </w:t>
      </w:r>
      <w:r w:rsidR="004948BD">
        <w:rPr>
          <w:rFonts w:ascii="Arial" w:hAnsi="Arial" w:cs="Arial"/>
          <w:sz w:val="24"/>
          <w:szCs w:val="24"/>
        </w:rPr>
        <w:t>en los centros penitenciarios estatales</w:t>
      </w:r>
      <w:r>
        <w:rPr>
          <w:rFonts w:ascii="Arial" w:hAnsi="Arial" w:cs="Arial"/>
          <w:sz w:val="24"/>
          <w:szCs w:val="24"/>
        </w:rPr>
        <w:t xml:space="preserve">, al cierre </w:t>
      </w:r>
      <w:r w:rsidR="001B2305">
        <w:rPr>
          <w:rFonts w:ascii="Arial" w:hAnsi="Arial" w:cs="Arial"/>
          <w:sz w:val="24"/>
          <w:szCs w:val="24"/>
        </w:rPr>
        <w:t>de 2018</w:t>
      </w:r>
      <w:r>
        <w:rPr>
          <w:rFonts w:ascii="Arial" w:hAnsi="Arial" w:cs="Arial"/>
          <w:sz w:val="24"/>
          <w:szCs w:val="24"/>
        </w:rPr>
        <w:t xml:space="preserve"> las entidades que registraron </w:t>
      </w:r>
      <w:r w:rsidR="00784E35">
        <w:rPr>
          <w:rFonts w:ascii="Arial" w:hAnsi="Arial" w:cs="Arial"/>
          <w:sz w:val="24"/>
          <w:szCs w:val="24"/>
        </w:rPr>
        <w:t xml:space="preserve">los porcentajes más altos </w:t>
      </w:r>
      <w:r w:rsidR="004948BD">
        <w:rPr>
          <w:rFonts w:ascii="Arial" w:hAnsi="Arial" w:cs="Arial"/>
          <w:sz w:val="24"/>
          <w:szCs w:val="24"/>
        </w:rPr>
        <w:t xml:space="preserve">de sobrepoblación </w:t>
      </w:r>
      <w:r>
        <w:rPr>
          <w:rFonts w:ascii="Arial" w:hAnsi="Arial" w:cs="Arial"/>
          <w:sz w:val="24"/>
          <w:szCs w:val="24"/>
        </w:rPr>
        <w:t>fueron</w:t>
      </w:r>
      <w:r w:rsidR="001B2305">
        <w:rPr>
          <w:rFonts w:ascii="Arial" w:hAnsi="Arial" w:cs="Arial"/>
          <w:sz w:val="24"/>
          <w:szCs w:val="24"/>
        </w:rPr>
        <w:t>:</w:t>
      </w:r>
      <w:r>
        <w:rPr>
          <w:rFonts w:ascii="Arial" w:hAnsi="Arial" w:cs="Arial"/>
          <w:sz w:val="24"/>
          <w:szCs w:val="24"/>
        </w:rPr>
        <w:t xml:space="preserve"> </w:t>
      </w:r>
      <w:r w:rsidR="00784E35">
        <w:rPr>
          <w:rFonts w:ascii="Arial" w:hAnsi="Arial" w:cs="Arial"/>
          <w:sz w:val="24"/>
          <w:szCs w:val="24"/>
        </w:rPr>
        <w:t xml:space="preserve">México (113.4%), </w:t>
      </w:r>
      <w:r>
        <w:rPr>
          <w:rFonts w:ascii="Arial" w:hAnsi="Arial" w:cs="Arial"/>
          <w:sz w:val="24"/>
          <w:szCs w:val="24"/>
        </w:rPr>
        <w:t>Nayarit</w:t>
      </w:r>
      <w:r w:rsidR="00784E35">
        <w:rPr>
          <w:rFonts w:ascii="Arial" w:hAnsi="Arial" w:cs="Arial"/>
          <w:sz w:val="24"/>
          <w:szCs w:val="24"/>
        </w:rPr>
        <w:t xml:space="preserve"> (84.8%) y</w:t>
      </w:r>
      <w:r>
        <w:rPr>
          <w:rFonts w:ascii="Arial" w:hAnsi="Arial" w:cs="Arial"/>
          <w:sz w:val="24"/>
          <w:szCs w:val="24"/>
        </w:rPr>
        <w:t xml:space="preserve"> Durango</w:t>
      </w:r>
      <w:r w:rsidR="00784E35">
        <w:rPr>
          <w:rFonts w:ascii="Arial" w:hAnsi="Arial" w:cs="Arial"/>
          <w:sz w:val="24"/>
          <w:szCs w:val="24"/>
        </w:rPr>
        <w:t xml:space="preserve"> (78.8%)</w:t>
      </w:r>
      <w:r>
        <w:rPr>
          <w:rFonts w:ascii="Arial" w:hAnsi="Arial" w:cs="Arial"/>
          <w:sz w:val="24"/>
          <w:szCs w:val="24"/>
        </w:rPr>
        <w:t xml:space="preserve">. </w:t>
      </w:r>
    </w:p>
    <w:p w:rsidR="00857882" w:rsidRDefault="00857882" w:rsidP="00857882">
      <w:pPr>
        <w:jc w:val="center"/>
        <w:rPr>
          <w:rFonts w:ascii="Arial" w:hAnsi="Arial" w:cs="Arial"/>
          <w:b/>
          <w:i/>
          <w:sz w:val="24"/>
          <w:szCs w:val="24"/>
        </w:rPr>
      </w:pPr>
    </w:p>
    <w:p w:rsidR="00857882" w:rsidRDefault="00857882" w:rsidP="00857882">
      <w:pPr>
        <w:jc w:val="center"/>
        <w:rPr>
          <w:rFonts w:ascii="Arial" w:hAnsi="Arial" w:cs="Arial"/>
          <w:b/>
          <w:i/>
          <w:sz w:val="24"/>
          <w:szCs w:val="24"/>
        </w:rPr>
      </w:pPr>
      <w:r>
        <w:rPr>
          <w:rFonts w:ascii="Arial" w:hAnsi="Arial" w:cs="Arial"/>
          <w:b/>
          <w:i/>
          <w:sz w:val="24"/>
          <w:szCs w:val="24"/>
        </w:rPr>
        <w:t xml:space="preserve">Mapa </w:t>
      </w:r>
      <w:r w:rsidR="007205DD">
        <w:rPr>
          <w:rFonts w:ascii="Arial" w:hAnsi="Arial" w:cs="Arial"/>
          <w:b/>
          <w:i/>
          <w:sz w:val="24"/>
          <w:szCs w:val="24"/>
        </w:rPr>
        <w:t>4</w:t>
      </w:r>
      <w:r w:rsidRPr="005C7D48">
        <w:rPr>
          <w:rFonts w:ascii="Arial" w:hAnsi="Arial" w:cs="Arial"/>
          <w:b/>
          <w:i/>
          <w:sz w:val="24"/>
          <w:szCs w:val="24"/>
        </w:rPr>
        <w:t xml:space="preserve">. </w:t>
      </w:r>
      <w:r>
        <w:rPr>
          <w:rFonts w:ascii="Arial" w:hAnsi="Arial" w:cs="Arial"/>
          <w:b/>
          <w:i/>
          <w:sz w:val="24"/>
          <w:szCs w:val="24"/>
        </w:rPr>
        <w:t>Porcentaje de sobrepoblación en los centros penitenciarios estatales, 2018</w:t>
      </w:r>
    </w:p>
    <w:p w:rsidR="007213F3" w:rsidRDefault="00B56AF7" w:rsidP="009F4A9B">
      <w:pPr>
        <w:spacing w:after="0"/>
        <w:rPr>
          <w:rFonts w:ascii="Arial" w:hAnsi="Arial" w:cs="Arial"/>
          <w:b/>
          <w:bCs/>
          <w:sz w:val="24"/>
          <w:szCs w:val="24"/>
        </w:rPr>
      </w:pPr>
      <w:r>
        <w:rPr>
          <w:rFonts w:ascii="Arial" w:hAnsi="Arial" w:cs="Arial"/>
          <w:b/>
          <w:bCs/>
          <w:noProof/>
          <w:sz w:val="24"/>
          <w:szCs w:val="24"/>
          <w:lang w:val="en-US"/>
        </w:rPr>
        <w:drawing>
          <wp:inline distT="0" distB="0" distL="0" distR="0" wp14:anchorId="45F79A28" wp14:editId="222280BB">
            <wp:extent cx="5562600" cy="3639664"/>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7576" cy="3656006"/>
                    </a:xfrm>
                    <a:prstGeom prst="rect">
                      <a:avLst/>
                    </a:prstGeom>
                    <a:noFill/>
                  </pic:spPr>
                </pic:pic>
              </a:graphicData>
            </a:graphic>
          </wp:inline>
        </w:drawing>
      </w:r>
    </w:p>
    <w:p w:rsidR="00C25D8D" w:rsidRDefault="00C25D8D" w:rsidP="009F4A9B">
      <w:pPr>
        <w:tabs>
          <w:tab w:val="left" w:pos="5230"/>
        </w:tabs>
        <w:spacing w:after="0"/>
        <w:jc w:val="both"/>
        <w:rPr>
          <w:rFonts w:ascii="Arial" w:hAnsi="Arial" w:cs="Arial"/>
          <w:sz w:val="18"/>
          <w:szCs w:val="18"/>
        </w:rPr>
      </w:pPr>
    </w:p>
    <w:p w:rsidR="00817563" w:rsidRPr="00C25D8D" w:rsidRDefault="00817563" w:rsidP="009F4A9B">
      <w:pPr>
        <w:tabs>
          <w:tab w:val="left" w:pos="5230"/>
        </w:tabs>
        <w:spacing w:after="0"/>
        <w:jc w:val="both"/>
        <w:rPr>
          <w:rFonts w:ascii="Arial" w:hAnsi="Arial" w:cs="Arial"/>
          <w:sz w:val="18"/>
          <w:szCs w:val="18"/>
        </w:rPr>
      </w:pPr>
      <w:r w:rsidRPr="00C25D8D">
        <w:rPr>
          <w:rFonts w:ascii="Arial" w:hAnsi="Arial" w:cs="Arial"/>
          <w:sz w:val="18"/>
          <w:szCs w:val="18"/>
        </w:rPr>
        <w:t xml:space="preserve">NOTA: </w:t>
      </w:r>
      <w:r w:rsidR="00B26B71" w:rsidRPr="00C25D8D">
        <w:rPr>
          <w:rFonts w:ascii="Arial" w:hAnsi="Arial" w:cs="Arial"/>
          <w:sz w:val="18"/>
          <w:szCs w:val="18"/>
        </w:rPr>
        <w:t>e</w:t>
      </w:r>
      <w:r w:rsidR="00410810" w:rsidRPr="00C25D8D">
        <w:rPr>
          <w:rFonts w:ascii="Arial" w:hAnsi="Arial" w:cs="Arial"/>
          <w:sz w:val="18"/>
          <w:szCs w:val="18"/>
        </w:rPr>
        <w:t>l</w:t>
      </w:r>
      <w:r w:rsidR="007A4C6F" w:rsidRPr="00C25D8D">
        <w:rPr>
          <w:rFonts w:ascii="Arial" w:hAnsi="Arial" w:cs="Arial"/>
          <w:sz w:val="18"/>
          <w:szCs w:val="18"/>
        </w:rPr>
        <w:t xml:space="preserve"> porcentaje de sobrepoblación se obtiene de</w:t>
      </w:r>
      <w:r w:rsidR="005F4682">
        <w:rPr>
          <w:rFonts w:ascii="Arial" w:hAnsi="Arial" w:cs="Arial"/>
          <w:sz w:val="18"/>
          <w:szCs w:val="18"/>
        </w:rPr>
        <w:t xml:space="preserve"> dividir</w:t>
      </w:r>
      <w:r w:rsidR="00410810" w:rsidRPr="00C25D8D">
        <w:rPr>
          <w:rFonts w:ascii="Arial" w:hAnsi="Arial" w:cs="Arial"/>
          <w:sz w:val="18"/>
          <w:szCs w:val="18"/>
        </w:rPr>
        <w:t xml:space="preserve"> </w:t>
      </w:r>
      <w:r w:rsidR="007A4C6F" w:rsidRPr="00C25D8D">
        <w:rPr>
          <w:rFonts w:ascii="Arial" w:hAnsi="Arial" w:cs="Arial"/>
          <w:sz w:val="18"/>
          <w:szCs w:val="18"/>
        </w:rPr>
        <w:t xml:space="preserve">la cantidad </w:t>
      </w:r>
      <w:r w:rsidR="005F4682">
        <w:rPr>
          <w:rFonts w:ascii="Arial" w:hAnsi="Arial" w:cs="Arial"/>
          <w:sz w:val="18"/>
          <w:szCs w:val="18"/>
        </w:rPr>
        <w:t xml:space="preserve">total </w:t>
      </w:r>
      <w:r w:rsidR="007A4C6F" w:rsidRPr="00C25D8D">
        <w:rPr>
          <w:rFonts w:ascii="Arial" w:hAnsi="Arial" w:cs="Arial"/>
          <w:sz w:val="18"/>
          <w:szCs w:val="18"/>
        </w:rPr>
        <w:t xml:space="preserve">de </w:t>
      </w:r>
      <w:r w:rsidR="00410810" w:rsidRPr="00C25D8D">
        <w:rPr>
          <w:rFonts w:ascii="Arial" w:hAnsi="Arial" w:cs="Arial"/>
          <w:sz w:val="18"/>
          <w:szCs w:val="18"/>
        </w:rPr>
        <w:t>personas privadas de la libertad entre la</w:t>
      </w:r>
      <w:r w:rsidR="002A28A8" w:rsidRPr="00C25D8D">
        <w:rPr>
          <w:rFonts w:ascii="Arial" w:hAnsi="Arial" w:cs="Arial"/>
          <w:sz w:val="18"/>
          <w:szCs w:val="18"/>
        </w:rPr>
        <w:t>s camas útiles</w:t>
      </w:r>
      <w:r w:rsidR="00410810" w:rsidRPr="00C25D8D">
        <w:rPr>
          <w:rFonts w:ascii="Arial" w:hAnsi="Arial" w:cs="Arial"/>
          <w:sz w:val="18"/>
          <w:szCs w:val="18"/>
        </w:rPr>
        <w:t xml:space="preserve"> </w:t>
      </w:r>
      <w:r w:rsidR="002A28A8" w:rsidRPr="00C25D8D">
        <w:rPr>
          <w:rFonts w:ascii="Arial" w:hAnsi="Arial" w:cs="Arial"/>
          <w:sz w:val="18"/>
          <w:szCs w:val="18"/>
        </w:rPr>
        <w:t>(</w:t>
      </w:r>
      <w:r w:rsidR="00410810" w:rsidRPr="00C25D8D">
        <w:rPr>
          <w:rFonts w:ascii="Arial" w:hAnsi="Arial" w:cs="Arial"/>
          <w:sz w:val="18"/>
          <w:szCs w:val="18"/>
        </w:rPr>
        <w:t>capacidad instalada</w:t>
      </w:r>
      <w:r w:rsidR="002A28A8" w:rsidRPr="00C25D8D">
        <w:rPr>
          <w:rFonts w:ascii="Arial" w:hAnsi="Arial" w:cs="Arial"/>
          <w:sz w:val="18"/>
          <w:szCs w:val="18"/>
        </w:rPr>
        <w:t>)</w:t>
      </w:r>
      <w:r w:rsidR="00410810" w:rsidRPr="00C25D8D">
        <w:rPr>
          <w:rFonts w:ascii="Arial" w:hAnsi="Arial" w:cs="Arial"/>
          <w:sz w:val="18"/>
          <w:szCs w:val="18"/>
        </w:rPr>
        <w:t>, menos uno, por cien. El valor</w:t>
      </w:r>
      <w:r w:rsidR="005F4682">
        <w:rPr>
          <w:rFonts w:ascii="Arial" w:hAnsi="Arial" w:cs="Arial"/>
          <w:sz w:val="18"/>
          <w:szCs w:val="18"/>
        </w:rPr>
        <w:t xml:space="preserve"> positivo indica que existe más</w:t>
      </w:r>
      <w:r w:rsidR="00410810" w:rsidRPr="00C25D8D">
        <w:rPr>
          <w:rFonts w:ascii="Arial" w:hAnsi="Arial" w:cs="Arial"/>
          <w:sz w:val="18"/>
          <w:szCs w:val="18"/>
        </w:rPr>
        <w:t xml:space="preserve"> po</w:t>
      </w:r>
      <w:r w:rsidR="005F4682">
        <w:rPr>
          <w:rFonts w:ascii="Arial" w:hAnsi="Arial" w:cs="Arial"/>
          <w:sz w:val="18"/>
          <w:szCs w:val="18"/>
        </w:rPr>
        <w:t>blación que camas disponibles. E</w:t>
      </w:r>
      <w:r w:rsidR="00410810" w:rsidRPr="00C25D8D">
        <w:rPr>
          <w:rFonts w:ascii="Arial" w:hAnsi="Arial" w:cs="Arial"/>
          <w:sz w:val="18"/>
          <w:szCs w:val="18"/>
        </w:rPr>
        <w:t xml:space="preserve">l valor negativo </w:t>
      </w:r>
      <w:r w:rsidR="005F4682">
        <w:rPr>
          <w:rFonts w:ascii="Arial" w:hAnsi="Arial" w:cs="Arial"/>
          <w:sz w:val="18"/>
          <w:szCs w:val="18"/>
        </w:rPr>
        <w:t>significa que</w:t>
      </w:r>
      <w:r w:rsidR="00410810" w:rsidRPr="00C25D8D">
        <w:rPr>
          <w:rFonts w:ascii="Arial" w:hAnsi="Arial" w:cs="Arial"/>
          <w:sz w:val="18"/>
          <w:szCs w:val="18"/>
        </w:rPr>
        <w:t xml:space="preserve"> </w:t>
      </w:r>
      <w:r w:rsidR="002A28A8" w:rsidRPr="00C25D8D">
        <w:rPr>
          <w:rFonts w:ascii="Arial" w:hAnsi="Arial" w:cs="Arial"/>
          <w:sz w:val="18"/>
          <w:szCs w:val="18"/>
        </w:rPr>
        <w:t xml:space="preserve">la </w:t>
      </w:r>
      <w:r w:rsidR="005F4682">
        <w:rPr>
          <w:rFonts w:ascii="Arial" w:hAnsi="Arial" w:cs="Arial"/>
          <w:sz w:val="18"/>
          <w:szCs w:val="18"/>
        </w:rPr>
        <w:t>cantidad</w:t>
      </w:r>
      <w:r w:rsidR="002A28A8" w:rsidRPr="00C25D8D">
        <w:rPr>
          <w:rFonts w:ascii="Arial" w:hAnsi="Arial" w:cs="Arial"/>
          <w:sz w:val="18"/>
          <w:szCs w:val="18"/>
        </w:rPr>
        <w:t xml:space="preserve"> de </w:t>
      </w:r>
      <w:r w:rsidR="00410810" w:rsidRPr="00C25D8D">
        <w:rPr>
          <w:rFonts w:ascii="Arial" w:hAnsi="Arial" w:cs="Arial"/>
          <w:sz w:val="18"/>
          <w:szCs w:val="18"/>
        </w:rPr>
        <w:t>espacios</w:t>
      </w:r>
      <w:r w:rsidR="005F4682">
        <w:rPr>
          <w:rFonts w:ascii="Arial" w:hAnsi="Arial" w:cs="Arial"/>
          <w:sz w:val="18"/>
          <w:szCs w:val="18"/>
        </w:rPr>
        <w:t xml:space="preserve"> existentes</w:t>
      </w:r>
      <w:r w:rsidR="002A28A8" w:rsidRPr="00C25D8D">
        <w:rPr>
          <w:rFonts w:ascii="Arial" w:hAnsi="Arial" w:cs="Arial"/>
          <w:sz w:val="18"/>
          <w:szCs w:val="18"/>
        </w:rPr>
        <w:t xml:space="preserve"> es mayor a la población</w:t>
      </w:r>
      <w:r w:rsidR="005F4682">
        <w:rPr>
          <w:rFonts w:ascii="Arial" w:hAnsi="Arial" w:cs="Arial"/>
          <w:sz w:val="18"/>
          <w:szCs w:val="18"/>
        </w:rPr>
        <w:t xml:space="preserve"> penitenciaria</w:t>
      </w:r>
      <w:r w:rsidR="002A28A8" w:rsidRPr="00C25D8D">
        <w:rPr>
          <w:rFonts w:ascii="Arial" w:hAnsi="Arial" w:cs="Arial"/>
          <w:sz w:val="18"/>
          <w:szCs w:val="18"/>
        </w:rPr>
        <w:t>.</w:t>
      </w:r>
    </w:p>
    <w:p w:rsidR="009F4A9B" w:rsidRDefault="009F4A9B" w:rsidP="009F4A9B">
      <w:pPr>
        <w:tabs>
          <w:tab w:val="left" w:pos="5230"/>
        </w:tabs>
        <w:spacing w:after="0"/>
        <w:jc w:val="both"/>
        <w:rPr>
          <w:rFonts w:ascii="Arial" w:hAnsi="Arial" w:cs="Arial"/>
          <w:sz w:val="20"/>
          <w:szCs w:val="20"/>
        </w:rPr>
      </w:pPr>
    </w:p>
    <w:p w:rsidR="009F4A9B" w:rsidRPr="00365E8E" w:rsidRDefault="009F4A9B" w:rsidP="009F4A9B">
      <w:pPr>
        <w:tabs>
          <w:tab w:val="left" w:pos="5230"/>
        </w:tabs>
        <w:spacing w:after="0"/>
        <w:jc w:val="both"/>
        <w:rPr>
          <w:rFonts w:ascii="Arial" w:hAnsi="Arial" w:cs="Arial"/>
          <w:sz w:val="20"/>
          <w:szCs w:val="20"/>
        </w:rPr>
      </w:pPr>
    </w:p>
    <w:p w:rsidR="003010A4" w:rsidRDefault="003010A4" w:rsidP="007A4C6F">
      <w:pPr>
        <w:jc w:val="both"/>
        <w:rPr>
          <w:rFonts w:ascii="Arial" w:hAnsi="Arial" w:cs="Arial"/>
          <w:sz w:val="24"/>
          <w:szCs w:val="24"/>
        </w:rPr>
      </w:pPr>
    </w:p>
    <w:p w:rsidR="003010A4" w:rsidRDefault="003010A4" w:rsidP="007A4C6F">
      <w:pPr>
        <w:jc w:val="both"/>
        <w:rPr>
          <w:rFonts w:ascii="Arial" w:hAnsi="Arial" w:cs="Arial"/>
          <w:sz w:val="24"/>
          <w:szCs w:val="24"/>
        </w:rPr>
      </w:pPr>
    </w:p>
    <w:p w:rsidR="003010A4" w:rsidRDefault="003010A4" w:rsidP="007A4C6F">
      <w:pPr>
        <w:jc w:val="both"/>
        <w:rPr>
          <w:rFonts w:ascii="Arial" w:hAnsi="Arial" w:cs="Arial"/>
          <w:sz w:val="24"/>
          <w:szCs w:val="24"/>
        </w:rPr>
      </w:pPr>
    </w:p>
    <w:p w:rsidR="003010A4" w:rsidRDefault="003010A4" w:rsidP="007A4C6F">
      <w:pPr>
        <w:jc w:val="both"/>
        <w:rPr>
          <w:rFonts w:ascii="Arial" w:hAnsi="Arial" w:cs="Arial"/>
          <w:sz w:val="24"/>
          <w:szCs w:val="24"/>
        </w:rPr>
      </w:pPr>
    </w:p>
    <w:p w:rsidR="003010A4" w:rsidRDefault="003010A4" w:rsidP="007A4C6F">
      <w:pPr>
        <w:jc w:val="both"/>
        <w:rPr>
          <w:rFonts w:ascii="Arial" w:hAnsi="Arial" w:cs="Arial"/>
          <w:sz w:val="24"/>
          <w:szCs w:val="24"/>
        </w:rPr>
      </w:pPr>
    </w:p>
    <w:p w:rsidR="003010A4" w:rsidRDefault="003010A4" w:rsidP="007A4C6F">
      <w:pPr>
        <w:jc w:val="both"/>
        <w:rPr>
          <w:rFonts w:ascii="Arial" w:hAnsi="Arial" w:cs="Arial"/>
          <w:sz w:val="24"/>
          <w:szCs w:val="24"/>
        </w:rPr>
      </w:pPr>
    </w:p>
    <w:p w:rsidR="009F4A9B" w:rsidRDefault="008248A5" w:rsidP="007A4C6F">
      <w:pPr>
        <w:jc w:val="both"/>
        <w:rPr>
          <w:rFonts w:ascii="Arial" w:hAnsi="Arial" w:cs="Arial"/>
          <w:sz w:val="24"/>
          <w:szCs w:val="24"/>
        </w:rPr>
      </w:pPr>
      <w:r>
        <w:rPr>
          <w:rFonts w:ascii="Arial" w:hAnsi="Arial" w:cs="Arial"/>
          <w:sz w:val="24"/>
          <w:szCs w:val="24"/>
        </w:rPr>
        <w:lastRenderedPageBreak/>
        <w:t>Respecto de</w:t>
      </w:r>
      <w:r w:rsidR="005C6208" w:rsidRPr="005C6208">
        <w:rPr>
          <w:rFonts w:ascii="Arial" w:hAnsi="Arial" w:cs="Arial"/>
          <w:sz w:val="24"/>
          <w:szCs w:val="24"/>
        </w:rPr>
        <w:t xml:space="preserve"> </w:t>
      </w:r>
      <w:r w:rsidR="005C6208">
        <w:rPr>
          <w:rFonts w:ascii="Arial" w:hAnsi="Arial" w:cs="Arial"/>
          <w:sz w:val="24"/>
          <w:szCs w:val="24"/>
        </w:rPr>
        <w:t>los</w:t>
      </w:r>
      <w:r w:rsidR="005C6208" w:rsidRPr="005C6208">
        <w:rPr>
          <w:rFonts w:ascii="Arial" w:hAnsi="Arial" w:cs="Arial"/>
          <w:sz w:val="24"/>
          <w:szCs w:val="24"/>
        </w:rPr>
        <w:t xml:space="preserve"> centros de tratamiento o internamien</w:t>
      </w:r>
      <w:r w:rsidR="005C6208">
        <w:rPr>
          <w:rFonts w:ascii="Arial" w:hAnsi="Arial" w:cs="Arial"/>
          <w:sz w:val="24"/>
          <w:szCs w:val="24"/>
        </w:rPr>
        <w:t>to</w:t>
      </w:r>
      <w:r w:rsidR="00F32269">
        <w:rPr>
          <w:rFonts w:ascii="Arial" w:hAnsi="Arial" w:cs="Arial"/>
          <w:sz w:val="24"/>
          <w:szCs w:val="24"/>
        </w:rPr>
        <w:t>,</w:t>
      </w:r>
      <w:r w:rsidR="005C6208">
        <w:rPr>
          <w:rFonts w:ascii="Arial" w:hAnsi="Arial" w:cs="Arial"/>
          <w:sz w:val="24"/>
          <w:szCs w:val="24"/>
        </w:rPr>
        <w:t xml:space="preserve"> </w:t>
      </w:r>
      <w:r w:rsidR="002A28A8">
        <w:rPr>
          <w:rFonts w:ascii="Arial" w:hAnsi="Arial" w:cs="Arial"/>
          <w:sz w:val="24"/>
          <w:szCs w:val="24"/>
        </w:rPr>
        <w:t>2 mil 067</w:t>
      </w:r>
      <w:r w:rsidR="00F32269">
        <w:rPr>
          <w:rFonts w:ascii="Arial" w:hAnsi="Arial" w:cs="Arial"/>
          <w:sz w:val="24"/>
          <w:szCs w:val="24"/>
        </w:rPr>
        <w:t xml:space="preserve"> adolescentes</w:t>
      </w:r>
      <w:r w:rsidR="002A28A8">
        <w:rPr>
          <w:rFonts w:ascii="Arial" w:hAnsi="Arial" w:cs="Arial"/>
          <w:sz w:val="24"/>
          <w:szCs w:val="24"/>
        </w:rPr>
        <w:t xml:space="preserve"> ingresaron</w:t>
      </w:r>
      <w:r w:rsidR="00F32269">
        <w:rPr>
          <w:rFonts w:ascii="Arial" w:hAnsi="Arial" w:cs="Arial"/>
          <w:sz w:val="24"/>
          <w:szCs w:val="24"/>
        </w:rPr>
        <w:t xml:space="preserve"> y </w:t>
      </w:r>
      <w:r w:rsidR="002A28A8">
        <w:rPr>
          <w:rFonts w:ascii="Arial" w:hAnsi="Arial" w:cs="Arial"/>
          <w:sz w:val="24"/>
          <w:szCs w:val="24"/>
        </w:rPr>
        <w:t>2 mil 069 egresaron</w:t>
      </w:r>
      <w:r w:rsidR="00F32269">
        <w:rPr>
          <w:rFonts w:ascii="Arial" w:hAnsi="Arial" w:cs="Arial"/>
          <w:sz w:val="24"/>
          <w:szCs w:val="24"/>
        </w:rPr>
        <w:t xml:space="preserve"> durante </w:t>
      </w:r>
      <w:r w:rsidR="009854E5">
        <w:rPr>
          <w:rFonts w:ascii="Arial" w:hAnsi="Arial" w:cs="Arial"/>
          <w:sz w:val="24"/>
          <w:szCs w:val="24"/>
        </w:rPr>
        <w:t>2018</w:t>
      </w:r>
      <w:r w:rsidR="00F32269">
        <w:rPr>
          <w:rFonts w:ascii="Arial" w:hAnsi="Arial" w:cs="Arial"/>
          <w:sz w:val="24"/>
          <w:szCs w:val="24"/>
        </w:rPr>
        <w:t xml:space="preserve">, mientras que al </w:t>
      </w:r>
      <w:r w:rsidR="002A28A8">
        <w:rPr>
          <w:rFonts w:ascii="Arial" w:hAnsi="Arial" w:cs="Arial"/>
          <w:sz w:val="24"/>
          <w:szCs w:val="24"/>
        </w:rPr>
        <w:t xml:space="preserve">cierre del </w:t>
      </w:r>
      <w:r w:rsidR="009854E5">
        <w:rPr>
          <w:rFonts w:ascii="Arial" w:hAnsi="Arial" w:cs="Arial"/>
          <w:sz w:val="24"/>
          <w:szCs w:val="24"/>
        </w:rPr>
        <w:t>año</w:t>
      </w:r>
      <w:r w:rsidR="00F32269">
        <w:rPr>
          <w:rFonts w:ascii="Arial" w:hAnsi="Arial" w:cs="Arial"/>
          <w:sz w:val="24"/>
          <w:szCs w:val="24"/>
        </w:rPr>
        <w:t xml:space="preserve"> </w:t>
      </w:r>
      <w:r w:rsidR="002A28A8">
        <w:rPr>
          <w:rFonts w:ascii="Arial" w:hAnsi="Arial" w:cs="Arial"/>
          <w:sz w:val="24"/>
          <w:szCs w:val="24"/>
        </w:rPr>
        <w:t xml:space="preserve">mil </w:t>
      </w:r>
      <w:r w:rsidR="002A28A8" w:rsidRPr="002A28A8">
        <w:rPr>
          <w:rFonts w:ascii="Arial" w:hAnsi="Arial" w:cs="Arial"/>
          <w:sz w:val="24"/>
          <w:szCs w:val="24"/>
        </w:rPr>
        <w:t>586</w:t>
      </w:r>
      <w:r w:rsidR="002A28A8">
        <w:rPr>
          <w:rFonts w:ascii="Arial" w:hAnsi="Arial" w:cs="Arial"/>
          <w:sz w:val="24"/>
          <w:szCs w:val="24"/>
        </w:rPr>
        <w:t xml:space="preserve"> permanecieron internados</w:t>
      </w:r>
      <w:r w:rsidR="009F4A9B">
        <w:rPr>
          <w:rFonts w:ascii="Arial" w:hAnsi="Arial" w:cs="Arial"/>
          <w:sz w:val="24"/>
          <w:szCs w:val="24"/>
        </w:rPr>
        <w:t>.</w:t>
      </w:r>
    </w:p>
    <w:p w:rsidR="00DE7DF7" w:rsidRDefault="00DE7DF7" w:rsidP="009F4A9B">
      <w:pPr>
        <w:spacing w:after="0"/>
        <w:jc w:val="both"/>
        <w:rPr>
          <w:rFonts w:ascii="Arial" w:hAnsi="Arial" w:cs="Arial"/>
          <w:sz w:val="24"/>
          <w:szCs w:val="24"/>
        </w:rPr>
      </w:pPr>
    </w:p>
    <w:p w:rsidR="009F4A9B" w:rsidRDefault="00B56AF7" w:rsidP="009F4A9B">
      <w:pPr>
        <w:spacing w:after="0"/>
        <w:jc w:val="both"/>
        <w:rPr>
          <w:rFonts w:ascii="Arial" w:hAnsi="Arial" w:cs="Arial"/>
          <w:b/>
          <w:i/>
          <w:sz w:val="24"/>
          <w:szCs w:val="24"/>
        </w:rPr>
      </w:pPr>
      <w:r>
        <w:rPr>
          <w:rFonts w:ascii="Arial" w:hAnsi="Arial" w:cs="Arial"/>
          <w:b/>
          <w:i/>
          <w:sz w:val="24"/>
          <w:szCs w:val="24"/>
        </w:rPr>
        <w:t xml:space="preserve">Gráfica 4. Adolescentes ingresados, egresados e internados en los </w:t>
      </w:r>
      <w:r w:rsidRPr="00B56AF7">
        <w:rPr>
          <w:rFonts w:ascii="Arial" w:hAnsi="Arial" w:cs="Arial"/>
          <w:b/>
          <w:i/>
          <w:sz w:val="24"/>
          <w:szCs w:val="24"/>
        </w:rPr>
        <w:t xml:space="preserve">centros especializados de </w:t>
      </w:r>
      <w:r w:rsidR="002A28A8" w:rsidRPr="002A28A8">
        <w:rPr>
          <w:rFonts w:ascii="Arial" w:hAnsi="Arial" w:cs="Arial"/>
          <w:b/>
          <w:i/>
          <w:sz w:val="24"/>
          <w:szCs w:val="24"/>
        </w:rPr>
        <w:t>tratamiento o internamient</w:t>
      </w:r>
      <w:r w:rsidR="002A28A8">
        <w:rPr>
          <w:rFonts w:ascii="Arial" w:hAnsi="Arial" w:cs="Arial"/>
          <w:b/>
          <w:i/>
          <w:sz w:val="24"/>
          <w:szCs w:val="24"/>
        </w:rPr>
        <w:t xml:space="preserve">o, </w:t>
      </w:r>
      <w:r>
        <w:rPr>
          <w:rFonts w:ascii="Arial" w:hAnsi="Arial" w:cs="Arial"/>
          <w:b/>
          <w:i/>
          <w:sz w:val="24"/>
          <w:szCs w:val="24"/>
        </w:rPr>
        <w:t>2018</w:t>
      </w:r>
    </w:p>
    <w:p w:rsidR="002A28A8" w:rsidRDefault="002A28A8" w:rsidP="009F4A9B">
      <w:pPr>
        <w:spacing w:after="0"/>
        <w:jc w:val="center"/>
        <w:rPr>
          <w:rFonts w:ascii="Arial" w:hAnsi="Arial" w:cs="Arial"/>
          <w:b/>
          <w:bCs/>
          <w:sz w:val="24"/>
          <w:szCs w:val="24"/>
        </w:rPr>
      </w:pPr>
      <w:r>
        <w:rPr>
          <w:noProof/>
          <w:lang w:val="en-US"/>
        </w:rPr>
        <w:drawing>
          <wp:inline distT="0" distB="0" distL="0" distR="0" wp14:anchorId="577AF845" wp14:editId="7D4BB94A">
            <wp:extent cx="4572000" cy="1836751"/>
            <wp:effectExtent l="0" t="0" r="0" b="0"/>
            <wp:docPr id="5" name="Gráfico 5">
              <a:extLst xmlns:a="http://schemas.openxmlformats.org/drawingml/2006/main">
                <a:ext uri="{FF2B5EF4-FFF2-40B4-BE49-F238E27FC236}">
                  <a16:creationId xmlns:a16="http://schemas.microsoft.com/office/drawing/2014/main" id="{8EC015BA-0F5C-4A7C-A854-5A5641578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A28A8" w:rsidRDefault="002A28A8" w:rsidP="009F4A9B">
      <w:pPr>
        <w:spacing w:after="0"/>
        <w:rPr>
          <w:rFonts w:ascii="Arial" w:hAnsi="Arial" w:cs="Arial"/>
          <w:b/>
          <w:bCs/>
          <w:sz w:val="24"/>
          <w:szCs w:val="24"/>
        </w:rPr>
      </w:pPr>
    </w:p>
    <w:p w:rsidR="003010A4" w:rsidRDefault="003010A4" w:rsidP="00365E8E">
      <w:pPr>
        <w:tabs>
          <w:tab w:val="left" w:pos="1065"/>
        </w:tabs>
        <w:jc w:val="both"/>
        <w:rPr>
          <w:rFonts w:ascii="Arial" w:hAnsi="Arial" w:cs="Arial"/>
          <w:sz w:val="24"/>
          <w:szCs w:val="24"/>
        </w:rPr>
      </w:pPr>
    </w:p>
    <w:p w:rsidR="00365E8E" w:rsidRDefault="005C5319" w:rsidP="00365E8E">
      <w:pPr>
        <w:tabs>
          <w:tab w:val="left" w:pos="1065"/>
        </w:tabs>
        <w:jc w:val="both"/>
        <w:rPr>
          <w:rFonts w:ascii="Arial" w:hAnsi="Arial" w:cs="Arial"/>
          <w:sz w:val="24"/>
          <w:szCs w:val="24"/>
        </w:rPr>
      </w:pPr>
      <w:r>
        <w:rPr>
          <w:rFonts w:ascii="Arial" w:hAnsi="Arial" w:cs="Arial"/>
          <w:sz w:val="24"/>
          <w:szCs w:val="24"/>
        </w:rPr>
        <w:t>Por su parte</w:t>
      </w:r>
      <w:r w:rsidR="00365E8E" w:rsidRPr="006C0A59">
        <w:rPr>
          <w:rFonts w:ascii="Arial" w:hAnsi="Arial" w:cs="Arial"/>
          <w:sz w:val="24"/>
          <w:szCs w:val="24"/>
        </w:rPr>
        <w:t xml:space="preserve">, </w:t>
      </w:r>
      <w:r w:rsidR="00365E8E" w:rsidRPr="006C0A59">
        <w:rPr>
          <w:rFonts w:ascii="Arial" w:hAnsi="Arial" w:cs="Arial"/>
          <w:b/>
          <w:sz w:val="24"/>
          <w:szCs w:val="24"/>
        </w:rPr>
        <w:t>el Censo Nacional de Impartición de Justicia Estatal (CNIJE) 201</w:t>
      </w:r>
      <w:r w:rsidR="00365E8E">
        <w:rPr>
          <w:rFonts w:ascii="Arial" w:hAnsi="Arial" w:cs="Arial"/>
          <w:b/>
          <w:sz w:val="24"/>
          <w:szCs w:val="24"/>
        </w:rPr>
        <w:t>9</w:t>
      </w:r>
      <w:r w:rsidR="00365E8E" w:rsidRPr="006C0A59">
        <w:rPr>
          <w:rFonts w:ascii="Arial" w:hAnsi="Arial" w:cs="Arial"/>
          <w:sz w:val="24"/>
          <w:szCs w:val="24"/>
        </w:rPr>
        <w:t xml:space="preserve"> tiene por objeto generar información estadística y geográfica de la gestión y desempeño de las instituciones que integran al Tribunal Superior de Justicia y al Consejo de la Judicatura de cada Entidad Federativa, específicamente en las funciones de gobierno, impartición de justicia, justicia para adolescentes y justicia alternativa. La inform</w:t>
      </w:r>
      <w:r>
        <w:rPr>
          <w:rFonts w:ascii="Arial" w:hAnsi="Arial" w:cs="Arial"/>
          <w:sz w:val="24"/>
          <w:szCs w:val="24"/>
        </w:rPr>
        <w:t>ación que emana de este programa</w:t>
      </w:r>
      <w:r w:rsidR="00365E8E" w:rsidRPr="006C0A59">
        <w:rPr>
          <w:rFonts w:ascii="Arial" w:hAnsi="Arial" w:cs="Arial"/>
          <w:sz w:val="24"/>
          <w:szCs w:val="24"/>
        </w:rPr>
        <w:t xml:space="preserve"> fue declarada como Información de Interés Nacional por la Junta de Gobierno del INEGI en diciembre de 2012.</w:t>
      </w:r>
    </w:p>
    <w:p w:rsidR="003C554F" w:rsidRDefault="00365E8E" w:rsidP="003C554F">
      <w:pPr>
        <w:tabs>
          <w:tab w:val="left" w:pos="1065"/>
        </w:tabs>
        <w:jc w:val="both"/>
        <w:rPr>
          <w:rFonts w:ascii="Arial" w:hAnsi="Arial" w:cs="Arial"/>
          <w:sz w:val="24"/>
          <w:szCs w:val="24"/>
        </w:rPr>
      </w:pPr>
      <w:r w:rsidRPr="006C0A59">
        <w:rPr>
          <w:rFonts w:ascii="Arial" w:hAnsi="Arial" w:cs="Arial"/>
          <w:sz w:val="24"/>
          <w:szCs w:val="24"/>
        </w:rPr>
        <w:t xml:space="preserve">En su </w:t>
      </w:r>
      <w:r>
        <w:rPr>
          <w:rFonts w:ascii="Arial" w:hAnsi="Arial" w:cs="Arial"/>
          <w:sz w:val="24"/>
          <w:szCs w:val="24"/>
        </w:rPr>
        <w:t>novena</w:t>
      </w:r>
      <w:r w:rsidRPr="006C0A59">
        <w:rPr>
          <w:rFonts w:ascii="Arial" w:hAnsi="Arial" w:cs="Arial"/>
          <w:sz w:val="24"/>
          <w:szCs w:val="24"/>
        </w:rPr>
        <w:t xml:space="preserve"> edición, el CNIJE cuenta con </w:t>
      </w:r>
      <w:r w:rsidRPr="000651BA">
        <w:rPr>
          <w:rFonts w:ascii="Arial" w:hAnsi="Arial" w:cs="Arial"/>
          <w:sz w:val="24"/>
          <w:szCs w:val="24"/>
        </w:rPr>
        <w:t>2</w:t>
      </w:r>
      <w:r w:rsidR="00713261">
        <w:rPr>
          <w:rFonts w:ascii="Arial" w:hAnsi="Arial" w:cs="Arial"/>
          <w:sz w:val="24"/>
          <w:szCs w:val="24"/>
        </w:rPr>
        <w:t>2</w:t>
      </w:r>
      <w:r w:rsidRPr="006C0A59">
        <w:rPr>
          <w:rFonts w:ascii="Arial" w:hAnsi="Arial" w:cs="Arial"/>
          <w:sz w:val="24"/>
          <w:szCs w:val="24"/>
        </w:rPr>
        <w:t xml:space="preserve"> tabulados con inform</w:t>
      </w:r>
      <w:r w:rsidR="000B7DDD">
        <w:rPr>
          <w:rFonts w:ascii="Arial" w:hAnsi="Arial" w:cs="Arial"/>
          <w:sz w:val="24"/>
          <w:szCs w:val="24"/>
        </w:rPr>
        <w:t>ación básica organizada en cuatro</w:t>
      </w:r>
      <w:r w:rsidRPr="006C0A59">
        <w:rPr>
          <w:rFonts w:ascii="Arial" w:hAnsi="Arial" w:cs="Arial"/>
          <w:sz w:val="24"/>
          <w:szCs w:val="24"/>
        </w:rPr>
        <w:t xml:space="preserve"> apartados conforme a los siguientes temas:</w:t>
      </w:r>
    </w:p>
    <w:p w:rsidR="00365E8E" w:rsidRPr="003C554F" w:rsidRDefault="003C554F" w:rsidP="003C554F">
      <w:pPr>
        <w:tabs>
          <w:tab w:val="left" w:pos="1065"/>
        </w:tabs>
        <w:jc w:val="both"/>
        <w:rPr>
          <w:rFonts w:ascii="Arial" w:hAnsi="Arial" w:cs="Arial"/>
          <w:sz w:val="24"/>
          <w:szCs w:val="24"/>
        </w:rPr>
      </w:pPr>
      <w:r w:rsidRPr="003C554F">
        <w:rPr>
          <w:rFonts w:ascii="Arial" w:hAnsi="Arial" w:cs="Arial"/>
          <w:sz w:val="24"/>
          <w:szCs w:val="24"/>
        </w:rPr>
        <w:t>1)</w:t>
      </w:r>
      <w:r>
        <w:rPr>
          <w:rFonts w:ascii="Arial" w:hAnsi="Arial" w:cs="Arial"/>
          <w:sz w:val="24"/>
          <w:szCs w:val="24"/>
        </w:rPr>
        <w:t xml:space="preserve"> </w:t>
      </w:r>
      <w:r w:rsidR="00365E8E" w:rsidRPr="003C554F">
        <w:rPr>
          <w:rFonts w:ascii="Arial" w:hAnsi="Arial" w:cs="Arial"/>
          <w:sz w:val="24"/>
          <w:szCs w:val="24"/>
        </w:rPr>
        <w:t>Estructura organizacional y recursos; 2) Impartición de justicia en materia penal;</w:t>
      </w:r>
      <w:r w:rsidR="00260305">
        <w:rPr>
          <w:rFonts w:ascii="Arial" w:hAnsi="Arial" w:cs="Arial"/>
          <w:sz w:val="24"/>
          <w:szCs w:val="24"/>
        </w:rPr>
        <w:t xml:space="preserve">           </w:t>
      </w:r>
      <w:r w:rsidR="000B7DDD">
        <w:rPr>
          <w:rFonts w:ascii="Arial" w:hAnsi="Arial" w:cs="Arial"/>
          <w:sz w:val="24"/>
          <w:szCs w:val="24"/>
        </w:rPr>
        <w:t>3) Justicia para adolescentes e</w:t>
      </w:r>
      <w:r w:rsidR="00365E8E" w:rsidRPr="003C554F">
        <w:rPr>
          <w:rFonts w:ascii="Arial" w:hAnsi="Arial" w:cs="Arial"/>
          <w:sz w:val="24"/>
          <w:szCs w:val="24"/>
        </w:rPr>
        <w:t xml:space="preserve"> 4) Impartición de justicia en todas las materias (excepto pe</w:t>
      </w:r>
      <w:r w:rsidR="000B7DDD">
        <w:rPr>
          <w:rFonts w:ascii="Arial" w:hAnsi="Arial" w:cs="Arial"/>
          <w:sz w:val="24"/>
          <w:szCs w:val="24"/>
        </w:rPr>
        <w:t>nal).</w:t>
      </w:r>
    </w:p>
    <w:p w:rsidR="00C33D1A" w:rsidRDefault="00365E8E" w:rsidP="00365E8E">
      <w:pPr>
        <w:tabs>
          <w:tab w:val="left" w:pos="1065"/>
        </w:tabs>
        <w:jc w:val="both"/>
        <w:rPr>
          <w:rFonts w:ascii="Arial" w:hAnsi="Arial" w:cs="Arial"/>
          <w:sz w:val="24"/>
          <w:szCs w:val="24"/>
        </w:rPr>
      </w:pPr>
      <w:r w:rsidRPr="006C0A59">
        <w:rPr>
          <w:rFonts w:ascii="Arial" w:hAnsi="Arial" w:cs="Arial"/>
          <w:sz w:val="24"/>
          <w:szCs w:val="24"/>
        </w:rPr>
        <w:t xml:space="preserve">Entre los datos que aporta este Censo </w:t>
      </w:r>
      <w:r w:rsidR="005F4682">
        <w:rPr>
          <w:rFonts w:ascii="Arial" w:hAnsi="Arial" w:cs="Arial"/>
          <w:sz w:val="24"/>
          <w:szCs w:val="24"/>
        </w:rPr>
        <w:t xml:space="preserve">se </w:t>
      </w:r>
      <w:r w:rsidRPr="006C0A59">
        <w:rPr>
          <w:rFonts w:ascii="Arial" w:hAnsi="Arial" w:cs="Arial"/>
          <w:sz w:val="24"/>
          <w:szCs w:val="24"/>
        </w:rPr>
        <w:t>destaca que en 20</w:t>
      </w:r>
      <w:r>
        <w:rPr>
          <w:rFonts w:ascii="Arial" w:hAnsi="Arial" w:cs="Arial"/>
          <w:sz w:val="24"/>
          <w:szCs w:val="24"/>
        </w:rPr>
        <w:t>18 hubo</w:t>
      </w:r>
      <w:r w:rsidR="000B7DDD">
        <w:rPr>
          <w:rFonts w:ascii="Arial" w:hAnsi="Arial" w:cs="Arial"/>
          <w:sz w:val="24"/>
          <w:szCs w:val="24"/>
        </w:rPr>
        <w:t xml:space="preserve"> 5 mil 301 órganos que integraron los Poderes Judiciales Estatales, de los cuales 77.5% fueron órganos jurisdiccionales y 22.5% órganos y/o unidades administrativos. Asimismo, estas instituciones estaban integradas por </w:t>
      </w:r>
      <w:r>
        <w:rPr>
          <w:rFonts w:ascii="Arial" w:hAnsi="Arial" w:cs="Arial"/>
          <w:sz w:val="24"/>
          <w:szCs w:val="24"/>
        </w:rPr>
        <w:t xml:space="preserve"> </w:t>
      </w:r>
      <w:r w:rsidR="001207BF">
        <w:rPr>
          <w:rFonts w:ascii="Arial" w:hAnsi="Arial" w:cs="Arial"/>
          <w:sz w:val="24"/>
          <w:szCs w:val="24"/>
        </w:rPr>
        <w:t>66</w:t>
      </w:r>
      <w:r>
        <w:rPr>
          <w:rFonts w:ascii="Arial" w:hAnsi="Arial" w:cs="Arial"/>
          <w:sz w:val="24"/>
          <w:szCs w:val="24"/>
        </w:rPr>
        <w:t xml:space="preserve"> mil </w:t>
      </w:r>
      <w:r w:rsidR="001207BF">
        <w:rPr>
          <w:rFonts w:ascii="Arial" w:hAnsi="Arial" w:cs="Arial"/>
          <w:sz w:val="24"/>
          <w:szCs w:val="24"/>
        </w:rPr>
        <w:t>757</w:t>
      </w:r>
      <w:r w:rsidRPr="00D81A35">
        <w:t xml:space="preserve"> </w:t>
      </w:r>
      <w:r w:rsidR="001207BF">
        <w:rPr>
          <w:rFonts w:ascii="Arial" w:hAnsi="Arial" w:cs="Arial"/>
          <w:sz w:val="24"/>
          <w:szCs w:val="24"/>
        </w:rPr>
        <w:t>servidores públicos,</w:t>
      </w:r>
      <w:r w:rsidRPr="00D81A35">
        <w:rPr>
          <w:rFonts w:ascii="Arial" w:hAnsi="Arial" w:cs="Arial"/>
          <w:sz w:val="24"/>
          <w:szCs w:val="24"/>
        </w:rPr>
        <w:t xml:space="preserve"> </w:t>
      </w:r>
      <w:r w:rsidR="00D77763">
        <w:rPr>
          <w:rFonts w:ascii="Arial" w:hAnsi="Arial" w:cs="Arial"/>
          <w:sz w:val="24"/>
          <w:szCs w:val="24"/>
        </w:rPr>
        <w:t>40.6% hombres y 59.4% mujeres.</w:t>
      </w:r>
    </w:p>
    <w:p w:rsidR="003010A4" w:rsidRDefault="003010A4" w:rsidP="00365E8E">
      <w:pPr>
        <w:tabs>
          <w:tab w:val="left" w:pos="1065"/>
        </w:tabs>
        <w:jc w:val="both"/>
        <w:rPr>
          <w:rFonts w:ascii="Arial" w:hAnsi="Arial" w:cs="Arial"/>
          <w:sz w:val="24"/>
          <w:szCs w:val="24"/>
        </w:rPr>
      </w:pPr>
    </w:p>
    <w:p w:rsidR="003010A4" w:rsidRDefault="003010A4" w:rsidP="00365E8E">
      <w:pPr>
        <w:tabs>
          <w:tab w:val="left" w:pos="1065"/>
        </w:tabs>
        <w:jc w:val="both"/>
        <w:rPr>
          <w:rFonts w:ascii="Arial" w:hAnsi="Arial" w:cs="Arial"/>
          <w:sz w:val="24"/>
          <w:szCs w:val="24"/>
        </w:rPr>
      </w:pPr>
    </w:p>
    <w:p w:rsidR="007F7478" w:rsidRDefault="007F7478" w:rsidP="00365E8E">
      <w:pPr>
        <w:tabs>
          <w:tab w:val="left" w:pos="1065"/>
        </w:tabs>
        <w:jc w:val="both"/>
        <w:rPr>
          <w:rFonts w:ascii="Arial" w:hAnsi="Arial" w:cs="Arial"/>
          <w:sz w:val="24"/>
          <w:szCs w:val="24"/>
        </w:rPr>
      </w:pPr>
    </w:p>
    <w:p w:rsidR="00365E8E" w:rsidRDefault="00D77763" w:rsidP="00365E8E">
      <w:pPr>
        <w:tabs>
          <w:tab w:val="left" w:pos="1065"/>
        </w:tabs>
        <w:jc w:val="both"/>
        <w:rPr>
          <w:rFonts w:ascii="Arial" w:hAnsi="Arial" w:cs="Arial"/>
          <w:sz w:val="24"/>
          <w:szCs w:val="24"/>
        </w:rPr>
      </w:pPr>
      <w:r>
        <w:rPr>
          <w:rFonts w:ascii="Arial" w:hAnsi="Arial" w:cs="Arial"/>
          <w:sz w:val="24"/>
          <w:szCs w:val="24"/>
        </w:rPr>
        <w:lastRenderedPageBreak/>
        <w:t xml:space="preserve">En cuanto a los órganos jurisdiccionales, se conformaron por 47 mil 633 servidores públicos, </w:t>
      </w:r>
      <w:r w:rsidR="00365E8E" w:rsidRPr="00D81A35">
        <w:rPr>
          <w:rFonts w:ascii="Arial" w:hAnsi="Arial" w:cs="Arial"/>
          <w:sz w:val="24"/>
          <w:szCs w:val="24"/>
        </w:rPr>
        <w:t>presentando la siguiente distribución de acuerdo con el cargo ocupado:</w:t>
      </w:r>
    </w:p>
    <w:p w:rsidR="00365E8E" w:rsidRDefault="00365E8E" w:rsidP="00365E8E">
      <w:pPr>
        <w:tabs>
          <w:tab w:val="left" w:pos="1065"/>
        </w:tabs>
        <w:jc w:val="center"/>
        <w:rPr>
          <w:rFonts w:ascii="Arial" w:hAnsi="Arial" w:cs="Arial"/>
          <w:b/>
          <w:i/>
          <w:sz w:val="24"/>
          <w:szCs w:val="24"/>
        </w:rPr>
      </w:pPr>
      <w:r w:rsidRPr="009E72CE">
        <w:rPr>
          <w:rFonts w:ascii="Arial" w:hAnsi="Arial" w:cs="Arial"/>
          <w:b/>
          <w:i/>
          <w:sz w:val="24"/>
          <w:szCs w:val="24"/>
        </w:rPr>
        <w:t xml:space="preserve">Gráfica </w:t>
      </w:r>
      <w:r w:rsidR="00346367">
        <w:rPr>
          <w:rFonts w:ascii="Arial" w:hAnsi="Arial" w:cs="Arial"/>
          <w:b/>
          <w:i/>
          <w:sz w:val="24"/>
          <w:szCs w:val="24"/>
        </w:rPr>
        <w:t>5</w:t>
      </w:r>
      <w:r w:rsidRPr="009E72CE">
        <w:rPr>
          <w:rFonts w:ascii="Arial" w:hAnsi="Arial" w:cs="Arial"/>
          <w:b/>
          <w:i/>
          <w:sz w:val="24"/>
          <w:szCs w:val="24"/>
        </w:rPr>
        <w:t>. Distribución porcentual del personal en órganos jurisdiccionales de los Poderes Judiciales Estatales, por cargo</w:t>
      </w:r>
    </w:p>
    <w:p w:rsidR="00365E8E" w:rsidRDefault="00365E8E" w:rsidP="00365E8E">
      <w:pPr>
        <w:tabs>
          <w:tab w:val="left" w:pos="1065"/>
        </w:tabs>
        <w:jc w:val="center"/>
        <w:rPr>
          <w:rFonts w:ascii="Arial" w:hAnsi="Arial" w:cs="Arial"/>
          <w:b/>
          <w:i/>
          <w:sz w:val="24"/>
          <w:szCs w:val="24"/>
        </w:rPr>
      </w:pPr>
      <w:r>
        <w:rPr>
          <w:noProof/>
          <w:lang w:val="en-US"/>
        </w:rPr>
        <w:drawing>
          <wp:inline distT="0" distB="0" distL="0" distR="0" wp14:anchorId="7C91E3C7" wp14:editId="41756842">
            <wp:extent cx="4714875" cy="3086100"/>
            <wp:effectExtent l="0" t="0" r="0" b="0"/>
            <wp:docPr id="9" name="Gráfico 9">
              <a:extLst xmlns:a="http://schemas.openxmlformats.org/drawingml/2006/main">
                <a:ext uri="{FF2B5EF4-FFF2-40B4-BE49-F238E27FC236}">
                  <a16:creationId xmlns:a16="http://schemas.microsoft.com/office/drawing/2014/main" id="{A989B13C-C55A-47DB-A379-37F228AFA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65E8E" w:rsidRDefault="00365E8E" w:rsidP="00365E8E">
      <w:pPr>
        <w:tabs>
          <w:tab w:val="left" w:pos="1065"/>
        </w:tabs>
        <w:jc w:val="both"/>
        <w:rPr>
          <w:rFonts w:ascii="Arial" w:hAnsi="Arial" w:cs="Arial"/>
          <w:sz w:val="24"/>
          <w:szCs w:val="24"/>
        </w:rPr>
      </w:pPr>
      <w:r w:rsidRPr="009C75F2">
        <w:rPr>
          <w:rFonts w:ascii="Arial" w:hAnsi="Arial" w:cs="Arial"/>
          <w:sz w:val="24"/>
          <w:szCs w:val="24"/>
        </w:rPr>
        <w:t>En cuanto a la información del ejercicio de la función, resalta que durante 201</w:t>
      </w:r>
      <w:r>
        <w:rPr>
          <w:rFonts w:ascii="Arial" w:hAnsi="Arial" w:cs="Arial"/>
          <w:sz w:val="24"/>
          <w:szCs w:val="24"/>
        </w:rPr>
        <w:t>8</w:t>
      </w:r>
      <w:r w:rsidRPr="009C75F2">
        <w:rPr>
          <w:rFonts w:ascii="Arial" w:hAnsi="Arial" w:cs="Arial"/>
          <w:sz w:val="24"/>
          <w:szCs w:val="24"/>
        </w:rPr>
        <w:t xml:space="preserve"> </w:t>
      </w:r>
      <w:r w:rsidR="005F4682">
        <w:rPr>
          <w:rFonts w:ascii="Arial" w:hAnsi="Arial" w:cs="Arial"/>
          <w:sz w:val="24"/>
          <w:szCs w:val="24"/>
        </w:rPr>
        <w:t xml:space="preserve">se </w:t>
      </w:r>
      <w:r w:rsidRPr="009C75F2">
        <w:rPr>
          <w:rFonts w:ascii="Arial" w:hAnsi="Arial" w:cs="Arial"/>
          <w:sz w:val="24"/>
          <w:szCs w:val="24"/>
        </w:rPr>
        <w:t xml:space="preserve">ingresaron </w:t>
      </w:r>
      <w:r w:rsidR="0088150D">
        <w:rPr>
          <w:rFonts w:ascii="Arial" w:hAnsi="Arial" w:cs="Arial"/>
          <w:sz w:val="24"/>
          <w:szCs w:val="24"/>
        </w:rPr>
        <w:t>2 millones</w:t>
      </w:r>
      <w:r>
        <w:rPr>
          <w:rFonts w:ascii="Arial" w:hAnsi="Arial" w:cs="Arial"/>
          <w:sz w:val="24"/>
          <w:szCs w:val="24"/>
        </w:rPr>
        <w:t xml:space="preserve"> </w:t>
      </w:r>
      <w:r w:rsidR="0088150D">
        <w:rPr>
          <w:rFonts w:ascii="Arial" w:hAnsi="Arial" w:cs="Arial"/>
          <w:sz w:val="24"/>
          <w:szCs w:val="24"/>
        </w:rPr>
        <w:t>11</w:t>
      </w:r>
      <w:r w:rsidRPr="00D643DF">
        <w:rPr>
          <w:rFonts w:ascii="Arial" w:hAnsi="Arial" w:cs="Arial"/>
          <w:sz w:val="24"/>
          <w:szCs w:val="24"/>
        </w:rPr>
        <w:t>7</w:t>
      </w:r>
      <w:r>
        <w:rPr>
          <w:rFonts w:ascii="Arial" w:hAnsi="Arial" w:cs="Arial"/>
          <w:sz w:val="24"/>
          <w:szCs w:val="24"/>
        </w:rPr>
        <w:t xml:space="preserve"> mil </w:t>
      </w:r>
      <w:r w:rsidR="0088150D">
        <w:rPr>
          <w:rFonts w:ascii="Arial" w:hAnsi="Arial" w:cs="Arial"/>
          <w:sz w:val="24"/>
          <w:szCs w:val="24"/>
        </w:rPr>
        <w:t>274 causas penales y</w:t>
      </w:r>
      <w:r>
        <w:rPr>
          <w:rFonts w:ascii="Arial" w:hAnsi="Arial" w:cs="Arial"/>
          <w:sz w:val="24"/>
          <w:szCs w:val="24"/>
        </w:rPr>
        <w:t xml:space="preserve"> </w:t>
      </w:r>
      <w:r w:rsidRPr="00DA674F">
        <w:rPr>
          <w:rFonts w:ascii="Arial" w:hAnsi="Arial" w:cs="Arial"/>
          <w:sz w:val="24"/>
          <w:szCs w:val="24"/>
        </w:rPr>
        <w:t>expedientes</w:t>
      </w:r>
      <w:r>
        <w:rPr>
          <w:rFonts w:ascii="Arial" w:hAnsi="Arial" w:cs="Arial"/>
          <w:sz w:val="24"/>
          <w:szCs w:val="24"/>
        </w:rPr>
        <w:t xml:space="preserve"> </w:t>
      </w:r>
      <w:r w:rsidRPr="00DA674F">
        <w:rPr>
          <w:rFonts w:ascii="Arial" w:hAnsi="Arial" w:cs="Arial"/>
          <w:sz w:val="24"/>
          <w:szCs w:val="24"/>
        </w:rPr>
        <w:t xml:space="preserve">en todas las </w:t>
      </w:r>
      <w:r w:rsidR="0088150D">
        <w:rPr>
          <w:rFonts w:ascii="Arial" w:hAnsi="Arial" w:cs="Arial"/>
          <w:sz w:val="24"/>
          <w:szCs w:val="24"/>
        </w:rPr>
        <w:t>materias a</w:t>
      </w:r>
      <w:r w:rsidRPr="00DA674F">
        <w:rPr>
          <w:rFonts w:ascii="Arial" w:hAnsi="Arial" w:cs="Arial"/>
          <w:sz w:val="24"/>
          <w:szCs w:val="24"/>
        </w:rPr>
        <w:t xml:space="preserve"> los órganos jurisdiccionales de primera instancia del Poder Judicial de </w:t>
      </w:r>
      <w:r w:rsidR="0088150D">
        <w:rPr>
          <w:rFonts w:ascii="Arial" w:hAnsi="Arial" w:cs="Arial"/>
          <w:sz w:val="24"/>
          <w:szCs w:val="24"/>
        </w:rPr>
        <w:t>las</w:t>
      </w:r>
      <w:r>
        <w:rPr>
          <w:rFonts w:ascii="Arial" w:hAnsi="Arial" w:cs="Arial"/>
          <w:sz w:val="24"/>
          <w:szCs w:val="24"/>
        </w:rPr>
        <w:t xml:space="preserve"> entidad</w:t>
      </w:r>
      <w:r w:rsidR="0088150D">
        <w:rPr>
          <w:rFonts w:ascii="Arial" w:hAnsi="Arial" w:cs="Arial"/>
          <w:sz w:val="24"/>
          <w:szCs w:val="24"/>
        </w:rPr>
        <w:t>es</w:t>
      </w:r>
      <w:r>
        <w:rPr>
          <w:rFonts w:ascii="Arial" w:hAnsi="Arial" w:cs="Arial"/>
          <w:sz w:val="24"/>
          <w:szCs w:val="24"/>
        </w:rPr>
        <w:t xml:space="preserve"> federativa</w:t>
      </w:r>
      <w:r w:rsidR="0088150D">
        <w:rPr>
          <w:rFonts w:ascii="Arial" w:hAnsi="Arial" w:cs="Arial"/>
          <w:sz w:val="24"/>
          <w:szCs w:val="24"/>
        </w:rPr>
        <w:t>s</w:t>
      </w:r>
      <w:r w:rsidR="001A15C6">
        <w:rPr>
          <w:rFonts w:ascii="Arial" w:hAnsi="Arial" w:cs="Arial"/>
          <w:sz w:val="24"/>
          <w:szCs w:val="24"/>
        </w:rPr>
        <w:t>.</w:t>
      </w:r>
    </w:p>
    <w:p w:rsidR="00F32269" w:rsidRDefault="00F32269" w:rsidP="00BF2DC7">
      <w:pPr>
        <w:tabs>
          <w:tab w:val="left" w:pos="1065"/>
        </w:tabs>
        <w:spacing w:after="0"/>
        <w:jc w:val="center"/>
        <w:rPr>
          <w:rFonts w:ascii="Arial" w:hAnsi="Arial" w:cs="Arial"/>
          <w:b/>
          <w:i/>
          <w:sz w:val="24"/>
          <w:szCs w:val="24"/>
        </w:rPr>
      </w:pPr>
    </w:p>
    <w:p w:rsidR="00365E8E" w:rsidRDefault="00365E8E" w:rsidP="00365E8E">
      <w:pPr>
        <w:tabs>
          <w:tab w:val="left" w:pos="1065"/>
        </w:tabs>
        <w:jc w:val="center"/>
        <w:rPr>
          <w:rFonts w:ascii="Arial" w:hAnsi="Arial" w:cs="Arial"/>
          <w:b/>
          <w:i/>
          <w:sz w:val="24"/>
          <w:szCs w:val="24"/>
        </w:rPr>
      </w:pPr>
    </w:p>
    <w:p w:rsidR="00365E8E" w:rsidRDefault="00365E8E" w:rsidP="00365E8E">
      <w:pPr>
        <w:tabs>
          <w:tab w:val="left" w:pos="1065"/>
        </w:tabs>
        <w:jc w:val="center"/>
        <w:rPr>
          <w:rFonts w:ascii="Arial" w:hAnsi="Arial" w:cs="Arial"/>
          <w:b/>
          <w:i/>
          <w:sz w:val="24"/>
          <w:szCs w:val="24"/>
        </w:rPr>
      </w:pPr>
    </w:p>
    <w:p w:rsidR="00CF67A0" w:rsidRDefault="00CF67A0" w:rsidP="00365E8E">
      <w:pPr>
        <w:tabs>
          <w:tab w:val="left" w:pos="1065"/>
        </w:tabs>
        <w:jc w:val="both"/>
        <w:rPr>
          <w:rFonts w:ascii="Arial" w:hAnsi="Arial" w:cs="Arial"/>
          <w:sz w:val="24"/>
          <w:szCs w:val="24"/>
        </w:rPr>
      </w:pPr>
    </w:p>
    <w:p w:rsidR="00CF67A0" w:rsidRDefault="00CF67A0" w:rsidP="00365E8E">
      <w:pPr>
        <w:tabs>
          <w:tab w:val="left" w:pos="1065"/>
        </w:tabs>
        <w:jc w:val="both"/>
        <w:rPr>
          <w:rFonts w:ascii="Arial" w:hAnsi="Arial" w:cs="Arial"/>
          <w:sz w:val="24"/>
          <w:szCs w:val="24"/>
        </w:rPr>
      </w:pPr>
    </w:p>
    <w:p w:rsidR="00CF67A0" w:rsidRDefault="00CF67A0" w:rsidP="00365E8E">
      <w:pPr>
        <w:tabs>
          <w:tab w:val="left" w:pos="1065"/>
        </w:tabs>
        <w:jc w:val="both"/>
        <w:rPr>
          <w:rFonts w:ascii="Arial" w:hAnsi="Arial" w:cs="Arial"/>
          <w:sz w:val="24"/>
          <w:szCs w:val="24"/>
        </w:rPr>
      </w:pPr>
    </w:p>
    <w:p w:rsidR="00CF67A0" w:rsidRDefault="00CF67A0" w:rsidP="00365E8E">
      <w:pPr>
        <w:tabs>
          <w:tab w:val="left" w:pos="1065"/>
        </w:tabs>
        <w:jc w:val="both"/>
        <w:rPr>
          <w:rFonts w:ascii="Arial" w:hAnsi="Arial" w:cs="Arial"/>
          <w:sz w:val="24"/>
          <w:szCs w:val="24"/>
        </w:rPr>
      </w:pPr>
    </w:p>
    <w:p w:rsidR="00CF67A0" w:rsidRDefault="00CF67A0" w:rsidP="00365E8E">
      <w:pPr>
        <w:tabs>
          <w:tab w:val="left" w:pos="1065"/>
        </w:tabs>
        <w:jc w:val="both"/>
        <w:rPr>
          <w:rFonts w:ascii="Arial" w:hAnsi="Arial" w:cs="Arial"/>
          <w:sz w:val="24"/>
          <w:szCs w:val="24"/>
        </w:rPr>
      </w:pPr>
    </w:p>
    <w:p w:rsidR="001A15C6" w:rsidRDefault="001A15C6" w:rsidP="00365E8E">
      <w:pPr>
        <w:tabs>
          <w:tab w:val="left" w:pos="1065"/>
        </w:tabs>
        <w:jc w:val="both"/>
        <w:rPr>
          <w:rFonts w:ascii="Arial" w:hAnsi="Arial" w:cs="Arial"/>
          <w:sz w:val="24"/>
          <w:szCs w:val="24"/>
        </w:rPr>
      </w:pPr>
    </w:p>
    <w:p w:rsidR="001A15C6" w:rsidRDefault="001A15C6" w:rsidP="00365E8E">
      <w:pPr>
        <w:tabs>
          <w:tab w:val="left" w:pos="1065"/>
        </w:tabs>
        <w:jc w:val="both"/>
        <w:rPr>
          <w:rFonts w:ascii="Arial" w:hAnsi="Arial" w:cs="Arial"/>
          <w:sz w:val="24"/>
          <w:szCs w:val="24"/>
        </w:rPr>
      </w:pPr>
    </w:p>
    <w:p w:rsidR="00346367" w:rsidRDefault="005F4682" w:rsidP="004E2625">
      <w:pPr>
        <w:tabs>
          <w:tab w:val="left" w:pos="1065"/>
        </w:tabs>
        <w:jc w:val="both"/>
        <w:rPr>
          <w:rFonts w:ascii="Arial" w:hAnsi="Arial" w:cs="Arial"/>
          <w:sz w:val="24"/>
          <w:szCs w:val="24"/>
        </w:rPr>
      </w:pPr>
      <w:r>
        <w:rPr>
          <w:rFonts w:ascii="Arial" w:hAnsi="Arial" w:cs="Arial"/>
          <w:sz w:val="24"/>
          <w:szCs w:val="24"/>
        </w:rPr>
        <w:lastRenderedPageBreak/>
        <w:t>La mayor proporción del total de</w:t>
      </w:r>
      <w:r w:rsidR="000A28B5">
        <w:rPr>
          <w:rFonts w:ascii="Arial" w:hAnsi="Arial" w:cs="Arial"/>
          <w:sz w:val="24"/>
          <w:szCs w:val="24"/>
        </w:rPr>
        <w:t xml:space="preserve"> </w:t>
      </w:r>
      <w:r w:rsidR="005C5319">
        <w:rPr>
          <w:rFonts w:ascii="Arial" w:hAnsi="Arial" w:cs="Arial"/>
          <w:sz w:val="24"/>
          <w:szCs w:val="24"/>
        </w:rPr>
        <w:t>asuntos</w:t>
      </w:r>
      <w:r w:rsidR="000A28B5">
        <w:rPr>
          <w:rFonts w:ascii="Arial" w:hAnsi="Arial" w:cs="Arial"/>
          <w:sz w:val="24"/>
          <w:szCs w:val="24"/>
        </w:rPr>
        <w:t xml:space="preserve"> </w:t>
      </w:r>
      <w:r>
        <w:rPr>
          <w:rFonts w:ascii="Arial" w:hAnsi="Arial" w:cs="Arial"/>
          <w:sz w:val="24"/>
          <w:szCs w:val="24"/>
        </w:rPr>
        <w:t xml:space="preserve">ingresados </w:t>
      </w:r>
      <w:r w:rsidR="000A28B5">
        <w:rPr>
          <w:rFonts w:ascii="Arial" w:hAnsi="Arial" w:cs="Arial"/>
          <w:sz w:val="24"/>
          <w:szCs w:val="24"/>
        </w:rPr>
        <w:t xml:space="preserve">correspondió </w:t>
      </w:r>
      <w:r w:rsidR="003010A4">
        <w:rPr>
          <w:rFonts w:ascii="Arial" w:hAnsi="Arial" w:cs="Arial"/>
          <w:sz w:val="24"/>
          <w:szCs w:val="24"/>
        </w:rPr>
        <w:t xml:space="preserve">a la materia familiar con 38.8%, </w:t>
      </w:r>
      <w:r w:rsidR="000A28B5">
        <w:rPr>
          <w:rFonts w:ascii="Arial" w:hAnsi="Arial" w:cs="Arial"/>
          <w:sz w:val="24"/>
          <w:szCs w:val="24"/>
        </w:rPr>
        <w:t>seguida de la materia civil con 29.8%. Por su parte la materia penal y</w:t>
      </w:r>
      <w:r>
        <w:rPr>
          <w:rFonts w:ascii="Arial" w:hAnsi="Arial" w:cs="Arial"/>
          <w:sz w:val="24"/>
          <w:szCs w:val="24"/>
        </w:rPr>
        <w:t xml:space="preserve"> de justicia para adolescentes </w:t>
      </w:r>
      <w:r w:rsidR="000A28B5">
        <w:rPr>
          <w:rFonts w:ascii="Arial" w:hAnsi="Arial" w:cs="Arial"/>
          <w:sz w:val="24"/>
          <w:szCs w:val="24"/>
        </w:rPr>
        <w:t>representaron</w:t>
      </w:r>
      <w:r>
        <w:rPr>
          <w:rFonts w:ascii="Arial" w:hAnsi="Arial" w:cs="Arial"/>
          <w:sz w:val="24"/>
          <w:szCs w:val="24"/>
        </w:rPr>
        <w:t xml:space="preserve"> el</w:t>
      </w:r>
      <w:r w:rsidR="000A28B5">
        <w:rPr>
          <w:rFonts w:ascii="Arial" w:hAnsi="Arial" w:cs="Arial"/>
          <w:sz w:val="24"/>
          <w:szCs w:val="24"/>
        </w:rPr>
        <w:t xml:space="preserve"> 7.7%.</w:t>
      </w:r>
    </w:p>
    <w:p w:rsidR="00346367" w:rsidRDefault="00346367" w:rsidP="00346367">
      <w:pPr>
        <w:tabs>
          <w:tab w:val="left" w:pos="1065"/>
        </w:tabs>
        <w:jc w:val="center"/>
        <w:rPr>
          <w:rFonts w:ascii="Arial" w:hAnsi="Arial" w:cs="Arial"/>
          <w:b/>
          <w:i/>
          <w:sz w:val="24"/>
          <w:szCs w:val="24"/>
        </w:rPr>
      </w:pPr>
      <w:r w:rsidRPr="00DA674F">
        <w:rPr>
          <w:rFonts w:ascii="Arial" w:hAnsi="Arial" w:cs="Arial"/>
          <w:b/>
          <w:i/>
          <w:sz w:val="24"/>
          <w:szCs w:val="24"/>
        </w:rPr>
        <w:t xml:space="preserve">Gráfica </w:t>
      </w:r>
      <w:r w:rsidR="001A15C6">
        <w:rPr>
          <w:rFonts w:ascii="Arial" w:hAnsi="Arial" w:cs="Arial"/>
          <w:b/>
          <w:i/>
          <w:sz w:val="24"/>
          <w:szCs w:val="24"/>
        </w:rPr>
        <w:t>6</w:t>
      </w:r>
      <w:r w:rsidRPr="00DA674F">
        <w:rPr>
          <w:rFonts w:ascii="Arial" w:hAnsi="Arial" w:cs="Arial"/>
          <w:b/>
          <w:i/>
          <w:sz w:val="24"/>
          <w:szCs w:val="24"/>
        </w:rPr>
        <w:t xml:space="preserve">. </w:t>
      </w:r>
      <w:r w:rsidR="002C411F">
        <w:rPr>
          <w:rFonts w:ascii="Arial" w:hAnsi="Arial" w:cs="Arial"/>
          <w:b/>
          <w:i/>
          <w:sz w:val="24"/>
          <w:szCs w:val="24"/>
        </w:rPr>
        <w:t>Causas penales y expedientes ingresados en todas las materias en</w:t>
      </w:r>
      <w:r w:rsidRPr="00DA674F">
        <w:rPr>
          <w:rFonts w:ascii="Arial" w:hAnsi="Arial" w:cs="Arial"/>
          <w:b/>
          <w:i/>
          <w:sz w:val="24"/>
          <w:szCs w:val="24"/>
        </w:rPr>
        <w:t xml:space="preserve"> los órganos jurisdiccionales de los Poderes Judiciales Estatales</w:t>
      </w:r>
      <w:r>
        <w:rPr>
          <w:rFonts w:ascii="Arial" w:hAnsi="Arial" w:cs="Arial"/>
          <w:b/>
          <w:i/>
          <w:sz w:val="24"/>
          <w:szCs w:val="24"/>
        </w:rPr>
        <w:t>, 2018</w:t>
      </w:r>
    </w:p>
    <w:p w:rsidR="00346367" w:rsidRDefault="00BF2DC7" w:rsidP="00365E8E">
      <w:pPr>
        <w:tabs>
          <w:tab w:val="left" w:pos="1065"/>
        </w:tabs>
        <w:jc w:val="both"/>
        <w:rPr>
          <w:rFonts w:ascii="Arial" w:hAnsi="Arial" w:cs="Arial"/>
          <w:sz w:val="24"/>
          <w:szCs w:val="24"/>
        </w:rPr>
      </w:pPr>
      <w:r>
        <w:rPr>
          <w:noProof/>
          <w:lang w:val="en-US"/>
        </w:rPr>
        <w:drawing>
          <wp:anchor distT="0" distB="0" distL="114300" distR="114300" simplePos="0" relativeHeight="251660288" behindDoc="0" locked="0" layoutInCell="1" allowOverlap="1" wp14:anchorId="3E95D5E7" wp14:editId="5E952330">
            <wp:simplePos x="0" y="0"/>
            <wp:positionH relativeFrom="column">
              <wp:posOffset>446405</wp:posOffset>
            </wp:positionH>
            <wp:positionV relativeFrom="paragraph">
              <wp:posOffset>48643</wp:posOffset>
            </wp:positionV>
            <wp:extent cx="4572000" cy="2228047"/>
            <wp:effectExtent l="0" t="0" r="0" b="0"/>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p>
    <w:p w:rsidR="000A28B5" w:rsidRDefault="000A28B5" w:rsidP="00365E8E">
      <w:pPr>
        <w:tabs>
          <w:tab w:val="left" w:pos="1065"/>
        </w:tabs>
        <w:jc w:val="both"/>
        <w:rPr>
          <w:rFonts w:ascii="Arial" w:hAnsi="Arial" w:cs="Arial"/>
          <w:sz w:val="24"/>
          <w:szCs w:val="24"/>
        </w:rPr>
      </w:pPr>
    </w:p>
    <w:p w:rsidR="000A28B5" w:rsidRDefault="000A28B5" w:rsidP="00365E8E">
      <w:pPr>
        <w:tabs>
          <w:tab w:val="left" w:pos="1065"/>
        </w:tabs>
        <w:jc w:val="both"/>
        <w:rPr>
          <w:rFonts w:ascii="Arial" w:hAnsi="Arial" w:cs="Arial"/>
          <w:sz w:val="24"/>
          <w:szCs w:val="24"/>
        </w:rPr>
      </w:pPr>
    </w:p>
    <w:p w:rsidR="000A28B5" w:rsidRDefault="000A28B5" w:rsidP="00365E8E">
      <w:pPr>
        <w:tabs>
          <w:tab w:val="left" w:pos="1065"/>
        </w:tabs>
        <w:jc w:val="both"/>
        <w:rPr>
          <w:rFonts w:ascii="Arial" w:hAnsi="Arial" w:cs="Arial"/>
          <w:sz w:val="24"/>
          <w:szCs w:val="24"/>
        </w:rPr>
      </w:pPr>
    </w:p>
    <w:p w:rsidR="000A28B5" w:rsidRDefault="000A28B5" w:rsidP="00365E8E">
      <w:pPr>
        <w:tabs>
          <w:tab w:val="left" w:pos="1065"/>
        </w:tabs>
        <w:jc w:val="both"/>
        <w:rPr>
          <w:rFonts w:ascii="Arial" w:hAnsi="Arial" w:cs="Arial"/>
          <w:sz w:val="24"/>
          <w:szCs w:val="24"/>
        </w:rPr>
      </w:pPr>
    </w:p>
    <w:p w:rsidR="000A28B5" w:rsidRDefault="000A28B5" w:rsidP="00365E8E">
      <w:pPr>
        <w:tabs>
          <w:tab w:val="left" w:pos="1065"/>
        </w:tabs>
        <w:jc w:val="both"/>
        <w:rPr>
          <w:rFonts w:ascii="Arial" w:hAnsi="Arial" w:cs="Arial"/>
          <w:sz w:val="24"/>
          <w:szCs w:val="24"/>
        </w:rPr>
      </w:pPr>
    </w:p>
    <w:p w:rsidR="000A28B5" w:rsidRDefault="000A28B5" w:rsidP="00365E8E">
      <w:pPr>
        <w:tabs>
          <w:tab w:val="left" w:pos="1065"/>
        </w:tabs>
        <w:jc w:val="both"/>
        <w:rPr>
          <w:rFonts w:ascii="Arial" w:hAnsi="Arial" w:cs="Arial"/>
          <w:sz w:val="24"/>
          <w:szCs w:val="24"/>
        </w:rPr>
      </w:pPr>
    </w:p>
    <w:p w:rsidR="00BF2DC7" w:rsidRDefault="00BF2DC7" w:rsidP="00C25D8D">
      <w:pPr>
        <w:jc w:val="both"/>
        <w:rPr>
          <w:rFonts w:ascii="Arial" w:hAnsi="Arial" w:cs="Arial"/>
          <w:sz w:val="18"/>
          <w:szCs w:val="18"/>
        </w:rPr>
      </w:pPr>
    </w:p>
    <w:p w:rsidR="00C25D8D" w:rsidRPr="00C25D8D" w:rsidRDefault="00C25D8D" w:rsidP="00C25D8D">
      <w:pPr>
        <w:jc w:val="both"/>
        <w:rPr>
          <w:rFonts w:ascii="Arial" w:hAnsi="Arial" w:cs="Arial"/>
          <w:sz w:val="18"/>
          <w:szCs w:val="18"/>
        </w:rPr>
      </w:pPr>
      <w:r w:rsidRPr="00C25D8D">
        <w:rPr>
          <w:rFonts w:ascii="Arial" w:hAnsi="Arial" w:cs="Arial"/>
          <w:sz w:val="18"/>
          <w:szCs w:val="18"/>
        </w:rPr>
        <w:t xml:space="preserve">Nota: </w:t>
      </w:r>
      <w:r w:rsidR="00346367">
        <w:rPr>
          <w:rFonts w:ascii="Arial" w:hAnsi="Arial" w:cs="Arial"/>
          <w:sz w:val="18"/>
          <w:szCs w:val="18"/>
        </w:rPr>
        <w:t xml:space="preserve">en el caso de </w:t>
      </w:r>
      <w:r w:rsidRPr="00C25D8D">
        <w:rPr>
          <w:rFonts w:ascii="Arial" w:hAnsi="Arial" w:cs="Arial"/>
          <w:sz w:val="18"/>
          <w:szCs w:val="18"/>
        </w:rPr>
        <w:t xml:space="preserve">la materia penal y </w:t>
      </w:r>
      <w:r w:rsidR="002C411F">
        <w:rPr>
          <w:rFonts w:ascii="Arial" w:hAnsi="Arial" w:cs="Arial"/>
          <w:sz w:val="18"/>
          <w:szCs w:val="18"/>
        </w:rPr>
        <w:t xml:space="preserve">de </w:t>
      </w:r>
      <w:r w:rsidRPr="00C25D8D">
        <w:rPr>
          <w:rFonts w:ascii="Arial" w:hAnsi="Arial" w:cs="Arial"/>
          <w:sz w:val="18"/>
          <w:szCs w:val="18"/>
        </w:rPr>
        <w:t>justicia para adolescentes</w:t>
      </w:r>
      <w:r>
        <w:rPr>
          <w:rFonts w:ascii="Arial" w:hAnsi="Arial" w:cs="Arial"/>
          <w:sz w:val="18"/>
          <w:szCs w:val="18"/>
        </w:rPr>
        <w:t xml:space="preserve"> </w:t>
      </w:r>
      <w:r w:rsidR="004E2625" w:rsidRPr="00C25D8D">
        <w:rPr>
          <w:rFonts w:ascii="Arial" w:hAnsi="Arial" w:cs="Arial"/>
          <w:sz w:val="18"/>
          <w:szCs w:val="18"/>
        </w:rPr>
        <w:t xml:space="preserve">únicamente </w:t>
      </w:r>
      <w:r w:rsidR="004E2625">
        <w:rPr>
          <w:rFonts w:ascii="Arial" w:hAnsi="Arial" w:cs="Arial"/>
          <w:sz w:val="18"/>
          <w:szCs w:val="18"/>
        </w:rPr>
        <w:t xml:space="preserve">se </w:t>
      </w:r>
      <w:r w:rsidR="004E2625" w:rsidRPr="00C25D8D">
        <w:rPr>
          <w:rFonts w:ascii="Arial" w:hAnsi="Arial" w:cs="Arial"/>
          <w:sz w:val="18"/>
          <w:szCs w:val="18"/>
        </w:rPr>
        <w:t>contabilizan las</w:t>
      </w:r>
      <w:r w:rsidR="004E2625">
        <w:rPr>
          <w:rFonts w:ascii="Arial" w:hAnsi="Arial" w:cs="Arial"/>
          <w:sz w:val="18"/>
          <w:szCs w:val="18"/>
        </w:rPr>
        <w:t xml:space="preserve"> causas que fueron</w:t>
      </w:r>
      <w:r w:rsidR="004E2625" w:rsidRPr="00C25D8D">
        <w:rPr>
          <w:rFonts w:ascii="Arial" w:hAnsi="Arial" w:cs="Arial"/>
          <w:sz w:val="18"/>
          <w:szCs w:val="18"/>
        </w:rPr>
        <w:t xml:space="preserve"> competentes</w:t>
      </w:r>
      <w:r w:rsidR="004E2625">
        <w:rPr>
          <w:rFonts w:ascii="Arial" w:hAnsi="Arial" w:cs="Arial"/>
          <w:sz w:val="18"/>
          <w:szCs w:val="18"/>
        </w:rPr>
        <w:t xml:space="preserve">, asimismo, </w:t>
      </w:r>
      <w:r>
        <w:rPr>
          <w:rFonts w:ascii="Arial" w:hAnsi="Arial" w:cs="Arial"/>
          <w:sz w:val="18"/>
          <w:szCs w:val="18"/>
        </w:rPr>
        <w:t xml:space="preserve">no se incluyen las causas penales ingresadas a los Tribunales de Enjuiciamiento o </w:t>
      </w:r>
      <w:r w:rsidR="004E2625">
        <w:rPr>
          <w:rFonts w:ascii="Arial" w:hAnsi="Arial" w:cs="Arial"/>
          <w:sz w:val="18"/>
          <w:szCs w:val="18"/>
        </w:rPr>
        <w:t>Juzgados de Juicio Oral.</w:t>
      </w:r>
    </w:p>
    <w:p w:rsidR="00A053A8" w:rsidRPr="00346367" w:rsidRDefault="00365E8E" w:rsidP="00346367">
      <w:pPr>
        <w:tabs>
          <w:tab w:val="left" w:pos="1065"/>
        </w:tabs>
        <w:jc w:val="both"/>
        <w:rPr>
          <w:rFonts w:ascii="Arial" w:hAnsi="Arial" w:cs="Arial"/>
          <w:sz w:val="24"/>
          <w:szCs w:val="24"/>
        </w:rPr>
      </w:pPr>
      <w:r w:rsidRPr="00B41A93">
        <w:rPr>
          <w:rFonts w:ascii="Arial" w:hAnsi="Arial" w:cs="Arial"/>
          <w:sz w:val="24"/>
          <w:szCs w:val="24"/>
        </w:rPr>
        <w:t xml:space="preserve">En lo </w:t>
      </w:r>
      <w:r>
        <w:rPr>
          <w:rFonts w:ascii="Arial" w:hAnsi="Arial" w:cs="Arial"/>
          <w:sz w:val="24"/>
          <w:szCs w:val="24"/>
        </w:rPr>
        <w:t>concerniente a la materia penal</w:t>
      </w:r>
      <w:r w:rsidR="00CF67A0">
        <w:rPr>
          <w:rFonts w:ascii="Arial" w:hAnsi="Arial" w:cs="Arial"/>
          <w:sz w:val="24"/>
          <w:szCs w:val="24"/>
        </w:rPr>
        <w:t xml:space="preserve"> y de justicia para adolescentes</w:t>
      </w:r>
      <w:r>
        <w:rPr>
          <w:rFonts w:ascii="Arial" w:hAnsi="Arial" w:cs="Arial"/>
          <w:sz w:val="24"/>
          <w:szCs w:val="24"/>
        </w:rPr>
        <w:t xml:space="preserve">, durante 2018 ingresaron 163 mil </w:t>
      </w:r>
      <w:r w:rsidR="00346367">
        <w:rPr>
          <w:rFonts w:ascii="Arial" w:hAnsi="Arial" w:cs="Arial"/>
          <w:sz w:val="24"/>
          <w:szCs w:val="24"/>
        </w:rPr>
        <w:t>543</w:t>
      </w:r>
      <w:r>
        <w:rPr>
          <w:rFonts w:ascii="Arial" w:hAnsi="Arial" w:cs="Arial"/>
          <w:sz w:val="24"/>
          <w:szCs w:val="24"/>
        </w:rPr>
        <w:t xml:space="preserve"> </w:t>
      </w:r>
      <w:r w:rsidRPr="008B3BB1">
        <w:rPr>
          <w:rFonts w:ascii="Arial" w:hAnsi="Arial" w:cs="Arial"/>
          <w:sz w:val="24"/>
          <w:szCs w:val="24"/>
        </w:rPr>
        <w:t>causas penales</w:t>
      </w:r>
      <w:r>
        <w:rPr>
          <w:rFonts w:ascii="Arial" w:hAnsi="Arial" w:cs="Arial"/>
          <w:sz w:val="24"/>
          <w:szCs w:val="24"/>
        </w:rPr>
        <w:t xml:space="preserve">, </w:t>
      </w:r>
      <w:r w:rsidRPr="00E2504F">
        <w:rPr>
          <w:rFonts w:ascii="Arial" w:hAnsi="Arial" w:cs="Arial"/>
          <w:sz w:val="24"/>
          <w:szCs w:val="24"/>
        </w:rPr>
        <w:t>128</w:t>
      </w:r>
      <w:r>
        <w:rPr>
          <w:rFonts w:ascii="Arial" w:hAnsi="Arial" w:cs="Arial"/>
          <w:sz w:val="24"/>
          <w:szCs w:val="24"/>
        </w:rPr>
        <w:t xml:space="preserve"> mil </w:t>
      </w:r>
      <w:r w:rsidRPr="00E2504F">
        <w:rPr>
          <w:rFonts w:ascii="Arial" w:hAnsi="Arial" w:cs="Arial"/>
          <w:sz w:val="24"/>
          <w:szCs w:val="24"/>
        </w:rPr>
        <w:t>806</w:t>
      </w:r>
      <w:r w:rsidR="004F13AF">
        <w:rPr>
          <w:rFonts w:ascii="Arial" w:hAnsi="Arial" w:cs="Arial"/>
          <w:sz w:val="24"/>
          <w:szCs w:val="24"/>
        </w:rPr>
        <w:t xml:space="preserve"> </w:t>
      </w:r>
      <w:r>
        <w:rPr>
          <w:rFonts w:ascii="Arial" w:hAnsi="Arial" w:cs="Arial"/>
          <w:sz w:val="24"/>
          <w:szCs w:val="24"/>
        </w:rPr>
        <w:t xml:space="preserve">se concluyeron y </w:t>
      </w:r>
      <w:r w:rsidRPr="00E2504F">
        <w:rPr>
          <w:rFonts w:ascii="Arial" w:hAnsi="Arial" w:cs="Arial"/>
          <w:sz w:val="24"/>
          <w:szCs w:val="24"/>
        </w:rPr>
        <w:t>263</w:t>
      </w:r>
      <w:r>
        <w:rPr>
          <w:rFonts w:ascii="Arial" w:hAnsi="Arial" w:cs="Arial"/>
          <w:sz w:val="24"/>
          <w:szCs w:val="24"/>
        </w:rPr>
        <w:t xml:space="preserve"> mil </w:t>
      </w:r>
      <w:r w:rsidRPr="00E2504F">
        <w:rPr>
          <w:rFonts w:ascii="Arial" w:hAnsi="Arial" w:cs="Arial"/>
          <w:sz w:val="24"/>
          <w:szCs w:val="24"/>
        </w:rPr>
        <w:t>522</w:t>
      </w:r>
      <w:r>
        <w:rPr>
          <w:rFonts w:ascii="Arial" w:hAnsi="Arial" w:cs="Arial"/>
          <w:sz w:val="24"/>
          <w:szCs w:val="24"/>
        </w:rPr>
        <w:t xml:space="preserve"> quedaron pendiente</w:t>
      </w:r>
      <w:r w:rsidR="002C411F">
        <w:rPr>
          <w:rFonts w:ascii="Arial" w:hAnsi="Arial" w:cs="Arial"/>
          <w:sz w:val="24"/>
          <w:szCs w:val="24"/>
        </w:rPr>
        <w:t>s</w:t>
      </w:r>
      <w:r>
        <w:rPr>
          <w:rFonts w:ascii="Arial" w:hAnsi="Arial" w:cs="Arial"/>
          <w:sz w:val="24"/>
          <w:szCs w:val="24"/>
        </w:rPr>
        <w:t xml:space="preserve"> de concluir</w:t>
      </w:r>
      <w:r w:rsidR="00CF67A0">
        <w:rPr>
          <w:rFonts w:ascii="Arial" w:hAnsi="Arial" w:cs="Arial"/>
          <w:sz w:val="24"/>
          <w:szCs w:val="24"/>
        </w:rPr>
        <w:t xml:space="preserve"> al cierre del año</w:t>
      </w:r>
      <w:r w:rsidR="000A28B5">
        <w:rPr>
          <w:rFonts w:ascii="Arial" w:hAnsi="Arial" w:cs="Arial"/>
          <w:sz w:val="24"/>
          <w:szCs w:val="24"/>
        </w:rPr>
        <w:t>. E</w:t>
      </w:r>
      <w:r>
        <w:rPr>
          <w:rFonts w:ascii="Arial" w:hAnsi="Arial" w:cs="Arial"/>
          <w:sz w:val="24"/>
          <w:szCs w:val="24"/>
        </w:rPr>
        <w:t xml:space="preserve">l flujo de las causas se presenta a </w:t>
      </w:r>
      <w:r w:rsidR="004F13AF">
        <w:rPr>
          <w:rFonts w:ascii="Arial" w:hAnsi="Arial" w:cs="Arial"/>
          <w:sz w:val="24"/>
          <w:szCs w:val="24"/>
        </w:rPr>
        <w:t>continuación</w:t>
      </w:r>
      <w:r>
        <w:rPr>
          <w:rStyle w:val="Refdenotaalpie"/>
          <w:rFonts w:ascii="Arial" w:hAnsi="Arial" w:cs="Arial"/>
          <w:sz w:val="24"/>
          <w:szCs w:val="24"/>
        </w:rPr>
        <w:footnoteReference w:id="12"/>
      </w:r>
      <w:r w:rsidR="004F13AF">
        <w:rPr>
          <w:rFonts w:ascii="Arial" w:hAnsi="Arial" w:cs="Arial"/>
          <w:sz w:val="24"/>
          <w:szCs w:val="24"/>
        </w:rPr>
        <w:t>:</w:t>
      </w:r>
    </w:p>
    <w:p w:rsidR="00365E8E" w:rsidRDefault="00A67554" w:rsidP="00346367">
      <w:pPr>
        <w:tabs>
          <w:tab w:val="left" w:pos="1065"/>
        </w:tabs>
        <w:spacing w:before="240"/>
        <w:jc w:val="center"/>
        <w:rPr>
          <w:rFonts w:ascii="Arial" w:hAnsi="Arial" w:cs="Arial"/>
          <w:b/>
          <w:i/>
          <w:sz w:val="24"/>
          <w:szCs w:val="24"/>
        </w:rPr>
      </w:pPr>
      <w:r w:rsidRPr="00A67554">
        <w:rPr>
          <w:rFonts w:ascii="Arial" w:hAnsi="Arial" w:cs="Arial"/>
          <w:noProof/>
          <w:sz w:val="18"/>
          <w:szCs w:val="18"/>
          <w:lang w:val="en-US"/>
        </w:rPr>
        <w:drawing>
          <wp:anchor distT="0" distB="0" distL="114300" distR="114300" simplePos="0" relativeHeight="251661312" behindDoc="0" locked="0" layoutInCell="1" allowOverlap="1" wp14:anchorId="5BD4BCA1" wp14:editId="4016C26F">
            <wp:simplePos x="0" y="0"/>
            <wp:positionH relativeFrom="column">
              <wp:posOffset>639335</wp:posOffset>
            </wp:positionH>
            <wp:positionV relativeFrom="paragraph">
              <wp:posOffset>436300</wp:posOffset>
            </wp:positionV>
            <wp:extent cx="4522304" cy="1540565"/>
            <wp:effectExtent l="0" t="0" r="0" b="254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365E8E" w:rsidRPr="00DA674F">
        <w:rPr>
          <w:rFonts w:ascii="Arial" w:hAnsi="Arial" w:cs="Arial"/>
          <w:b/>
          <w:i/>
          <w:sz w:val="24"/>
          <w:szCs w:val="24"/>
        </w:rPr>
        <w:t xml:space="preserve">Gráfica </w:t>
      </w:r>
      <w:r w:rsidR="001A15C6">
        <w:rPr>
          <w:rFonts w:ascii="Arial" w:hAnsi="Arial" w:cs="Arial"/>
          <w:b/>
          <w:i/>
          <w:sz w:val="24"/>
          <w:szCs w:val="24"/>
        </w:rPr>
        <w:t>7</w:t>
      </w:r>
      <w:r w:rsidR="00365E8E" w:rsidRPr="00DA674F">
        <w:rPr>
          <w:rFonts w:ascii="Arial" w:hAnsi="Arial" w:cs="Arial"/>
          <w:b/>
          <w:i/>
          <w:sz w:val="24"/>
          <w:szCs w:val="24"/>
        </w:rPr>
        <w:t xml:space="preserve">. Flujo de </w:t>
      </w:r>
      <w:r w:rsidR="00365E8E">
        <w:rPr>
          <w:rFonts w:ascii="Arial" w:hAnsi="Arial" w:cs="Arial"/>
          <w:b/>
          <w:i/>
          <w:sz w:val="24"/>
          <w:szCs w:val="24"/>
        </w:rPr>
        <w:t>causas penales atendidas por los</w:t>
      </w:r>
      <w:r w:rsidR="007B23F0">
        <w:rPr>
          <w:rFonts w:ascii="Arial" w:hAnsi="Arial" w:cs="Arial"/>
          <w:b/>
          <w:i/>
          <w:sz w:val="24"/>
          <w:szCs w:val="24"/>
        </w:rPr>
        <w:t xml:space="preserve"> órganos jurisdiccionales de los</w:t>
      </w:r>
      <w:r w:rsidR="00365E8E">
        <w:rPr>
          <w:rFonts w:ascii="Arial" w:hAnsi="Arial" w:cs="Arial"/>
          <w:b/>
          <w:i/>
          <w:sz w:val="24"/>
          <w:szCs w:val="24"/>
        </w:rPr>
        <w:t xml:space="preserve"> </w:t>
      </w:r>
      <w:r w:rsidR="007B23F0">
        <w:rPr>
          <w:rFonts w:ascii="Arial" w:hAnsi="Arial" w:cs="Arial"/>
          <w:b/>
          <w:i/>
          <w:sz w:val="24"/>
          <w:szCs w:val="24"/>
        </w:rPr>
        <w:t>P</w:t>
      </w:r>
      <w:r w:rsidR="00365E8E">
        <w:rPr>
          <w:rFonts w:ascii="Arial" w:hAnsi="Arial" w:cs="Arial"/>
          <w:b/>
          <w:i/>
          <w:sz w:val="24"/>
          <w:szCs w:val="24"/>
        </w:rPr>
        <w:t xml:space="preserve">oderes </w:t>
      </w:r>
      <w:r w:rsidR="007B23F0">
        <w:rPr>
          <w:rFonts w:ascii="Arial" w:hAnsi="Arial" w:cs="Arial"/>
          <w:b/>
          <w:i/>
          <w:sz w:val="24"/>
          <w:szCs w:val="24"/>
        </w:rPr>
        <w:t>J</w:t>
      </w:r>
      <w:r w:rsidR="00365E8E">
        <w:rPr>
          <w:rFonts w:ascii="Arial" w:hAnsi="Arial" w:cs="Arial"/>
          <w:b/>
          <w:i/>
          <w:sz w:val="24"/>
          <w:szCs w:val="24"/>
        </w:rPr>
        <w:t xml:space="preserve">udiciales </w:t>
      </w:r>
      <w:r w:rsidR="007B23F0">
        <w:rPr>
          <w:rFonts w:ascii="Arial" w:hAnsi="Arial" w:cs="Arial"/>
          <w:b/>
          <w:i/>
          <w:sz w:val="24"/>
          <w:szCs w:val="24"/>
        </w:rPr>
        <w:t>E</w:t>
      </w:r>
      <w:r w:rsidR="00365E8E">
        <w:rPr>
          <w:rFonts w:ascii="Arial" w:hAnsi="Arial" w:cs="Arial"/>
          <w:b/>
          <w:i/>
          <w:sz w:val="24"/>
          <w:szCs w:val="24"/>
        </w:rPr>
        <w:t>statales, 2018</w:t>
      </w:r>
    </w:p>
    <w:p w:rsidR="00A67554" w:rsidRDefault="00A67554" w:rsidP="00365E8E">
      <w:pPr>
        <w:tabs>
          <w:tab w:val="left" w:pos="1065"/>
        </w:tabs>
        <w:jc w:val="center"/>
        <w:rPr>
          <w:rFonts w:ascii="Arial" w:hAnsi="Arial" w:cs="Arial"/>
          <w:b/>
          <w:i/>
          <w:sz w:val="24"/>
          <w:szCs w:val="24"/>
        </w:rPr>
      </w:pPr>
    </w:p>
    <w:p w:rsidR="00A67554" w:rsidRDefault="00A67554" w:rsidP="00365E8E">
      <w:pPr>
        <w:tabs>
          <w:tab w:val="left" w:pos="1065"/>
        </w:tabs>
        <w:jc w:val="center"/>
        <w:rPr>
          <w:rFonts w:ascii="Arial" w:hAnsi="Arial" w:cs="Arial"/>
          <w:b/>
          <w:i/>
          <w:sz w:val="24"/>
          <w:szCs w:val="24"/>
        </w:rPr>
      </w:pPr>
    </w:p>
    <w:p w:rsidR="00A67554" w:rsidRDefault="00A67554" w:rsidP="00365E8E">
      <w:pPr>
        <w:tabs>
          <w:tab w:val="left" w:pos="1065"/>
        </w:tabs>
        <w:jc w:val="center"/>
        <w:rPr>
          <w:rFonts w:ascii="Arial" w:hAnsi="Arial" w:cs="Arial"/>
          <w:b/>
          <w:i/>
          <w:sz w:val="24"/>
          <w:szCs w:val="24"/>
        </w:rPr>
      </w:pPr>
    </w:p>
    <w:p w:rsidR="00A67554" w:rsidRDefault="00A67554" w:rsidP="00365E8E">
      <w:pPr>
        <w:tabs>
          <w:tab w:val="left" w:pos="1065"/>
        </w:tabs>
        <w:jc w:val="center"/>
        <w:rPr>
          <w:rFonts w:ascii="Arial" w:hAnsi="Arial" w:cs="Arial"/>
          <w:b/>
          <w:i/>
          <w:sz w:val="24"/>
          <w:szCs w:val="24"/>
        </w:rPr>
      </w:pPr>
    </w:p>
    <w:p w:rsidR="00A67554" w:rsidRPr="00A36F6E" w:rsidRDefault="00A67554" w:rsidP="00A36F6E">
      <w:pPr>
        <w:rPr>
          <w:rFonts w:ascii="Arial" w:hAnsi="Arial" w:cs="Arial"/>
          <w:sz w:val="24"/>
          <w:szCs w:val="24"/>
        </w:rPr>
      </w:pPr>
    </w:p>
    <w:p w:rsidR="000A28B5" w:rsidRDefault="00346367" w:rsidP="002C411F">
      <w:pPr>
        <w:spacing w:before="240"/>
        <w:jc w:val="both"/>
        <w:rPr>
          <w:rFonts w:ascii="Arial" w:hAnsi="Arial" w:cs="Arial"/>
          <w:sz w:val="18"/>
          <w:szCs w:val="18"/>
        </w:rPr>
      </w:pPr>
      <w:r w:rsidRPr="00C25D8D">
        <w:rPr>
          <w:rFonts w:ascii="Arial" w:hAnsi="Arial" w:cs="Arial"/>
          <w:sz w:val="18"/>
          <w:szCs w:val="18"/>
        </w:rPr>
        <w:t xml:space="preserve">Nota: </w:t>
      </w:r>
      <w:r w:rsidR="004E2625">
        <w:rPr>
          <w:rFonts w:ascii="Arial" w:hAnsi="Arial" w:cs="Arial"/>
          <w:sz w:val="18"/>
          <w:szCs w:val="18"/>
        </w:rPr>
        <w:t xml:space="preserve">se incluye el sistema penal para adultos y de justicia para adolescentes. </w:t>
      </w:r>
      <w:r w:rsidR="00B11A41">
        <w:rPr>
          <w:rFonts w:ascii="Arial" w:hAnsi="Arial" w:cs="Arial"/>
          <w:sz w:val="18"/>
          <w:szCs w:val="18"/>
        </w:rPr>
        <w:t>Para</w:t>
      </w:r>
      <w:r w:rsidR="004E2625">
        <w:rPr>
          <w:rFonts w:ascii="Arial" w:hAnsi="Arial" w:cs="Arial"/>
          <w:sz w:val="18"/>
          <w:szCs w:val="18"/>
        </w:rPr>
        <w:t xml:space="preserve"> las causas penales ingresadas </w:t>
      </w:r>
      <w:r w:rsidR="004E2625" w:rsidRPr="00C25D8D">
        <w:rPr>
          <w:rFonts w:ascii="Arial" w:hAnsi="Arial" w:cs="Arial"/>
          <w:sz w:val="18"/>
          <w:szCs w:val="18"/>
        </w:rPr>
        <w:t xml:space="preserve">únicamente </w:t>
      </w:r>
      <w:r w:rsidR="004E2625">
        <w:rPr>
          <w:rFonts w:ascii="Arial" w:hAnsi="Arial" w:cs="Arial"/>
          <w:sz w:val="18"/>
          <w:szCs w:val="18"/>
        </w:rPr>
        <w:t>se contabilizan aquellas que fueron</w:t>
      </w:r>
      <w:r w:rsidR="004E2625" w:rsidRPr="00C25D8D">
        <w:rPr>
          <w:rFonts w:ascii="Arial" w:hAnsi="Arial" w:cs="Arial"/>
          <w:sz w:val="18"/>
          <w:szCs w:val="18"/>
        </w:rPr>
        <w:t xml:space="preserve"> competentes</w:t>
      </w:r>
      <w:r w:rsidR="00136707">
        <w:rPr>
          <w:rFonts w:ascii="Arial" w:hAnsi="Arial" w:cs="Arial"/>
          <w:sz w:val="18"/>
          <w:szCs w:val="18"/>
        </w:rPr>
        <w:t>;</w:t>
      </w:r>
      <w:r w:rsidR="004E2625">
        <w:rPr>
          <w:rFonts w:ascii="Arial" w:hAnsi="Arial" w:cs="Arial"/>
          <w:sz w:val="18"/>
          <w:szCs w:val="18"/>
        </w:rPr>
        <w:t xml:space="preserve"> asimismo, </w:t>
      </w:r>
      <w:r w:rsidR="004A369D">
        <w:rPr>
          <w:rFonts w:ascii="Arial" w:hAnsi="Arial" w:cs="Arial"/>
          <w:sz w:val="18"/>
          <w:szCs w:val="18"/>
        </w:rPr>
        <w:t xml:space="preserve">no </w:t>
      </w:r>
      <w:r w:rsidR="00136707">
        <w:rPr>
          <w:rFonts w:ascii="Arial" w:hAnsi="Arial" w:cs="Arial"/>
          <w:sz w:val="18"/>
          <w:szCs w:val="18"/>
        </w:rPr>
        <w:t>se consideran</w:t>
      </w:r>
      <w:r w:rsidR="004A369D">
        <w:rPr>
          <w:rFonts w:ascii="Arial" w:hAnsi="Arial" w:cs="Arial"/>
          <w:sz w:val="18"/>
          <w:szCs w:val="18"/>
        </w:rPr>
        <w:t xml:space="preserve"> las causas ingresadas a los Tribunales de Enjuiciamiento o </w:t>
      </w:r>
      <w:r w:rsidR="004A369D" w:rsidRPr="00C25D8D">
        <w:rPr>
          <w:rFonts w:ascii="Arial" w:hAnsi="Arial" w:cs="Arial"/>
          <w:sz w:val="18"/>
          <w:szCs w:val="18"/>
        </w:rPr>
        <w:t>Juzgados de Juicio Oral</w:t>
      </w:r>
      <w:r w:rsidR="004E2625">
        <w:rPr>
          <w:rFonts w:ascii="Arial" w:hAnsi="Arial" w:cs="Arial"/>
          <w:sz w:val="18"/>
          <w:szCs w:val="18"/>
        </w:rPr>
        <w:t xml:space="preserve">. En el caso de las </w:t>
      </w:r>
      <w:r w:rsidR="00136707">
        <w:rPr>
          <w:rFonts w:ascii="Arial" w:hAnsi="Arial" w:cs="Arial"/>
          <w:sz w:val="18"/>
          <w:szCs w:val="18"/>
        </w:rPr>
        <w:t xml:space="preserve">causas </w:t>
      </w:r>
      <w:r w:rsidR="004E2625">
        <w:rPr>
          <w:rFonts w:ascii="Arial" w:hAnsi="Arial" w:cs="Arial"/>
          <w:sz w:val="18"/>
          <w:szCs w:val="18"/>
        </w:rPr>
        <w:t>concluidas y pendientes</w:t>
      </w:r>
      <w:r w:rsidR="00136707">
        <w:rPr>
          <w:rFonts w:ascii="Arial" w:hAnsi="Arial" w:cs="Arial"/>
          <w:sz w:val="18"/>
          <w:szCs w:val="18"/>
        </w:rPr>
        <w:t>,</w:t>
      </w:r>
      <w:r w:rsidR="004E2625">
        <w:rPr>
          <w:rFonts w:ascii="Arial" w:hAnsi="Arial" w:cs="Arial"/>
          <w:sz w:val="18"/>
          <w:szCs w:val="18"/>
        </w:rPr>
        <w:t xml:space="preserve"> se </w:t>
      </w:r>
      <w:r w:rsidR="00136707">
        <w:rPr>
          <w:rFonts w:ascii="Arial" w:hAnsi="Arial" w:cs="Arial"/>
          <w:sz w:val="18"/>
          <w:szCs w:val="18"/>
        </w:rPr>
        <w:t>toman en cuenta las</w:t>
      </w:r>
      <w:r w:rsidR="004E2625">
        <w:rPr>
          <w:rFonts w:ascii="Arial" w:hAnsi="Arial" w:cs="Arial"/>
          <w:sz w:val="18"/>
          <w:szCs w:val="18"/>
        </w:rPr>
        <w:t xml:space="preserve"> causas ingresadas </w:t>
      </w:r>
      <w:r w:rsidR="00136707">
        <w:rPr>
          <w:rFonts w:ascii="Arial" w:hAnsi="Arial" w:cs="Arial"/>
          <w:sz w:val="18"/>
          <w:szCs w:val="18"/>
        </w:rPr>
        <w:t>de</w:t>
      </w:r>
      <w:r w:rsidR="004E2625">
        <w:rPr>
          <w:rFonts w:ascii="Arial" w:hAnsi="Arial" w:cs="Arial"/>
          <w:sz w:val="18"/>
          <w:szCs w:val="18"/>
        </w:rPr>
        <w:t xml:space="preserve"> años anteriores.</w:t>
      </w:r>
    </w:p>
    <w:p w:rsidR="00BF2DC7" w:rsidRDefault="00BF2DC7" w:rsidP="00BF2DC7">
      <w:pPr>
        <w:tabs>
          <w:tab w:val="left" w:pos="1065"/>
        </w:tabs>
        <w:spacing w:after="0"/>
        <w:jc w:val="both"/>
        <w:rPr>
          <w:rFonts w:ascii="Arial" w:hAnsi="Arial" w:cs="Arial"/>
          <w:sz w:val="24"/>
          <w:szCs w:val="24"/>
        </w:rPr>
      </w:pPr>
    </w:p>
    <w:p w:rsidR="00346367" w:rsidRDefault="002C411F" w:rsidP="00BF2DC7">
      <w:pPr>
        <w:tabs>
          <w:tab w:val="left" w:pos="1065"/>
        </w:tabs>
        <w:spacing w:after="0"/>
        <w:jc w:val="both"/>
        <w:rPr>
          <w:rFonts w:ascii="Arial" w:hAnsi="Arial" w:cs="Arial"/>
          <w:sz w:val="24"/>
          <w:szCs w:val="24"/>
        </w:rPr>
      </w:pPr>
      <w:r w:rsidRPr="002C411F">
        <w:rPr>
          <w:rFonts w:ascii="Arial" w:hAnsi="Arial" w:cs="Arial"/>
          <w:sz w:val="24"/>
          <w:szCs w:val="24"/>
        </w:rPr>
        <w:t xml:space="preserve">Finalmente, </w:t>
      </w:r>
      <w:r>
        <w:rPr>
          <w:rFonts w:ascii="Arial" w:hAnsi="Arial" w:cs="Arial"/>
          <w:sz w:val="24"/>
          <w:szCs w:val="24"/>
        </w:rPr>
        <w:t xml:space="preserve">se registraron </w:t>
      </w:r>
      <w:r w:rsidRPr="002C411F">
        <w:rPr>
          <w:rFonts w:ascii="Arial" w:hAnsi="Arial" w:cs="Arial"/>
          <w:sz w:val="24"/>
          <w:szCs w:val="24"/>
        </w:rPr>
        <w:t>186</w:t>
      </w:r>
      <w:r>
        <w:rPr>
          <w:rFonts w:ascii="Arial" w:hAnsi="Arial" w:cs="Arial"/>
          <w:sz w:val="24"/>
          <w:szCs w:val="24"/>
        </w:rPr>
        <w:t xml:space="preserve"> mil </w:t>
      </w:r>
      <w:r w:rsidRPr="002C411F">
        <w:rPr>
          <w:rFonts w:ascii="Arial" w:hAnsi="Arial" w:cs="Arial"/>
          <w:sz w:val="24"/>
          <w:szCs w:val="24"/>
        </w:rPr>
        <w:t>356</w:t>
      </w:r>
      <w:r>
        <w:rPr>
          <w:rFonts w:ascii="Arial" w:hAnsi="Arial" w:cs="Arial"/>
          <w:sz w:val="24"/>
          <w:szCs w:val="24"/>
        </w:rPr>
        <w:t xml:space="preserve"> delitos en las causas penales</w:t>
      </w:r>
      <w:r w:rsidR="007B23F0">
        <w:rPr>
          <w:rFonts w:ascii="Arial" w:hAnsi="Arial" w:cs="Arial"/>
          <w:sz w:val="24"/>
          <w:szCs w:val="24"/>
        </w:rPr>
        <w:t xml:space="preserve"> ingresadas en materia penal y de justicia para adolescentes, 65.7% fueron consumados y 14.3% en grado de tentativa:</w:t>
      </w:r>
    </w:p>
    <w:p w:rsidR="007B23F0" w:rsidRDefault="007B23F0" w:rsidP="00BF2DC7">
      <w:pPr>
        <w:tabs>
          <w:tab w:val="left" w:pos="1065"/>
        </w:tabs>
        <w:spacing w:after="0"/>
        <w:jc w:val="both"/>
        <w:rPr>
          <w:rFonts w:ascii="Arial" w:hAnsi="Arial" w:cs="Arial"/>
          <w:sz w:val="24"/>
          <w:szCs w:val="24"/>
        </w:rPr>
      </w:pPr>
    </w:p>
    <w:p w:rsidR="002C411F" w:rsidRDefault="007B23F0" w:rsidP="007B23F0">
      <w:pPr>
        <w:tabs>
          <w:tab w:val="left" w:pos="1065"/>
        </w:tabs>
        <w:jc w:val="center"/>
        <w:rPr>
          <w:rFonts w:ascii="Arial" w:hAnsi="Arial" w:cs="Arial"/>
          <w:sz w:val="24"/>
          <w:szCs w:val="24"/>
        </w:rPr>
      </w:pPr>
      <w:r w:rsidRPr="00DA674F">
        <w:rPr>
          <w:rFonts w:ascii="Arial" w:hAnsi="Arial" w:cs="Arial"/>
          <w:b/>
          <w:i/>
          <w:sz w:val="24"/>
          <w:szCs w:val="24"/>
        </w:rPr>
        <w:t xml:space="preserve">Gráfica </w:t>
      </w:r>
      <w:r w:rsidR="001A15C6">
        <w:rPr>
          <w:rFonts w:ascii="Arial" w:hAnsi="Arial" w:cs="Arial"/>
          <w:b/>
          <w:i/>
          <w:sz w:val="24"/>
          <w:szCs w:val="24"/>
        </w:rPr>
        <w:t>8</w:t>
      </w:r>
      <w:r w:rsidRPr="00DA674F">
        <w:rPr>
          <w:rFonts w:ascii="Arial" w:hAnsi="Arial" w:cs="Arial"/>
          <w:b/>
          <w:i/>
          <w:sz w:val="24"/>
          <w:szCs w:val="24"/>
        </w:rPr>
        <w:t xml:space="preserve">. </w:t>
      </w:r>
      <w:r>
        <w:rPr>
          <w:rFonts w:ascii="Arial" w:hAnsi="Arial" w:cs="Arial"/>
          <w:b/>
          <w:i/>
          <w:sz w:val="24"/>
          <w:szCs w:val="24"/>
        </w:rPr>
        <w:t>Delitos registrados en las causas penales ingresadas en los órganos jurisdiccionales de los Poderes judiciales estatales, 2018</w:t>
      </w:r>
    </w:p>
    <w:p w:rsidR="002C411F" w:rsidRDefault="002C411F" w:rsidP="007B23F0">
      <w:pPr>
        <w:tabs>
          <w:tab w:val="left" w:pos="1065"/>
        </w:tabs>
        <w:jc w:val="center"/>
        <w:rPr>
          <w:rFonts w:ascii="Arial" w:hAnsi="Arial" w:cs="Arial"/>
          <w:sz w:val="24"/>
          <w:szCs w:val="24"/>
        </w:rPr>
      </w:pPr>
      <w:r>
        <w:rPr>
          <w:noProof/>
          <w:lang w:val="en-US"/>
        </w:rPr>
        <w:drawing>
          <wp:inline distT="0" distB="0" distL="0" distR="0" wp14:anchorId="44C12ADC" wp14:editId="52672A91">
            <wp:extent cx="4175185" cy="2329132"/>
            <wp:effectExtent l="0" t="0" r="0" b="0"/>
            <wp:docPr id="2" name="Gráfico 2">
              <a:extLst xmlns:a="http://schemas.openxmlformats.org/drawingml/2006/main">
                <a:ext uri="{FF2B5EF4-FFF2-40B4-BE49-F238E27FC236}">
                  <a16:creationId xmlns:a16="http://schemas.microsoft.com/office/drawing/2014/main" id="{736673AA-06F2-4329-BF09-27511369C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B23F0" w:rsidRDefault="007B23F0" w:rsidP="00BF2DC7">
      <w:pPr>
        <w:spacing w:after="0"/>
        <w:jc w:val="both"/>
        <w:rPr>
          <w:rFonts w:ascii="Arial" w:hAnsi="Arial" w:cs="Arial"/>
          <w:sz w:val="18"/>
          <w:szCs w:val="18"/>
        </w:rPr>
      </w:pPr>
      <w:r w:rsidRPr="00C25D8D">
        <w:rPr>
          <w:rFonts w:ascii="Arial" w:hAnsi="Arial" w:cs="Arial"/>
          <w:sz w:val="18"/>
          <w:szCs w:val="18"/>
        </w:rPr>
        <w:t xml:space="preserve">Nota: </w:t>
      </w:r>
      <w:r w:rsidR="00B11A41" w:rsidRPr="00C25D8D">
        <w:rPr>
          <w:rFonts w:ascii="Arial" w:hAnsi="Arial" w:cs="Arial"/>
          <w:sz w:val="18"/>
          <w:szCs w:val="18"/>
        </w:rPr>
        <w:t xml:space="preserve">únicamente </w:t>
      </w:r>
      <w:r w:rsidR="00B11A41">
        <w:rPr>
          <w:rFonts w:ascii="Arial" w:hAnsi="Arial" w:cs="Arial"/>
          <w:sz w:val="18"/>
          <w:szCs w:val="18"/>
        </w:rPr>
        <w:t xml:space="preserve">se </w:t>
      </w:r>
      <w:r w:rsidR="00B11A41" w:rsidRPr="00C25D8D">
        <w:rPr>
          <w:rFonts w:ascii="Arial" w:hAnsi="Arial" w:cs="Arial"/>
          <w:sz w:val="18"/>
          <w:szCs w:val="18"/>
        </w:rPr>
        <w:t xml:space="preserve">contabilizan </w:t>
      </w:r>
      <w:r w:rsidR="00B11A41">
        <w:rPr>
          <w:rFonts w:ascii="Arial" w:hAnsi="Arial" w:cs="Arial"/>
          <w:sz w:val="18"/>
          <w:szCs w:val="18"/>
        </w:rPr>
        <w:t xml:space="preserve">los delitos registrados en </w:t>
      </w:r>
      <w:r w:rsidR="00B11A41" w:rsidRPr="00C25D8D">
        <w:rPr>
          <w:rFonts w:ascii="Arial" w:hAnsi="Arial" w:cs="Arial"/>
          <w:sz w:val="18"/>
          <w:szCs w:val="18"/>
        </w:rPr>
        <w:t>las</w:t>
      </w:r>
      <w:r w:rsidR="00B11A41">
        <w:rPr>
          <w:rFonts w:ascii="Arial" w:hAnsi="Arial" w:cs="Arial"/>
          <w:sz w:val="18"/>
          <w:szCs w:val="18"/>
        </w:rPr>
        <w:t xml:space="preserve"> causas penales que fueron</w:t>
      </w:r>
      <w:r w:rsidR="00B11A41" w:rsidRPr="00C25D8D">
        <w:rPr>
          <w:rFonts w:ascii="Arial" w:hAnsi="Arial" w:cs="Arial"/>
          <w:sz w:val="18"/>
          <w:szCs w:val="18"/>
        </w:rPr>
        <w:t xml:space="preserve"> competentes</w:t>
      </w:r>
      <w:r w:rsidR="00B11A41">
        <w:rPr>
          <w:rFonts w:ascii="Arial" w:hAnsi="Arial" w:cs="Arial"/>
          <w:sz w:val="18"/>
          <w:szCs w:val="18"/>
        </w:rPr>
        <w:t>, asimismo, no se incluyen delitos de las causas ingresadas a los Tribunales de Enjuiciamiento o Juzgados de Juicio Oral</w:t>
      </w:r>
      <w:r w:rsidR="004A369D" w:rsidRPr="00C25D8D">
        <w:rPr>
          <w:rFonts w:ascii="Arial" w:hAnsi="Arial" w:cs="Arial"/>
          <w:sz w:val="18"/>
          <w:szCs w:val="18"/>
        </w:rPr>
        <w:t>.</w:t>
      </w:r>
    </w:p>
    <w:p w:rsidR="00E53615" w:rsidRDefault="00E53615" w:rsidP="00BF2DC7">
      <w:pPr>
        <w:spacing w:after="0"/>
        <w:jc w:val="both"/>
        <w:rPr>
          <w:rFonts w:ascii="Arial" w:hAnsi="Arial" w:cs="Arial"/>
          <w:sz w:val="18"/>
          <w:szCs w:val="18"/>
        </w:rPr>
      </w:pPr>
    </w:p>
    <w:p w:rsidR="00E53615" w:rsidRDefault="00E53615" w:rsidP="00BF2DC7">
      <w:pPr>
        <w:spacing w:after="0"/>
        <w:jc w:val="both"/>
        <w:rPr>
          <w:rFonts w:ascii="Arial" w:hAnsi="Arial" w:cs="Arial"/>
          <w:sz w:val="18"/>
          <w:szCs w:val="18"/>
        </w:rPr>
      </w:pPr>
    </w:p>
    <w:p w:rsidR="00E53615" w:rsidRDefault="00E53615" w:rsidP="00BF2DC7">
      <w:pPr>
        <w:spacing w:after="0"/>
        <w:jc w:val="both"/>
        <w:rPr>
          <w:rFonts w:ascii="Arial" w:hAnsi="Arial" w:cs="Arial"/>
          <w:sz w:val="18"/>
          <w:szCs w:val="18"/>
        </w:rPr>
      </w:pPr>
    </w:p>
    <w:p w:rsidR="00E53615" w:rsidRPr="00E53615" w:rsidRDefault="00E53615" w:rsidP="00E53615">
      <w:pPr>
        <w:spacing w:after="0"/>
        <w:jc w:val="center"/>
        <w:rPr>
          <w:rFonts w:ascii="Arial" w:hAnsi="Arial" w:cs="Arial"/>
          <w:b/>
          <w:sz w:val="24"/>
          <w:szCs w:val="24"/>
        </w:rPr>
      </w:pPr>
      <w:r w:rsidRPr="00E53615">
        <w:rPr>
          <w:rFonts w:ascii="Arial" w:hAnsi="Arial" w:cs="Arial"/>
          <w:b/>
          <w:sz w:val="18"/>
          <w:szCs w:val="18"/>
        </w:rPr>
        <w:t>*********</w:t>
      </w:r>
    </w:p>
    <w:sectPr w:rsidR="00E53615" w:rsidRPr="00E53615" w:rsidSect="00EC2F19">
      <w:headerReference w:type="default" r:id="rId37"/>
      <w:type w:val="continuous"/>
      <w:pgSz w:w="12240" w:h="15840"/>
      <w:pgMar w:top="1417" w:right="118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0F8" w:rsidRDefault="00E870F8" w:rsidP="00EC2F19">
      <w:pPr>
        <w:spacing w:after="0" w:line="240" w:lineRule="auto"/>
      </w:pPr>
      <w:r>
        <w:separator/>
      </w:r>
    </w:p>
  </w:endnote>
  <w:endnote w:type="continuationSeparator" w:id="0">
    <w:p w:rsidR="00E870F8" w:rsidRDefault="00E870F8" w:rsidP="00E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4B" w:rsidRDefault="00BA12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19" w:rsidRPr="00EC2F19" w:rsidRDefault="00EC2F19" w:rsidP="00EC2F19">
    <w:pPr>
      <w:pStyle w:val="Piedepgina"/>
      <w:jc w:val="center"/>
      <w:rPr>
        <w:rFonts w:ascii="Arial" w:hAnsi="Arial" w:cs="Arial"/>
        <w:b/>
        <w:color w:val="002060"/>
        <w:sz w:val="20"/>
        <w:szCs w:val="20"/>
      </w:rPr>
    </w:pPr>
    <w:r w:rsidRPr="00EC2F19">
      <w:rPr>
        <w:rFonts w:ascii="Arial" w:hAnsi="Arial" w:cs="Arial"/>
        <w:b/>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4B" w:rsidRDefault="00BA12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0F8" w:rsidRDefault="00E870F8" w:rsidP="00EC2F19">
      <w:pPr>
        <w:spacing w:after="0" w:line="240" w:lineRule="auto"/>
      </w:pPr>
      <w:r>
        <w:separator/>
      </w:r>
    </w:p>
  </w:footnote>
  <w:footnote w:type="continuationSeparator" w:id="0">
    <w:p w:rsidR="00E870F8" w:rsidRDefault="00E870F8" w:rsidP="00EC2F19">
      <w:pPr>
        <w:spacing w:after="0" w:line="240" w:lineRule="auto"/>
      </w:pPr>
      <w:r>
        <w:continuationSeparator/>
      </w:r>
    </w:p>
  </w:footnote>
  <w:footnote w:id="1">
    <w:p w:rsidR="00E53615" w:rsidRPr="00E53615" w:rsidRDefault="00E53615" w:rsidP="00E53615">
      <w:pPr>
        <w:pStyle w:val="Textonotapie"/>
        <w:ind w:left="-426" w:right="-518" w:hanging="141"/>
        <w:jc w:val="both"/>
        <w:rPr>
          <w:rFonts w:ascii="Arial" w:hAnsi="Arial" w:cs="Arial"/>
          <w:sz w:val="16"/>
          <w:szCs w:val="16"/>
        </w:rPr>
      </w:pPr>
      <w:r w:rsidRPr="00C0197E">
        <w:rPr>
          <w:rStyle w:val="Refdenotaalpie"/>
          <w:rFonts w:ascii="Arial" w:hAnsi="Arial" w:cs="Arial"/>
          <w:sz w:val="18"/>
          <w:szCs w:val="18"/>
        </w:rPr>
        <w:footnoteRef/>
      </w:r>
      <w:r w:rsidRPr="00C0197E">
        <w:rPr>
          <w:rFonts w:ascii="Arial" w:hAnsi="Arial" w:cs="Arial"/>
          <w:sz w:val="18"/>
          <w:szCs w:val="18"/>
        </w:rPr>
        <w:t xml:space="preserve"> </w:t>
      </w:r>
      <w:r w:rsidRPr="00E53615">
        <w:rPr>
          <w:rFonts w:ascii="Arial" w:hAnsi="Arial" w:cs="Arial"/>
          <w:sz w:val="16"/>
          <w:szCs w:val="16"/>
        </w:rPr>
        <w:t>La información definitiva será publicada el 25 de octubre de 2019. La difusión de información oportuna se realizará de forma anual.</w:t>
      </w:r>
    </w:p>
  </w:footnote>
  <w:footnote w:id="2">
    <w:p w:rsidR="00CA12A8" w:rsidRPr="00E53615" w:rsidRDefault="00CA12A8" w:rsidP="00E53615">
      <w:pPr>
        <w:pStyle w:val="Textonotapie"/>
        <w:ind w:left="-426" w:right="-518" w:hanging="141"/>
        <w:jc w:val="both"/>
        <w:rPr>
          <w:rFonts w:ascii="Arial" w:hAnsi="Arial" w:cs="Arial"/>
          <w:sz w:val="16"/>
          <w:szCs w:val="16"/>
        </w:rPr>
      </w:pPr>
      <w:r w:rsidRPr="00E53615">
        <w:rPr>
          <w:rStyle w:val="Refdenotaalpie"/>
          <w:rFonts w:ascii="Arial" w:hAnsi="Arial" w:cs="Arial"/>
          <w:sz w:val="16"/>
          <w:szCs w:val="16"/>
        </w:rPr>
        <w:footnoteRef/>
      </w:r>
      <w:r w:rsidRPr="00E53615">
        <w:rPr>
          <w:rFonts w:ascii="Arial" w:hAnsi="Arial" w:cs="Arial"/>
          <w:sz w:val="16"/>
          <w:szCs w:val="16"/>
        </w:rPr>
        <w:t xml:space="preserve"> </w:t>
      </w:r>
      <w:r w:rsidR="00935457" w:rsidRPr="00E53615">
        <w:rPr>
          <w:rFonts w:ascii="Arial" w:hAnsi="Arial" w:cs="Arial"/>
          <w:sz w:val="16"/>
          <w:szCs w:val="16"/>
        </w:rPr>
        <w:t xml:space="preserve">Datos preliminares sujetos a variaciones respecto de las cifras definitivas a publicarse el 25 de octubre de 2019, debido a que en algunos casos la información reportada: a) </w:t>
      </w:r>
      <w:r w:rsidR="00A70A1A" w:rsidRPr="00E53615">
        <w:rPr>
          <w:rFonts w:ascii="Arial" w:hAnsi="Arial" w:cs="Arial"/>
          <w:sz w:val="16"/>
          <w:szCs w:val="16"/>
        </w:rPr>
        <w:t>puede ser</w:t>
      </w:r>
      <w:r w:rsidR="00935457" w:rsidRPr="00E53615">
        <w:rPr>
          <w:rFonts w:ascii="Arial" w:hAnsi="Arial" w:cs="Arial"/>
          <w:sz w:val="16"/>
          <w:szCs w:val="16"/>
        </w:rPr>
        <w:t xml:space="preserve"> parcial </w:t>
      </w:r>
      <w:r w:rsidR="001A15C6" w:rsidRPr="00E53615">
        <w:rPr>
          <w:rFonts w:ascii="Arial" w:hAnsi="Arial" w:cs="Arial"/>
          <w:sz w:val="16"/>
          <w:szCs w:val="16"/>
        </w:rPr>
        <w:t>al no contar con</w:t>
      </w:r>
      <w:r w:rsidR="00935457" w:rsidRPr="00E53615">
        <w:rPr>
          <w:rFonts w:ascii="Arial" w:hAnsi="Arial" w:cs="Arial"/>
          <w:sz w:val="16"/>
          <w:szCs w:val="16"/>
        </w:rPr>
        <w:t xml:space="preserve"> datos de todas las unidades generadoras de información; b) se generó con bases de datos o reportes preliminares o en proceso de integración;</w:t>
      </w:r>
      <w:r w:rsidR="007F7478" w:rsidRPr="00E53615">
        <w:rPr>
          <w:rFonts w:ascii="Arial" w:hAnsi="Arial" w:cs="Arial"/>
          <w:sz w:val="16"/>
          <w:szCs w:val="16"/>
        </w:rPr>
        <w:t xml:space="preserve"> </w:t>
      </w:r>
      <w:r w:rsidR="00935457" w:rsidRPr="00E53615">
        <w:rPr>
          <w:rFonts w:ascii="Arial" w:hAnsi="Arial" w:cs="Arial"/>
          <w:sz w:val="16"/>
          <w:szCs w:val="16"/>
        </w:rPr>
        <w:t>y,</w:t>
      </w:r>
      <w:r w:rsidR="007F7478" w:rsidRPr="00E53615">
        <w:rPr>
          <w:rFonts w:ascii="Arial" w:hAnsi="Arial" w:cs="Arial"/>
          <w:sz w:val="16"/>
          <w:szCs w:val="16"/>
        </w:rPr>
        <w:t xml:space="preserve"> </w:t>
      </w:r>
      <w:r w:rsidR="00935457" w:rsidRPr="00E53615">
        <w:rPr>
          <w:rFonts w:ascii="Arial" w:hAnsi="Arial" w:cs="Arial"/>
          <w:sz w:val="16"/>
          <w:szCs w:val="16"/>
        </w:rPr>
        <w:t xml:space="preserve">c) </w:t>
      </w:r>
      <w:r w:rsidR="00A70A1A" w:rsidRPr="00E53615">
        <w:rPr>
          <w:rFonts w:ascii="Arial" w:hAnsi="Arial" w:cs="Arial"/>
          <w:sz w:val="16"/>
          <w:szCs w:val="16"/>
        </w:rPr>
        <w:t>puede ser susceptible</w:t>
      </w:r>
      <w:r w:rsidR="00227C2D" w:rsidRPr="00E53615">
        <w:rPr>
          <w:rFonts w:ascii="Arial" w:hAnsi="Arial" w:cs="Arial"/>
          <w:sz w:val="16"/>
          <w:szCs w:val="16"/>
        </w:rPr>
        <w:t xml:space="preserve"> de contener diferencias</w:t>
      </w:r>
      <w:r w:rsidR="00935457" w:rsidRPr="00E53615">
        <w:rPr>
          <w:rFonts w:ascii="Arial" w:hAnsi="Arial" w:cs="Arial"/>
          <w:sz w:val="16"/>
          <w:szCs w:val="16"/>
        </w:rPr>
        <w:t xml:space="preserve"> considerando revisiones e incorporación de desagregaciones requeridas en el esquema de procesamiento de la información definitiva. </w:t>
      </w:r>
      <w:r w:rsidR="007F7478" w:rsidRPr="00E53615">
        <w:rPr>
          <w:rFonts w:ascii="Arial" w:hAnsi="Arial" w:cs="Arial"/>
          <w:sz w:val="16"/>
          <w:szCs w:val="16"/>
        </w:rPr>
        <w:t xml:space="preserve">Cabe </w:t>
      </w:r>
      <w:r w:rsidR="00935457" w:rsidRPr="00E53615">
        <w:rPr>
          <w:rFonts w:ascii="Arial" w:hAnsi="Arial" w:cs="Arial"/>
          <w:sz w:val="16"/>
          <w:szCs w:val="16"/>
        </w:rPr>
        <w:t xml:space="preserve">señalar que el levantamiento de la información oportuna se realizó del 21 de enero al 29 de marzo de 2019, por lo que es posible que en dicho periodo los informantes no </w:t>
      </w:r>
      <w:r w:rsidR="001A15C6" w:rsidRPr="00E53615">
        <w:rPr>
          <w:rFonts w:ascii="Arial" w:hAnsi="Arial" w:cs="Arial"/>
          <w:sz w:val="16"/>
          <w:szCs w:val="16"/>
        </w:rPr>
        <w:t>contaran con la</w:t>
      </w:r>
      <w:r w:rsidR="00935457" w:rsidRPr="00E53615">
        <w:rPr>
          <w:rFonts w:ascii="Arial" w:hAnsi="Arial" w:cs="Arial"/>
          <w:sz w:val="16"/>
          <w:szCs w:val="16"/>
        </w:rPr>
        <w:t xml:space="preserve"> información completa y definitiva.</w:t>
      </w:r>
    </w:p>
  </w:footnote>
  <w:footnote w:id="3">
    <w:p w:rsidR="00AC0CFB" w:rsidRPr="00E53615" w:rsidRDefault="00AC0CFB" w:rsidP="00E53615">
      <w:pPr>
        <w:pStyle w:val="Textonotapie"/>
        <w:ind w:left="-426" w:right="-518" w:hanging="141"/>
        <w:jc w:val="both"/>
        <w:rPr>
          <w:rFonts w:ascii="Arial" w:hAnsi="Arial" w:cs="Arial"/>
          <w:sz w:val="16"/>
          <w:szCs w:val="16"/>
        </w:rPr>
      </w:pPr>
      <w:r w:rsidRPr="00E53615">
        <w:rPr>
          <w:rStyle w:val="Refdenotaalpie"/>
          <w:rFonts w:ascii="Arial" w:hAnsi="Arial" w:cs="Arial"/>
          <w:sz w:val="16"/>
          <w:szCs w:val="16"/>
        </w:rPr>
        <w:footnoteRef/>
      </w:r>
      <w:r w:rsidRPr="00E53615">
        <w:rPr>
          <w:rFonts w:ascii="Arial" w:hAnsi="Arial" w:cs="Arial"/>
          <w:sz w:val="16"/>
          <w:szCs w:val="16"/>
        </w:rPr>
        <w:t xml:space="preserve"> En su versión 2010, dicho proyecto estadístico se denominó “Encuesta Nacional de Gobierno 2010 - Poder Ejecutivo Estatal”; mientras que para 2011 tuvo el nombre de “Censo Nacional de Gobierno 2011 - Poder Ejecutivo Estatal”. </w:t>
      </w:r>
      <w:r w:rsidR="00CA12A8" w:rsidRPr="00E53615">
        <w:rPr>
          <w:rFonts w:ascii="Arial" w:hAnsi="Arial" w:cs="Arial"/>
          <w:sz w:val="16"/>
          <w:szCs w:val="16"/>
        </w:rPr>
        <w:t>El 20 de diciembre de 2011</w:t>
      </w:r>
      <w:r w:rsidRPr="00E53615">
        <w:rPr>
          <w:rFonts w:ascii="Arial" w:hAnsi="Arial" w:cs="Arial"/>
          <w:sz w:val="16"/>
          <w:szCs w:val="16"/>
        </w:rPr>
        <w:t xml:space="preserve"> se</w:t>
      </w:r>
      <w:r w:rsidR="00CA12A8" w:rsidRPr="00E53615">
        <w:rPr>
          <w:rFonts w:ascii="Arial" w:hAnsi="Arial" w:cs="Arial"/>
          <w:sz w:val="16"/>
          <w:szCs w:val="16"/>
        </w:rPr>
        <w:t xml:space="preserve"> institucionalizó</w:t>
      </w:r>
      <w:r w:rsidRPr="00E53615">
        <w:rPr>
          <w:rFonts w:ascii="Arial" w:hAnsi="Arial" w:cs="Arial"/>
          <w:sz w:val="16"/>
          <w:szCs w:val="16"/>
        </w:rPr>
        <w:t xml:space="preserve"> como Censo Nacional de Gobierno, Seguridad Pública y Sistema Penitenciario Estatal</w:t>
      </w:r>
      <w:r w:rsidR="00CA12A8" w:rsidRPr="00E53615">
        <w:rPr>
          <w:rFonts w:ascii="Arial" w:hAnsi="Arial" w:cs="Arial"/>
          <w:sz w:val="16"/>
          <w:szCs w:val="16"/>
        </w:rPr>
        <w:t>es</w:t>
      </w:r>
      <w:r w:rsidR="00AD3D87" w:rsidRPr="00E53615">
        <w:rPr>
          <w:rFonts w:ascii="Arial" w:hAnsi="Arial" w:cs="Arial"/>
          <w:sz w:val="16"/>
          <w:szCs w:val="16"/>
        </w:rPr>
        <w:t>.</w:t>
      </w:r>
    </w:p>
  </w:footnote>
  <w:footnote w:id="4">
    <w:p w:rsidR="00AC0CFB" w:rsidRPr="00474F70" w:rsidRDefault="00AC0CFB" w:rsidP="00E53615">
      <w:pPr>
        <w:pStyle w:val="Textonotapie"/>
        <w:ind w:left="-426" w:right="-518" w:hanging="141"/>
        <w:jc w:val="both"/>
        <w:rPr>
          <w:rFonts w:ascii="Arial" w:hAnsi="Arial" w:cs="Arial"/>
          <w:sz w:val="18"/>
        </w:rPr>
      </w:pPr>
      <w:r w:rsidRPr="00E53615">
        <w:rPr>
          <w:rStyle w:val="Refdenotaalpie"/>
          <w:rFonts w:ascii="Arial" w:hAnsi="Arial" w:cs="Arial"/>
          <w:sz w:val="16"/>
          <w:szCs w:val="16"/>
        </w:rPr>
        <w:footnoteRef/>
      </w:r>
      <w:r w:rsidRPr="00E53615">
        <w:rPr>
          <w:rFonts w:ascii="Arial" w:hAnsi="Arial" w:cs="Arial"/>
          <w:sz w:val="16"/>
          <w:szCs w:val="16"/>
        </w:rPr>
        <w:t xml:space="preserve"> No se incluye información de </w:t>
      </w:r>
      <w:r w:rsidR="001A15C6" w:rsidRPr="00E53615">
        <w:rPr>
          <w:rFonts w:ascii="Arial" w:hAnsi="Arial" w:cs="Arial"/>
          <w:sz w:val="16"/>
          <w:szCs w:val="16"/>
        </w:rPr>
        <w:t xml:space="preserve">Colima, </w:t>
      </w:r>
      <w:r w:rsidRPr="00E53615">
        <w:rPr>
          <w:rFonts w:ascii="Arial" w:hAnsi="Arial" w:cs="Arial"/>
          <w:sz w:val="16"/>
          <w:szCs w:val="16"/>
        </w:rPr>
        <w:t>Ciudad de México, Durango y Yucatán</w:t>
      </w:r>
      <w:r w:rsidR="00FA4F49" w:rsidRPr="00E53615">
        <w:rPr>
          <w:rFonts w:ascii="Arial" w:hAnsi="Arial" w:cs="Arial"/>
          <w:sz w:val="16"/>
          <w:szCs w:val="16"/>
        </w:rPr>
        <w:t>.</w:t>
      </w:r>
    </w:p>
  </w:footnote>
  <w:footnote w:id="5">
    <w:p w:rsidR="00AC0CFB" w:rsidRPr="00F432E1" w:rsidRDefault="00AC0CFB" w:rsidP="00E53615">
      <w:pPr>
        <w:pStyle w:val="Textonotapie"/>
        <w:ind w:left="-426" w:hanging="141"/>
        <w:jc w:val="both"/>
      </w:pPr>
      <w:r w:rsidRPr="00474F70">
        <w:rPr>
          <w:rStyle w:val="Refdenotaalpie"/>
          <w:rFonts w:ascii="Arial" w:hAnsi="Arial" w:cs="Arial"/>
          <w:sz w:val="18"/>
        </w:rPr>
        <w:footnoteRef/>
      </w:r>
      <w:r w:rsidRPr="00474F70">
        <w:rPr>
          <w:rFonts w:ascii="Arial" w:hAnsi="Arial" w:cs="Arial"/>
          <w:sz w:val="18"/>
        </w:rPr>
        <w:t xml:space="preserve"> </w:t>
      </w:r>
      <w:r w:rsidRPr="00E53615">
        <w:rPr>
          <w:rFonts w:ascii="Arial" w:hAnsi="Arial" w:cs="Arial"/>
          <w:sz w:val="16"/>
          <w:szCs w:val="16"/>
        </w:rPr>
        <w:t>El dato no contempla personal dedicado a funciones de custodia penitenciaria, ni a personal dedicado a funciones de policía ministerial.</w:t>
      </w:r>
      <w:r w:rsidRPr="00E53615">
        <w:rPr>
          <w:sz w:val="16"/>
          <w:szCs w:val="16"/>
        </w:rPr>
        <w:t xml:space="preserve"> </w:t>
      </w:r>
      <w:r w:rsidR="00FA4F49" w:rsidRPr="00E53615">
        <w:rPr>
          <w:rFonts w:ascii="Arial" w:hAnsi="Arial" w:cs="Arial"/>
          <w:sz w:val="16"/>
          <w:szCs w:val="16"/>
        </w:rPr>
        <w:t>No se incluye información de Yucatán</w:t>
      </w:r>
      <w:r w:rsidR="00FA4F49" w:rsidRPr="00E53615">
        <w:rPr>
          <w:sz w:val="16"/>
          <w:szCs w:val="16"/>
        </w:rPr>
        <w:t>.</w:t>
      </w:r>
    </w:p>
  </w:footnote>
  <w:footnote w:id="6">
    <w:p w:rsidR="00AD3D87" w:rsidRPr="00AD3D87" w:rsidRDefault="00AD3D87" w:rsidP="00AD3D87">
      <w:pPr>
        <w:pStyle w:val="Textonotapie"/>
        <w:jc w:val="both"/>
        <w:rPr>
          <w:rFonts w:ascii="Arial" w:hAnsi="Arial" w:cs="Arial"/>
          <w:sz w:val="18"/>
          <w:szCs w:val="18"/>
        </w:rPr>
      </w:pPr>
      <w:r w:rsidRPr="00136707">
        <w:rPr>
          <w:rStyle w:val="Refdenotaalpie"/>
          <w:rFonts w:ascii="Arial" w:hAnsi="Arial" w:cs="Arial"/>
          <w:sz w:val="18"/>
          <w:szCs w:val="18"/>
        </w:rPr>
        <w:footnoteRef/>
      </w:r>
      <w:r w:rsidRPr="00136707">
        <w:rPr>
          <w:rFonts w:ascii="Arial" w:hAnsi="Arial" w:cs="Arial"/>
          <w:sz w:val="18"/>
          <w:szCs w:val="18"/>
        </w:rPr>
        <w:t xml:space="preserve"> La información definitiva será publicada el 25 de octubre de 2019. La difusión de información oportuna se realizará de forma </w:t>
      </w:r>
      <w:r w:rsidR="00227C2D" w:rsidRPr="00136707">
        <w:rPr>
          <w:rFonts w:ascii="Arial" w:hAnsi="Arial" w:cs="Arial"/>
          <w:sz w:val="18"/>
          <w:szCs w:val="18"/>
        </w:rPr>
        <w:t>anual</w:t>
      </w:r>
      <w:r w:rsidRPr="00136707">
        <w:rPr>
          <w:rFonts w:ascii="Arial" w:hAnsi="Arial" w:cs="Arial"/>
          <w:sz w:val="18"/>
          <w:szCs w:val="18"/>
        </w:rPr>
        <w:t>.</w:t>
      </w:r>
    </w:p>
  </w:footnote>
  <w:footnote w:id="7">
    <w:p w:rsidR="00A36F6E" w:rsidRPr="00A36F6E" w:rsidRDefault="00A36F6E" w:rsidP="00A36F6E">
      <w:pPr>
        <w:pStyle w:val="Textonotapie"/>
        <w:jc w:val="both"/>
        <w:rPr>
          <w:rFonts w:ascii="Arial" w:hAnsi="Arial" w:cs="Arial"/>
          <w:sz w:val="18"/>
          <w:szCs w:val="18"/>
        </w:rPr>
      </w:pPr>
      <w:r w:rsidRPr="00A36F6E">
        <w:rPr>
          <w:rStyle w:val="Refdenotaalpie"/>
          <w:rFonts w:ascii="Arial" w:hAnsi="Arial" w:cs="Arial"/>
          <w:sz w:val="18"/>
          <w:szCs w:val="18"/>
        </w:rPr>
        <w:footnoteRef/>
      </w:r>
      <w:r w:rsidRPr="00A36F6E">
        <w:rPr>
          <w:rFonts w:ascii="Arial" w:hAnsi="Arial" w:cs="Arial"/>
          <w:sz w:val="18"/>
          <w:szCs w:val="18"/>
        </w:rPr>
        <w:t xml:space="preserve"> </w:t>
      </w:r>
      <w:r w:rsidR="001A15C6" w:rsidRPr="001A15C6">
        <w:rPr>
          <w:rFonts w:ascii="Arial" w:hAnsi="Arial" w:cs="Arial"/>
          <w:sz w:val="18"/>
          <w:szCs w:val="18"/>
        </w:rPr>
        <w:t>Datos preliminares sujetos a variaciones respecto de las cifras definitivas a publicarse el 25 de octubre de 2019, debido a que en algunos casos la información reportada: a) puede ser parcial al no contar con datos de todas las unidades generadoras de información; b) se generó con bases de datos o reportes preliminares o en proceso de integración; y, c) puede ser suscept</w:t>
      </w:r>
      <w:r w:rsidR="00227C2D">
        <w:rPr>
          <w:rFonts w:ascii="Arial" w:hAnsi="Arial" w:cs="Arial"/>
          <w:sz w:val="18"/>
          <w:szCs w:val="18"/>
        </w:rPr>
        <w:t>ible de contener diferencias</w:t>
      </w:r>
      <w:r w:rsidR="001A15C6" w:rsidRPr="001A15C6">
        <w:rPr>
          <w:rFonts w:ascii="Arial" w:hAnsi="Arial" w:cs="Arial"/>
          <w:sz w:val="18"/>
          <w:szCs w:val="18"/>
        </w:rPr>
        <w:t xml:space="preserve"> considerando revisiones e incorporación de desagregaciones requeridas en el esquema de procesamiento de la información definitiva. Cabe señalar que el levantamiento de la información oportuna se realizó del 21 de enero al 29 de marzo de 2019, por lo que es posible que en dicho periodo los informantes no contaran con la información completa y definitiva.</w:t>
      </w:r>
    </w:p>
  </w:footnote>
  <w:footnote w:id="8">
    <w:p w:rsidR="00365E8E" w:rsidRPr="00474F70" w:rsidRDefault="00365E8E" w:rsidP="001A15C6">
      <w:pPr>
        <w:pStyle w:val="Textonotapie"/>
        <w:jc w:val="both"/>
        <w:rPr>
          <w:rFonts w:ascii="Arial" w:hAnsi="Arial" w:cs="Arial"/>
        </w:rPr>
      </w:pPr>
      <w:r w:rsidRPr="00474F70">
        <w:rPr>
          <w:rStyle w:val="Refdenotaalpie"/>
          <w:rFonts w:ascii="Arial" w:hAnsi="Arial" w:cs="Arial"/>
          <w:sz w:val="18"/>
        </w:rPr>
        <w:footnoteRef/>
      </w:r>
      <w:r w:rsidRPr="00474F70">
        <w:rPr>
          <w:rFonts w:ascii="Arial" w:hAnsi="Arial" w:cs="Arial"/>
          <w:sz w:val="18"/>
        </w:rPr>
        <w:t xml:space="preserve"> No se incluye i</w:t>
      </w:r>
      <w:r w:rsidR="001A15C6">
        <w:rPr>
          <w:rFonts w:ascii="Arial" w:hAnsi="Arial" w:cs="Arial"/>
          <w:sz w:val="18"/>
        </w:rPr>
        <w:t>nformación de la</w:t>
      </w:r>
      <w:r w:rsidRPr="00474F70">
        <w:rPr>
          <w:rFonts w:ascii="Arial" w:hAnsi="Arial" w:cs="Arial"/>
          <w:sz w:val="18"/>
        </w:rPr>
        <w:t xml:space="preserve"> Ciudad de México, Durango y Yucatán debido a que no brindaron información </w:t>
      </w:r>
      <w:r w:rsidR="001A15C6">
        <w:rPr>
          <w:rFonts w:ascii="Arial" w:hAnsi="Arial" w:cs="Arial"/>
          <w:sz w:val="18"/>
        </w:rPr>
        <w:t>bajo el esquema oportuno implementado por el INEGI</w:t>
      </w:r>
      <w:r w:rsidRPr="00474F70">
        <w:rPr>
          <w:rFonts w:ascii="Arial" w:hAnsi="Arial" w:cs="Arial"/>
          <w:sz w:val="18"/>
        </w:rPr>
        <w:t xml:space="preserve">. </w:t>
      </w:r>
      <w:r w:rsidR="001A15C6">
        <w:rPr>
          <w:rFonts w:ascii="Arial" w:hAnsi="Arial" w:cs="Arial"/>
          <w:sz w:val="18"/>
        </w:rPr>
        <w:t>Asimismo, la Administración Pública del estado de Colima no contó con datos o elementos para responder.</w:t>
      </w:r>
    </w:p>
  </w:footnote>
  <w:footnote w:id="9">
    <w:p w:rsidR="00836D47" w:rsidRDefault="00836D47">
      <w:pPr>
        <w:pStyle w:val="Textonotapie"/>
      </w:pPr>
      <w:r>
        <w:rPr>
          <w:rStyle w:val="Refdenotaalpie"/>
        </w:rPr>
        <w:footnoteRef/>
      </w:r>
      <w:r>
        <w:t xml:space="preserve"> Las cifras no incluyen información de Yucatán.</w:t>
      </w:r>
    </w:p>
  </w:footnote>
  <w:footnote w:id="10">
    <w:p w:rsidR="00836D47" w:rsidRDefault="00836D47">
      <w:pPr>
        <w:pStyle w:val="Textonotapie"/>
      </w:pPr>
      <w:r>
        <w:rPr>
          <w:rStyle w:val="Refdenotaalpie"/>
        </w:rPr>
        <w:footnoteRef/>
      </w:r>
      <w:r>
        <w:t xml:space="preserve"> Las cifras no incluyen información de Yucatán. </w:t>
      </w:r>
    </w:p>
  </w:footnote>
  <w:footnote w:id="11">
    <w:p w:rsidR="0002334A" w:rsidRDefault="0002334A">
      <w:pPr>
        <w:pStyle w:val="Textonotapie"/>
      </w:pPr>
      <w:r>
        <w:rPr>
          <w:rStyle w:val="Refdenotaalpie"/>
        </w:rPr>
        <w:footnoteRef/>
      </w:r>
      <w:r>
        <w:t xml:space="preserve"> Las cifras no incluyen información de Yucatán.</w:t>
      </w:r>
    </w:p>
  </w:footnote>
  <w:footnote w:id="12">
    <w:p w:rsidR="00365E8E" w:rsidRPr="00EB61B4" w:rsidRDefault="00365E8E" w:rsidP="0081581C">
      <w:pPr>
        <w:pStyle w:val="Textonotapie"/>
        <w:jc w:val="both"/>
        <w:rPr>
          <w:rFonts w:ascii="Arial" w:hAnsi="Arial" w:cs="Arial"/>
        </w:rPr>
      </w:pPr>
      <w:r w:rsidRPr="00EB61B4">
        <w:rPr>
          <w:rStyle w:val="Refdenotaalpie"/>
          <w:rFonts w:ascii="Arial" w:hAnsi="Arial" w:cs="Arial"/>
          <w:sz w:val="16"/>
        </w:rPr>
        <w:footnoteRef/>
      </w:r>
      <w:r w:rsidRPr="00EB61B4">
        <w:rPr>
          <w:rFonts w:ascii="Arial" w:hAnsi="Arial" w:cs="Arial"/>
          <w:sz w:val="16"/>
        </w:rPr>
        <w:t xml:space="preserve"> </w:t>
      </w:r>
      <w:r w:rsidRPr="000A28B5">
        <w:rPr>
          <w:rFonts w:ascii="Arial" w:hAnsi="Arial" w:cs="Arial"/>
          <w:sz w:val="16"/>
        </w:rPr>
        <w:t xml:space="preserve">La medición de causas penales concluidas y pendientes </w:t>
      </w:r>
      <w:r w:rsidR="004E2625">
        <w:rPr>
          <w:rFonts w:ascii="Arial" w:hAnsi="Arial" w:cs="Arial"/>
          <w:sz w:val="16"/>
        </w:rPr>
        <w:t>(</w:t>
      </w:r>
      <w:r w:rsidRPr="000A28B5">
        <w:rPr>
          <w:rFonts w:ascii="Arial" w:hAnsi="Arial" w:cs="Arial"/>
          <w:sz w:val="16"/>
        </w:rPr>
        <w:t>de concluir</w:t>
      </w:r>
      <w:r w:rsidR="004E2625">
        <w:rPr>
          <w:rFonts w:ascii="Arial" w:hAnsi="Arial" w:cs="Arial"/>
          <w:sz w:val="16"/>
        </w:rPr>
        <w:t>)</w:t>
      </w:r>
      <w:r w:rsidRPr="000A28B5">
        <w:rPr>
          <w:rFonts w:ascii="Arial" w:hAnsi="Arial" w:cs="Arial"/>
          <w:sz w:val="16"/>
        </w:rPr>
        <w:t xml:space="preserve"> se </w:t>
      </w:r>
      <w:r w:rsidR="007A4C6F" w:rsidRPr="000A28B5">
        <w:rPr>
          <w:rFonts w:ascii="Arial" w:hAnsi="Arial" w:cs="Arial"/>
          <w:sz w:val="16"/>
        </w:rPr>
        <w:t>realiza de manera individual</w:t>
      </w:r>
      <w:r w:rsidR="004E2625">
        <w:rPr>
          <w:rFonts w:ascii="Arial" w:hAnsi="Arial" w:cs="Arial"/>
          <w:sz w:val="16"/>
        </w:rPr>
        <w:t>, es decir, por procesado o imputado</w:t>
      </w:r>
      <w:r w:rsidR="00136707">
        <w:rPr>
          <w:rFonts w:ascii="Arial" w:hAnsi="Arial" w:cs="Arial"/>
          <w:sz w:val="16"/>
        </w:rPr>
        <w:t>,</w:t>
      </w:r>
      <w:r w:rsidR="007A4C6F" w:rsidRPr="000A28B5">
        <w:rPr>
          <w:rFonts w:ascii="Arial" w:hAnsi="Arial" w:cs="Arial"/>
          <w:sz w:val="16"/>
        </w:rPr>
        <w:t xml:space="preserve"> </w:t>
      </w:r>
      <w:r w:rsidR="007A4C6F" w:rsidRPr="000A28B5">
        <w:rPr>
          <w:rFonts w:ascii="Arial" w:hAnsi="Arial" w:cs="Arial"/>
          <w:sz w:val="16"/>
          <w:szCs w:val="16"/>
        </w:rPr>
        <w:t>debido a que una causa penal puede, en algunos casos, contene</w:t>
      </w:r>
      <w:r w:rsidR="004E2625">
        <w:rPr>
          <w:rFonts w:ascii="Arial" w:hAnsi="Arial" w:cs="Arial"/>
          <w:sz w:val="16"/>
          <w:szCs w:val="16"/>
        </w:rPr>
        <w:t>r más de un tipo de conclusión o</w:t>
      </w:r>
      <w:r w:rsidR="007A4C6F" w:rsidRPr="000A28B5">
        <w:rPr>
          <w:rFonts w:ascii="Arial" w:hAnsi="Arial" w:cs="Arial"/>
          <w:sz w:val="16"/>
          <w:szCs w:val="16"/>
        </w:rPr>
        <w:t xml:space="preserve"> estatus jurídico por tener más de un </w:t>
      </w:r>
      <w:r w:rsidR="004E2625">
        <w:rPr>
          <w:rFonts w:ascii="Arial" w:hAnsi="Arial" w:cs="Arial"/>
          <w:sz w:val="16"/>
          <w:szCs w:val="16"/>
        </w:rPr>
        <w:t xml:space="preserve">procesado o </w:t>
      </w:r>
      <w:r w:rsidR="007A4C6F" w:rsidRPr="000A28B5">
        <w:rPr>
          <w:rFonts w:ascii="Arial" w:hAnsi="Arial" w:cs="Arial"/>
          <w:sz w:val="16"/>
          <w:szCs w:val="16"/>
        </w:rPr>
        <w:t>imputado.</w:t>
      </w:r>
      <w:r w:rsidR="004E2625">
        <w:rPr>
          <w:rFonts w:ascii="Arial" w:hAnsi="Arial" w:cs="Arial"/>
          <w:sz w:val="16"/>
          <w:szCs w:val="16"/>
        </w:rPr>
        <w:t xml:space="preserve"> </w:t>
      </w:r>
      <w:r w:rsidR="004E2625" w:rsidRPr="004E2625">
        <w:rPr>
          <w:rFonts w:ascii="Arial" w:hAnsi="Arial" w:cs="Arial"/>
          <w:sz w:val="16"/>
          <w:szCs w:val="16"/>
        </w:rPr>
        <w:t xml:space="preserve">Por lo </w:t>
      </w:r>
      <w:r w:rsidR="00136707">
        <w:rPr>
          <w:rFonts w:ascii="Arial" w:hAnsi="Arial" w:cs="Arial"/>
          <w:sz w:val="16"/>
          <w:szCs w:val="16"/>
        </w:rPr>
        <w:t xml:space="preserve">anterior, </w:t>
      </w:r>
      <w:r w:rsidR="004E2625" w:rsidRPr="004E2625">
        <w:rPr>
          <w:rFonts w:ascii="Arial" w:hAnsi="Arial" w:cs="Arial"/>
          <w:sz w:val="16"/>
          <w:szCs w:val="16"/>
        </w:rPr>
        <w:t xml:space="preserve">es importante </w:t>
      </w:r>
      <w:r w:rsidR="00136707">
        <w:rPr>
          <w:rFonts w:ascii="Arial" w:hAnsi="Arial" w:cs="Arial"/>
          <w:sz w:val="16"/>
          <w:szCs w:val="16"/>
        </w:rPr>
        <w:t xml:space="preserve">tener presente </w:t>
      </w:r>
      <w:r w:rsidR="004E2625" w:rsidRPr="004E2625">
        <w:rPr>
          <w:rFonts w:ascii="Arial" w:hAnsi="Arial" w:cs="Arial"/>
          <w:sz w:val="16"/>
          <w:szCs w:val="16"/>
        </w:rPr>
        <w:t>esta precisión para la apropiada interpretación de la información</w:t>
      </w:r>
      <w:r w:rsidR="004E262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4B" w:rsidRDefault="00BA12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19" w:rsidRPr="00EC2F19" w:rsidRDefault="00EC2F19" w:rsidP="00EC2F19">
    <w:pPr>
      <w:pStyle w:val="Encabezado"/>
      <w:framePr w:w="5938" w:h="974" w:hRule="exact" w:hSpace="141" w:vSpace="141" w:wrap="auto" w:vAnchor="page" w:hAnchor="page" w:x="5410" w:y="487"/>
      <w:ind w:left="567" w:right="297" w:hanging="11"/>
      <w:jc w:val="right"/>
      <w:rPr>
        <w:rFonts w:ascii="Arial" w:hAnsi="Arial" w:cs="Arial"/>
        <w:b/>
        <w:color w:val="002060"/>
        <w:sz w:val="24"/>
        <w:szCs w:val="24"/>
      </w:rPr>
    </w:pPr>
    <w:r w:rsidRPr="00EC2F19">
      <w:rPr>
        <w:rFonts w:ascii="Arial" w:hAnsi="Arial" w:cs="Arial"/>
        <w:b/>
        <w:color w:val="002060"/>
        <w:sz w:val="24"/>
        <w:szCs w:val="24"/>
      </w:rPr>
      <w:t xml:space="preserve">COMUNICADO DE PRENSA </w:t>
    </w:r>
    <w:r w:rsidRPr="00C7623A">
      <w:rPr>
        <w:rFonts w:ascii="Arial" w:hAnsi="Arial" w:cs="Arial"/>
        <w:b/>
        <w:color w:val="002060"/>
        <w:sz w:val="24"/>
        <w:szCs w:val="24"/>
      </w:rPr>
      <w:t xml:space="preserve">NÚM. </w:t>
    </w:r>
    <w:r w:rsidR="00BA124B">
      <w:rPr>
        <w:rFonts w:ascii="Arial" w:hAnsi="Arial" w:cs="Arial"/>
        <w:b/>
        <w:color w:val="002060"/>
        <w:sz w:val="24"/>
        <w:szCs w:val="24"/>
      </w:rPr>
      <w:t>400</w:t>
    </w:r>
    <w:r w:rsidRPr="00C7623A">
      <w:rPr>
        <w:rFonts w:ascii="Arial" w:hAnsi="Arial" w:cs="Arial"/>
        <w:b/>
        <w:color w:val="002060"/>
        <w:sz w:val="24"/>
        <w:szCs w:val="24"/>
      </w:rPr>
      <w:t>/19</w:t>
    </w:r>
  </w:p>
  <w:p w:rsidR="00EC2F19" w:rsidRPr="00EC2F19" w:rsidRDefault="00E53615" w:rsidP="00EC2F19">
    <w:pPr>
      <w:pStyle w:val="Encabezado"/>
      <w:framePr w:w="5938" w:h="974" w:hRule="exact" w:hSpace="141" w:vSpace="141" w:wrap="auto" w:vAnchor="page" w:hAnchor="page" w:x="5410" w:y="487"/>
      <w:ind w:left="567" w:right="297" w:hanging="11"/>
      <w:jc w:val="right"/>
      <w:rPr>
        <w:rFonts w:ascii="Arial" w:hAnsi="Arial" w:cs="Arial"/>
        <w:b/>
        <w:color w:val="002060"/>
        <w:sz w:val="24"/>
        <w:szCs w:val="24"/>
        <w:lang w:val="pt-BR"/>
      </w:rPr>
    </w:pPr>
    <w:r>
      <w:rPr>
        <w:rFonts w:ascii="Arial" w:hAnsi="Arial" w:cs="Arial"/>
        <w:b/>
        <w:color w:val="002060"/>
        <w:sz w:val="24"/>
        <w:szCs w:val="24"/>
        <w:lang w:val="pt-BR"/>
      </w:rPr>
      <w:t xml:space="preserve">14 DE AGOSTO </w:t>
    </w:r>
    <w:r w:rsidR="00EC2F19" w:rsidRPr="00EC2F19">
      <w:rPr>
        <w:rFonts w:ascii="Arial" w:hAnsi="Arial" w:cs="Arial"/>
        <w:b/>
        <w:color w:val="002060"/>
        <w:sz w:val="24"/>
        <w:szCs w:val="24"/>
        <w:lang w:val="pt-BR"/>
      </w:rPr>
      <w:t>DE 2019</w:t>
    </w:r>
  </w:p>
  <w:p w:rsidR="00EC2F19" w:rsidRPr="00EC2F19" w:rsidRDefault="00EC2F19" w:rsidP="00EC2F19">
    <w:pPr>
      <w:pStyle w:val="Encabezado"/>
      <w:framePr w:w="5938" w:h="974" w:hRule="exact" w:hSpace="141" w:vSpace="141" w:wrap="auto" w:vAnchor="page" w:hAnchor="page" w:x="5410" w:y="487"/>
      <w:ind w:left="567" w:right="297" w:hanging="11"/>
      <w:jc w:val="right"/>
      <w:rPr>
        <w:rFonts w:ascii="Arial" w:hAnsi="Arial" w:cs="Arial"/>
        <w:b/>
        <w:color w:val="002060"/>
        <w:sz w:val="24"/>
        <w:szCs w:val="24"/>
        <w:lang w:val="pt-BR"/>
      </w:rPr>
    </w:pPr>
    <w:r w:rsidRPr="00EC2F19">
      <w:rPr>
        <w:rFonts w:ascii="Arial" w:hAnsi="Arial" w:cs="Arial"/>
        <w:b/>
        <w:color w:val="002060"/>
        <w:sz w:val="24"/>
        <w:szCs w:val="24"/>
        <w:lang w:val="pt-BR"/>
      </w:rPr>
      <w:t xml:space="preserve">PÁGINA </w:t>
    </w:r>
    <w:r w:rsidRPr="00EC2F19">
      <w:rPr>
        <w:rFonts w:ascii="Arial" w:hAnsi="Arial" w:cs="Arial"/>
        <w:b/>
        <w:color w:val="002060"/>
        <w:sz w:val="24"/>
        <w:szCs w:val="24"/>
      </w:rPr>
      <w:fldChar w:fldCharType="begin"/>
    </w:r>
    <w:r w:rsidRPr="00EC2F19">
      <w:rPr>
        <w:rFonts w:ascii="Arial" w:hAnsi="Arial" w:cs="Arial"/>
        <w:b/>
        <w:color w:val="002060"/>
        <w:sz w:val="24"/>
        <w:szCs w:val="24"/>
        <w:lang w:val="pt-BR"/>
      </w:rPr>
      <w:instrText xml:space="preserve">\PAGE </w:instrText>
    </w:r>
    <w:r w:rsidRPr="00EC2F19">
      <w:rPr>
        <w:rFonts w:ascii="Arial" w:hAnsi="Arial" w:cs="Arial"/>
        <w:color w:val="002060"/>
        <w:sz w:val="24"/>
        <w:szCs w:val="24"/>
      </w:rPr>
      <w:fldChar w:fldCharType="separate"/>
    </w:r>
    <w:r w:rsidR="00136707">
      <w:rPr>
        <w:rFonts w:ascii="Arial" w:hAnsi="Arial" w:cs="Arial"/>
        <w:b/>
        <w:noProof/>
        <w:color w:val="002060"/>
        <w:sz w:val="24"/>
        <w:szCs w:val="24"/>
        <w:lang w:val="pt-BR"/>
      </w:rPr>
      <w:t>2</w:t>
    </w:r>
    <w:r w:rsidRPr="00EC2F19">
      <w:rPr>
        <w:rFonts w:ascii="Arial" w:hAnsi="Arial" w:cs="Arial"/>
        <w:color w:val="002060"/>
        <w:sz w:val="24"/>
        <w:szCs w:val="24"/>
      </w:rPr>
      <w:fldChar w:fldCharType="end"/>
    </w:r>
    <w:r w:rsidRPr="00EC2F19">
      <w:rPr>
        <w:rFonts w:ascii="Arial" w:hAnsi="Arial" w:cs="Arial"/>
        <w:b/>
        <w:color w:val="002060"/>
        <w:sz w:val="24"/>
        <w:szCs w:val="24"/>
        <w:lang w:val="pt-BR"/>
      </w:rPr>
      <w:t>/</w:t>
    </w:r>
    <w:r>
      <w:rPr>
        <w:rFonts w:ascii="Arial" w:hAnsi="Arial" w:cs="Arial"/>
        <w:b/>
        <w:color w:val="002060"/>
        <w:sz w:val="24"/>
        <w:szCs w:val="24"/>
        <w:lang w:val="pt-BR"/>
      </w:rPr>
      <w:t>2</w:t>
    </w:r>
  </w:p>
  <w:p w:rsidR="00EC2F19" w:rsidRPr="00E0416A" w:rsidRDefault="00EC2F19" w:rsidP="00EC2F19">
    <w:pPr>
      <w:pStyle w:val="Encabezado"/>
      <w:framePr w:w="5938" w:h="974" w:hRule="exact" w:hSpace="141" w:vSpace="141" w:wrap="auto" w:vAnchor="page" w:hAnchor="page" w:x="5410" w:y="487"/>
      <w:spacing w:after="120"/>
      <w:ind w:left="567" w:right="297" w:hanging="11"/>
      <w:jc w:val="right"/>
      <w:rPr>
        <w:b/>
      </w:rPr>
    </w:pPr>
  </w:p>
  <w:p w:rsidR="00EC2F19" w:rsidRPr="00040E4E" w:rsidRDefault="00EC2F19" w:rsidP="00EC2F19">
    <w:pPr>
      <w:pStyle w:val="Encabezado"/>
      <w:framePr w:w="5938" w:h="974" w:hRule="exact" w:hSpace="141" w:vSpace="141" w:wrap="auto" w:vAnchor="page" w:hAnchor="page" w:x="5410" w:y="487"/>
      <w:ind w:left="567" w:right="297" w:hanging="11"/>
      <w:rPr>
        <w:b/>
        <w:lang w:val="pt-BR"/>
      </w:rPr>
    </w:pPr>
  </w:p>
  <w:p w:rsidR="00EC2F19" w:rsidRDefault="00EC2F19" w:rsidP="00EC2F19">
    <w:pPr>
      <w:pStyle w:val="Encabezado"/>
      <w:tabs>
        <w:tab w:val="center" w:pos="4164"/>
        <w:tab w:val="center" w:pos="4537"/>
        <w:tab w:val="left" w:pos="7410"/>
      </w:tabs>
      <w:ind w:left="-510"/>
      <w:rPr>
        <w:b/>
        <w:color w:val="000000"/>
        <w:spacing w:val="5"/>
      </w:rPr>
    </w:pPr>
    <w:r>
      <w:rPr>
        <w:noProof/>
        <w:lang w:val="en-US"/>
      </w:rPr>
      <w:drawing>
        <wp:anchor distT="0" distB="0" distL="114300" distR="114300" simplePos="0" relativeHeight="251658240" behindDoc="0" locked="0" layoutInCell="1" allowOverlap="1" wp14:anchorId="5DCF9800" wp14:editId="26C93FC7">
          <wp:simplePos x="0" y="0"/>
          <wp:positionH relativeFrom="margin">
            <wp:posOffset>-352425</wp:posOffset>
          </wp:positionH>
          <wp:positionV relativeFrom="margin">
            <wp:posOffset>-1010076</wp:posOffset>
          </wp:positionV>
          <wp:extent cx="806450" cy="8382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38200"/>
                  </a:xfrm>
                  <a:prstGeom prst="rect">
                    <a:avLst/>
                  </a:prstGeom>
                  <a:noFill/>
                  <a:ln>
                    <a:noFill/>
                  </a:ln>
                </pic:spPr>
              </pic:pic>
            </a:graphicData>
          </a:graphic>
        </wp:anchor>
      </w:drawing>
    </w:r>
  </w:p>
  <w:p w:rsidR="00EC2F19" w:rsidRDefault="00EC2F19" w:rsidP="00EC2F19">
    <w:pPr>
      <w:pStyle w:val="Encabezado"/>
      <w:tabs>
        <w:tab w:val="center" w:pos="4164"/>
        <w:tab w:val="center" w:pos="4537"/>
        <w:tab w:val="left" w:pos="7410"/>
      </w:tabs>
      <w:ind w:left="-510"/>
      <w:rPr>
        <w:b/>
        <w:color w:val="000000"/>
        <w:spacing w:val="5"/>
      </w:rPr>
    </w:pPr>
  </w:p>
  <w:p w:rsidR="00EC2F19" w:rsidRDefault="00EC2F19" w:rsidP="00EC2F19">
    <w:pPr>
      <w:pStyle w:val="Encabezado"/>
      <w:tabs>
        <w:tab w:val="center" w:pos="4164"/>
        <w:tab w:val="center" w:pos="4537"/>
        <w:tab w:val="left" w:pos="7410"/>
      </w:tabs>
      <w:ind w:left="-510"/>
      <w:rPr>
        <w:b/>
        <w:color w:val="000000"/>
        <w:spacing w:val="5"/>
      </w:rPr>
    </w:pPr>
  </w:p>
  <w:p w:rsidR="00EC2F19" w:rsidRDefault="00EC2F19" w:rsidP="00EC2F19">
    <w:pPr>
      <w:pStyle w:val="Encabezado"/>
      <w:tabs>
        <w:tab w:val="center" w:pos="4164"/>
        <w:tab w:val="center" w:pos="4537"/>
        <w:tab w:val="left" w:pos="7410"/>
      </w:tabs>
      <w:ind w:left="-510"/>
      <w:rPr>
        <w:b/>
        <w:color w:val="000000"/>
        <w:spacing w:val="5"/>
      </w:rPr>
    </w:pPr>
  </w:p>
  <w:p w:rsidR="00A70A1A" w:rsidRDefault="00A70A1A" w:rsidP="00EC2F19">
    <w:pPr>
      <w:pStyle w:val="Encabezado"/>
      <w:tabs>
        <w:tab w:val="center" w:pos="4164"/>
        <w:tab w:val="center" w:pos="4537"/>
        <w:tab w:val="left" w:pos="7410"/>
      </w:tabs>
      <w:ind w:left="-510"/>
      <w:rPr>
        <w:b/>
        <w:color w:val="000000"/>
        <w:spacing w:val="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4B" w:rsidRDefault="00BA124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F19" w:rsidRDefault="00EC2F19" w:rsidP="00EC2F19">
    <w:pPr>
      <w:pStyle w:val="Encabezado"/>
      <w:tabs>
        <w:tab w:val="center" w:pos="4164"/>
        <w:tab w:val="center" w:pos="4537"/>
        <w:tab w:val="left" w:pos="7410"/>
      </w:tabs>
      <w:ind w:left="-510"/>
      <w:rPr>
        <w:b/>
        <w:color w:val="000000"/>
        <w:spacing w:val="5"/>
      </w:rPr>
    </w:pPr>
    <w:r>
      <w:rPr>
        <w:noProof/>
        <w:lang w:val="en-US"/>
      </w:rPr>
      <w:drawing>
        <wp:anchor distT="0" distB="0" distL="114300" distR="114300" simplePos="0" relativeHeight="251660288" behindDoc="0" locked="0" layoutInCell="1" allowOverlap="1" wp14:anchorId="2E23EA29" wp14:editId="32DAFDF7">
          <wp:simplePos x="0" y="0"/>
          <wp:positionH relativeFrom="page">
            <wp:align>center</wp:align>
          </wp:positionH>
          <wp:positionV relativeFrom="margin">
            <wp:posOffset>-904875</wp:posOffset>
          </wp:positionV>
          <wp:extent cx="806450" cy="83820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38200"/>
                  </a:xfrm>
                  <a:prstGeom prst="rect">
                    <a:avLst/>
                  </a:prstGeom>
                  <a:noFill/>
                  <a:ln>
                    <a:noFill/>
                  </a:ln>
                </pic:spPr>
              </pic:pic>
            </a:graphicData>
          </a:graphic>
        </wp:anchor>
      </w:drawing>
    </w:r>
  </w:p>
  <w:p w:rsidR="00EC2F19" w:rsidRDefault="00EC2F19" w:rsidP="00EC2F19">
    <w:pPr>
      <w:pStyle w:val="Encabezado"/>
      <w:tabs>
        <w:tab w:val="center" w:pos="4164"/>
        <w:tab w:val="center" w:pos="4537"/>
        <w:tab w:val="left" w:pos="7410"/>
      </w:tabs>
      <w:ind w:left="-510"/>
      <w:rPr>
        <w:b/>
        <w:color w:val="000000"/>
        <w:spacing w:val="5"/>
      </w:rPr>
    </w:pPr>
  </w:p>
  <w:p w:rsidR="00EC2F19" w:rsidRDefault="00EC2F19" w:rsidP="00EC2F19">
    <w:pPr>
      <w:pStyle w:val="Encabezado"/>
      <w:tabs>
        <w:tab w:val="center" w:pos="4164"/>
        <w:tab w:val="center" w:pos="4537"/>
        <w:tab w:val="left" w:pos="7410"/>
      </w:tabs>
      <w:ind w:left="-510"/>
      <w:rPr>
        <w:b/>
        <w:color w:val="000000"/>
        <w:spacing w:val="5"/>
      </w:rPr>
    </w:pPr>
  </w:p>
  <w:p w:rsidR="00EC2F19" w:rsidRDefault="00EC2F19" w:rsidP="00EC2F19">
    <w:pPr>
      <w:pStyle w:val="Encabezado"/>
      <w:tabs>
        <w:tab w:val="center" w:pos="4164"/>
        <w:tab w:val="center" w:pos="4537"/>
        <w:tab w:val="left" w:pos="7410"/>
      </w:tabs>
      <w:ind w:left="-510"/>
      <w:rPr>
        <w:b/>
        <w:color w:val="000000"/>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0F20"/>
    <w:multiLevelType w:val="hybridMultilevel"/>
    <w:tmpl w:val="5E6A99B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8632C3"/>
    <w:multiLevelType w:val="hybridMultilevel"/>
    <w:tmpl w:val="4AEE1C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895A99"/>
    <w:multiLevelType w:val="hybridMultilevel"/>
    <w:tmpl w:val="81B46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67C34"/>
    <w:multiLevelType w:val="hybridMultilevel"/>
    <w:tmpl w:val="F00241FE"/>
    <w:lvl w:ilvl="0" w:tplc="1A964CEC">
      <w:numFmt w:val="bullet"/>
      <w:lvlText w:val="-"/>
      <w:lvlJc w:val="left"/>
      <w:pPr>
        <w:ind w:left="720" w:hanging="360"/>
      </w:pPr>
      <w:rPr>
        <w:rFonts w:ascii="Calibri" w:eastAsiaTheme="minorHAnsi" w:hAnsi="Calibri"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C3292"/>
    <w:multiLevelType w:val="hybridMultilevel"/>
    <w:tmpl w:val="B70CF4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3"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5628E0"/>
    <w:multiLevelType w:val="hybridMultilevel"/>
    <w:tmpl w:val="A088F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8C62B1"/>
    <w:multiLevelType w:val="hybridMultilevel"/>
    <w:tmpl w:val="2584AC3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4C6CB0"/>
    <w:multiLevelType w:val="hybridMultilevel"/>
    <w:tmpl w:val="3B6E37B8"/>
    <w:lvl w:ilvl="0" w:tplc="A442E0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966B8D"/>
    <w:multiLevelType w:val="hybridMultilevel"/>
    <w:tmpl w:val="7C821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6"/>
  </w:num>
  <w:num w:numId="4">
    <w:abstractNumId w:val="7"/>
  </w:num>
  <w:num w:numId="5">
    <w:abstractNumId w:val="3"/>
  </w:num>
  <w:num w:numId="6">
    <w:abstractNumId w:val="13"/>
  </w:num>
  <w:num w:numId="7">
    <w:abstractNumId w:val="11"/>
  </w:num>
  <w:num w:numId="8">
    <w:abstractNumId w:val="10"/>
  </w:num>
  <w:num w:numId="9">
    <w:abstractNumId w:val="1"/>
  </w:num>
  <w:num w:numId="10">
    <w:abstractNumId w:val="2"/>
  </w:num>
  <w:num w:numId="11">
    <w:abstractNumId w:val="14"/>
  </w:num>
  <w:num w:numId="12">
    <w:abstractNumId w:val="12"/>
  </w:num>
  <w:num w:numId="13">
    <w:abstractNumId w:val="15"/>
  </w:num>
  <w:num w:numId="14">
    <w:abstractNumId w:val="8"/>
  </w:num>
  <w:num w:numId="15">
    <w:abstractNumId w:val="18"/>
  </w:num>
  <w:num w:numId="16">
    <w:abstractNumId w:val="5"/>
  </w:num>
  <w:num w:numId="17">
    <w:abstractNumId w:val="17"/>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19"/>
    <w:rsid w:val="00015053"/>
    <w:rsid w:val="0002334A"/>
    <w:rsid w:val="000234F8"/>
    <w:rsid w:val="00057C51"/>
    <w:rsid w:val="00060B94"/>
    <w:rsid w:val="000627C8"/>
    <w:rsid w:val="000A28B5"/>
    <w:rsid w:val="000B7DDD"/>
    <w:rsid w:val="000D4A2B"/>
    <w:rsid w:val="000F7B56"/>
    <w:rsid w:val="00110913"/>
    <w:rsid w:val="001207BF"/>
    <w:rsid w:val="00136707"/>
    <w:rsid w:val="001540C0"/>
    <w:rsid w:val="0016617F"/>
    <w:rsid w:val="001A15C6"/>
    <w:rsid w:val="001A3AE5"/>
    <w:rsid w:val="001B2305"/>
    <w:rsid w:val="001C2B06"/>
    <w:rsid w:val="00203860"/>
    <w:rsid w:val="002172DF"/>
    <w:rsid w:val="00227C2D"/>
    <w:rsid w:val="00242045"/>
    <w:rsid w:val="00246553"/>
    <w:rsid w:val="002524DD"/>
    <w:rsid w:val="00260305"/>
    <w:rsid w:val="00290FCD"/>
    <w:rsid w:val="002A28A8"/>
    <w:rsid w:val="002B6F87"/>
    <w:rsid w:val="002C1F03"/>
    <w:rsid w:val="002C411F"/>
    <w:rsid w:val="002D01E3"/>
    <w:rsid w:val="003010A4"/>
    <w:rsid w:val="00301CF8"/>
    <w:rsid w:val="00322CA8"/>
    <w:rsid w:val="00331EF3"/>
    <w:rsid w:val="00346367"/>
    <w:rsid w:val="003567D3"/>
    <w:rsid w:val="00365E8E"/>
    <w:rsid w:val="00375731"/>
    <w:rsid w:val="0039706B"/>
    <w:rsid w:val="003C39A6"/>
    <w:rsid w:val="003C554F"/>
    <w:rsid w:val="003C6019"/>
    <w:rsid w:val="00410810"/>
    <w:rsid w:val="004621F0"/>
    <w:rsid w:val="00483A89"/>
    <w:rsid w:val="004948BD"/>
    <w:rsid w:val="004A369D"/>
    <w:rsid w:val="004C5568"/>
    <w:rsid w:val="004E2625"/>
    <w:rsid w:val="004F13AF"/>
    <w:rsid w:val="005032F7"/>
    <w:rsid w:val="00511075"/>
    <w:rsid w:val="00543FB5"/>
    <w:rsid w:val="005563E0"/>
    <w:rsid w:val="005C3B67"/>
    <w:rsid w:val="005C5319"/>
    <w:rsid w:val="005C6208"/>
    <w:rsid w:val="005D2637"/>
    <w:rsid w:val="005E4F76"/>
    <w:rsid w:val="005F4682"/>
    <w:rsid w:val="00602565"/>
    <w:rsid w:val="0060470D"/>
    <w:rsid w:val="0068782B"/>
    <w:rsid w:val="0069252E"/>
    <w:rsid w:val="006C1A4D"/>
    <w:rsid w:val="006C1D2A"/>
    <w:rsid w:val="006E7501"/>
    <w:rsid w:val="006F16D4"/>
    <w:rsid w:val="00713261"/>
    <w:rsid w:val="007205DD"/>
    <w:rsid w:val="007213F3"/>
    <w:rsid w:val="0073459C"/>
    <w:rsid w:val="00752200"/>
    <w:rsid w:val="00773721"/>
    <w:rsid w:val="007846CC"/>
    <w:rsid w:val="0078489C"/>
    <w:rsid w:val="00784E35"/>
    <w:rsid w:val="007A4C6F"/>
    <w:rsid w:val="007B23F0"/>
    <w:rsid w:val="007B26D5"/>
    <w:rsid w:val="007E21F5"/>
    <w:rsid w:val="007F7478"/>
    <w:rsid w:val="00803BF1"/>
    <w:rsid w:val="0081581C"/>
    <w:rsid w:val="00817563"/>
    <w:rsid w:val="008248A5"/>
    <w:rsid w:val="00836D47"/>
    <w:rsid w:val="0085509C"/>
    <w:rsid w:val="00857882"/>
    <w:rsid w:val="00872F0B"/>
    <w:rsid w:val="0088150D"/>
    <w:rsid w:val="008903E5"/>
    <w:rsid w:val="008C5248"/>
    <w:rsid w:val="008E7FAF"/>
    <w:rsid w:val="009008FB"/>
    <w:rsid w:val="00912AB5"/>
    <w:rsid w:val="00913039"/>
    <w:rsid w:val="00935457"/>
    <w:rsid w:val="009854E5"/>
    <w:rsid w:val="009E165E"/>
    <w:rsid w:val="009F06BA"/>
    <w:rsid w:val="009F4A9B"/>
    <w:rsid w:val="00A053A8"/>
    <w:rsid w:val="00A33E65"/>
    <w:rsid w:val="00A36F6E"/>
    <w:rsid w:val="00A56FAC"/>
    <w:rsid w:val="00A67554"/>
    <w:rsid w:val="00A70A1A"/>
    <w:rsid w:val="00A74059"/>
    <w:rsid w:val="00A85308"/>
    <w:rsid w:val="00AB23D5"/>
    <w:rsid w:val="00AC0CFB"/>
    <w:rsid w:val="00AD3D87"/>
    <w:rsid w:val="00AE1AED"/>
    <w:rsid w:val="00B05416"/>
    <w:rsid w:val="00B06E21"/>
    <w:rsid w:val="00B11A41"/>
    <w:rsid w:val="00B26B71"/>
    <w:rsid w:val="00B56AF7"/>
    <w:rsid w:val="00BA124B"/>
    <w:rsid w:val="00BB4026"/>
    <w:rsid w:val="00BF0F74"/>
    <w:rsid w:val="00BF1760"/>
    <w:rsid w:val="00BF2DC7"/>
    <w:rsid w:val="00C0197E"/>
    <w:rsid w:val="00C25D8D"/>
    <w:rsid w:val="00C32549"/>
    <w:rsid w:val="00C33D1A"/>
    <w:rsid w:val="00C545A8"/>
    <w:rsid w:val="00C7623A"/>
    <w:rsid w:val="00C83B2D"/>
    <w:rsid w:val="00C8615F"/>
    <w:rsid w:val="00C911CB"/>
    <w:rsid w:val="00CA12A8"/>
    <w:rsid w:val="00CD1419"/>
    <w:rsid w:val="00CE7ED6"/>
    <w:rsid w:val="00CF4D53"/>
    <w:rsid w:val="00CF67A0"/>
    <w:rsid w:val="00CF72E6"/>
    <w:rsid w:val="00D0403B"/>
    <w:rsid w:val="00D35B82"/>
    <w:rsid w:val="00D77763"/>
    <w:rsid w:val="00DD7D6B"/>
    <w:rsid w:val="00DE7DF7"/>
    <w:rsid w:val="00E3048F"/>
    <w:rsid w:val="00E359FD"/>
    <w:rsid w:val="00E37F5A"/>
    <w:rsid w:val="00E53615"/>
    <w:rsid w:val="00E63FD1"/>
    <w:rsid w:val="00E65EF0"/>
    <w:rsid w:val="00E870F8"/>
    <w:rsid w:val="00EC2F19"/>
    <w:rsid w:val="00EF2887"/>
    <w:rsid w:val="00EF36F9"/>
    <w:rsid w:val="00EF7DC8"/>
    <w:rsid w:val="00F03C98"/>
    <w:rsid w:val="00F263B7"/>
    <w:rsid w:val="00F32269"/>
    <w:rsid w:val="00F3534F"/>
    <w:rsid w:val="00F453C6"/>
    <w:rsid w:val="00F62E68"/>
    <w:rsid w:val="00F76800"/>
    <w:rsid w:val="00F9594E"/>
    <w:rsid w:val="00F9694C"/>
    <w:rsid w:val="00FA4F49"/>
    <w:rsid w:val="00FB0C71"/>
    <w:rsid w:val="00FC3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5B6113-5AD7-4FF6-96C9-144DAA6B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F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2F1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C2F19"/>
    <w:pPr>
      <w:ind w:left="720"/>
      <w:contextualSpacing/>
    </w:pPr>
  </w:style>
  <w:style w:type="paragraph" w:styleId="Textonotapie">
    <w:name w:val="footnote text"/>
    <w:basedOn w:val="Normal"/>
    <w:link w:val="TextonotapieCar"/>
    <w:uiPriority w:val="99"/>
    <w:unhideWhenUsed/>
    <w:rsid w:val="00EC2F19"/>
    <w:pPr>
      <w:spacing w:after="0" w:line="240" w:lineRule="auto"/>
    </w:pPr>
    <w:rPr>
      <w:sz w:val="20"/>
      <w:szCs w:val="20"/>
    </w:rPr>
  </w:style>
  <w:style w:type="character" w:customStyle="1" w:styleId="TextonotapieCar">
    <w:name w:val="Texto nota pie Car"/>
    <w:basedOn w:val="Fuentedeprrafopredeter"/>
    <w:link w:val="Textonotapie"/>
    <w:uiPriority w:val="99"/>
    <w:rsid w:val="00EC2F19"/>
    <w:rPr>
      <w:sz w:val="20"/>
      <w:szCs w:val="20"/>
    </w:rPr>
  </w:style>
  <w:style w:type="character" w:styleId="Refdenotaalpie">
    <w:name w:val="footnote reference"/>
    <w:basedOn w:val="Fuentedeprrafopredeter"/>
    <w:uiPriority w:val="99"/>
    <w:semiHidden/>
    <w:unhideWhenUsed/>
    <w:rsid w:val="00EC2F19"/>
    <w:rPr>
      <w:vertAlign w:val="superscript"/>
    </w:rPr>
  </w:style>
  <w:style w:type="paragraph" w:styleId="NormalWeb">
    <w:name w:val="Normal (Web)"/>
    <w:basedOn w:val="Normal"/>
    <w:uiPriority w:val="99"/>
    <w:unhideWhenUsed/>
    <w:rsid w:val="00EC2F1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EC2F19"/>
    <w:rPr>
      <w:color w:val="0000FF"/>
      <w:u w:val="single"/>
    </w:rPr>
  </w:style>
  <w:style w:type="paragraph" w:styleId="Encabezado">
    <w:name w:val="header"/>
    <w:basedOn w:val="Normal"/>
    <w:link w:val="EncabezadoCar"/>
    <w:unhideWhenUsed/>
    <w:rsid w:val="00EC2F19"/>
    <w:pPr>
      <w:tabs>
        <w:tab w:val="center" w:pos="4419"/>
        <w:tab w:val="right" w:pos="8838"/>
      </w:tabs>
      <w:spacing w:after="0" w:line="240" w:lineRule="auto"/>
    </w:pPr>
  </w:style>
  <w:style w:type="character" w:customStyle="1" w:styleId="EncabezadoCar">
    <w:name w:val="Encabezado Car"/>
    <w:basedOn w:val="Fuentedeprrafopredeter"/>
    <w:link w:val="Encabezado"/>
    <w:rsid w:val="00EC2F19"/>
  </w:style>
  <w:style w:type="paragraph" w:styleId="Piedepgina">
    <w:name w:val="footer"/>
    <w:basedOn w:val="Normal"/>
    <w:link w:val="PiedepginaCar"/>
    <w:uiPriority w:val="99"/>
    <w:unhideWhenUsed/>
    <w:rsid w:val="00EC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19"/>
  </w:style>
  <w:style w:type="character" w:styleId="Refdecomentario">
    <w:name w:val="annotation reference"/>
    <w:basedOn w:val="Fuentedeprrafopredeter"/>
    <w:uiPriority w:val="99"/>
    <w:semiHidden/>
    <w:unhideWhenUsed/>
    <w:rsid w:val="00D0403B"/>
    <w:rPr>
      <w:sz w:val="16"/>
      <w:szCs w:val="16"/>
    </w:rPr>
  </w:style>
  <w:style w:type="paragraph" w:styleId="Textocomentario">
    <w:name w:val="annotation text"/>
    <w:basedOn w:val="Normal"/>
    <w:link w:val="TextocomentarioCar"/>
    <w:uiPriority w:val="99"/>
    <w:semiHidden/>
    <w:unhideWhenUsed/>
    <w:rsid w:val="00D040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403B"/>
    <w:rPr>
      <w:sz w:val="20"/>
      <w:szCs w:val="20"/>
    </w:rPr>
  </w:style>
  <w:style w:type="paragraph" w:styleId="Asuntodelcomentario">
    <w:name w:val="annotation subject"/>
    <w:basedOn w:val="Textocomentario"/>
    <w:next w:val="Textocomentario"/>
    <w:link w:val="AsuntodelcomentarioCar"/>
    <w:uiPriority w:val="99"/>
    <w:semiHidden/>
    <w:unhideWhenUsed/>
    <w:rsid w:val="00D0403B"/>
    <w:rPr>
      <w:b/>
      <w:bCs/>
    </w:rPr>
  </w:style>
  <w:style w:type="character" w:customStyle="1" w:styleId="AsuntodelcomentarioCar">
    <w:name w:val="Asunto del comentario Car"/>
    <w:basedOn w:val="TextocomentarioCar"/>
    <w:link w:val="Asuntodelcomentario"/>
    <w:uiPriority w:val="99"/>
    <w:semiHidden/>
    <w:rsid w:val="00D0403B"/>
    <w:rPr>
      <w:b/>
      <w:bCs/>
      <w:sz w:val="20"/>
      <w:szCs w:val="20"/>
    </w:rPr>
  </w:style>
  <w:style w:type="paragraph" w:styleId="Textodeglobo">
    <w:name w:val="Balloon Text"/>
    <w:basedOn w:val="Normal"/>
    <w:link w:val="TextodegloboCar"/>
    <w:uiPriority w:val="99"/>
    <w:semiHidden/>
    <w:unhideWhenUsed/>
    <w:rsid w:val="00D040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png"/><Relationship Id="rId33" Type="http://schemas.openxmlformats.org/officeDocument/2006/relationships/chart" Target="charts/chart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4.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image" Target="media/image9.png"/><Relationship Id="rId36" Type="http://schemas.openxmlformats.org/officeDocument/2006/relationships/chart" Target="charts/chart8.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1.xml"/><Relationship Id="rId30" Type="http://schemas.openxmlformats.org/officeDocument/2006/relationships/chart" Target="charts/chart3.xml"/><Relationship Id="rId35" Type="http://schemas.openxmlformats.org/officeDocument/2006/relationships/chart" Target="charts/chart7.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Bolet&#237;n%20Op%202019\CNGSPSPE2019_M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Bolet&#237;n%20Op%202019\Copia%20de%20CNGSPSPE2019_M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AppData\Local\Microsoft\Windows\INetCache\Content.Outlook\TKX71QUX\CNGSPSPE2019_M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Bolet&#237;n%20Op%202019\Copia%20de%20CNGSPSPE2019_M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BOLETINES\VARIABLES%20OPORTUNAS_Boletin_2019\CNIJE_2019_MOD1_V.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Bolet&#237;n%20Op%202019\Revisi&#243;n%20bolet&#237;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13011583331258"/>
          <c:y val="4.860743997106369E-2"/>
          <c:w val="0.31837104746764694"/>
          <c:h val="0.76418694129664877"/>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948"/>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4923-4B9A-87A2-E031910C39C3}"/>
              </c:ext>
            </c:extLst>
          </c:dPt>
          <c:dPt>
            <c:idx val="1"/>
            <c:bubble3D val="0"/>
            <c:spPr>
              <a:solidFill>
                <a:srgbClr val="005392"/>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4923-4B9A-87A2-E031910C39C3}"/>
              </c:ext>
            </c:extLst>
          </c:dPt>
          <c:dPt>
            <c:idx val="2"/>
            <c:bubble3D val="0"/>
            <c:spPr>
              <a:solidFill>
                <a:srgbClr val="0074C8"/>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4923-4B9A-87A2-E031910C39C3}"/>
              </c:ext>
            </c:extLst>
          </c:dPt>
          <c:dPt>
            <c:idx val="3"/>
            <c:bubble3D val="0"/>
            <c:spPr>
              <a:solidFill>
                <a:srgbClr val="57B7FF"/>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4923-4B9A-87A2-E031910C39C3}"/>
              </c:ext>
            </c:extLst>
          </c:dPt>
          <c:dPt>
            <c:idx val="4"/>
            <c:bubble3D val="0"/>
            <c:spPr>
              <a:solidFill>
                <a:srgbClr val="AEAEAE"/>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4923-4B9A-87A2-E031910C39C3}"/>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4923-4B9A-87A2-E031910C39C3}"/>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4923-4B9A-87A2-E031910C39C3}"/>
                </c:ext>
              </c:extLst>
            </c:dLbl>
            <c:dLbl>
              <c:idx val="4"/>
              <c:layout>
                <c:manualLayout>
                  <c:x val="-9.106617981900527E-3"/>
                  <c:y val="-0.112188626598353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23-4B9A-87A2-E031910C3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'2.1'!$K$5:$K$9</c:f>
              <c:strCache>
                <c:ptCount val="5"/>
                <c:pt idx="0">
                  <c:v>Por presuntas 
infracciones</c:v>
                </c:pt>
                <c:pt idx="1">
                  <c:v>Por presuntos delitos 
del fuero común</c:v>
                </c:pt>
                <c:pt idx="2">
                  <c:v>Por presuntos delitos 
del fuero federal</c:v>
                </c:pt>
                <c:pt idx="3">
                  <c:v>Por causas distintas 
a las anteriores</c:v>
                </c:pt>
                <c:pt idx="4">
                  <c:v>No especificado</c:v>
                </c:pt>
              </c:strCache>
            </c:strRef>
          </c:cat>
          <c:val>
            <c:numRef>
              <c:f>'2.1'!$P$5:$P$9</c:f>
              <c:numCache>
                <c:formatCode>0.0%</c:formatCode>
                <c:ptCount val="5"/>
                <c:pt idx="0">
                  <c:v>0.49898116189129621</c:v>
                </c:pt>
                <c:pt idx="1">
                  <c:v>0.14522469255284201</c:v>
                </c:pt>
                <c:pt idx="2">
                  <c:v>1.228956929044258E-2</c:v>
                </c:pt>
                <c:pt idx="3">
                  <c:v>0.29809199408733655</c:v>
                </c:pt>
                <c:pt idx="4">
                  <c:v>4.5999999999999999E-2</c:v>
                </c:pt>
              </c:numCache>
            </c:numRef>
          </c:val>
          <c:extLst>
            <c:ext xmlns:c16="http://schemas.microsoft.com/office/drawing/2014/chart" uri="{C3380CC4-5D6E-409C-BE32-E72D297353CC}">
              <c16:uniqueId val="{0000000A-4923-4B9A-87A2-E031910C39C3}"/>
            </c:ext>
          </c:extLst>
        </c:ser>
        <c:dLbls>
          <c:showLegendKey val="0"/>
          <c:showVal val="0"/>
          <c:showCatName val="0"/>
          <c:showSerName val="0"/>
          <c:showPercent val="0"/>
          <c:showBubbleSize val="0"/>
          <c:showLeaderLines val="1"/>
        </c:dLbls>
        <c:firstSliceAng val="180"/>
      </c:pieChart>
      <c:spPr>
        <a:noFill/>
        <a:ln>
          <a:noFill/>
        </a:ln>
        <a:effectLst/>
      </c:spPr>
    </c:plotArea>
    <c:legend>
      <c:legendPos val="b"/>
      <c:layout>
        <c:manualLayout>
          <c:xMode val="edge"/>
          <c:yMode val="edge"/>
          <c:x val="0"/>
          <c:y val="0.87290122303616646"/>
          <c:w val="0.9521958959889455"/>
          <c:h val="0.127019281600400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74C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'3.4'!$J$11:$J$42</c:f>
              <c:strCache>
                <c:ptCount val="32"/>
                <c:pt idx="0">
                  <c:v>México</c:v>
                </c:pt>
                <c:pt idx="1">
                  <c:v>Veracruz de Ignacio de la Llave</c:v>
                </c:pt>
                <c:pt idx="2">
                  <c:v>Zacatecas</c:v>
                </c:pt>
                <c:pt idx="3">
                  <c:v>Chiapas</c:v>
                </c:pt>
                <c:pt idx="4">
                  <c:v>Guerrero</c:v>
                </c:pt>
                <c:pt idx="5">
                  <c:v>Ciudad de México</c:v>
                </c:pt>
                <c:pt idx="6">
                  <c:v>Sonora</c:v>
                </c:pt>
                <c:pt idx="7">
                  <c:v>Hidalgo</c:v>
                </c:pt>
                <c:pt idx="8">
                  <c:v>Jalisco</c:v>
                </c:pt>
                <c:pt idx="9">
                  <c:v>Oaxaca</c:v>
                </c:pt>
                <c:pt idx="10">
                  <c:v>Michoacán de Ocampo</c:v>
                </c:pt>
                <c:pt idx="11">
                  <c:v>Guanajuato</c:v>
                </c:pt>
                <c:pt idx="12">
                  <c:v>Chihuahua</c:v>
                </c:pt>
                <c:pt idx="13">
                  <c:v>Tabasco</c:v>
                </c:pt>
                <c:pt idx="14">
                  <c:v>Tamaulipas</c:v>
                </c:pt>
                <c:pt idx="15">
                  <c:v>San Luis Potosí</c:v>
                </c:pt>
                <c:pt idx="16">
                  <c:v>Baja California</c:v>
                </c:pt>
                <c:pt idx="17">
                  <c:v>Coahuila de Zaragoza</c:v>
                </c:pt>
                <c:pt idx="18">
                  <c:v>Morelos</c:v>
                </c:pt>
                <c:pt idx="19">
                  <c:v>Aguascalientes</c:v>
                </c:pt>
                <c:pt idx="20">
                  <c:v>Baja California Sur</c:v>
                </c:pt>
                <c:pt idx="21">
                  <c:v>Nuevo León</c:v>
                </c:pt>
                <c:pt idx="22">
                  <c:v>Querétaro</c:v>
                </c:pt>
                <c:pt idx="23">
                  <c:v>Yucatán</c:v>
                </c:pt>
                <c:pt idx="24">
                  <c:v>Colima</c:v>
                </c:pt>
                <c:pt idx="25">
                  <c:v>Durango</c:v>
                </c:pt>
                <c:pt idx="26">
                  <c:v>Puebla</c:v>
                </c:pt>
                <c:pt idx="27">
                  <c:v>Quintana Roo</c:v>
                </c:pt>
                <c:pt idx="28">
                  <c:v>Sinaloa</c:v>
                </c:pt>
                <c:pt idx="29">
                  <c:v>Campeche</c:v>
                </c:pt>
                <c:pt idx="30">
                  <c:v>Nayarit</c:v>
                </c:pt>
                <c:pt idx="31">
                  <c:v>Tlaxcala</c:v>
                </c:pt>
              </c:strCache>
            </c:strRef>
          </c:cat>
          <c:val>
            <c:numRef>
              <c:f>'3.4'!$K$11:$K$42</c:f>
              <c:numCache>
                <c:formatCode>General</c:formatCode>
                <c:ptCount val="32"/>
                <c:pt idx="0">
                  <c:v>22</c:v>
                </c:pt>
                <c:pt idx="1">
                  <c:v>17</c:v>
                </c:pt>
                <c:pt idx="2">
                  <c:v>17</c:v>
                </c:pt>
                <c:pt idx="3">
                  <c:v>15</c:v>
                </c:pt>
                <c:pt idx="4">
                  <c:v>15</c:v>
                </c:pt>
                <c:pt idx="5">
                  <c:v>13</c:v>
                </c:pt>
                <c:pt idx="6">
                  <c:v>13</c:v>
                </c:pt>
                <c:pt idx="7">
                  <c:v>12</c:v>
                </c:pt>
                <c:pt idx="8">
                  <c:v>12</c:v>
                </c:pt>
                <c:pt idx="9">
                  <c:v>12</c:v>
                </c:pt>
                <c:pt idx="10">
                  <c:v>11</c:v>
                </c:pt>
                <c:pt idx="11">
                  <c:v>10</c:v>
                </c:pt>
                <c:pt idx="12">
                  <c:v>9</c:v>
                </c:pt>
                <c:pt idx="13">
                  <c:v>8</c:v>
                </c:pt>
                <c:pt idx="14">
                  <c:v>7</c:v>
                </c:pt>
                <c:pt idx="15">
                  <c:v>6</c:v>
                </c:pt>
                <c:pt idx="16">
                  <c:v>5</c:v>
                </c:pt>
                <c:pt idx="17">
                  <c:v>5</c:v>
                </c:pt>
                <c:pt idx="18">
                  <c:v>5</c:v>
                </c:pt>
                <c:pt idx="19">
                  <c:v>4</c:v>
                </c:pt>
                <c:pt idx="20">
                  <c:v>4</c:v>
                </c:pt>
                <c:pt idx="21">
                  <c:v>4</c:v>
                </c:pt>
                <c:pt idx="22">
                  <c:v>4</c:v>
                </c:pt>
                <c:pt idx="23">
                  <c:v>4</c:v>
                </c:pt>
                <c:pt idx="24">
                  <c:v>3</c:v>
                </c:pt>
                <c:pt idx="25">
                  <c:v>3</c:v>
                </c:pt>
                <c:pt idx="26">
                  <c:v>3</c:v>
                </c:pt>
                <c:pt idx="27">
                  <c:v>3</c:v>
                </c:pt>
                <c:pt idx="28">
                  <c:v>3</c:v>
                </c:pt>
                <c:pt idx="29">
                  <c:v>2</c:v>
                </c:pt>
                <c:pt idx="30">
                  <c:v>2</c:v>
                </c:pt>
                <c:pt idx="31">
                  <c:v>2</c:v>
                </c:pt>
              </c:numCache>
            </c:numRef>
          </c:val>
          <c:extLst>
            <c:ext xmlns:c16="http://schemas.microsoft.com/office/drawing/2014/chart" uri="{C3380CC4-5D6E-409C-BE32-E72D297353CC}">
              <c16:uniqueId val="{00000000-1E59-4BE2-9403-E71BE639A904}"/>
            </c:ext>
          </c:extLst>
        </c:ser>
        <c:dLbls>
          <c:showLegendKey val="0"/>
          <c:showVal val="0"/>
          <c:showCatName val="0"/>
          <c:showSerName val="0"/>
          <c:showPercent val="0"/>
          <c:showBubbleSize val="0"/>
        </c:dLbls>
        <c:gapWidth val="80"/>
        <c:axId val="6431192"/>
        <c:axId val="6430408"/>
      </c:barChart>
      <c:catAx>
        <c:axId val="64311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430408"/>
        <c:crosses val="autoZero"/>
        <c:auto val="1"/>
        <c:lblAlgn val="ctr"/>
        <c:lblOffset val="100"/>
        <c:noMultiLvlLbl val="0"/>
      </c:catAx>
      <c:valAx>
        <c:axId val="6430408"/>
        <c:scaling>
          <c:orientation val="minMax"/>
        </c:scaling>
        <c:delete val="1"/>
        <c:axPos val="t"/>
        <c:numFmt formatCode="General" sourceLinked="1"/>
        <c:majorTickMark val="none"/>
        <c:minorTickMark val="none"/>
        <c:tickLblPos val="nextTo"/>
        <c:crossAx val="6431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47651957174418"/>
          <c:y val="2.7135365850579119E-2"/>
          <c:w val="0.62035801280235658"/>
          <c:h val="0.94572926829884174"/>
        </c:manualLayout>
      </c:layout>
      <c:barChart>
        <c:barDir val="bar"/>
        <c:grouping val="clustered"/>
        <c:varyColors val="0"/>
        <c:ser>
          <c:idx val="0"/>
          <c:order val="0"/>
          <c:spPr>
            <a:solidFill>
              <a:srgbClr val="0074C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'3.3'!$I$10:$I$41</c:f>
              <c:strCache>
                <c:ptCount val="32"/>
                <c:pt idx="0">
                  <c:v>México</c:v>
                </c:pt>
                <c:pt idx="1">
                  <c:v>Ciudad de México</c:v>
                </c:pt>
                <c:pt idx="2">
                  <c:v>Jalisco</c:v>
                </c:pt>
                <c:pt idx="3">
                  <c:v>Baja California</c:v>
                </c:pt>
                <c:pt idx="4">
                  <c:v>Chihuahua</c:v>
                </c:pt>
                <c:pt idx="5">
                  <c:v>Sonora</c:v>
                </c:pt>
                <c:pt idx="6">
                  <c:v>Nuevo León</c:v>
                </c:pt>
                <c:pt idx="7">
                  <c:v>Veracruz de Ignacio de la Llave</c:v>
                </c:pt>
                <c:pt idx="8">
                  <c:v>Guanajuato</c:v>
                </c:pt>
                <c:pt idx="9">
                  <c:v>Michoacán de Ocampo</c:v>
                </c:pt>
                <c:pt idx="10">
                  <c:v>Puebla</c:v>
                </c:pt>
                <c:pt idx="11">
                  <c:v>Tamaulipas</c:v>
                </c:pt>
                <c:pt idx="12">
                  <c:v>Sinaloa</c:v>
                </c:pt>
                <c:pt idx="13">
                  <c:v>Guerrero</c:v>
                </c:pt>
                <c:pt idx="14">
                  <c:v>Hidalgo</c:v>
                </c:pt>
                <c:pt idx="15">
                  <c:v>Tabasco</c:v>
                </c:pt>
                <c:pt idx="16">
                  <c:v>Durango</c:v>
                </c:pt>
                <c:pt idx="17">
                  <c:v>Chiapas</c:v>
                </c:pt>
                <c:pt idx="18">
                  <c:v>Oaxaca</c:v>
                </c:pt>
                <c:pt idx="19">
                  <c:v>Morelos</c:v>
                </c:pt>
                <c:pt idx="20">
                  <c:v>San Luis Potosí</c:v>
                </c:pt>
                <c:pt idx="21">
                  <c:v>Querétaro</c:v>
                </c:pt>
                <c:pt idx="22">
                  <c:v>Quintana Roo</c:v>
                </c:pt>
                <c:pt idx="23">
                  <c:v>Zacatecas</c:v>
                </c:pt>
                <c:pt idx="24">
                  <c:v>Nayarit</c:v>
                </c:pt>
                <c:pt idx="25">
                  <c:v>Coahuila de Zaragoza</c:v>
                </c:pt>
                <c:pt idx="26">
                  <c:v>Colima</c:v>
                </c:pt>
                <c:pt idx="27">
                  <c:v>Yucatán</c:v>
                </c:pt>
                <c:pt idx="28">
                  <c:v>Aguascalientes</c:v>
                </c:pt>
                <c:pt idx="29">
                  <c:v>Campeche</c:v>
                </c:pt>
                <c:pt idx="30">
                  <c:v>Baja California Sur</c:v>
                </c:pt>
                <c:pt idx="31">
                  <c:v>Tlaxcala</c:v>
                </c:pt>
              </c:strCache>
            </c:strRef>
          </c:cat>
          <c:val>
            <c:numRef>
              <c:f>'3.3'!$J$10:$J$41</c:f>
              <c:numCache>
                <c:formatCode>#,##0</c:formatCode>
                <c:ptCount val="32"/>
                <c:pt idx="0">
                  <c:v>27837</c:v>
                </c:pt>
                <c:pt idx="1">
                  <c:v>25843</c:v>
                </c:pt>
                <c:pt idx="2">
                  <c:v>13617</c:v>
                </c:pt>
                <c:pt idx="3">
                  <c:v>11501</c:v>
                </c:pt>
                <c:pt idx="4">
                  <c:v>8051</c:v>
                </c:pt>
                <c:pt idx="5">
                  <c:v>7230</c:v>
                </c:pt>
                <c:pt idx="6">
                  <c:v>7038</c:v>
                </c:pt>
                <c:pt idx="7">
                  <c:v>6566</c:v>
                </c:pt>
                <c:pt idx="8">
                  <c:v>5303</c:v>
                </c:pt>
                <c:pt idx="9">
                  <c:v>4924</c:v>
                </c:pt>
                <c:pt idx="10">
                  <c:v>4718</c:v>
                </c:pt>
                <c:pt idx="11">
                  <c:v>4613</c:v>
                </c:pt>
                <c:pt idx="12">
                  <c:v>4373</c:v>
                </c:pt>
                <c:pt idx="13">
                  <c:v>4248</c:v>
                </c:pt>
                <c:pt idx="14">
                  <c:v>3823</c:v>
                </c:pt>
                <c:pt idx="15">
                  <c:v>3805</c:v>
                </c:pt>
                <c:pt idx="16">
                  <c:v>3800</c:v>
                </c:pt>
                <c:pt idx="17">
                  <c:v>3429</c:v>
                </c:pt>
                <c:pt idx="18">
                  <c:v>3197</c:v>
                </c:pt>
                <c:pt idx="19">
                  <c:v>3179</c:v>
                </c:pt>
                <c:pt idx="20">
                  <c:v>2361</c:v>
                </c:pt>
                <c:pt idx="21">
                  <c:v>2321</c:v>
                </c:pt>
                <c:pt idx="22">
                  <c:v>2243</c:v>
                </c:pt>
                <c:pt idx="23">
                  <c:v>1960</c:v>
                </c:pt>
                <c:pt idx="24">
                  <c:v>1953</c:v>
                </c:pt>
                <c:pt idx="25">
                  <c:v>1909</c:v>
                </c:pt>
                <c:pt idx="26">
                  <c:v>1506</c:v>
                </c:pt>
                <c:pt idx="27">
                  <c:v>1305</c:v>
                </c:pt>
                <c:pt idx="28">
                  <c:v>1248</c:v>
                </c:pt>
                <c:pt idx="29">
                  <c:v>1225</c:v>
                </c:pt>
                <c:pt idx="30">
                  <c:v>1178</c:v>
                </c:pt>
                <c:pt idx="31">
                  <c:v>591</c:v>
                </c:pt>
              </c:numCache>
            </c:numRef>
          </c:val>
          <c:extLst>
            <c:ext xmlns:c16="http://schemas.microsoft.com/office/drawing/2014/chart" uri="{C3380CC4-5D6E-409C-BE32-E72D297353CC}">
              <c16:uniqueId val="{00000000-D919-4031-89F2-49B735D3087E}"/>
            </c:ext>
          </c:extLst>
        </c:ser>
        <c:dLbls>
          <c:showLegendKey val="0"/>
          <c:showVal val="0"/>
          <c:showCatName val="0"/>
          <c:showSerName val="0"/>
          <c:showPercent val="0"/>
          <c:showBubbleSize val="0"/>
        </c:dLbls>
        <c:gapWidth val="80"/>
        <c:axId val="6429232"/>
        <c:axId val="679939136"/>
      </c:barChart>
      <c:catAx>
        <c:axId val="64292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9939136"/>
        <c:crosses val="autoZero"/>
        <c:auto val="1"/>
        <c:lblAlgn val="ctr"/>
        <c:lblOffset val="100"/>
        <c:noMultiLvlLbl val="0"/>
      </c:catAx>
      <c:valAx>
        <c:axId val="679939136"/>
        <c:scaling>
          <c:orientation val="minMax"/>
        </c:scaling>
        <c:delete val="1"/>
        <c:axPos val="t"/>
        <c:numFmt formatCode="#,##0" sourceLinked="1"/>
        <c:majorTickMark val="none"/>
        <c:minorTickMark val="none"/>
        <c:tickLblPos val="nextTo"/>
        <c:crossAx val="6429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4D86"/>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2-BD3E-41C0-994C-EB1A365F97CC}"/>
              </c:ext>
            </c:extLst>
          </c:dPt>
          <c:dPt>
            <c:idx val="1"/>
            <c:invertIfNegative val="0"/>
            <c:bubble3D val="0"/>
            <c:spPr>
              <a:solidFill>
                <a:srgbClr val="0074C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BD3E-41C0-994C-EB1A365F97CC}"/>
              </c:ext>
            </c:extLst>
          </c:dPt>
          <c:dPt>
            <c:idx val="2"/>
            <c:invertIfNegative val="0"/>
            <c:bubble3D val="0"/>
            <c:spPr>
              <a:solidFill>
                <a:srgbClr val="0996F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4-BD3E-41C0-994C-EB1A365F97CC}"/>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'[Copia de CNGSPSPE2019_M3.xlsx]3.7'!$F$6:$H$6</c:f>
              <c:strCache>
                <c:ptCount val="3"/>
                <c:pt idx="0">
                  <c:v>Ingresados</c:v>
                </c:pt>
                <c:pt idx="1">
                  <c:v>Egresados</c:v>
                </c:pt>
                <c:pt idx="2">
                  <c:v>Internados</c:v>
                </c:pt>
              </c:strCache>
            </c:strRef>
          </c:cat>
          <c:val>
            <c:numRef>
              <c:f>'[Copia de CNGSPSPE2019_M3.xlsx]3.7'!$F$8:$H$8</c:f>
              <c:numCache>
                <c:formatCode>#\ ###\ ##0</c:formatCode>
                <c:ptCount val="3"/>
                <c:pt idx="0">
                  <c:v>2067</c:v>
                </c:pt>
                <c:pt idx="1">
                  <c:v>2069</c:v>
                </c:pt>
                <c:pt idx="2">
                  <c:v>1586</c:v>
                </c:pt>
              </c:numCache>
            </c:numRef>
          </c:val>
          <c:extLst>
            <c:ext xmlns:c16="http://schemas.microsoft.com/office/drawing/2014/chart" uri="{C3380CC4-5D6E-409C-BE32-E72D297353CC}">
              <c16:uniqueId val="{00000000-BD3E-41C0-994C-EB1A365F97CC}"/>
            </c:ext>
          </c:extLst>
        </c:ser>
        <c:dLbls>
          <c:showLegendKey val="0"/>
          <c:showVal val="0"/>
          <c:showCatName val="0"/>
          <c:showSerName val="0"/>
          <c:showPercent val="0"/>
          <c:showBubbleSize val="0"/>
        </c:dLbls>
        <c:gapWidth val="80"/>
        <c:overlap val="-27"/>
        <c:axId val="679937176"/>
        <c:axId val="679939920"/>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'[Copia de CNGSPSPE2019_M3.xlsx]3.7'!$F$6:$H$6</c15:sqref>
                        </c15:formulaRef>
                      </c:ext>
                    </c:extLst>
                    <c:strCache>
                      <c:ptCount val="3"/>
                      <c:pt idx="0">
                        <c:v>Ingresados</c:v>
                      </c:pt>
                      <c:pt idx="1">
                        <c:v>Egresados</c:v>
                      </c:pt>
                      <c:pt idx="2">
                        <c:v>Internados</c:v>
                      </c:pt>
                    </c:strCache>
                  </c:strRef>
                </c:cat>
                <c:val>
                  <c:numRef>
                    <c:extLst>
                      <c:ext uri="{02D57815-91ED-43cb-92C2-25804820EDAC}">
                        <c15:formulaRef>
                          <c15:sqref>'[Copia de CNGSPSPE2019_M3.xlsx]3.7'!$F$7:$H$7</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1-BD3E-41C0-994C-EB1A365F97CC}"/>
                  </c:ext>
                </c:extLst>
              </c15:ser>
            </c15:filteredBarSeries>
          </c:ext>
        </c:extLst>
      </c:barChart>
      <c:catAx>
        <c:axId val="67993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9939920"/>
        <c:crosses val="autoZero"/>
        <c:auto val="1"/>
        <c:lblAlgn val="ctr"/>
        <c:lblOffset val="100"/>
        <c:noMultiLvlLbl val="0"/>
      </c:catAx>
      <c:valAx>
        <c:axId val="679939920"/>
        <c:scaling>
          <c:orientation val="minMax"/>
        </c:scaling>
        <c:delete val="1"/>
        <c:axPos val="l"/>
        <c:numFmt formatCode="#\ ###\ ##0" sourceLinked="1"/>
        <c:majorTickMark val="none"/>
        <c:minorTickMark val="none"/>
        <c:tickLblPos val="nextTo"/>
        <c:crossAx val="679937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699854184893553"/>
          <c:y val="4.5267489711934158E-2"/>
          <c:w val="0.57492065007025639"/>
          <c:h val="0.9423868312757202"/>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C5F-4E98-AC34-A43DA353A2F0}"/>
              </c:ext>
            </c:extLst>
          </c:dPt>
          <c:dPt>
            <c:idx val="1"/>
            <c:invertIfNegative val="0"/>
            <c:bubble3D val="0"/>
            <c:spPr>
              <a:solidFill>
                <a:srgbClr val="00539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EC5F-4E98-AC34-A43DA353A2F0}"/>
              </c:ext>
            </c:extLst>
          </c:dPt>
          <c:dPt>
            <c:idx val="2"/>
            <c:invertIfNegative val="0"/>
            <c:bubble3D val="0"/>
            <c:spPr>
              <a:solidFill>
                <a:srgbClr val="0074C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EC5F-4E98-AC34-A43DA353A2F0}"/>
              </c:ext>
            </c:extLst>
          </c:dPt>
          <c:dPt>
            <c:idx val="3"/>
            <c:invertIfNegative val="0"/>
            <c:bubble3D val="0"/>
            <c:spPr>
              <a:solidFill>
                <a:srgbClr val="0996F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EC5F-4E98-AC34-A43DA353A2F0}"/>
              </c:ext>
            </c:extLst>
          </c:dPt>
          <c:dPt>
            <c:idx val="4"/>
            <c:invertIfNegative val="0"/>
            <c:bubble3D val="0"/>
            <c:spPr>
              <a:solidFill>
                <a:srgbClr val="61BBF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EC5F-4E98-AC34-A43DA353A2F0}"/>
              </c:ext>
            </c:extLst>
          </c:dPt>
          <c:dPt>
            <c:idx val="5"/>
            <c:invertIfNegative val="0"/>
            <c:bubble3D val="0"/>
            <c:spPr>
              <a:solidFill>
                <a:srgbClr val="6BE2E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EC5F-4E98-AC34-A43DA353A2F0}"/>
              </c:ext>
            </c:extLst>
          </c:dPt>
          <c:dPt>
            <c:idx val="6"/>
            <c:invertIfNegative val="0"/>
            <c:bubble3D val="0"/>
            <c:spPr>
              <a:solidFill>
                <a:srgbClr val="AEAEAE"/>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D-EC5F-4E98-AC34-A43DA353A2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M1_23!$M$5:$M$11</c:f>
              <c:strCache>
                <c:ptCount val="7"/>
                <c:pt idx="0">
                  <c:v>Personal administrativo y de apoyo</c:v>
                </c:pt>
                <c:pt idx="1">
                  <c:v>Otros servidores de carrera judicial</c:v>
                </c:pt>
                <c:pt idx="2">
                  <c:v>Secretarios</c:v>
                </c:pt>
                <c:pt idx="3">
                  <c:v>Magistrados y Jueces </c:v>
                </c:pt>
                <c:pt idx="4">
                  <c:v>Secretarios de estudio y cuenta y/o proyectistas</c:v>
                </c:pt>
                <c:pt idx="5">
                  <c:v>Actuarios</c:v>
                </c:pt>
                <c:pt idx="6">
                  <c:v>Otro</c:v>
                </c:pt>
              </c:strCache>
            </c:strRef>
          </c:cat>
          <c:val>
            <c:numRef>
              <c:f>M1_23!$N$5:$N$11</c:f>
              <c:numCache>
                <c:formatCode>0.0%</c:formatCode>
                <c:ptCount val="7"/>
                <c:pt idx="0">
                  <c:v>0.42951315264627465</c:v>
                </c:pt>
                <c:pt idx="1">
                  <c:v>0.161</c:v>
                </c:pt>
                <c:pt idx="2">
                  <c:v>0.13459156467155123</c:v>
                </c:pt>
                <c:pt idx="3">
                  <c:v>9.9237923288476471E-2</c:v>
                </c:pt>
                <c:pt idx="4">
                  <c:v>8.5465958474167075E-2</c:v>
                </c:pt>
                <c:pt idx="5">
                  <c:v>8.0826317888858565E-2</c:v>
                </c:pt>
                <c:pt idx="6">
                  <c:v>8.8384103457686894E-3</c:v>
                </c:pt>
              </c:numCache>
            </c:numRef>
          </c:val>
          <c:extLst>
            <c:ext xmlns:c16="http://schemas.microsoft.com/office/drawing/2014/chart" uri="{C3380CC4-5D6E-409C-BE32-E72D297353CC}">
              <c16:uniqueId val="{0000000E-EC5F-4E98-AC34-A43DA353A2F0}"/>
            </c:ext>
          </c:extLst>
        </c:ser>
        <c:dLbls>
          <c:dLblPos val="outEnd"/>
          <c:showLegendKey val="0"/>
          <c:showVal val="1"/>
          <c:showCatName val="0"/>
          <c:showSerName val="0"/>
          <c:showPercent val="0"/>
          <c:showBubbleSize val="0"/>
        </c:dLbls>
        <c:gapWidth val="60"/>
        <c:axId val="679934040"/>
        <c:axId val="679939528"/>
      </c:barChart>
      <c:catAx>
        <c:axId val="679934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9939528"/>
        <c:crosses val="autoZero"/>
        <c:auto val="1"/>
        <c:lblAlgn val="ctr"/>
        <c:lblOffset val="100"/>
        <c:noMultiLvlLbl val="0"/>
      </c:catAx>
      <c:valAx>
        <c:axId val="679939528"/>
        <c:scaling>
          <c:orientation val="minMax"/>
        </c:scaling>
        <c:delete val="1"/>
        <c:axPos val="t"/>
        <c:numFmt formatCode="0.0%" sourceLinked="1"/>
        <c:majorTickMark val="none"/>
        <c:minorTickMark val="none"/>
        <c:tickLblPos val="nextTo"/>
        <c:crossAx val="679934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6701662292214"/>
          <c:y val="8.5304680415518197E-2"/>
          <c:w val="0.38743088363954503"/>
          <c:h val="0.79518311351331938"/>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3E6C"/>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EB5-4161-B15B-20A964BD68C6}"/>
              </c:ext>
            </c:extLst>
          </c:dPt>
          <c:dPt>
            <c:idx val="1"/>
            <c:bubble3D val="0"/>
            <c:spPr>
              <a:solidFill>
                <a:srgbClr val="0E0ECC"/>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3EB5-4161-B15B-20A964BD68C6}"/>
              </c:ext>
            </c:extLst>
          </c:dPt>
          <c:dPt>
            <c:idx val="2"/>
            <c:bubble3D val="0"/>
            <c:spPr>
              <a:solidFill>
                <a:srgbClr val="0074C8"/>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3EB5-4161-B15B-20A964BD68C6}"/>
              </c:ext>
            </c:extLst>
          </c:dPt>
          <c:dPt>
            <c:idx val="3"/>
            <c:bubble3D val="0"/>
            <c:spPr>
              <a:solidFill>
                <a:srgbClr val="0996FF"/>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3EB5-4161-B15B-20A964BD68C6}"/>
              </c:ext>
            </c:extLst>
          </c:dPt>
          <c:dPt>
            <c:idx val="4"/>
            <c:bubble3D val="0"/>
            <c:spPr>
              <a:solidFill>
                <a:srgbClr val="6BE2EF"/>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3EB5-4161-B15B-20A964BD68C6}"/>
              </c:ext>
            </c:extLst>
          </c:dPt>
          <c:dPt>
            <c:idx val="5"/>
            <c:bubble3D val="0"/>
            <c:spPr>
              <a:solidFill>
                <a:srgbClr val="AEAEAE"/>
              </a:solidFill>
              <a:ln w="19050">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3EB5-4161-B15B-20A964BD68C6}"/>
              </c:ext>
            </c:extLst>
          </c:dPt>
          <c:dLbls>
            <c:dLbl>
              <c:idx val="0"/>
              <c:layout>
                <c:manualLayout>
                  <c:x val="-3.0555555555555555E-2"/>
                  <c:y val="9.3638116221426607E-2"/>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B5-4161-B15B-20A964BD68C6}"/>
                </c:ext>
              </c:extLst>
            </c:dLbl>
            <c:dLbl>
              <c:idx val="1"/>
              <c:layout>
                <c:manualLayout>
                  <c:x val="5.5555555555555046E-3"/>
                  <c:y val="1.10162489672266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B5-4161-B15B-20A964BD68C6}"/>
                </c:ext>
              </c:extLst>
            </c:dLbl>
            <c:dLbl>
              <c:idx val="2"/>
              <c:layout>
                <c:manualLayout>
                  <c:x val="-0.11944444444444445"/>
                  <c:y val="2.203249793445331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B5-4161-B15B-20A964BD68C6}"/>
                </c:ext>
              </c:extLst>
            </c:dLbl>
            <c:dLbl>
              <c:idx val="3"/>
              <c:layout>
                <c:manualLayout>
                  <c:x val="-8.3333333333333835E-3"/>
                  <c:y val="-0.1377031120903332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B5-4161-B15B-20A964BD68C6}"/>
                </c:ext>
              </c:extLst>
            </c:dLbl>
            <c:dLbl>
              <c:idx val="4"/>
              <c:layout>
                <c:manualLayout>
                  <c:x val="0.11666666666666667"/>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B5-4161-B15B-20A964BD68C6}"/>
                </c:ext>
              </c:extLst>
            </c:dLbl>
            <c:dLbl>
              <c:idx val="5"/>
              <c:layout>
                <c:manualLayout>
                  <c:x val="-5.5555555555555558E-3"/>
                  <c:y val="5.508124483613329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B5-4161-B15B-20A964BD68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'por materia'!$B$1:$G$1</c:f>
              <c:strCache>
                <c:ptCount val="6"/>
                <c:pt idx="0">
                  <c:v>Penal</c:v>
                </c:pt>
                <c:pt idx="1">
                  <c:v>Justicia para adolescentes</c:v>
                </c:pt>
                <c:pt idx="2">
                  <c:v>Civil</c:v>
                </c:pt>
                <c:pt idx="3">
                  <c:v>Mercatil</c:v>
                </c:pt>
                <c:pt idx="4">
                  <c:v>Familiar</c:v>
                </c:pt>
                <c:pt idx="5">
                  <c:v>Otra</c:v>
                </c:pt>
              </c:strCache>
            </c:strRef>
          </c:cat>
          <c:val>
            <c:numRef>
              <c:f>'por materia'!$B$3:$G$3</c:f>
              <c:numCache>
                <c:formatCode>0.0%</c:formatCode>
                <c:ptCount val="6"/>
                <c:pt idx="0">
                  <c:v>7.5101758204181412E-2</c:v>
                </c:pt>
                <c:pt idx="1">
                  <c:v>2.1404881937812487E-3</c:v>
                </c:pt>
                <c:pt idx="2">
                  <c:v>0.29784099743349229</c:v>
                </c:pt>
                <c:pt idx="3">
                  <c:v>0.2235350738732918</c:v>
                </c:pt>
                <c:pt idx="4">
                  <c:v>0.38794553751663696</c:v>
                </c:pt>
                <c:pt idx="5">
                  <c:v>1.3436144778616278E-2</c:v>
                </c:pt>
              </c:numCache>
            </c:numRef>
          </c:val>
          <c:extLst>
            <c:ext xmlns:c16="http://schemas.microsoft.com/office/drawing/2014/chart" uri="{C3380CC4-5D6E-409C-BE32-E72D297353CC}">
              <c16:uniqueId val="{0000000C-3EB5-4161-B15B-20A964BD68C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294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31B2-4617-A193-25DCE9FE3CDE}"/>
              </c:ext>
            </c:extLst>
          </c:dPt>
          <c:dPt>
            <c:idx val="1"/>
            <c:invertIfNegative val="0"/>
            <c:bubble3D val="0"/>
            <c:spPr>
              <a:solidFill>
                <a:srgbClr val="0074C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2-31B2-4617-A193-25DCE9FE3CDE}"/>
              </c:ext>
            </c:extLst>
          </c:dPt>
          <c:dPt>
            <c:idx val="2"/>
            <c:invertIfNegative val="0"/>
            <c:bubble3D val="0"/>
            <c:spPr>
              <a:solidFill>
                <a:srgbClr val="0996F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1B2-4617-A193-25DCE9FE3C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'penal y adol'!$A$1:$A$3</c:f>
              <c:strCache>
                <c:ptCount val="3"/>
                <c:pt idx="0">
                  <c:v>Ingresadas</c:v>
                </c:pt>
                <c:pt idx="1">
                  <c:v>Concluidas</c:v>
                </c:pt>
                <c:pt idx="2">
                  <c:v>Pendientes</c:v>
                </c:pt>
              </c:strCache>
            </c:strRef>
          </c:cat>
          <c:val>
            <c:numRef>
              <c:f>'penal y adol'!$B$1:$B$3</c:f>
              <c:numCache>
                <c:formatCode>#,##0</c:formatCode>
                <c:ptCount val="3"/>
                <c:pt idx="0">
                  <c:v>163543</c:v>
                </c:pt>
                <c:pt idx="1">
                  <c:v>128806</c:v>
                </c:pt>
                <c:pt idx="2">
                  <c:v>263522</c:v>
                </c:pt>
              </c:numCache>
            </c:numRef>
          </c:val>
          <c:extLst>
            <c:ext xmlns:c16="http://schemas.microsoft.com/office/drawing/2014/chart" uri="{C3380CC4-5D6E-409C-BE32-E72D297353CC}">
              <c16:uniqueId val="{00000000-31B2-4617-A193-25DCE9FE3CDE}"/>
            </c:ext>
          </c:extLst>
        </c:ser>
        <c:dLbls>
          <c:showLegendKey val="0"/>
          <c:showVal val="0"/>
          <c:showCatName val="0"/>
          <c:showSerName val="0"/>
          <c:showPercent val="0"/>
          <c:showBubbleSize val="0"/>
        </c:dLbls>
        <c:gapWidth val="90"/>
        <c:overlap val="-27"/>
        <c:axId val="679940704"/>
        <c:axId val="679936784"/>
      </c:barChart>
      <c:catAx>
        <c:axId val="6799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79936784"/>
        <c:crosses val="autoZero"/>
        <c:auto val="1"/>
        <c:lblAlgn val="ctr"/>
        <c:lblOffset val="100"/>
        <c:noMultiLvlLbl val="0"/>
      </c:catAx>
      <c:valAx>
        <c:axId val="679936784"/>
        <c:scaling>
          <c:orientation val="minMax"/>
        </c:scaling>
        <c:delete val="1"/>
        <c:axPos val="l"/>
        <c:numFmt formatCode="#,##0" sourceLinked="1"/>
        <c:majorTickMark val="none"/>
        <c:minorTickMark val="none"/>
        <c:tickLblPos val="nextTo"/>
        <c:crossAx val="679940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7303149606299"/>
          <c:y val="6.540791776027996E-2"/>
          <c:w val="0.46609514435695537"/>
          <c:h val="0.77682524059492564"/>
        </c:manualLayout>
      </c:layout>
      <c:pieChart>
        <c:varyColors val="1"/>
        <c:ser>
          <c:idx val="0"/>
          <c:order val="0"/>
          <c:spPr>
            <a:ln>
              <a:noFill/>
            </a:ln>
            <a:effectLst>
              <a:outerShdw blurRad="50800" dist="38100" dir="2700000" algn="tl" rotWithShape="0">
                <a:prstClr val="black">
                  <a:alpha val="40000"/>
                </a:prstClr>
              </a:outerShdw>
            </a:effectLst>
          </c:spPr>
          <c:dPt>
            <c:idx val="0"/>
            <c:bubble3D val="0"/>
            <c:spPr>
              <a:solidFill>
                <a:srgbClr val="002948"/>
              </a:solidFill>
              <a:ln w="19050">
                <a:noFill/>
              </a:ln>
              <a:effectLst>
                <a:outerShdw blurRad="50800" dist="38100" dir="2700000" algn="tl" rotWithShape="0">
                  <a:prstClr val="black">
                    <a:alpha val="40000"/>
                  </a:prstClr>
                </a:outerShdw>
              </a:effectLst>
              <a:sp3d/>
            </c:spPr>
            <c:extLst>
              <c:ext xmlns:c16="http://schemas.microsoft.com/office/drawing/2014/chart" uri="{C3380CC4-5D6E-409C-BE32-E72D297353CC}">
                <c16:uniqueId val="{00000001-B97C-4E07-9A5B-A69D3E79E51F}"/>
              </c:ext>
            </c:extLst>
          </c:dPt>
          <c:dPt>
            <c:idx val="1"/>
            <c:bubble3D val="0"/>
            <c:spPr>
              <a:solidFill>
                <a:srgbClr val="0074C8"/>
              </a:solidFill>
              <a:ln w="19050">
                <a:noFill/>
              </a:ln>
              <a:effectLst>
                <a:outerShdw blurRad="50800" dist="38100" dir="2700000" algn="tl" rotWithShape="0">
                  <a:prstClr val="black">
                    <a:alpha val="40000"/>
                  </a:prstClr>
                </a:outerShdw>
              </a:effectLst>
              <a:sp3d/>
            </c:spPr>
            <c:extLst>
              <c:ext xmlns:c16="http://schemas.microsoft.com/office/drawing/2014/chart" uri="{C3380CC4-5D6E-409C-BE32-E72D297353CC}">
                <c16:uniqueId val="{00000003-B97C-4E07-9A5B-A69D3E79E51F}"/>
              </c:ext>
            </c:extLst>
          </c:dPt>
          <c:dPt>
            <c:idx val="2"/>
            <c:bubble3D val="0"/>
            <c:spPr>
              <a:solidFill>
                <a:srgbClr val="AEAEAE"/>
              </a:solidFill>
              <a:ln w="19050">
                <a:noFill/>
              </a:ln>
              <a:effectLst>
                <a:outerShdw blurRad="50800" dist="38100" dir="2700000" algn="tl" rotWithShape="0">
                  <a:prstClr val="black">
                    <a:alpha val="40000"/>
                  </a:prstClr>
                </a:outerShdw>
              </a:effectLst>
              <a:sp3d/>
            </c:spPr>
            <c:extLst>
              <c:ext xmlns:c16="http://schemas.microsoft.com/office/drawing/2014/chart" uri="{C3380CC4-5D6E-409C-BE32-E72D297353CC}">
                <c16:uniqueId val="{00000005-B97C-4E07-9A5B-A69D3E79E51F}"/>
              </c:ext>
            </c:extLst>
          </c:dPt>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1-B97C-4E07-9A5B-A69D3E79E51F}"/>
                </c:ext>
              </c:extLst>
            </c:dLbl>
            <c:dLbl>
              <c:idx val="1"/>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6="http://schemas.microsoft.com/office/drawing/2014/chart" uri="{C3380CC4-5D6E-409C-BE32-E72D297353CC}">
                  <c16:uniqueId val="{00000003-B97C-4E07-9A5B-A69D3E79E5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'Delitos adul_ado ingresadas'!$AM$11:$AO$11</c:f>
              <c:strCache>
                <c:ptCount val="3"/>
                <c:pt idx="0">
                  <c:v>Consumados</c:v>
                </c:pt>
                <c:pt idx="1">
                  <c:v>En grado de tentativa</c:v>
                </c:pt>
                <c:pt idx="2">
                  <c:v>No especificado</c:v>
                </c:pt>
              </c:strCache>
            </c:strRef>
          </c:cat>
          <c:val>
            <c:numRef>
              <c:f>'Delitos adul_ado ingresadas'!$AM$16:$AO$16</c:f>
              <c:numCache>
                <c:formatCode>0.0%</c:formatCode>
                <c:ptCount val="3"/>
                <c:pt idx="0">
                  <c:v>0.65700000000000003</c:v>
                </c:pt>
                <c:pt idx="1">
                  <c:v>0.14299999999999999</c:v>
                </c:pt>
                <c:pt idx="2">
                  <c:v>0.2</c:v>
                </c:pt>
              </c:numCache>
            </c:numRef>
          </c:val>
          <c:extLst>
            <c:ext xmlns:c16="http://schemas.microsoft.com/office/drawing/2014/chart" uri="{C3380CC4-5D6E-409C-BE32-E72D297353CC}">
              <c16:uniqueId val="{00000006-B97C-4E07-9A5B-A69D3E79E51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8C3B10B-D705-4B10-AB80-51AF699B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2092</Words>
  <Characters>11509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COLLAZO GALLEGOS MARCOS DARIO</cp:lastModifiedBy>
  <cp:revision>2</cp:revision>
  <cp:lastPrinted>2019-08-13T22:33:00Z</cp:lastPrinted>
  <dcterms:created xsi:type="dcterms:W3CDTF">2019-08-13T23:24:00Z</dcterms:created>
  <dcterms:modified xsi:type="dcterms:W3CDTF">2019-08-13T23:24:00Z</dcterms:modified>
</cp:coreProperties>
</file>