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681A4A" w14:textId="77777777" w:rsidR="0017331D" w:rsidRDefault="0017331D" w:rsidP="0017331D">
      <w:pPr>
        <w:pStyle w:val="Profesin"/>
        <w:outlineLvl w:val="0"/>
        <w:rPr>
          <w:lang w:val="es-MX"/>
        </w:rPr>
      </w:pPr>
    </w:p>
    <w:p w14:paraId="59C56BA3" w14:textId="77777777" w:rsidR="0017331D" w:rsidRDefault="0017331D" w:rsidP="0017331D">
      <w:pPr>
        <w:pStyle w:val="Profesin"/>
        <w:outlineLvl w:val="0"/>
        <w:rPr>
          <w:lang w:val="es-MX"/>
        </w:rPr>
      </w:pPr>
    </w:p>
    <w:p w14:paraId="05BF357E" w14:textId="77777777" w:rsidR="0017331D" w:rsidRDefault="0017331D" w:rsidP="0017331D">
      <w:pPr>
        <w:pStyle w:val="Profesin"/>
        <w:spacing w:before="240"/>
        <w:outlineLvl w:val="0"/>
        <w:rPr>
          <w:lang w:val="es-MX"/>
        </w:rPr>
      </w:pPr>
      <w:r>
        <w:rPr>
          <w:lang w:val="es-MX"/>
        </w:rPr>
        <w:t>PRoducto interno bruto por entidad federativa 2018</w:t>
      </w:r>
    </w:p>
    <w:p w14:paraId="1373DE1F" w14:textId="77777777" w:rsidR="0017331D" w:rsidRPr="0027578F" w:rsidRDefault="0017331D" w:rsidP="0017331D">
      <w:pPr>
        <w:spacing w:before="240"/>
        <w:ind w:right="-121"/>
        <w:jc w:val="both"/>
        <w:rPr>
          <w:rFonts w:ascii="Arial" w:hAnsi="Arial"/>
          <w:sz w:val="24"/>
          <w:szCs w:val="24"/>
          <w:lang w:val="es-MX"/>
        </w:rPr>
      </w:pPr>
      <w:r w:rsidRPr="0027578F">
        <w:rPr>
          <w:rFonts w:ascii="Arial" w:hAnsi="Arial"/>
          <w:sz w:val="24"/>
          <w:szCs w:val="24"/>
          <w:lang w:val="es-MX"/>
        </w:rPr>
        <w:t>El INEGI presenta los resultados del Producto Interno Bruto por Entidad Federativa 2018, los cuales se derivan del Sistema de Cuentas Nacionales de México y se muestran con desagregaciones en valores corrientes, a precios constantes, índices de precios implícitos e índices de volumen físico. Esto permite observar la dinámica de las entidades federativas y su participación en el Producto Interno Bruto (PIB) nacional.</w:t>
      </w:r>
    </w:p>
    <w:p w14:paraId="5F1CF957" w14:textId="77777777" w:rsidR="0017331D" w:rsidRPr="0027578F" w:rsidRDefault="0017331D" w:rsidP="0017331D">
      <w:pPr>
        <w:spacing w:before="240"/>
        <w:ind w:right="-121"/>
        <w:jc w:val="both"/>
        <w:rPr>
          <w:rFonts w:ascii="Arial" w:hAnsi="Arial"/>
          <w:sz w:val="24"/>
          <w:szCs w:val="24"/>
          <w:lang w:val="es-MX"/>
        </w:rPr>
      </w:pPr>
      <w:r w:rsidRPr="0027578F">
        <w:rPr>
          <w:rFonts w:ascii="Arial" w:hAnsi="Arial"/>
          <w:sz w:val="24"/>
          <w:szCs w:val="24"/>
          <w:lang w:val="es-MX"/>
        </w:rPr>
        <w:t>En términos nominales, la Ciudad de México, el Estado de México</w:t>
      </w:r>
      <w:r w:rsidRPr="0027578F">
        <w:rPr>
          <w:rStyle w:val="Refdenotaalpie"/>
          <w:rFonts w:ascii="Arial" w:hAnsi="Arial"/>
          <w:sz w:val="24"/>
          <w:szCs w:val="24"/>
        </w:rPr>
        <w:footnoteReference w:id="1"/>
      </w:r>
      <w:r w:rsidRPr="0027578F">
        <w:rPr>
          <w:rFonts w:ascii="Arial" w:hAnsi="Arial"/>
          <w:sz w:val="24"/>
          <w:szCs w:val="24"/>
          <w:lang w:val="es-MX"/>
        </w:rPr>
        <w:t>, Nuevo León, Jalisco, Veracruz de Ignacio de la Llave, Guanajuato, Coahuila de Zaragoza, Puebla, Chihuahua, Sonora y Baja California, aportaron de manera conjunta el 66.2% del PIB nacional a precios básicos</w:t>
      </w:r>
      <w:r w:rsidRPr="0027578F">
        <w:rPr>
          <w:rFonts w:ascii="Arial" w:hAnsi="Arial" w:cs="Arial"/>
          <w:smallCaps/>
          <w:sz w:val="24"/>
          <w:szCs w:val="24"/>
          <w:vertAlign w:val="superscript"/>
        </w:rPr>
        <w:footnoteReference w:id="2"/>
      </w:r>
      <w:r w:rsidRPr="0027578F">
        <w:rPr>
          <w:rFonts w:ascii="Arial" w:hAnsi="Arial" w:cs="Arial"/>
          <w:sz w:val="24"/>
          <w:szCs w:val="24"/>
          <w:lang w:val="es-MX"/>
        </w:rPr>
        <w:t xml:space="preserve"> </w:t>
      </w:r>
      <w:r w:rsidRPr="0027578F">
        <w:rPr>
          <w:rFonts w:ascii="Arial" w:hAnsi="Arial"/>
          <w:sz w:val="24"/>
          <w:szCs w:val="24"/>
          <w:lang w:val="es-MX"/>
        </w:rPr>
        <w:t>en 2018.</w:t>
      </w:r>
    </w:p>
    <w:p w14:paraId="759673A4" w14:textId="77777777" w:rsidR="0017331D" w:rsidRPr="0027578F" w:rsidRDefault="0017331D" w:rsidP="0017331D">
      <w:pPr>
        <w:spacing w:before="240"/>
        <w:ind w:right="-121"/>
        <w:jc w:val="both"/>
        <w:rPr>
          <w:rFonts w:ascii="Arial" w:hAnsi="Arial"/>
          <w:sz w:val="24"/>
          <w:szCs w:val="24"/>
          <w:lang w:val="es-MX"/>
        </w:rPr>
      </w:pPr>
      <w:r w:rsidRPr="0027578F">
        <w:rPr>
          <w:rFonts w:ascii="Arial" w:hAnsi="Arial"/>
          <w:sz w:val="24"/>
          <w:szCs w:val="24"/>
          <w:lang w:val="es-MX"/>
        </w:rPr>
        <w:t>Durante el año en cuestión, las entidades que más contribuyeron al PIB total de las actividades terciarias (comercio y servicios) fueron: la Ciudad de México, el Estado de México, Nuevo León, Jalisco, Veracruz de Ignacio de la Llave, Guanajuato, Puebla, Baja California, Michoacán de Ocampo, Chihuahua y Tamaulipas, participando con el 69.4% del producto total de estas actividades.</w:t>
      </w:r>
    </w:p>
    <w:p w14:paraId="27DF5024" w14:textId="77777777" w:rsidR="0017331D" w:rsidRPr="0027578F" w:rsidRDefault="0017331D" w:rsidP="0017331D">
      <w:pPr>
        <w:spacing w:before="240"/>
        <w:ind w:right="-121"/>
        <w:jc w:val="both"/>
        <w:rPr>
          <w:rFonts w:ascii="Arial" w:hAnsi="Arial"/>
          <w:sz w:val="24"/>
          <w:szCs w:val="24"/>
          <w:lang w:val="es-MX"/>
        </w:rPr>
      </w:pPr>
      <w:r w:rsidRPr="0027578F">
        <w:rPr>
          <w:rFonts w:ascii="Arial" w:hAnsi="Arial"/>
          <w:sz w:val="24"/>
          <w:szCs w:val="24"/>
          <w:lang w:val="es-MX"/>
        </w:rPr>
        <w:t>En las actividades secundarias (sector industrial), las principales aportaciones fueron observadas en Nuevo León, el Estado de México, Jalisco, Coahuila de Zaragoza, Campeche, Guanajuato, la Ciudad de México, Sonora, Chihuahua, Baja California y Veracruz de Ignacio de la Llave con 64.2 por ciento.</w:t>
      </w:r>
    </w:p>
    <w:p w14:paraId="3D124EC5" w14:textId="77777777" w:rsidR="0017331D" w:rsidRPr="0027578F" w:rsidRDefault="0017331D" w:rsidP="0017331D">
      <w:pPr>
        <w:spacing w:before="240"/>
        <w:ind w:right="-121"/>
        <w:jc w:val="both"/>
        <w:rPr>
          <w:rFonts w:ascii="Arial" w:hAnsi="Arial"/>
          <w:sz w:val="24"/>
          <w:szCs w:val="24"/>
          <w:lang w:val="es-MX"/>
        </w:rPr>
      </w:pPr>
      <w:r w:rsidRPr="0027578F">
        <w:rPr>
          <w:rFonts w:ascii="Arial" w:hAnsi="Arial"/>
          <w:sz w:val="24"/>
          <w:szCs w:val="24"/>
          <w:lang w:val="es-MX"/>
        </w:rPr>
        <w:t>Por su parte, Jalisco, Michoacán de Ocampo, Veracruz de Ignacio de la Llave, Sinaloa, Chihuahua, Sonora, Guanajuato, Puebla, el Estado de México, Durango y Chiapas, destacaron al agregar el 67.7% del PIB en las actividades primarias (agricultura, cría y explotación de animales, aprovechamiento forestal, pesca y caza).</w:t>
      </w:r>
    </w:p>
    <w:p w14:paraId="02649F4E" w14:textId="77777777" w:rsidR="0017331D" w:rsidRPr="00020495" w:rsidRDefault="0017331D" w:rsidP="0017331D">
      <w:pPr>
        <w:pStyle w:val="consang"/>
        <w:spacing w:after="0" w:line="240" w:lineRule="auto"/>
        <w:ind w:left="-709" w:right="-830" w:firstLine="0"/>
        <w:jc w:val="center"/>
        <w:rPr>
          <w:rFonts w:ascii="Arial" w:hAnsi="Arial" w:cs="Arial"/>
          <w:b/>
          <w:smallCaps/>
          <w:szCs w:val="24"/>
        </w:rPr>
      </w:pPr>
    </w:p>
    <w:p w14:paraId="69402E9A" w14:textId="77777777" w:rsidR="0017331D" w:rsidRPr="00020495" w:rsidRDefault="0017331D" w:rsidP="0017331D">
      <w:pPr>
        <w:pStyle w:val="consang"/>
        <w:spacing w:after="0" w:line="240" w:lineRule="auto"/>
        <w:ind w:left="-709" w:right="-830" w:firstLine="0"/>
        <w:jc w:val="center"/>
        <w:rPr>
          <w:rFonts w:ascii="Arial" w:hAnsi="Arial" w:cs="Arial"/>
          <w:b/>
          <w:smallCaps/>
          <w:szCs w:val="24"/>
        </w:rPr>
      </w:pPr>
    </w:p>
    <w:p w14:paraId="5E48BDC9" w14:textId="77777777" w:rsidR="0017331D" w:rsidRPr="00020495" w:rsidRDefault="0017331D" w:rsidP="0017331D">
      <w:pPr>
        <w:pStyle w:val="consang"/>
        <w:spacing w:after="0" w:line="240" w:lineRule="auto"/>
        <w:ind w:left="-709" w:right="-830" w:firstLine="0"/>
        <w:jc w:val="center"/>
        <w:rPr>
          <w:rFonts w:ascii="Arial" w:hAnsi="Arial" w:cs="Arial"/>
          <w:b/>
          <w:smallCaps/>
          <w:szCs w:val="24"/>
        </w:rPr>
      </w:pPr>
    </w:p>
    <w:p w14:paraId="27A5B1D2" w14:textId="77777777" w:rsidR="0017331D" w:rsidRPr="003439D4" w:rsidRDefault="0017331D" w:rsidP="0017331D">
      <w:pPr>
        <w:pStyle w:val="consang"/>
        <w:spacing w:after="0" w:line="240" w:lineRule="auto"/>
        <w:ind w:left="-709" w:right="-830" w:firstLine="0"/>
        <w:jc w:val="center"/>
        <w:rPr>
          <w:rFonts w:ascii="Arial" w:hAnsi="Arial" w:cs="Arial"/>
          <w:b/>
          <w:smallCaps/>
          <w:szCs w:val="24"/>
        </w:rPr>
      </w:pPr>
    </w:p>
    <w:p w14:paraId="1AA38B0D" w14:textId="77777777" w:rsidR="0017331D" w:rsidRDefault="0017331D" w:rsidP="0017331D">
      <w:pPr>
        <w:pStyle w:val="consang"/>
        <w:spacing w:after="0" w:line="240" w:lineRule="auto"/>
        <w:ind w:right="57" w:firstLine="0"/>
        <w:jc w:val="center"/>
        <w:rPr>
          <w:rFonts w:ascii="Arial" w:hAnsi="Arial" w:cs="Arial"/>
          <w:b/>
          <w:smallCaps/>
        </w:rPr>
      </w:pPr>
    </w:p>
    <w:p w14:paraId="0F1A2953" w14:textId="77777777" w:rsidR="0017331D" w:rsidRDefault="0017331D" w:rsidP="0017331D">
      <w:pPr>
        <w:pStyle w:val="Estilo3"/>
        <w:spacing w:before="240"/>
        <w:rPr>
          <w:rFonts w:cs="Arial"/>
        </w:rPr>
      </w:pPr>
    </w:p>
    <w:p w14:paraId="79B00015" w14:textId="77777777" w:rsidR="0017331D" w:rsidRDefault="0017331D" w:rsidP="0017331D">
      <w:pPr>
        <w:pStyle w:val="Estilo3"/>
        <w:spacing w:before="240"/>
        <w:rPr>
          <w:rFonts w:cs="Arial"/>
        </w:rPr>
      </w:pPr>
    </w:p>
    <w:p w14:paraId="700028E7" w14:textId="77777777" w:rsidR="0017331D" w:rsidRDefault="0017331D" w:rsidP="0017331D">
      <w:pPr>
        <w:pStyle w:val="n01"/>
        <w:keepLines w:val="0"/>
        <w:spacing w:before="0" w:line="20" w:lineRule="atLeast"/>
        <w:ind w:left="851" w:right="900" w:firstLine="0"/>
        <w:jc w:val="center"/>
        <w:outlineLvl w:val="0"/>
        <w:rPr>
          <w:rFonts w:ascii="Arial" w:hAnsi="Arial" w:cs="Arial"/>
          <w:b/>
          <w:smallCaps/>
          <w:color w:val="auto"/>
          <w:spacing w:val="-6"/>
          <w:szCs w:val="24"/>
        </w:rPr>
      </w:pPr>
    </w:p>
    <w:p w14:paraId="512E08BF" w14:textId="77777777" w:rsidR="0017331D" w:rsidRDefault="0017331D" w:rsidP="0017331D">
      <w:pPr>
        <w:pStyle w:val="n01"/>
        <w:keepLines w:val="0"/>
        <w:spacing w:before="0" w:line="20" w:lineRule="atLeast"/>
        <w:ind w:left="851" w:right="900" w:firstLine="0"/>
        <w:jc w:val="center"/>
        <w:outlineLvl w:val="0"/>
        <w:rPr>
          <w:rFonts w:ascii="Arial" w:hAnsi="Arial" w:cs="Arial"/>
          <w:b/>
          <w:smallCaps/>
          <w:color w:val="auto"/>
          <w:spacing w:val="-6"/>
          <w:szCs w:val="24"/>
        </w:rPr>
      </w:pPr>
    </w:p>
    <w:p w14:paraId="6E1277B4" w14:textId="77777777" w:rsidR="0017331D" w:rsidRDefault="0017331D" w:rsidP="0017331D">
      <w:pPr>
        <w:pStyle w:val="n01"/>
        <w:keepLines w:val="0"/>
        <w:spacing w:before="0" w:line="20" w:lineRule="atLeast"/>
        <w:ind w:left="851" w:right="900" w:firstLine="0"/>
        <w:jc w:val="center"/>
        <w:outlineLvl w:val="0"/>
        <w:rPr>
          <w:rFonts w:ascii="Arial" w:hAnsi="Arial" w:cs="Arial"/>
          <w:b/>
          <w:smallCaps/>
          <w:color w:val="auto"/>
          <w:spacing w:val="-6"/>
          <w:szCs w:val="24"/>
        </w:rPr>
      </w:pPr>
    </w:p>
    <w:p w14:paraId="558718F2" w14:textId="77777777" w:rsidR="0017331D" w:rsidRPr="00DC44B6" w:rsidRDefault="0017331D" w:rsidP="0017331D">
      <w:pPr>
        <w:pStyle w:val="n01"/>
        <w:keepLines w:val="0"/>
        <w:spacing w:before="0" w:line="20" w:lineRule="atLeast"/>
        <w:ind w:left="851" w:right="900" w:firstLine="0"/>
        <w:jc w:val="center"/>
        <w:outlineLvl w:val="0"/>
        <w:rPr>
          <w:rFonts w:ascii="Arial" w:hAnsi="Arial" w:cs="Arial"/>
          <w:b/>
          <w:color w:val="auto"/>
          <w:spacing w:val="-6"/>
          <w:szCs w:val="24"/>
        </w:rPr>
      </w:pPr>
      <w:r>
        <w:rPr>
          <w:rFonts w:ascii="Arial" w:hAnsi="Arial" w:cs="Arial"/>
          <w:b/>
          <w:smallCaps/>
          <w:color w:val="auto"/>
          <w:spacing w:val="-6"/>
          <w:szCs w:val="24"/>
        </w:rPr>
        <w:t>Comportamiento del Producto Interno Bruto por Entidad Federativa 2018</w:t>
      </w:r>
    </w:p>
    <w:p w14:paraId="3AD4CCC3" w14:textId="77777777" w:rsidR="0017331D" w:rsidRDefault="0017331D" w:rsidP="0017331D">
      <w:pPr>
        <w:pStyle w:val="Textoindependiente"/>
        <w:tabs>
          <w:tab w:val="clear" w:pos="3348"/>
        </w:tabs>
        <w:spacing w:before="0"/>
        <w:ind w:right="-2"/>
        <w:jc w:val="center"/>
        <w:rPr>
          <w:rFonts w:cs="Arial"/>
          <w:spacing w:val="-6"/>
          <w:sz w:val="20"/>
          <w:szCs w:val="24"/>
        </w:rPr>
      </w:pPr>
      <w:r w:rsidRPr="00DC44B6">
        <w:rPr>
          <w:rFonts w:cs="Arial"/>
          <w:spacing w:val="-6"/>
          <w:sz w:val="20"/>
          <w:szCs w:val="24"/>
        </w:rPr>
        <w:t>(</w:t>
      </w:r>
      <w:r>
        <w:rPr>
          <w:rFonts w:cs="Arial"/>
          <w:spacing w:val="-6"/>
          <w:sz w:val="20"/>
          <w:szCs w:val="24"/>
        </w:rPr>
        <w:t>Variación porcentual anual)</w:t>
      </w:r>
    </w:p>
    <w:tbl>
      <w:tblPr>
        <w:tblW w:w="8806" w:type="dxa"/>
        <w:tblCellMar>
          <w:left w:w="70" w:type="dxa"/>
          <w:right w:w="70" w:type="dxa"/>
        </w:tblCellMar>
        <w:tblLook w:val="04A0" w:firstRow="1" w:lastRow="0" w:firstColumn="1" w:lastColumn="0" w:noHBand="0" w:noVBand="1"/>
      </w:tblPr>
      <w:tblGrid>
        <w:gridCol w:w="3108"/>
        <w:gridCol w:w="611"/>
        <w:gridCol w:w="814"/>
        <w:gridCol w:w="666"/>
        <w:gridCol w:w="814"/>
        <w:gridCol w:w="634"/>
        <w:gridCol w:w="814"/>
        <w:gridCol w:w="642"/>
        <w:gridCol w:w="703"/>
      </w:tblGrid>
      <w:tr w:rsidR="0017331D" w:rsidRPr="00685B80" w14:paraId="5F5283FC" w14:textId="77777777" w:rsidTr="00BA5BA5">
        <w:trPr>
          <w:trHeight w:val="255"/>
        </w:trPr>
        <w:tc>
          <w:tcPr>
            <w:tcW w:w="3108" w:type="dxa"/>
            <w:vMerge w:val="restart"/>
            <w:tcBorders>
              <w:top w:val="single" w:sz="4" w:space="0" w:color="auto"/>
              <w:left w:val="single" w:sz="4" w:space="0" w:color="auto"/>
              <w:bottom w:val="single" w:sz="4" w:space="0" w:color="auto"/>
              <w:right w:val="single" w:sz="4" w:space="0" w:color="auto"/>
            </w:tcBorders>
            <w:shd w:val="clear" w:color="auto" w:fill="833C0B" w:themeFill="accent2" w:themeFillShade="80"/>
            <w:noWrap/>
            <w:vAlign w:val="center"/>
            <w:hideMark/>
          </w:tcPr>
          <w:p w14:paraId="10C02E4F" w14:textId="77777777" w:rsidR="0017331D" w:rsidRPr="00E235A4" w:rsidRDefault="0017331D" w:rsidP="00BA5BA5">
            <w:pPr>
              <w:jc w:val="center"/>
              <w:rPr>
                <w:rFonts w:ascii="Arial" w:hAnsi="Arial" w:cs="Arial"/>
                <w:b/>
                <w:bCs/>
                <w:color w:val="FFFFFF" w:themeColor="background1"/>
                <w:lang w:val="es-MX" w:eastAsia="es-MX"/>
              </w:rPr>
            </w:pPr>
            <w:r w:rsidRPr="00E235A4">
              <w:rPr>
                <w:rFonts w:ascii="Arial" w:hAnsi="Arial" w:cs="Arial"/>
                <w:b/>
                <w:bCs/>
                <w:color w:val="FFFFFF" w:themeColor="background1"/>
                <w:lang w:val="es-MX" w:eastAsia="es-MX"/>
              </w:rPr>
              <w:t>Estado</w:t>
            </w:r>
          </w:p>
        </w:tc>
        <w:tc>
          <w:tcPr>
            <w:tcW w:w="1425" w:type="dxa"/>
            <w:gridSpan w:val="2"/>
            <w:vMerge w:val="restart"/>
            <w:tcBorders>
              <w:top w:val="single" w:sz="4" w:space="0" w:color="auto"/>
              <w:left w:val="single" w:sz="4" w:space="0" w:color="auto"/>
              <w:bottom w:val="single" w:sz="4" w:space="0" w:color="auto"/>
              <w:right w:val="single" w:sz="4" w:space="0" w:color="auto"/>
            </w:tcBorders>
            <w:shd w:val="clear" w:color="auto" w:fill="833C0B" w:themeFill="accent2" w:themeFillShade="80"/>
            <w:noWrap/>
            <w:vAlign w:val="center"/>
            <w:hideMark/>
          </w:tcPr>
          <w:p w14:paraId="37BD3B88" w14:textId="77777777" w:rsidR="0017331D" w:rsidRPr="00E235A4" w:rsidRDefault="0017331D" w:rsidP="00BA5BA5">
            <w:pPr>
              <w:jc w:val="center"/>
              <w:rPr>
                <w:rFonts w:ascii="Arial" w:hAnsi="Arial" w:cs="Arial"/>
                <w:b/>
                <w:bCs/>
                <w:color w:val="FFFFFF" w:themeColor="background1"/>
                <w:lang w:val="es-MX" w:eastAsia="es-MX"/>
              </w:rPr>
            </w:pPr>
            <w:r w:rsidRPr="00E235A4">
              <w:rPr>
                <w:rFonts w:ascii="Arial" w:hAnsi="Arial" w:cs="Arial"/>
                <w:b/>
                <w:bCs/>
                <w:color w:val="FFFFFF" w:themeColor="background1"/>
                <w:lang w:val="es-MX" w:eastAsia="es-MX"/>
              </w:rPr>
              <w:t>Total</w:t>
            </w:r>
          </w:p>
        </w:tc>
        <w:tc>
          <w:tcPr>
            <w:tcW w:w="4273" w:type="dxa"/>
            <w:gridSpan w:val="6"/>
            <w:tcBorders>
              <w:top w:val="single" w:sz="4" w:space="0" w:color="auto"/>
              <w:left w:val="nil"/>
              <w:bottom w:val="single" w:sz="4" w:space="0" w:color="auto"/>
              <w:right w:val="single" w:sz="4" w:space="0" w:color="auto"/>
            </w:tcBorders>
            <w:shd w:val="clear" w:color="auto" w:fill="833C0B" w:themeFill="accent2" w:themeFillShade="80"/>
            <w:noWrap/>
            <w:vAlign w:val="bottom"/>
            <w:hideMark/>
          </w:tcPr>
          <w:p w14:paraId="71A19809" w14:textId="77777777" w:rsidR="0017331D" w:rsidRPr="00E235A4" w:rsidRDefault="0017331D" w:rsidP="00BA5BA5">
            <w:pPr>
              <w:jc w:val="center"/>
              <w:rPr>
                <w:rFonts w:ascii="Arial" w:hAnsi="Arial" w:cs="Arial"/>
                <w:b/>
                <w:bCs/>
                <w:color w:val="FFFFFF" w:themeColor="background1"/>
                <w:lang w:val="es-MX" w:eastAsia="es-MX"/>
              </w:rPr>
            </w:pPr>
            <w:r w:rsidRPr="00E235A4">
              <w:rPr>
                <w:rFonts w:ascii="Arial" w:hAnsi="Arial" w:cs="Arial"/>
                <w:b/>
                <w:bCs/>
                <w:color w:val="FFFFFF" w:themeColor="background1"/>
                <w:lang w:val="es-MX" w:eastAsia="es-MX"/>
              </w:rPr>
              <w:t>Actividades</w:t>
            </w:r>
          </w:p>
        </w:tc>
      </w:tr>
      <w:tr w:rsidR="0017331D" w:rsidRPr="00685B80" w14:paraId="43A0BE76" w14:textId="77777777" w:rsidTr="00BA5BA5">
        <w:trPr>
          <w:trHeight w:val="511"/>
        </w:trPr>
        <w:tc>
          <w:tcPr>
            <w:tcW w:w="3108" w:type="dxa"/>
            <w:vMerge/>
            <w:tcBorders>
              <w:top w:val="single" w:sz="4" w:space="0" w:color="auto"/>
              <w:left w:val="single" w:sz="4" w:space="0" w:color="auto"/>
              <w:bottom w:val="single" w:sz="4" w:space="0" w:color="auto"/>
              <w:right w:val="single" w:sz="4" w:space="0" w:color="auto"/>
            </w:tcBorders>
            <w:shd w:val="clear" w:color="auto" w:fill="833C0B" w:themeFill="accent2" w:themeFillShade="80"/>
            <w:vAlign w:val="center"/>
            <w:hideMark/>
          </w:tcPr>
          <w:p w14:paraId="7B9E37FB" w14:textId="77777777" w:rsidR="0017331D" w:rsidRPr="00E235A4" w:rsidRDefault="0017331D" w:rsidP="00BA5BA5">
            <w:pPr>
              <w:rPr>
                <w:rFonts w:ascii="Arial" w:hAnsi="Arial" w:cs="Arial"/>
                <w:color w:val="FFFFFF" w:themeColor="background1"/>
                <w:lang w:val="es-MX" w:eastAsia="es-MX"/>
              </w:rPr>
            </w:pPr>
          </w:p>
        </w:tc>
        <w:tc>
          <w:tcPr>
            <w:tcW w:w="1425" w:type="dxa"/>
            <w:gridSpan w:val="2"/>
            <w:vMerge/>
            <w:tcBorders>
              <w:top w:val="single" w:sz="4" w:space="0" w:color="auto"/>
              <w:left w:val="single" w:sz="4" w:space="0" w:color="auto"/>
              <w:bottom w:val="single" w:sz="4" w:space="0" w:color="auto"/>
              <w:right w:val="single" w:sz="4" w:space="0" w:color="auto"/>
            </w:tcBorders>
            <w:shd w:val="clear" w:color="auto" w:fill="833C0B" w:themeFill="accent2" w:themeFillShade="80"/>
            <w:vAlign w:val="center"/>
            <w:hideMark/>
          </w:tcPr>
          <w:p w14:paraId="7FD6856D" w14:textId="77777777" w:rsidR="0017331D" w:rsidRPr="00E235A4" w:rsidRDefault="0017331D" w:rsidP="00BA5BA5">
            <w:pPr>
              <w:jc w:val="center"/>
              <w:rPr>
                <w:rFonts w:ascii="Arial" w:hAnsi="Arial" w:cs="Arial"/>
                <w:b/>
                <w:bCs/>
                <w:color w:val="FFFFFF" w:themeColor="background1"/>
                <w:lang w:val="es-MX" w:eastAsia="es-MX"/>
              </w:rPr>
            </w:pPr>
          </w:p>
        </w:tc>
        <w:tc>
          <w:tcPr>
            <w:tcW w:w="1480" w:type="dxa"/>
            <w:gridSpan w:val="2"/>
            <w:tcBorders>
              <w:top w:val="single" w:sz="4" w:space="0" w:color="auto"/>
              <w:left w:val="nil"/>
              <w:bottom w:val="single" w:sz="4" w:space="0" w:color="auto"/>
              <w:right w:val="single" w:sz="4" w:space="0" w:color="auto"/>
            </w:tcBorders>
            <w:shd w:val="clear" w:color="auto" w:fill="833C0B" w:themeFill="accent2" w:themeFillShade="80"/>
            <w:noWrap/>
            <w:vAlign w:val="center"/>
            <w:hideMark/>
          </w:tcPr>
          <w:p w14:paraId="63C9A081" w14:textId="77777777" w:rsidR="0017331D" w:rsidRPr="00E235A4" w:rsidRDefault="0017331D" w:rsidP="00BA5BA5">
            <w:pPr>
              <w:jc w:val="center"/>
              <w:rPr>
                <w:rFonts w:ascii="Arial" w:hAnsi="Arial" w:cs="Arial"/>
                <w:b/>
                <w:bCs/>
                <w:color w:val="FFFFFF" w:themeColor="background1"/>
                <w:lang w:val="es-MX" w:eastAsia="es-MX"/>
              </w:rPr>
            </w:pPr>
            <w:r w:rsidRPr="00E235A4">
              <w:rPr>
                <w:rFonts w:ascii="Arial" w:hAnsi="Arial" w:cs="Arial"/>
                <w:b/>
                <w:bCs/>
                <w:color w:val="FFFFFF" w:themeColor="background1"/>
                <w:lang w:val="es-MX" w:eastAsia="es-MX"/>
              </w:rPr>
              <w:t>Primarias</w:t>
            </w:r>
          </w:p>
        </w:tc>
        <w:tc>
          <w:tcPr>
            <w:tcW w:w="1448" w:type="dxa"/>
            <w:gridSpan w:val="2"/>
            <w:tcBorders>
              <w:top w:val="single" w:sz="4" w:space="0" w:color="auto"/>
              <w:left w:val="nil"/>
              <w:bottom w:val="single" w:sz="4" w:space="0" w:color="auto"/>
              <w:right w:val="single" w:sz="4" w:space="0" w:color="auto"/>
            </w:tcBorders>
            <w:shd w:val="clear" w:color="auto" w:fill="833C0B" w:themeFill="accent2" w:themeFillShade="80"/>
            <w:noWrap/>
            <w:vAlign w:val="center"/>
            <w:hideMark/>
          </w:tcPr>
          <w:p w14:paraId="491F6315" w14:textId="77777777" w:rsidR="0017331D" w:rsidRPr="00E235A4" w:rsidRDefault="0017331D" w:rsidP="00BA5BA5">
            <w:pPr>
              <w:jc w:val="center"/>
              <w:rPr>
                <w:rFonts w:ascii="Arial" w:hAnsi="Arial" w:cs="Arial"/>
                <w:b/>
                <w:bCs/>
                <w:color w:val="FFFFFF" w:themeColor="background1"/>
                <w:lang w:val="es-MX" w:eastAsia="es-MX"/>
              </w:rPr>
            </w:pPr>
            <w:r w:rsidRPr="00E235A4">
              <w:rPr>
                <w:rFonts w:ascii="Arial" w:hAnsi="Arial" w:cs="Arial"/>
                <w:b/>
                <w:bCs/>
                <w:color w:val="FFFFFF" w:themeColor="background1"/>
                <w:lang w:val="es-MX" w:eastAsia="es-MX"/>
              </w:rPr>
              <w:t>Secundarias</w:t>
            </w:r>
          </w:p>
        </w:tc>
        <w:tc>
          <w:tcPr>
            <w:tcW w:w="1345" w:type="dxa"/>
            <w:gridSpan w:val="2"/>
            <w:tcBorders>
              <w:top w:val="single" w:sz="4" w:space="0" w:color="auto"/>
              <w:left w:val="nil"/>
              <w:bottom w:val="single" w:sz="4" w:space="0" w:color="auto"/>
              <w:right w:val="single" w:sz="4" w:space="0" w:color="auto"/>
            </w:tcBorders>
            <w:shd w:val="clear" w:color="auto" w:fill="833C0B" w:themeFill="accent2" w:themeFillShade="80"/>
            <w:noWrap/>
            <w:vAlign w:val="center"/>
            <w:hideMark/>
          </w:tcPr>
          <w:p w14:paraId="5428FDE3" w14:textId="77777777" w:rsidR="0017331D" w:rsidRPr="00E235A4" w:rsidRDefault="0017331D" w:rsidP="00BA5BA5">
            <w:pPr>
              <w:jc w:val="center"/>
              <w:rPr>
                <w:rFonts w:ascii="Arial" w:hAnsi="Arial" w:cs="Arial"/>
                <w:b/>
                <w:bCs/>
                <w:color w:val="FFFFFF" w:themeColor="background1"/>
                <w:lang w:val="es-MX" w:eastAsia="es-MX"/>
              </w:rPr>
            </w:pPr>
            <w:r w:rsidRPr="00E235A4">
              <w:rPr>
                <w:rFonts w:ascii="Arial" w:hAnsi="Arial" w:cs="Arial"/>
                <w:b/>
                <w:bCs/>
                <w:color w:val="FFFFFF" w:themeColor="background1"/>
                <w:lang w:val="es-MX" w:eastAsia="es-MX"/>
              </w:rPr>
              <w:t>Terciarias</w:t>
            </w:r>
          </w:p>
        </w:tc>
      </w:tr>
      <w:tr w:rsidR="0017331D" w:rsidRPr="00685B80" w14:paraId="40B55D4F" w14:textId="77777777" w:rsidTr="00BA5BA5">
        <w:trPr>
          <w:trHeight w:val="255"/>
        </w:trPr>
        <w:tc>
          <w:tcPr>
            <w:tcW w:w="3108" w:type="dxa"/>
            <w:tcBorders>
              <w:top w:val="nil"/>
              <w:left w:val="single" w:sz="4" w:space="0" w:color="auto"/>
              <w:bottom w:val="nil"/>
              <w:right w:val="nil"/>
            </w:tcBorders>
            <w:shd w:val="clear" w:color="auto" w:fill="auto"/>
            <w:noWrap/>
            <w:vAlign w:val="bottom"/>
            <w:hideMark/>
          </w:tcPr>
          <w:p w14:paraId="08B79C46" w14:textId="77777777" w:rsidR="0017331D" w:rsidRPr="00685B80" w:rsidRDefault="0017331D" w:rsidP="00BA5BA5">
            <w:pPr>
              <w:ind w:firstLineChars="100" w:firstLine="201"/>
              <w:rPr>
                <w:rFonts w:ascii="Arial" w:hAnsi="Arial" w:cs="Arial"/>
                <w:b/>
                <w:bCs/>
                <w:color w:val="000000"/>
                <w:lang w:val="es-MX" w:eastAsia="es-MX"/>
              </w:rPr>
            </w:pPr>
            <w:r>
              <w:rPr>
                <w:rFonts w:ascii="Arial" w:hAnsi="Arial" w:cs="Arial"/>
                <w:b/>
                <w:bCs/>
                <w:color w:val="000000"/>
                <w:lang w:val="es-MX" w:eastAsia="es-MX"/>
              </w:rPr>
              <w:t>Estados Unidos Mexicanos</w:t>
            </w:r>
          </w:p>
        </w:tc>
        <w:tc>
          <w:tcPr>
            <w:tcW w:w="611" w:type="dxa"/>
            <w:tcBorders>
              <w:top w:val="nil"/>
              <w:left w:val="single" w:sz="4" w:space="0" w:color="auto"/>
              <w:bottom w:val="nil"/>
              <w:right w:val="nil"/>
            </w:tcBorders>
            <w:shd w:val="clear" w:color="auto" w:fill="auto"/>
            <w:noWrap/>
            <w:vAlign w:val="bottom"/>
            <w:hideMark/>
          </w:tcPr>
          <w:p w14:paraId="06F2D006" w14:textId="77777777" w:rsidR="0017331D" w:rsidRPr="00685B80" w:rsidRDefault="0017331D" w:rsidP="00BA5BA5">
            <w:pPr>
              <w:jc w:val="right"/>
              <w:rPr>
                <w:rFonts w:ascii="Arial" w:hAnsi="Arial" w:cs="Arial"/>
                <w:b/>
                <w:bCs/>
                <w:color w:val="000000"/>
                <w:lang w:val="es-MX" w:eastAsia="es-MX"/>
              </w:rPr>
            </w:pPr>
            <w:r w:rsidRPr="00685B80">
              <w:rPr>
                <w:rFonts w:ascii="Arial" w:hAnsi="Arial" w:cs="Arial"/>
                <w:b/>
                <w:bCs/>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2C231833" w14:textId="77777777" w:rsidR="0017331D" w:rsidRDefault="0017331D" w:rsidP="00BA5BA5">
            <w:pPr>
              <w:jc w:val="center"/>
              <w:rPr>
                <w:rFonts w:ascii="Arial" w:hAnsi="Arial" w:cs="Arial"/>
                <w:b/>
                <w:bCs/>
                <w:color w:val="000000"/>
                <w:lang w:val="es-MX" w:eastAsia="es-MX"/>
              </w:rPr>
            </w:pPr>
            <w:r>
              <w:rPr>
                <w:rFonts w:ascii="Arial" w:hAnsi="Arial" w:cs="Arial"/>
                <w:b/>
                <w:bCs/>
                <w:color w:val="000000"/>
              </w:rPr>
              <w:t>2.1</w:t>
            </w:r>
          </w:p>
        </w:tc>
        <w:tc>
          <w:tcPr>
            <w:tcW w:w="666" w:type="dxa"/>
            <w:tcBorders>
              <w:top w:val="nil"/>
              <w:left w:val="nil"/>
              <w:bottom w:val="nil"/>
              <w:right w:val="nil"/>
            </w:tcBorders>
            <w:shd w:val="clear" w:color="auto" w:fill="auto"/>
            <w:noWrap/>
            <w:vAlign w:val="bottom"/>
            <w:hideMark/>
          </w:tcPr>
          <w:p w14:paraId="596421D6" w14:textId="77777777" w:rsidR="0017331D" w:rsidRPr="0048399B" w:rsidRDefault="0017331D" w:rsidP="00BA5BA5">
            <w:pPr>
              <w:jc w:val="right"/>
              <w:rPr>
                <w:rFonts w:ascii="Arial" w:hAnsi="Arial" w:cs="Arial"/>
                <w:color w:val="000000"/>
                <w:lang w:val="es-MX" w:eastAsia="es-MX"/>
              </w:rPr>
            </w:pPr>
            <w:r w:rsidRPr="0048399B">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7172E941" w14:textId="77777777" w:rsidR="0017331D" w:rsidRDefault="0017331D" w:rsidP="00BA5BA5">
            <w:pPr>
              <w:jc w:val="center"/>
              <w:rPr>
                <w:rFonts w:ascii="Arial" w:hAnsi="Arial" w:cs="Arial"/>
                <w:b/>
                <w:bCs/>
                <w:color w:val="000000"/>
                <w:lang w:val="es-MX" w:eastAsia="es-MX"/>
              </w:rPr>
            </w:pPr>
            <w:r>
              <w:rPr>
                <w:rFonts w:ascii="Arial" w:hAnsi="Arial" w:cs="Arial"/>
                <w:b/>
                <w:bCs/>
                <w:color w:val="000000"/>
              </w:rPr>
              <w:t>2.4</w:t>
            </w:r>
          </w:p>
        </w:tc>
        <w:tc>
          <w:tcPr>
            <w:tcW w:w="634" w:type="dxa"/>
            <w:tcBorders>
              <w:top w:val="nil"/>
              <w:left w:val="nil"/>
              <w:bottom w:val="nil"/>
              <w:right w:val="nil"/>
            </w:tcBorders>
            <w:shd w:val="clear" w:color="auto" w:fill="auto"/>
            <w:noWrap/>
            <w:vAlign w:val="bottom"/>
            <w:hideMark/>
          </w:tcPr>
          <w:p w14:paraId="606B4CA3" w14:textId="77777777" w:rsidR="0017331D" w:rsidRPr="0048399B" w:rsidRDefault="0017331D" w:rsidP="00BA5BA5">
            <w:pPr>
              <w:jc w:val="right"/>
              <w:rPr>
                <w:rFonts w:ascii="Arial" w:hAnsi="Arial" w:cs="Arial"/>
                <w:color w:val="000000"/>
                <w:lang w:val="es-MX" w:eastAsia="es-MX"/>
              </w:rPr>
            </w:pPr>
            <w:r w:rsidRPr="0048399B">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0F67E3F5" w14:textId="77777777" w:rsidR="0017331D" w:rsidRDefault="0017331D" w:rsidP="00BA5BA5">
            <w:pPr>
              <w:jc w:val="center"/>
              <w:rPr>
                <w:rFonts w:ascii="Arial" w:hAnsi="Arial" w:cs="Arial"/>
                <w:b/>
                <w:bCs/>
                <w:color w:val="000000"/>
                <w:lang w:val="es-MX" w:eastAsia="es-MX"/>
              </w:rPr>
            </w:pPr>
            <w:r>
              <w:rPr>
                <w:rFonts w:ascii="Arial" w:hAnsi="Arial" w:cs="Arial"/>
                <w:b/>
                <w:bCs/>
                <w:color w:val="000000"/>
              </w:rPr>
              <w:t>0.5</w:t>
            </w:r>
          </w:p>
        </w:tc>
        <w:tc>
          <w:tcPr>
            <w:tcW w:w="642" w:type="dxa"/>
            <w:tcBorders>
              <w:top w:val="nil"/>
              <w:left w:val="nil"/>
              <w:bottom w:val="nil"/>
              <w:right w:val="nil"/>
            </w:tcBorders>
            <w:shd w:val="clear" w:color="auto" w:fill="auto"/>
            <w:noWrap/>
            <w:vAlign w:val="bottom"/>
            <w:hideMark/>
          </w:tcPr>
          <w:p w14:paraId="1FA0E035" w14:textId="77777777" w:rsidR="0017331D" w:rsidRPr="0048399B" w:rsidRDefault="0017331D" w:rsidP="00BA5BA5">
            <w:pPr>
              <w:jc w:val="right"/>
              <w:rPr>
                <w:rFonts w:ascii="Arial" w:hAnsi="Arial" w:cs="Arial"/>
                <w:color w:val="000000"/>
                <w:lang w:val="es-MX" w:eastAsia="es-MX"/>
              </w:rPr>
            </w:pPr>
            <w:r w:rsidRPr="0048399B">
              <w:rPr>
                <w:rFonts w:ascii="Arial" w:hAnsi="Arial" w:cs="Arial"/>
                <w:color w:val="000000"/>
                <w:lang w:val="es-MX" w:eastAsia="es-MX"/>
              </w:rPr>
              <w:t> </w:t>
            </w:r>
          </w:p>
        </w:tc>
        <w:tc>
          <w:tcPr>
            <w:tcW w:w="703" w:type="dxa"/>
            <w:tcBorders>
              <w:top w:val="nil"/>
              <w:left w:val="nil"/>
              <w:bottom w:val="nil"/>
              <w:right w:val="single" w:sz="4" w:space="0" w:color="auto"/>
            </w:tcBorders>
            <w:shd w:val="clear" w:color="auto" w:fill="auto"/>
            <w:noWrap/>
            <w:vAlign w:val="bottom"/>
            <w:hideMark/>
          </w:tcPr>
          <w:p w14:paraId="79C61F8D" w14:textId="77777777" w:rsidR="0017331D" w:rsidRDefault="0017331D" w:rsidP="00BA5BA5">
            <w:pPr>
              <w:rPr>
                <w:rFonts w:ascii="Arial" w:hAnsi="Arial" w:cs="Arial"/>
                <w:b/>
                <w:bCs/>
                <w:color w:val="000000"/>
                <w:lang w:val="es-MX" w:eastAsia="es-MX"/>
              </w:rPr>
            </w:pPr>
            <w:r>
              <w:rPr>
                <w:rFonts w:ascii="Arial" w:hAnsi="Arial" w:cs="Arial"/>
                <w:b/>
                <w:bCs/>
                <w:color w:val="000000"/>
              </w:rPr>
              <w:t>2.9</w:t>
            </w:r>
          </w:p>
        </w:tc>
      </w:tr>
      <w:tr w:rsidR="0017331D" w:rsidRPr="00685B80" w14:paraId="1BAAA234" w14:textId="77777777" w:rsidTr="00BA5BA5">
        <w:trPr>
          <w:trHeight w:val="255"/>
        </w:trPr>
        <w:tc>
          <w:tcPr>
            <w:tcW w:w="3108" w:type="dxa"/>
            <w:tcBorders>
              <w:top w:val="nil"/>
              <w:left w:val="single" w:sz="4" w:space="0" w:color="auto"/>
              <w:bottom w:val="nil"/>
              <w:right w:val="nil"/>
            </w:tcBorders>
            <w:shd w:val="clear" w:color="auto" w:fill="auto"/>
            <w:noWrap/>
            <w:vAlign w:val="bottom"/>
            <w:hideMark/>
          </w:tcPr>
          <w:p w14:paraId="08C9678F" w14:textId="77777777" w:rsidR="0017331D" w:rsidRPr="00685B80" w:rsidRDefault="0017331D" w:rsidP="00BA5BA5">
            <w:pPr>
              <w:ind w:firstLineChars="100" w:firstLine="200"/>
              <w:rPr>
                <w:rFonts w:ascii="Arial" w:hAnsi="Arial" w:cs="Arial"/>
                <w:color w:val="000000"/>
                <w:lang w:val="es-MX" w:eastAsia="es-MX"/>
              </w:rPr>
            </w:pPr>
            <w:r w:rsidRPr="00685B80">
              <w:rPr>
                <w:rFonts w:ascii="Arial" w:hAnsi="Arial" w:cs="Arial"/>
                <w:color w:val="000000"/>
                <w:lang w:val="es-MX" w:eastAsia="es-MX"/>
              </w:rPr>
              <w:t>Aguascalientes</w:t>
            </w:r>
          </w:p>
        </w:tc>
        <w:tc>
          <w:tcPr>
            <w:tcW w:w="611" w:type="dxa"/>
            <w:tcBorders>
              <w:top w:val="nil"/>
              <w:left w:val="single" w:sz="4" w:space="0" w:color="auto"/>
              <w:bottom w:val="nil"/>
              <w:right w:val="nil"/>
            </w:tcBorders>
            <w:shd w:val="clear" w:color="auto" w:fill="auto"/>
            <w:noWrap/>
            <w:vAlign w:val="bottom"/>
            <w:hideMark/>
          </w:tcPr>
          <w:p w14:paraId="319693D8" w14:textId="77777777" w:rsidR="0017331D" w:rsidRPr="00685B80" w:rsidRDefault="0017331D" w:rsidP="00BA5BA5">
            <w:pPr>
              <w:jc w:val="right"/>
              <w:rPr>
                <w:rFonts w:ascii="Arial" w:hAnsi="Arial" w:cs="Arial"/>
                <w:color w:val="000000"/>
                <w:lang w:val="es-MX" w:eastAsia="es-MX"/>
              </w:rPr>
            </w:pPr>
            <w:r w:rsidRPr="00685B80">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78B29677" w14:textId="77777777" w:rsidR="0017331D" w:rsidRDefault="0017331D" w:rsidP="00BA5BA5">
            <w:pPr>
              <w:jc w:val="center"/>
              <w:rPr>
                <w:rFonts w:ascii="Arial" w:hAnsi="Arial" w:cs="Arial"/>
                <w:color w:val="000000"/>
              </w:rPr>
            </w:pPr>
            <w:r>
              <w:rPr>
                <w:rFonts w:ascii="Arial" w:hAnsi="Arial" w:cs="Arial"/>
                <w:color w:val="000000"/>
              </w:rPr>
              <w:t>3.4</w:t>
            </w:r>
          </w:p>
        </w:tc>
        <w:tc>
          <w:tcPr>
            <w:tcW w:w="666" w:type="dxa"/>
            <w:tcBorders>
              <w:top w:val="nil"/>
              <w:left w:val="nil"/>
              <w:bottom w:val="nil"/>
              <w:right w:val="nil"/>
            </w:tcBorders>
            <w:shd w:val="clear" w:color="auto" w:fill="auto"/>
            <w:noWrap/>
            <w:vAlign w:val="bottom"/>
            <w:hideMark/>
          </w:tcPr>
          <w:p w14:paraId="76433AA1" w14:textId="77777777" w:rsidR="0017331D" w:rsidRPr="0048399B" w:rsidRDefault="0017331D" w:rsidP="00BA5BA5">
            <w:pPr>
              <w:jc w:val="right"/>
              <w:rPr>
                <w:rFonts w:ascii="Arial" w:hAnsi="Arial" w:cs="Arial"/>
                <w:color w:val="000000"/>
                <w:lang w:val="es-MX" w:eastAsia="es-MX"/>
              </w:rPr>
            </w:pPr>
            <w:r w:rsidRPr="0048399B">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0C2D25CE" w14:textId="77777777" w:rsidR="0017331D" w:rsidRDefault="0017331D" w:rsidP="00BA5BA5">
            <w:pPr>
              <w:jc w:val="center"/>
              <w:rPr>
                <w:rFonts w:ascii="Arial" w:hAnsi="Arial" w:cs="Arial"/>
                <w:color w:val="000000"/>
              </w:rPr>
            </w:pPr>
            <w:r>
              <w:rPr>
                <w:rFonts w:ascii="Arial" w:hAnsi="Arial" w:cs="Arial"/>
                <w:color w:val="000000"/>
              </w:rPr>
              <w:t>3.4</w:t>
            </w:r>
          </w:p>
        </w:tc>
        <w:tc>
          <w:tcPr>
            <w:tcW w:w="634" w:type="dxa"/>
            <w:tcBorders>
              <w:top w:val="nil"/>
              <w:left w:val="nil"/>
              <w:bottom w:val="nil"/>
              <w:right w:val="nil"/>
            </w:tcBorders>
            <w:shd w:val="clear" w:color="auto" w:fill="auto"/>
            <w:noWrap/>
            <w:vAlign w:val="bottom"/>
            <w:hideMark/>
          </w:tcPr>
          <w:p w14:paraId="3B10184B" w14:textId="77777777" w:rsidR="0017331D" w:rsidRPr="0048399B" w:rsidRDefault="0017331D" w:rsidP="00BA5BA5">
            <w:pPr>
              <w:jc w:val="right"/>
              <w:rPr>
                <w:rFonts w:ascii="Arial" w:hAnsi="Arial" w:cs="Arial"/>
                <w:color w:val="000000"/>
                <w:lang w:val="es-MX" w:eastAsia="es-MX"/>
              </w:rPr>
            </w:pPr>
            <w:r w:rsidRPr="0048399B">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7380C185" w14:textId="77777777" w:rsidR="0017331D" w:rsidRDefault="0017331D" w:rsidP="00BA5BA5">
            <w:pPr>
              <w:jc w:val="center"/>
              <w:rPr>
                <w:rFonts w:ascii="Arial" w:hAnsi="Arial" w:cs="Arial"/>
                <w:color w:val="000000"/>
              </w:rPr>
            </w:pPr>
            <w:r>
              <w:rPr>
                <w:rFonts w:ascii="Arial" w:hAnsi="Arial" w:cs="Arial"/>
                <w:color w:val="000000"/>
              </w:rPr>
              <w:t>2.8</w:t>
            </w:r>
          </w:p>
        </w:tc>
        <w:tc>
          <w:tcPr>
            <w:tcW w:w="642" w:type="dxa"/>
            <w:tcBorders>
              <w:top w:val="nil"/>
              <w:left w:val="nil"/>
              <w:bottom w:val="nil"/>
              <w:right w:val="nil"/>
            </w:tcBorders>
            <w:shd w:val="clear" w:color="auto" w:fill="auto"/>
            <w:noWrap/>
            <w:vAlign w:val="bottom"/>
            <w:hideMark/>
          </w:tcPr>
          <w:p w14:paraId="2D8D0813" w14:textId="77777777" w:rsidR="0017331D" w:rsidRPr="0048399B" w:rsidRDefault="0017331D" w:rsidP="00BA5BA5">
            <w:pPr>
              <w:jc w:val="right"/>
              <w:rPr>
                <w:rFonts w:ascii="Arial" w:hAnsi="Arial" w:cs="Arial"/>
                <w:color w:val="000000"/>
                <w:lang w:val="es-MX" w:eastAsia="es-MX"/>
              </w:rPr>
            </w:pPr>
            <w:r w:rsidRPr="0048399B">
              <w:rPr>
                <w:rFonts w:ascii="Arial" w:hAnsi="Arial" w:cs="Arial"/>
                <w:color w:val="000000"/>
                <w:lang w:val="es-MX" w:eastAsia="es-MX"/>
              </w:rPr>
              <w:t> </w:t>
            </w:r>
          </w:p>
        </w:tc>
        <w:tc>
          <w:tcPr>
            <w:tcW w:w="703" w:type="dxa"/>
            <w:tcBorders>
              <w:top w:val="nil"/>
              <w:left w:val="nil"/>
              <w:bottom w:val="nil"/>
              <w:right w:val="single" w:sz="4" w:space="0" w:color="auto"/>
            </w:tcBorders>
            <w:shd w:val="clear" w:color="auto" w:fill="auto"/>
            <w:noWrap/>
            <w:vAlign w:val="bottom"/>
            <w:hideMark/>
          </w:tcPr>
          <w:p w14:paraId="167B8504" w14:textId="77777777" w:rsidR="0017331D" w:rsidRDefault="0017331D" w:rsidP="00BA5BA5">
            <w:pPr>
              <w:rPr>
                <w:rFonts w:ascii="Arial" w:hAnsi="Arial" w:cs="Arial"/>
                <w:color w:val="000000"/>
              </w:rPr>
            </w:pPr>
            <w:r>
              <w:rPr>
                <w:rFonts w:ascii="Arial" w:hAnsi="Arial" w:cs="Arial"/>
                <w:color w:val="000000"/>
              </w:rPr>
              <w:t>3.8</w:t>
            </w:r>
          </w:p>
        </w:tc>
      </w:tr>
      <w:tr w:rsidR="0017331D" w:rsidRPr="00685B80" w14:paraId="616526A6" w14:textId="77777777" w:rsidTr="00BA5BA5">
        <w:trPr>
          <w:trHeight w:val="255"/>
        </w:trPr>
        <w:tc>
          <w:tcPr>
            <w:tcW w:w="3108" w:type="dxa"/>
            <w:tcBorders>
              <w:top w:val="nil"/>
              <w:left w:val="single" w:sz="4" w:space="0" w:color="auto"/>
              <w:bottom w:val="nil"/>
              <w:right w:val="nil"/>
            </w:tcBorders>
            <w:shd w:val="clear" w:color="auto" w:fill="auto"/>
            <w:noWrap/>
            <w:vAlign w:val="bottom"/>
            <w:hideMark/>
          </w:tcPr>
          <w:p w14:paraId="7C1D5DC2" w14:textId="77777777" w:rsidR="0017331D" w:rsidRPr="00685B80" w:rsidRDefault="0017331D" w:rsidP="00BA5BA5">
            <w:pPr>
              <w:ind w:firstLineChars="100" w:firstLine="200"/>
              <w:rPr>
                <w:rFonts w:ascii="Arial" w:hAnsi="Arial" w:cs="Arial"/>
                <w:color w:val="000000"/>
                <w:lang w:val="es-MX" w:eastAsia="es-MX"/>
              </w:rPr>
            </w:pPr>
            <w:r w:rsidRPr="00685B80">
              <w:rPr>
                <w:rFonts w:ascii="Arial" w:hAnsi="Arial" w:cs="Arial"/>
                <w:color w:val="000000"/>
                <w:lang w:val="es-MX" w:eastAsia="es-MX"/>
              </w:rPr>
              <w:t>Baja California</w:t>
            </w:r>
          </w:p>
        </w:tc>
        <w:tc>
          <w:tcPr>
            <w:tcW w:w="611" w:type="dxa"/>
            <w:tcBorders>
              <w:top w:val="nil"/>
              <w:left w:val="single" w:sz="4" w:space="0" w:color="auto"/>
              <w:bottom w:val="nil"/>
              <w:right w:val="nil"/>
            </w:tcBorders>
            <w:shd w:val="clear" w:color="auto" w:fill="auto"/>
            <w:noWrap/>
            <w:vAlign w:val="bottom"/>
            <w:hideMark/>
          </w:tcPr>
          <w:p w14:paraId="0DA2D683" w14:textId="77777777" w:rsidR="0017331D" w:rsidRPr="00685B80" w:rsidRDefault="0017331D" w:rsidP="00BA5BA5">
            <w:pPr>
              <w:jc w:val="right"/>
              <w:rPr>
                <w:rFonts w:ascii="Arial" w:hAnsi="Arial" w:cs="Arial"/>
                <w:color w:val="000000"/>
                <w:lang w:val="es-MX" w:eastAsia="es-MX"/>
              </w:rPr>
            </w:pPr>
            <w:r w:rsidRPr="00685B80">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3B0C1CF5" w14:textId="77777777" w:rsidR="0017331D" w:rsidRDefault="0017331D" w:rsidP="00BA5BA5">
            <w:pPr>
              <w:jc w:val="center"/>
              <w:rPr>
                <w:rFonts w:ascii="Arial" w:hAnsi="Arial" w:cs="Arial"/>
                <w:color w:val="000000"/>
              </w:rPr>
            </w:pPr>
            <w:r>
              <w:rPr>
                <w:rFonts w:ascii="Arial" w:hAnsi="Arial" w:cs="Arial"/>
                <w:color w:val="000000"/>
              </w:rPr>
              <w:t>2.3</w:t>
            </w:r>
          </w:p>
        </w:tc>
        <w:tc>
          <w:tcPr>
            <w:tcW w:w="666" w:type="dxa"/>
            <w:tcBorders>
              <w:top w:val="nil"/>
              <w:left w:val="nil"/>
              <w:bottom w:val="nil"/>
              <w:right w:val="nil"/>
            </w:tcBorders>
            <w:shd w:val="clear" w:color="auto" w:fill="auto"/>
            <w:noWrap/>
            <w:vAlign w:val="bottom"/>
            <w:hideMark/>
          </w:tcPr>
          <w:p w14:paraId="5ABFB3C6" w14:textId="77777777" w:rsidR="0017331D" w:rsidRPr="0048399B" w:rsidRDefault="0017331D" w:rsidP="00BA5BA5">
            <w:pPr>
              <w:jc w:val="right"/>
              <w:rPr>
                <w:rFonts w:ascii="Arial" w:hAnsi="Arial" w:cs="Arial"/>
                <w:color w:val="000000"/>
                <w:lang w:val="es-MX" w:eastAsia="es-MX"/>
              </w:rPr>
            </w:pPr>
          </w:p>
        </w:tc>
        <w:tc>
          <w:tcPr>
            <w:tcW w:w="814" w:type="dxa"/>
            <w:tcBorders>
              <w:top w:val="nil"/>
              <w:left w:val="nil"/>
              <w:bottom w:val="nil"/>
              <w:right w:val="single" w:sz="4" w:space="0" w:color="auto"/>
            </w:tcBorders>
            <w:shd w:val="clear" w:color="auto" w:fill="auto"/>
            <w:noWrap/>
            <w:vAlign w:val="bottom"/>
            <w:hideMark/>
          </w:tcPr>
          <w:p w14:paraId="0760ABCB" w14:textId="77777777" w:rsidR="0017331D" w:rsidRDefault="0017331D" w:rsidP="00BA5BA5">
            <w:pPr>
              <w:jc w:val="center"/>
              <w:rPr>
                <w:rFonts w:ascii="Arial" w:hAnsi="Arial" w:cs="Arial"/>
                <w:color w:val="000000"/>
              </w:rPr>
            </w:pPr>
            <w:r>
              <w:rPr>
                <w:rFonts w:ascii="Arial" w:hAnsi="Arial" w:cs="Arial"/>
                <w:color w:val="000000"/>
              </w:rPr>
              <w:t>1.8</w:t>
            </w:r>
          </w:p>
        </w:tc>
        <w:tc>
          <w:tcPr>
            <w:tcW w:w="634" w:type="dxa"/>
            <w:tcBorders>
              <w:top w:val="nil"/>
              <w:left w:val="nil"/>
              <w:bottom w:val="nil"/>
              <w:right w:val="nil"/>
            </w:tcBorders>
            <w:shd w:val="clear" w:color="auto" w:fill="auto"/>
            <w:noWrap/>
            <w:vAlign w:val="bottom"/>
            <w:hideMark/>
          </w:tcPr>
          <w:p w14:paraId="22AB3DB3" w14:textId="77777777" w:rsidR="0017331D" w:rsidRPr="0048399B" w:rsidRDefault="0017331D" w:rsidP="00BA5BA5">
            <w:pPr>
              <w:jc w:val="right"/>
              <w:rPr>
                <w:rFonts w:ascii="Arial" w:hAnsi="Arial" w:cs="Arial"/>
                <w:color w:val="000000"/>
                <w:lang w:val="es-MX" w:eastAsia="es-MX"/>
              </w:rPr>
            </w:pPr>
            <w:r w:rsidRPr="0048399B">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1E6AC349" w14:textId="77777777" w:rsidR="0017331D" w:rsidRDefault="0017331D" w:rsidP="00BA5BA5">
            <w:pPr>
              <w:jc w:val="center"/>
              <w:rPr>
                <w:rFonts w:ascii="Arial" w:hAnsi="Arial" w:cs="Arial"/>
                <w:color w:val="000000"/>
              </w:rPr>
            </w:pPr>
            <w:r>
              <w:rPr>
                <w:rFonts w:ascii="Arial" w:hAnsi="Arial" w:cs="Arial"/>
                <w:color w:val="000000"/>
              </w:rPr>
              <w:t>3.8</w:t>
            </w:r>
          </w:p>
        </w:tc>
        <w:tc>
          <w:tcPr>
            <w:tcW w:w="642" w:type="dxa"/>
            <w:tcBorders>
              <w:top w:val="nil"/>
              <w:left w:val="nil"/>
              <w:bottom w:val="nil"/>
              <w:right w:val="nil"/>
            </w:tcBorders>
            <w:shd w:val="clear" w:color="auto" w:fill="auto"/>
            <w:noWrap/>
            <w:vAlign w:val="bottom"/>
            <w:hideMark/>
          </w:tcPr>
          <w:p w14:paraId="00D29766" w14:textId="77777777" w:rsidR="0017331D" w:rsidRPr="0048399B" w:rsidRDefault="0017331D" w:rsidP="00BA5BA5">
            <w:pPr>
              <w:jc w:val="right"/>
              <w:rPr>
                <w:rFonts w:ascii="Arial" w:hAnsi="Arial" w:cs="Arial"/>
                <w:color w:val="000000"/>
                <w:lang w:val="es-MX" w:eastAsia="es-MX"/>
              </w:rPr>
            </w:pPr>
            <w:r w:rsidRPr="0048399B">
              <w:rPr>
                <w:rFonts w:ascii="Arial" w:hAnsi="Arial" w:cs="Arial"/>
                <w:color w:val="000000"/>
                <w:lang w:val="es-MX" w:eastAsia="es-MX"/>
              </w:rPr>
              <w:t> </w:t>
            </w:r>
          </w:p>
        </w:tc>
        <w:tc>
          <w:tcPr>
            <w:tcW w:w="703" w:type="dxa"/>
            <w:tcBorders>
              <w:top w:val="nil"/>
              <w:left w:val="nil"/>
              <w:bottom w:val="nil"/>
              <w:right w:val="single" w:sz="4" w:space="0" w:color="auto"/>
            </w:tcBorders>
            <w:shd w:val="clear" w:color="auto" w:fill="auto"/>
            <w:noWrap/>
            <w:vAlign w:val="bottom"/>
            <w:hideMark/>
          </w:tcPr>
          <w:p w14:paraId="2A06C94C" w14:textId="77777777" w:rsidR="0017331D" w:rsidRDefault="0017331D" w:rsidP="00BA5BA5">
            <w:pPr>
              <w:rPr>
                <w:rFonts w:ascii="Arial" w:hAnsi="Arial" w:cs="Arial"/>
                <w:color w:val="000000"/>
              </w:rPr>
            </w:pPr>
            <w:r>
              <w:rPr>
                <w:rFonts w:ascii="Arial" w:hAnsi="Arial" w:cs="Arial"/>
                <w:color w:val="000000"/>
              </w:rPr>
              <w:t>1.4</w:t>
            </w:r>
          </w:p>
        </w:tc>
      </w:tr>
      <w:tr w:rsidR="0017331D" w:rsidRPr="00685B80" w14:paraId="3C545BDB" w14:textId="77777777" w:rsidTr="00BA5BA5">
        <w:trPr>
          <w:trHeight w:val="255"/>
        </w:trPr>
        <w:tc>
          <w:tcPr>
            <w:tcW w:w="3108" w:type="dxa"/>
            <w:tcBorders>
              <w:top w:val="nil"/>
              <w:left w:val="single" w:sz="4" w:space="0" w:color="auto"/>
              <w:bottom w:val="nil"/>
              <w:right w:val="nil"/>
            </w:tcBorders>
            <w:shd w:val="clear" w:color="auto" w:fill="auto"/>
            <w:noWrap/>
            <w:vAlign w:val="bottom"/>
            <w:hideMark/>
          </w:tcPr>
          <w:p w14:paraId="0088A2EF" w14:textId="77777777" w:rsidR="0017331D" w:rsidRPr="00685B80" w:rsidRDefault="0017331D" w:rsidP="00BA5BA5">
            <w:pPr>
              <w:ind w:firstLineChars="100" w:firstLine="200"/>
              <w:rPr>
                <w:rFonts w:ascii="Arial" w:hAnsi="Arial" w:cs="Arial"/>
                <w:color w:val="000000"/>
                <w:lang w:val="es-MX" w:eastAsia="es-MX"/>
              </w:rPr>
            </w:pPr>
            <w:r w:rsidRPr="00685B80">
              <w:rPr>
                <w:rFonts w:ascii="Arial" w:hAnsi="Arial" w:cs="Arial"/>
                <w:color w:val="000000"/>
                <w:lang w:val="es-MX" w:eastAsia="es-MX"/>
              </w:rPr>
              <w:t>Baja California Sur</w:t>
            </w:r>
          </w:p>
        </w:tc>
        <w:tc>
          <w:tcPr>
            <w:tcW w:w="611" w:type="dxa"/>
            <w:tcBorders>
              <w:top w:val="nil"/>
              <w:left w:val="single" w:sz="4" w:space="0" w:color="auto"/>
              <w:bottom w:val="nil"/>
              <w:right w:val="nil"/>
            </w:tcBorders>
            <w:shd w:val="clear" w:color="auto" w:fill="auto"/>
            <w:noWrap/>
            <w:vAlign w:val="bottom"/>
            <w:hideMark/>
          </w:tcPr>
          <w:p w14:paraId="14DF66EB" w14:textId="77777777" w:rsidR="0017331D" w:rsidRPr="00685B80" w:rsidRDefault="0017331D" w:rsidP="00BA5BA5">
            <w:pPr>
              <w:jc w:val="center"/>
              <w:rPr>
                <w:rFonts w:ascii="Arial" w:hAnsi="Arial" w:cs="Arial"/>
                <w:color w:val="000000"/>
                <w:lang w:val="es-MX" w:eastAsia="es-MX"/>
              </w:rPr>
            </w:pPr>
          </w:p>
        </w:tc>
        <w:tc>
          <w:tcPr>
            <w:tcW w:w="814" w:type="dxa"/>
            <w:tcBorders>
              <w:top w:val="nil"/>
              <w:left w:val="nil"/>
              <w:bottom w:val="nil"/>
              <w:right w:val="single" w:sz="4" w:space="0" w:color="auto"/>
            </w:tcBorders>
            <w:shd w:val="clear" w:color="auto" w:fill="auto"/>
            <w:noWrap/>
            <w:vAlign w:val="bottom"/>
            <w:hideMark/>
          </w:tcPr>
          <w:p w14:paraId="597C12C6" w14:textId="77777777" w:rsidR="0017331D" w:rsidRDefault="0017331D" w:rsidP="00BA5BA5">
            <w:pPr>
              <w:rPr>
                <w:rFonts w:ascii="Arial" w:hAnsi="Arial" w:cs="Arial"/>
                <w:color w:val="000000"/>
              </w:rPr>
            </w:pPr>
            <w:r>
              <w:rPr>
                <w:rFonts w:ascii="Arial" w:hAnsi="Arial" w:cs="Arial"/>
                <w:color w:val="000000"/>
              </w:rPr>
              <w:t xml:space="preserve">  17.2 </w:t>
            </w:r>
          </w:p>
        </w:tc>
        <w:tc>
          <w:tcPr>
            <w:tcW w:w="666" w:type="dxa"/>
            <w:tcBorders>
              <w:top w:val="nil"/>
              <w:left w:val="nil"/>
              <w:bottom w:val="nil"/>
              <w:right w:val="nil"/>
            </w:tcBorders>
            <w:shd w:val="clear" w:color="auto" w:fill="auto"/>
            <w:noWrap/>
            <w:vAlign w:val="bottom"/>
            <w:hideMark/>
          </w:tcPr>
          <w:p w14:paraId="07E90D43" w14:textId="77777777" w:rsidR="0017331D" w:rsidRPr="0048399B" w:rsidRDefault="0017331D" w:rsidP="00BA5BA5">
            <w:pPr>
              <w:jc w:val="right"/>
              <w:rPr>
                <w:rFonts w:ascii="Arial" w:hAnsi="Arial" w:cs="Arial"/>
                <w:color w:val="000000"/>
                <w:lang w:val="es-MX" w:eastAsia="es-MX"/>
              </w:rPr>
            </w:pPr>
            <w:r w:rsidRPr="0048399B">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12AE7E89" w14:textId="77777777" w:rsidR="0017331D" w:rsidRDefault="0017331D" w:rsidP="00BA5BA5">
            <w:pPr>
              <w:jc w:val="center"/>
              <w:rPr>
                <w:rFonts w:ascii="Arial" w:hAnsi="Arial" w:cs="Arial"/>
                <w:color w:val="000000"/>
              </w:rPr>
            </w:pPr>
            <w:r>
              <w:rPr>
                <w:rFonts w:ascii="Arial" w:hAnsi="Arial" w:cs="Arial"/>
                <w:color w:val="000000"/>
              </w:rPr>
              <w:t>4.0</w:t>
            </w:r>
          </w:p>
        </w:tc>
        <w:tc>
          <w:tcPr>
            <w:tcW w:w="634" w:type="dxa"/>
            <w:tcBorders>
              <w:top w:val="nil"/>
              <w:left w:val="nil"/>
              <w:bottom w:val="nil"/>
              <w:right w:val="nil"/>
            </w:tcBorders>
            <w:shd w:val="clear" w:color="auto" w:fill="auto"/>
            <w:noWrap/>
            <w:vAlign w:val="bottom"/>
            <w:hideMark/>
          </w:tcPr>
          <w:p w14:paraId="4B391447" w14:textId="77777777" w:rsidR="0017331D" w:rsidRPr="0048399B" w:rsidRDefault="0017331D" w:rsidP="00BA5BA5">
            <w:pPr>
              <w:jc w:val="right"/>
              <w:rPr>
                <w:rFonts w:ascii="Arial" w:hAnsi="Arial" w:cs="Arial"/>
                <w:color w:val="000000"/>
                <w:lang w:val="es-MX" w:eastAsia="es-MX"/>
              </w:rPr>
            </w:pPr>
          </w:p>
        </w:tc>
        <w:tc>
          <w:tcPr>
            <w:tcW w:w="814" w:type="dxa"/>
            <w:tcBorders>
              <w:top w:val="nil"/>
              <w:left w:val="nil"/>
              <w:bottom w:val="nil"/>
              <w:right w:val="single" w:sz="4" w:space="0" w:color="auto"/>
            </w:tcBorders>
            <w:shd w:val="clear" w:color="auto" w:fill="auto"/>
            <w:noWrap/>
            <w:vAlign w:val="bottom"/>
            <w:hideMark/>
          </w:tcPr>
          <w:p w14:paraId="67CBBEB5" w14:textId="77777777" w:rsidR="0017331D" w:rsidRDefault="0017331D" w:rsidP="00BA5BA5">
            <w:pPr>
              <w:rPr>
                <w:rFonts w:ascii="Arial" w:hAnsi="Arial" w:cs="Arial"/>
                <w:color w:val="000000"/>
              </w:rPr>
            </w:pPr>
            <w:r>
              <w:rPr>
                <w:rFonts w:ascii="Arial" w:hAnsi="Arial" w:cs="Arial"/>
                <w:color w:val="000000"/>
              </w:rPr>
              <w:t xml:space="preserve">  39.8</w:t>
            </w:r>
          </w:p>
        </w:tc>
        <w:tc>
          <w:tcPr>
            <w:tcW w:w="642" w:type="dxa"/>
            <w:tcBorders>
              <w:top w:val="nil"/>
              <w:left w:val="nil"/>
              <w:bottom w:val="nil"/>
              <w:right w:val="nil"/>
            </w:tcBorders>
            <w:shd w:val="clear" w:color="auto" w:fill="auto"/>
            <w:noWrap/>
            <w:vAlign w:val="bottom"/>
            <w:hideMark/>
          </w:tcPr>
          <w:p w14:paraId="0E601A92" w14:textId="77777777" w:rsidR="0017331D" w:rsidRPr="0048399B" w:rsidRDefault="0017331D" w:rsidP="00BA5BA5">
            <w:pPr>
              <w:jc w:val="right"/>
              <w:rPr>
                <w:rFonts w:ascii="Arial" w:hAnsi="Arial" w:cs="Arial"/>
                <w:color w:val="000000"/>
                <w:lang w:val="es-MX" w:eastAsia="es-MX"/>
              </w:rPr>
            </w:pPr>
          </w:p>
        </w:tc>
        <w:tc>
          <w:tcPr>
            <w:tcW w:w="703" w:type="dxa"/>
            <w:tcBorders>
              <w:top w:val="nil"/>
              <w:left w:val="nil"/>
              <w:bottom w:val="nil"/>
              <w:right w:val="single" w:sz="4" w:space="0" w:color="auto"/>
            </w:tcBorders>
            <w:shd w:val="clear" w:color="auto" w:fill="auto"/>
            <w:noWrap/>
            <w:vAlign w:val="bottom"/>
            <w:hideMark/>
          </w:tcPr>
          <w:p w14:paraId="17E80D56" w14:textId="77777777" w:rsidR="0017331D" w:rsidRDefault="0017331D" w:rsidP="00BA5BA5">
            <w:pPr>
              <w:rPr>
                <w:rFonts w:ascii="Arial" w:hAnsi="Arial" w:cs="Arial"/>
                <w:color w:val="000000"/>
              </w:rPr>
            </w:pPr>
            <w:r>
              <w:rPr>
                <w:rFonts w:ascii="Arial" w:hAnsi="Arial" w:cs="Arial"/>
                <w:color w:val="000000"/>
              </w:rPr>
              <w:t>7.2</w:t>
            </w:r>
          </w:p>
        </w:tc>
      </w:tr>
      <w:tr w:rsidR="0017331D" w:rsidRPr="00685B80" w14:paraId="2B2ECC3C" w14:textId="77777777" w:rsidTr="00BA5BA5">
        <w:trPr>
          <w:trHeight w:val="255"/>
        </w:trPr>
        <w:tc>
          <w:tcPr>
            <w:tcW w:w="3108" w:type="dxa"/>
            <w:tcBorders>
              <w:top w:val="nil"/>
              <w:left w:val="single" w:sz="4" w:space="0" w:color="auto"/>
              <w:bottom w:val="nil"/>
              <w:right w:val="nil"/>
            </w:tcBorders>
            <w:shd w:val="clear" w:color="auto" w:fill="auto"/>
            <w:noWrap/>
            <w:vAlign w:val="bottom"/>
            <w:hideMark/>
          </w:tcPr>
          <w:p w14:paraId="0B54C291" w14:textId="77777777" w:rsidR="0017331D" w:rsidRPr="00685B80" w:rsidRDefault="0017331D" w:rsidP="00BA5BA5">
            <w:pPr>
              <w:ind w:firstLineChars="100" w:firstLine="200"/>
              <w:rPr>
                <w:rFonts w:ascii="Arial" w:hAnsi="Arial" w:cs="Arial"/>
                <w:color w:val="000000"/>
                <w:lang w:val="es-MX" w:eastAsia="es-MX"/>
              </w:rPr>
            </w:pPr>
            <w:r w:rsidRPr="00685B80">
              <w:rPr>
                <w:rFonts w:ascii="Arial" w:hAnsi="Arial" w:cs="Arial"/>
                <w:color w:val="000000"/>
                <w:lang w:val="es-MX" w:eastAsia="es-MX"/>
              </w:rPr>
              <w:t>Campeche</w:t>
            </w:r>
          </w:p>
        </w:tc>
        <w:tc>
          <w:tcPr>
            <w:tcW w:w="611" w:type="dxa"/>
            <w:tcBorders>
              <w:top w:val="nil"/>
              <w:left w:val="single" w:sz="4" w:space="0" w:color="auto"/>
              <w:bottom w:val="nil"/>
              <w:right w:val="nil"/>
            </w:tcBorders>
            <w:shd w:val="clear" w:color="auto" w:fill="auto"/>
            <w:noWrap/>
            <w:vAlign w:val="bottom"/>
            <w:hideMark/>
          </w:tcPr>
          <w:p w14:paraId="4DB8FEA1" w14:textId="77777777" w:rsidR="0017331D" w:rsidRPr="00685B80" w:rsidRDefault="0017331D" w:rsidP="00BA5BA5">
            <w:pPr>
              <w:jc w:val="right"/>
              <w:rPr>
                <w:rFonts w:ascii="Arial" w:hAnsi="Arial" w:cs="Arial"/>
                <w:color w:val="000000"/>
                <w:lang w:val="es-MX" w:eastAsia="es-MX"/>
              </w:rPr>
            </w:pPr>
            <w:r w:rsidRPr="00685B80">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4D0D4B0B" w14:textId="77777777" w:rsidR="0017331D" w:rsidRDefault="0017331D" w:rsidP="00BA5BA5">
            <w:pPr>
              <w:jc w:val="center"/>
              <w:rPr>
                <w:rFonts w:ascii="Arial" w:hAnsi="Arial" w:cs="Arial"/>
                <w:color w:val="000000"/>
              </w:rPr>
            </w:pPr>
            <w:r>
              <w:rPr>
                <w:rFonts w:ascii="Arial" w:hAnsi="Arial" w:cs="Arial"/>
                <w:color w:val="000000"/>
              </w:rPr>
              <w:t>1.6</w:t>
            </w:r>
          </w:p>
        </w:tc>
        <w:tc>
          <w:tcPr>
            <w:tcW w:w="666" w:type="dxa"/>
            <w:tcBorders>
              <w:top w:val="nil"/>
              <w:left w:val="nil"/>
              <w:bottom w:val="nil"/>
              <w:right w:val="nil"/>
            </w:tcBorders>
            <w:shd w:val="clear" w:color="auto" w:fill="auto"/>
            <w:noWrap/>
            <w:vAlign w:val="bottom"/>
            <w:hideMark/>
          </w:tcPr>
          <w:p w14:paraId="1204B5B2" w14:textId="77777777" w:rsidR="0017331D" w:rsidRPr="0048399B" w:rsidRDefault="0017331D" w:rsidP="00BA5BA5">
            <w:pPr>
              <w:jc w:val="right"/>
              <w:rPr>
                <w:rFonts w:ascii="Arial" w:hAnsi="Arial" w:cs="Arial"/>
                <w:color w:val="000000"/>
                <w:lang w:val="es-MX" w:eastAsia="es-MX"/>
              </w:rPr>
            </w:pPr>
            <w:r w:rsidRPr="0048399B">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59BB3931" w14:textId="77777777" w:rsidR="0017331D" w:rsidRDefault="0017331D" w:rsidP="00BA5BA5">
            <w:pPr>
              <w:jc w:val="center"/>
              <w:rPr>
                <w:rFonts w:ascii="Arial" w:hAnsi="Arial" w:cs="Arial"/>
                <w:color w:val="000000"/>
              </w:rPr>
            </w:pPr>
            <w:r>
              <w:rPr>
                <w:rFonts w:ascii="Arial" w:hAnsi="Arial" w:cs="Arial"/>
                <w:color w:val="000000"/>
              </w:rPr>
              <w:t>7.4</w:t>
            </w:r>
          </w:p>
        </w:tc>
        <w:tc>
          <w:tcPr>
            <w:tcW w:w="634" w:type="dxa"/>
            <w:tcBorders>
              <w:top w:val="nil"/>
              <w:left w:val="nil"/>
              <w:bottom w:val="nil"/>
              <w:right w:val="nil"/>
            </w:tcBorders>
            <w:shd w:val="clear" w:color="auto" w:fill="auto"/>
            <w:noWrap/>
            <w:vAlign w:val="bottom"/>
            <w:hideMark/>
          </w:tcPr>
          <w:p w14:paraId="7E8DEA3C" w14:textId="77777777" w:rsidR="0017331D" w:rsidRPr="00685B80" w:rsidRDefault="0017331D" w:rsidP="00BA5BA5">
            <w:pPr>
              <w:jc w:val="right"/>
              <w:rPr>
                <w:rFonts w:ascii="Arial" w:hAnsi="Arial" w:cs="Arial"/>
                <w:color w:val="000000"/>
                <w:lang w:val="es-MX" w:eastAsia="es-MX"/>
              </w:rPr>
            </w:pPr>
            <w:r w:rsidRPr="00685B80">
              <w:rPr>
                <w:rFonts w:ascii="Arial" w:hAnsi="Arial" w:cs="Arial"/>
                <w:color w:val="000000"/>
                <w:lang w:val="es-MX" w:eastAsia="es-MX"/>
              </w:rPr>
              <w:t>(-)</w:t>
            </w:r>
          </w:p>
        </w:tc>
        <w:tc>
          <w:tcPr>
            <w:tcW w:w="814" w:type="dxa"/>
            <w:tcBorders>
              <w:top w:val="nil"/>
              <w:left w:val="nil"/>
              <w:bottom w:val="nil"/>
              <w:right w:val="single" w:sz="4" w:space="0" w:color="auto"/>
            </w:tcBorders>
            <w:shd w:val="clear" w:color="auto" w:fill="auto"/>
            <w:noWrap/>
            <w:vAlign w:val="bottom"/>
            <w:hideMark/>
          </w:tcPr>
          <w:p w14:paraId="255FED0B" w14:textId="77777777" w:rsidR="0017331D" w:rsidRDefault="0017331D" w:rsidP="00BA5BA5">
            <w:pPr>
              <w:jc w:val="center"/>
              <w:rPr>
                <w:rFonts w:ascii="Arial" w:hAnsi="Arial" w:cs="Arial"/>
                <w:color w:val="000000"/>
              </w:rPr>
            </w:pPr>
            <w:r>
              <w:rPr>
                <w:rFonts w:ascii="Arial" w:hAnsi="Arial" w:cs="Arial"/>
                <w:color w:val="000000"/>
              </w:rPr>
              <w:t>2.4</w:t>
            </w:r>
          </w:p>
        </w:tc>
        <w:tc>
          <w:tcPr>
            <w:tcW w:w="642" w:type="dxa"/>
            <w:tcBorders>
              <w:top w:val="nil"/>
              <w:left w:val="nil"/>
              <w:bottom w:val="nil"/>
              <w:right w:val="nil"/>
            </w:tcBorders>
            <w:shd w:val="clear" w:color="auto" w:fill="auto"/>
            <w:noWrap/>
            <w:vAlign w:val="bottom"/>
            <w:hideMark/>
          </w:tcPr>
          <w:p w14:paraId="6C15928A" w14:textId="77777777" w:rsidR="0017331D" w:rsidRPr="0048399B" w:rsidRDefault="0017331D" w:rsidP="00BA5BA5">
            <w:pPr>
              <w:jc w:val="right"/>
              <w:rPr>
                <w:rFonts w:ascii="Arial" w:hAnsi="Arial" w:cs="Arial"/>
                <w:color w:val="000000"/>
                <w:lang w:val="es-MX" w:eastAsia="es-MX"/>
              </w:rPr>
            </w:pPr>
            <w:r w:rsidRPr="0048399B">
              <w:rPr>
                <w:rFonts w:ascii="Arial" w:hAnsi="Arial" w:cs="Arial"/>
                <w:color w:val="000000"/>
                <w:lang w:val="es-MX" w:eastAsia="es-MX"/>
              </w:rPr>
              <w:t> </w:t>
            </w:r>
          </w:p>
        </w:tc>
        <w:tc>
          <w:tcPr>
            <w:tcW w:w="703" w:type="dxa"/>
            <w:tcBorders>
              <w:top w:val="nil"/>
              <w:left w:val="nil"/>
              <w:bottom w:val="nil"/>
              <w:right w:val="single" w:sz="4" w:space="0" w:color="auto"/>
            </w:tcBorders>
            <w:shd w:val="clear" w:color="auto" w:fill="auto"/>
            <w:noWrap/>
            <w:vAlign w:val="bottom"/>
            <w:hideMark/>
          </w:tcPr>
          <w:p w14:paraId="12A3A648" w14:textId="77777777" w:rsidR="0017331D" w:rsidRDefault="0017331D" w:rsidP="00BA5BA5">
            <w:pPr>
              <w:rPr>
                <w:rFonts w:ascii="Arial" w:hAnsi="Arial" w:cs="Arial"/>
                <w:color w:val="000000"/>
              </w:rPr>
            </w:pPr>
            <w:r>
              <w:rPr>
                <w:rFonts w:ascii="Arial" w:hAnsi="Arial" w:cs="Arial"/>
                <w:color w:val="000000"/>
              </w:rPr>
              <w:t>2.4</w:t>
            </w:r>
          </w:p>
        </w:tc>
      </w:tr>
      <w:tr w:rsidR="0017331D" w:rsidRPr="00685B80" w14:paraId="2C611A82" w14:textId="77777777" w:rsidTr="00BA5BA5">
        <w:trPr>
          <w:trHeight w:val="255"/>
        </w:trPr>
        <w:tc>
          <w:tcPr>
            <w:tcW w:w="3108" w:type="dxa"/>
            <w:tcBorders>
              <w:top w:val="nil"/>
              <w:left w:val="single" w:sz="4" w:space="0" w:color="auto"/>
              <w:bottom w:val="nil"/>
              <w:right w:val="nil"/>
            </w:tcBorders>
            <w:shd w:val="clear" w:color="auto" w:fill="auto"/>
            <w:noWrap/>
            <w:vAlign w:val="bottom"/>
            <w:hideMark/>
          </w:tcPr>
          <w:p w14:paraId="3D5DD67D" w14:textId="77777777" w:rsidR="0017331D" w:rsidRPr="00685B80" w:rsidRDefault="0017331D" w:rsidP="00BA5BA5">
            <w:pPr>
              <w:ind w:firstLineChars="100" w:firstLine="200"/>
              <w:rPr>
                <w:rFonts w:ascii="Arial" w:hAnsi="Arial" w:cs="Arial"/>
                <w:color w:val="000000"/>
                <w:lang w:val="es-MX" w:eastAsia="es-MX"/>
              </w:rPr>
            </w:pPr>
            <w:r w:rsidRPr="00685B80">
              <w:rPr>
                <w:rFonts w:ascii="Arial" w:hAnsi="Arial" w:cs="Arial"/>
                <w:color w:val="000000"/>
                <w:lang w:val="es-MX" w:eastAsia="es-MX"/>
              </w:rPr>
              <w:t>Coahuila de Zaragoza</w:t>
            </w:r>
          </w:p>
        </w:tc>
        <w:tc>
          <w:tcPr>
            <w:tcW w:w="611" w:type="dxa"/>
            <w:tcBorders>
              <w:top w:val="nil"/>
              <w:left w:val="single" w:sz="4" w:space="0" w:color="auto"/>
              <w:bottom w:val="nil"/>
              <w:right w:val="nil"/>
            </w:tcBorders>
            <w:shd w:val="clear" w:color="auto" w:fill="auto"/>
            <w:noWrap/>
            <w:vAlign w:val="bottom"/>
            <w:hideMark/>
          </w:tcPr>
          <w:p w14:paraId="53FA5832" w14:textId="77777777" w:rsidR="0017331D" w:rsidRPr="00685B80" w:rsidRDefault="0017331D" w:rsidP="00BA5BA5">
            <w:pPr>
              <w:jc w:val="right"/>
              <w:rPr>
                <w:rFonts w:ascii="Arial" w:hAnsi="Arial" w:cs="Arial"/>
                <w:color w:val="000000"/>
                <w:lang w:val="es-MX" w:eastAsia="es-MX"/>
              </w:rPr>
            </w:pPr>
            <w:r w:rsidRPr="00685B80">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46164763" w14:textId="77777777" w:rsidR="0017331D" w:rsidRDefault="0017331D" w:rsidP="00BA5BA5">
            <w:pPr>
              <w:jc w:val="center"/>
              <w:rPr>
                <w:rFonts w:ascii="Arial" w:hAnsi="Arial" w:cs="Arial"/>
                <w:color w:val="000000"/>
              </w:rPr>
            </w:pPr>
            <w:r>
              <w:rPr>
                <w:rFonts w:ascii="Arial" w:hAnsi="Arial" w:cs="Arial"/>
                <w:color w:val="000000"/>
              </w:rPr>
              <w:t>1.3</w:t>
            </w:r>
          </w:p>
        </w:tc>
        <w:tc>
          <w:tcPr>
            <w:tcW w:w="666" w:type="dxa"/>
            <w:tcBorders>
              <w:top w:val="nil"/>
              <w:left w:val="nil"/>
              <w:bottom w:val="nil"/>
              <w:right w:val="nil"/>
            </w:tcBorders>
            <w:shd w:val="clear" w:color="auto" w:fill="auto"/>
            <w:noWrap/>
            <w:vAlign w:val="bottom"/>
            <w:hideMark/>
          </w:tcPr>
          <w:p w14:paraId="5FBD76E8" w14:textId="77777777" w:rsidR="0017331D" w:rsidRPr="0048399B" w:rsidRDefault="0017331D" w:rsidP="00BA5BA5">
            <w:pPr>
              <w:jc w:val="right"/>
              <w:rPr>
                <w:rFonts w:ascii="Arial" w:hAnsi="Arial" w:cs="Arial"/>
                <w:color w:val="000000"/>
                <w:lang w:val="es-MX" w:eastAsia="es-MX"/>
              </w:rPr>
            </w:pPr>
            <w:r w:rsidRPr="0048399B">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0287893D" w14:textId="77777777" w:rsidR="0017331D" w:rsidRDefault="0017331D" w:rsidP="00BA5BA5">
            <w:pPr>
              <w:jc w:val="center"/>
              <w:rPr>
                <w:rFonts w:ascii="Arial" w:hAnsi="Arial" w:cs="Arial"/>
                <w:color w:val="000000"/>
              </w:rPr>
            </w:pPr>
            <w:r>
              <w:rPr>
                <w:rFonts w:ascii="Arial" w:hAnsi="Arial" w:cs="Arial"/>
                <w:color w:val="000000"/>
              </w:rPr>
              <w:t>5.4</w:t>
            </w:r>
          </w:p>
        </w:tc>
        <w:tc>
          <w:tcPr>
            <w:tcW w:w="634" w:type="dxa"/>
            <w:tcBorders>
              <w:top w:val="nil"/>
              <w:left w:val="nil"/>
              <w:bottom w:val="nil"/>
              <w:right w:val="nil"/>
            </w:tcBorders>
            <w:shd w:val="clear" w:color="auto" w:fill="auto"/>
            <w:noWrap/>
            <w:vAlign w:val="bottom"/>
            <w:hideMark/>
          </w:tcPr>
          <w:p w14:paraId="24A88C4E" w14:textId="77777777" w:rsidR="0017331D" w:rsidRPr="0048399B" w:rsidRDefault="0017331D" w:rsidP="00BA5BA5">
            <w:pPr>
              <w:jc w:val="right"/>
              <w:rPr>
                <w:rFonts w:ascii="Arial" w:hAnsi="Arial" w:cs="Arial"/>
                <w:color w:val="000000"/>
                <w:lang w:val="es-MX" w:eastAsia="es-MX"/>
              </w:rPr>
            </w:pPr>
            <w:r w:rsidRPr="0048399B">
              <w:rPr>
                <w:rFonts w:ascii="Arial" w:hAnsi="Arial" w:cs="Arial"/>
                <w:color w:val="000000"/>
                <w:lang w:val="es-MX" w:eastAsia="es-MX"/>
              </w:rPr>
              <w:t>(-)</w:t>
            </w:r>
          </w:p>
        </w:tc>
        <w:tc>
          <w:tcPr>
            <w:tcW w:w="814" w:type="dxa"/>
            <w:tcBorders>
              <w:top w:val="nil"/>
              <w:left w:val="nil"/>
              <w:bottom w:val="nil"/>
              <w:right w:val="single" w:sz="4" w:space="0" w:color="auto"/>
            </w:tcBorders>
            <w:shd w:val="clear" w:color="auto" w:fill="auto"/>
            <w:noWrap/>
            <w:vAlign w:val="bottom"/>
            <w:hideMark/>
          </w:tcPr>
          <w:p w14:paraId="711B4714" w14:textId="77777777" w:rsidR="0017331D" w:rsidRDefault="0017331D" w:rsidP="00BA5BA5">
            <w:pPr>
              <w:jc w:val="center"/>
              <w:rPr>
                <w:rFonts w:ascii="Arial" w:hAnsi="Arial" w:cs="Arial"/>
                <w:color w:val="000000"/>
              </w:rPr>
            </w:pPr>
            <w:r>
              <w:rPr>
                <w:rFonts w:ascii="Arial" w:hAnsi="Arial" w:cs="Arial"/>
                <w:color w:val="000000"/>
              </w:rPr>
              <w:t>0.3</w:t>
            </w:r>
          </w:p>
        </w:tc>
        <w:tc>
          <w:tcPr>
            <w:tcW w:w="642" w:type="dxa"/>
            <w:tcBorders>
              <w:top w:val="nil"/>
              <w:left w:val="nil"/>
              <w:bottom w:val="nil"/>
              <w:right w:val="nil"/>
            </w:tcBorders>
            <w:shd w:val="clear" w:color="auto" w:fill="auto"/>
            <w:noWrap/>
            <w:vAlign w:val="bottom"/>
            <w:hideMark/>
          </w:tcPr>
          <w:p w14:paraId="3E82CAB1" w14:textId="77777777" w:rsidR="0017331D" w:rsidRPr="0048399B" w:rsidRDefault="0017331D" w:rsidP="00BA5BA5">
            <w:pPr>
              <w:jc w:val="right"/>
              <w:rPr>
                <w:rFonts w:ascii="Arial" w:hAnsi="Arial" w:cs="Arial"/>
                <w:color w:val="000000"/>
                <w:lang w:val="es-MX" w:eastAsia="es-MX"/>
              </w:rPr>
            </w:pPr>
            <w:r w:rsidRPr="0048399B">
              <w:rPr>
                <w:rFonts w:ascii="Arial" w:hAnsi="Arial" w:cs="Arial"/>
                <w:color w:val="000000"/>
                <w:lang w:val="es-MX" w:eastAsia="es-MX"/>
              </w:rPr>
              <w:t> </w:t>
            </w:r>
          </w:p>
        </w:tc>
        <w:tc>
          <w:tcPr>
            <w:tcW w:w="703" w:type="dxa"/>
            <w:tcBorders>
              <w:top w:val="nil"/>
              <w:left w:val="nil"/>
              <w:bottom w:val="nil"/>
              <w:right w:val="single" w:sz="4" w:space="0" w:color="auto"/>
            </w:tcBorders>
            <w:shd w:val="clear" w:color="auto" w:fill="auto"/>
            <w:noWrap/>
            <w:vAlign w:val="bottom"/>
            <w:hideMark/>
          </w:tcPr>
          <w:p w14:paraId="3AA6CF07" w14:textId="77777777" w:rsidR="0017331D" w:rsidRDefault="0017331D" w:rsidP="00BA5BA5">
            <w:pPr>
              <w:rPr>
                <w:rFonts w:ascii="Arial" w:hAnsi="Arial" w:cs="Arial"/>
                <w:color w:val="000000"/>
              </w:rPr>
            </w:pPr>
            <w:r>
              <w:rPr>
                <w:rFonts w:ascii="Arial" w:hAnsi="Arial" w:cs="Arial"/>
                <w:color w:val="000000"/>
              </w:rPr>
              <w:t>3.0</w:t>
            </w:r>
          </w:p>
        </w:tc>
      </w:tr>
      <w:tr w:rsidR="0017331D" w:rsidRPr="00685B80" w14:paraId="27C0F120" w14:textId="77777777" w:rsidTr="00BA5BA5">
        <w:trPr>
          <w:trHeight w:val="255"/>
        </w:trPr>
        <w:tc>
          <w:tcPr>
            <w:tcW w:w="3108" w:type="dxa"/>
            <w:tcBorders>
              <w:top w:val="nil"/>
              <w:left w:val="single" w:sz="4" w:space="0" w:color="auto"/>
              <w:bottom w:val="nil"/>
              <w:right w:val="nil"/>
            </w:tcBorders>
            <w:shd w:val="clear" w:color="auto" w:fill="auto"/>
            <w:noWrap/>
            <w:vAlign w:val="bottom"/>
            <w:hideMark/>
          </w:tcPr>
          <w:p w14:paraId="2442B456" w14:textId="77777777" w:rsidR="0017331D" w:rsidRPr="00685B80" w:rsidRDefault="0017331D" w:rsidP="00BA5BA5">
            <w:pPr>
              <w:ind w:firstLineChars="100" w:firstLine="200"/>
              <w:rPr>
                <w:rFonts w:ascii="Arial" w:hAnsi="Arial" w:cs="Arial"/>
                <w:color w:val="000000"/>
                <w:lang w:val="es-MX" w:eastAsia="es-MX"/>
              </w:rPr>
            </w:pPr>
            <w:r w:rsidRPr="00685B80">
              <w:rPr>
                <w:rFonts w:ascii="Arial" w:hAnsi="Arial" w:cs="Arial"/>
                <w:color w:val="000000"/>
                <w:lang w:val="es-MX" w:eastAsia="es-MX"/>
              </w:rPr>
              <w:t>Colima</w:t>
            </w:r>
          </w:p>
        </w:tc>
        <w:tc>
          <w:tcPr>
            <w:tcW w:w="611" w:type="dxa"/>
            <w:tcBorders>
              <w:top w:val="nil"/>
              <w:left w:val="single" w:sz="4" w:space="0" w:color="auto"/>
              <w:bottom w:val="nil"/>
              <w:right w:val="nil"/>
            </w:tcBorders>
            <w:shd w:val="clear" w:color="auto" w:fill="auto"/>
            <w:noWrap/>
            <w:vAlign w:val="bottom"/>
            <w:hideMark/>
          </w:tcPr>
          <w:p w14:paraId="2E0D092E" w14:textId="77777777" w:rsidR="0017331D" w:rsidRPr="00685B80" w:rsidRDefault="0017331D" w:rsidP="00BA5BA5">
            <w:pPr>
              <w:jc w:val="right"/>
              <w:rPr>
                <w:rFonts w:ascii="Arial" w:hAnsi="Arial" w:cs="Arial"/>
                <w:color w:val="000000"/>
                <w:lang w:val="es-MX" w:eastAsia="es-MX"/>
              </w:rPr>
            </w:pPr>
          </w:p>
        </w:tc>
        <w:tc>
          <w:tcPr>
            <w:tcW w:w="814" w:type="dxa"/>
            <w:tcBorders>
              <w:top w:val="nil"/>
              <w:left w:val="nil"/>
              <w:bottom w:val="nil"/>
              <w:right w:val="single" w:sz="4" w:space="0" w:color="auto"/>
            </w:tcBorders>
            <w:shd w:val="clear" w:color="auto" w:fill="auto"/>
            <w:noWrap/>
            <w:vAlign w:val="bottom"/>
            <w:hideMark/>
          </w:tcPr>
          <w:p w14:paraId="4525FD8E" w14:textId="77777777" w:rsidR="0017331D" w:rsidRDefault="0017331D" w:rsidP="00BA5BA5">
            <w:pPr>
              <w:jc w:val="center"/>
              <w:rPr>
                <w:rFonts w:ascii="Arial" w:hAnsi="Arial" w:cs="Arial"/>
                <w:color w:val="000000"/>
              </w:rPr>
            </w:pPr>
            <w:r>
              <w:rPr>
                <w:rFonts w:ascii="Arial" w:hAnsi="Arial" w:cs="Arial"/>
                <w:color w:val="000000"/>
              </w:rPr>
              <w:t>2.5</w:t>
            </w:r>
          </w:p>
        </w:tc>
        <w:tc>
          <w:tcPr>
            <w:tcW w:w="666" w:type="dxa"/>
            <w:tcBorders>
              <w:top w:val="nil"/>
              <w:left w:val="nil"/>
              <w:bottom w:val="nil"/>
              <w:right w:val="nil"/>
            </w:tcBorders>
            <w:shd w:val="clear" w:color="auto" w:fill="auto"/>
            <w:noWrap/>
            <w:vAlign w:val="bottom"/>
            <w:hideMark/>
          </w:tcPr>
          <w:p w14:paraId="5D7D143D" w14:textId="77777777" w:rsidR="0017331D" w:rsidRPr="0048399B" w:rsidRDefault="0017331D" w:rsidP="00BA5BA5">
            <w:pPr>
              <w:jc w:val="right"/>
              <w:rPr>
                <w:rFonts w:ascii="Arial" w:hAnsi="Arial" w:cs="Arial"/>
                <w:color w:val="000000"/>
                <w:lang w:val="es-MX" w:eastAsia="es-MX"/>
              </w:rPr>
            </w:pPr>
          </w:p>
        </w:tc>
        <w:tc>
          <w:tcPr>
            <w:tcW w:w="814" w:type="dxa"/>
            <w:tcBorders>
              <w:top w:val="nil"/>
              <w:left w:val="nil"/>
              <w:bottom w:val="nil"/>
              <w:right w:val="single" w:sz="4" w:space="0" w:color="auto"/>
            </w:tcBorders>
            <w:shd w:val="clear" w:color="auto" w:fill="auto"/>
            <w:noWrap/>
            <w:vAlign w:val="bottom"/>
            <w:hideMark/>
          </w:tcPr>
          <w:p w14:paraId="227E5854" w14:textId="77777777" w:rsidR="0017331D" w:rsidRDefault="0017331D" w:rsidP="00BA5BA5">
            <w:pPr>
              <w:jc w:val="center"/>
              <w:rPr>
                <w:rFonts w:ascii="Arial" w:hAnsi="Arial" w:cs="Arial"/>
                <w:color w:val="000000"/>
              </w:rPr>
            </w:pPr>
            <w:r>
              <w:rPr>
                <w:rFonts w:ascii="Arial" w:hAnsi="Arial" w:cs="Arial"/>
                <w:color w:val="000000"/>
              </w:rPr>
              <w:t>3.6</w:t>
            </w:r>
          </w:p>
        </w:tc>
        <w:tc>
          <w:tcPr>
            <w:tcW w:w="634" w:type="dxa"/>
            <w:tcBorders>
              <w:top w:val="nil"/>
              <w:left w:val="nil"/>
              <w:bottom w:val="nil"/>
              <w:right w:val="nil"/>
            </w:tcBorders>
            <w:shd w:val="clear" w:color="auto" w:fill="auto"/>
            <w:noWrap/>
            <w:vAlign w:val="bottom"/>
            <w:hideMark/>
          </w:tcPr>
          <w:p w14:paraId="640F6521" w14:textId="77777777" w:rsidR="0017331D" w:rsidRPr="0048399B" w:rsidRDefault="0017331D" w:rsidP="00BA5BA5">
            <w:pPr>
              <w:jc w:val="right"/>
              <w:rPr>
                <w:rFonts w:ascii="Arial" w:hAnsi="Arial" w:cs="Arial"/>
                <w:color w:val="000000"/>
                <w:lang w:val="es-MX" w:eastAsia="es-MX"/>
              </w:rPr>
            </w:pPr>
            <w:r w:rsidRPr="0048399B">
              <w:rPr>
                <w:rFonts w:ascii="Arial" w:hAnsi="Arial" w:cs="Arial"/>
                <w:color w:val="000000"/>
                <w:lang w:val="es-MX" w:eastAsia="es-MX"/>
              </w:rPr>
              <w:t>(-)</w:t>
            </w:r>
          </w:p>
        </w:tc>
        <w:tc>
          <w:tcPr>
            <w:tcW w:w="814" w:type="dxa"/>
            <w:tcBorders>
              <w:top w:val="nil"/>
              <w:left w:val="nil"/>
              <w:bottom w:val="nil"/>
              <w:right w:val="single" w:sz="4" w:space="0" w:color="auto"/>
            </w:tcBorders>
            <w:shd w:val="clear" w:color="auto" w:fill="auto"/>
            <w:noWrap/>
            <w:vAlign w:val="bottom"/>
            <w:hideMark/>
          </w:tcPr>
          <w:p w14:paraId="3DA7A24B" w14:textId="77777777" w:rsidR="0017331D" w:rsidRDefault="0017331D" w:rsidP="00BA5BA5">
            <w:pPr>
              <w:jc w:val="center"/>
              <w:rPr>
                <w:rFonts w:ascii="Arial" w:hAnsi="Arial" w:cs="Arial"/>
                <w:color w:val="000000"/>
              </w:rPr>
            </w:pPr>
            <w:r>
              <w:rPr>
                <w:rFonts w:ascii="Arial" w:hAnsi="Arial" w:cs="Arial"/>
                <w:color w:val="000000"/>
              </w:rPr>
              <w:t>1.5</w:t>
            </w:r>
          </w:p>
        </w:tc>
        <w:tc>
          <w:tcPr>
            <w:tcW w:w="642" w:type="dxa"/>
            <w:tcBorders>
              <w:top w:val="nil"/>
              <w:left w:val="nil"/>
              <w:bottom w:val="nil"/>
              <w:right w:val="nil"/>
            </w:tcBorders>
            <w:shd w:val="clear" w:color="auto" w:fill="auto"/>
            <w:noWrap/>
            <w:vAlign w:val="bottom"/>
            <w:hideMark/>
          </w:tcPr>
          <w:p w14:paraId="6309E206" w14:textId="77777777" w:rsidR="0017331D" w:rsidRPr="0048399B" w:rsidRDefault="0017331D" w:rsidP="00BA5BA5">
            <w:pPr>
              <w:jc w:val="right"/>
              <w:rPr>
                <w:rFonts w:ascii="Arial" w:hAnsi="Arial" w:cs="Arial"/>
                <w:color w:val="000000"/>
                <w:lang w:val="es-MX" w:eastAsia="es-MX"/>
              </w:rPr>
            </w:pPr>
            <w:r w:rsidRPr="0048399B">
              <w:rPr>
                <w:rFonts w:ascii="Arial" w:hAnsi="Arial" w:cs="Arial"/>
                <w:color w:val="000000"/>
                <w:lang w:val="es-MX" w:eastAsia="es-MX"/>
              </w:rPr>
              <w:t> </w:t>
            </w:r>
          </w:p>
        </w:tc>
        <w:tc>
          <w:tcPr>
            <w:tcW w:w="703" w:type="dxa"/>
            <w:tcBorders>
              <w:top w:val="nil"/>
              <w:left w:val="nil"/>
              <w:bottom w:val="nil"/>
              <w:right w:val="single" w:sz="4" w:space="0" w:color="auto"/>
            </w:tcBorders>
            <w:shd w:val="clear" w:color="auto" w:fill="auto"/>
            <w:noWrap/>
            <w:vAlign w:val="bottom"/>
            <w:hideMark/>
          </w:tcPr>
          <w:p w14:paraId="0D30E4A9" w14:textId="77777777" w:rsidR="0017331D" w:rsidRDefault="0017331D" w:rsidP="00BA5BA5">
            <w:pPr>
              <w:rPr>
                <w:rFonts w:ascii="Arial" w:hAnsi="Arial" w:cs="Arial"/>
                <w:color w:val="000000"/>
              </w:rPr>
            </w:pPr>
            <w:r>
              <w:rPr>
                <w:rFonts w:ascii="Arial" w:hAnsi="Arial" w:cs="Arial"/>
                <w:color w:val="000000"/>
              </w:rPr>
              <w:t>3.8</w:t>
            </w:r>
          </w:p>
        </w:tc>
      </w:tr>
      <w:tr w:rsidR="0017331D" w:rsidRPr="00685B80" w14:paraId="00BF6A06" w14:textId="77777777" w:rsidTr="00BA5BA5">
        <w:trPr>
          <w:trHeight w:val="255"/>
        </w:trPr>
        <w:tc>
          <w:tcPr>
            <w:tcW w:w="3108" w:type="dxa"/>
            <w:tcBorders>
              <w:top w:val="nil"/>
              <w:left w:val="single" w:sz="4" w:space="0" w:color="auto"/>
              <w:bottom w:val="nil"/>
              <w:right w:val="nil"/>
            </w:tcBorders>
            <w:shd w:val="clear" w:color="auto" w:fill="auto"/>
            <w:noWrap/>
            <w:vAlign w:val="bottom"/>
            <w:hideMark/>
          </w:tcPr>
          <w:p w14:paraId="2FEF2846" w14:textId="77777777" w:rsidR="0017331D" w:rsidRPr="00685B80" w:rsidRDefault="0017331D" w:rsidP="00BA5BA5">
            <w:pPr>
              <w:ind w:firstLineChars="100" w:firstLine="200"/>
              <w:rPr>
                <w:rFonts w:ascii="Arial" w:hAnsi="Arial" w:cs="Arial"/>
                <w:color w:val="000000"/>
                <w:lang w:val="es-MX" w:eastAsia="es-MX"/>
              </w:rPr>
            </w:pPr>
            <w:r w:rsidRPr="00685B80">
              <w:rPr>
                <w:rFonts w:ascii="Arial" w:hAnsi="Arial" w:cs="Arial"/>
                <w:color w:val="000000"/>
                <w:lang w:val="es-MX" w:eastAsia="es-MX"/>
              </w:rPr>
              <w:t>Chiapas</w:t>
            </w:r>
          </w:p>
        </w:tc>
        <w:tc>
          <w:tcPr>
            <w:tcW w:w="611" w:type="dxa"/>
            <w:tcBorders>
              <w:top w:val="nil"/>
              <w:left w:val="single" w:sz="4" w:space="0" w:color="auto"/>
              <w:bottom w:val="nil"/>
              <w:right w:val="nil"/>
            </w:tcBorders>
            <w:shd w:val="clear" w:color="auto" w:fill="auto"/>
            <w:noWrap/>
            <w:vAlign w:val="bottom"/>
            <w:hideMark/>
          </w:tcPr>
          <w:p w14:paraId="04E8E27F" w14:textId="77777777" w:rsidR="0017331D" w:rsidRPr="00685B80" w:rsidRDefault="0017331D" w:rsidP="00BA5BA5">
            <w:pPr>
              <w:jc w:val="center"/>
              <w:rPr>
                <w:rFonts w:ascii="Arial" w:hAnsi="Arial" w:cs="Arial"/>
                <w:color w:val="000000"/>
                <w:lang w:val="es-MX" w:eastAsia="es-MX"/>
              </w:rPr>
            </w:pPr>
            <w:r>
              <w:rPr>
                <w:rFonts w:ascii="Arial" w:hAnsi="Arial" w:cs="Arial"/>
                <w:color w:val="000000"/>
                <w:lang w:val="es-MX" w:eastAsia="es-MX"/>
              </w:rPr>
              <w:t xml:space="preserve">  </w:t>
            </w:r>
            <w:r w:rsidRPr="00685B80">
              <w:rPr>
                <w:rFonts w:ascii="Arial" w:hAnsi="Arial" w:cs="Arial"/>
                <w:color w:val="000000"/>
                <w:lang w:val="es-MX" w:eastAsia="es-MX"/>
              </w:rPr>
              <w:t>(-)</w:t>
            </w:r>
            <w:r>
              <w:rPr>
                <w:rFonts w:ascii="Arial" w:hAnsi="Arial" w:cs="Arial"/>
                <w:color w:val="000000"/>
                <w:lang w:val="es-MX" w:eastAsia="es-MX"/>
              </w:rPr>
              <w:t xml:space="preserve"> </w:t>
            </w:r>
          </w:p>
        </w:tc>
        <w:tc>
          <w:tcPr>
            <w:tcW w:w="814" w:type="dxa"/>
            <w:tcBorders>
              <w:top w:val="nil"/>
              <w:left w:val="nil"/>
              <w:bottom w:val="nil"/>
              <w:right w:val="single" w:sz="4" w:space="0" w:color="auto"/>
            </w:tcBorders>
            <w:shd w:val="clear" w:color="auto" w:fill="auto"/>
            <w:noWrap/>
            <w:vAlign w:val="bottom"/>
            <w:hideMark/>
          </w:tcPr>
          <w:p w14:paraId="7545C62D" w14:textId="77777777" w:rsidR="0017331D" w:rsidRDefault="0017331D" w:rsidP="00BA5BA5">
            <w:pPr>
              <w:jc w:val="center"/>
              <w:rPr>
                <w:rFonts w:ascii="Arial" w:hAnsi="Arial" w:cs="Arial"/>
                <w:color w:val="000000"/>
              </w:rPr>
            </w:pPr>
            <w:r>
              <w:rPr>
                <w:rFonts w:ascii="Arial" w:hAnsi="Arial" w:cs="Arial"/>
                <w:color w:val="000000"/>
              </w:rPr>
              <w:t>2.1</w:t>
            </w:r>
          </w:p>
        </w:tc>
        <w:tc>
          <w:tcPr>
            <w:tcW w:w="666" w:type="dxa"/>
            <w:tcBorders>
              <w:top w:val="nil"/>
              <w:left w:val="nil"/>
              <w:bottom w:val="nil"/>
              <w:right w:val="nil"/>
            </w:tcBorders>
            <w:shd w:val="clear" w:color="auto" w:fill="auto"/>
            <w:noWrap/>
            <w:vAlign w:val="bottom"/>
            <w:hideMark/>
          </w:tcPr>
          <w:p w14:paraId="10D0945A" w14:textId="77777777" w:rsidR="0017331D" w:rsidRPr="0048399B" w:rsidRDefault="0017331D" w:rsidP="00BA5BA5">
            <w:pPr>
              <w:jc w:val="right"/>
              <w:rPr>
                <w:rFonts w:ascii="Arial" w:hAnsi="Arial" w:cs="Arial"/>
                <w:color w:val="000000"/>
                <w:lang w:val="es-MX" w:eastAsia="es-MX"/>
              </w:rPr>
            </w:pPr>
            <w:r w:rsidRPr="0048399B">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2CD7F8AB" w14:textId="77777777" w:rsidR="0017331D" w:rsidRDefault="0017331D" w:rsidP="00BA5BA5">
            <w:pPr>
              <w:jc w:val="center"/>
              <w:rPr>
                <w:rFonts w:ascii="Arial" w:hAnsi="Arial" w:cs="Arial"/>
                <w:color w:val="000000"/>
              </w:rPr>
            </w:pPr>
            <w:r>
              <w:rPr>
                <w:rFonts w:ascii="Arial" w:hAnsi="Arial" w:cs="Arial"/>
                <w:color w:val="000000"/>
              </w:rPr>
              <w:t>1.1</w:t>
            </w:r>
          </w:p>
        </w:tc>
        <w:tc>
          <w:tcPr>
            <w:tcW w:w="634" w:type="dxa"/>
            <w:tcBorders>
              <w:top w:val="nil"/>
              <w:left w:val="nil"/>
              <w:bottom w:val="nil"/>
              <w:right w:val="nil"/>
            </w:tcBorders>
            <w:shd w:val="clear" w:color="auto" w:fill="auto"/>
            <w:noWrap/>
            <w:vAlign w:val="bottom"/>
            <w:hideMark/>
          </w:tcPr>
          <w:p w14:paraId="746B85E5" w14:textId="77777777" w:rsidR="0017331D" w:rsidRPr="00685B80" w:rsidRDefault="0017331D" w:rsidP="00BA5BA5">
            <w:pPr>
              <w:jc w:val="right"/>
              <w:rPr>
                <w:rFonts w:ascii="Arial" w:hAnsi="Arial" w:cs="Arial"/>
                <w:color w:val="000000"/>
                <w:lang w:val="es-MX" w:eastAsia="es-MX"/>
              </w:rPr>
            </w:pPr>
            <w:r w:rsidRPr="00685B80">
              <w:rPr>
                <w:rFonts w:ascii="Arial" w:hAnsi="Arial" w:cs="Arial"/>
                <w:color w:val="000000"/>
                <w:lang w:val="es-MX" w:eastAsia="es-MX"/>
              </w:rPr>
              <w:t>(-)</w:t>
            </w:r>
          </w:p>
        </w:tc>
        <w:tc>
          <w:tcPr>
            <w:tcW w:w="814" w:type="dxa"/>
            <w:tcBorders>
              <w:top w:val="nil"/>
              <w:left w:val="nil"/>
              <w:bottom w:val="nil"/>
              <w:right w:val="single" w:sz="4" w:space="0" w:color="auto"/>
            </w:tcBorders>
            <w:shd w:val="clear" w:color="auto" w:fill="auto"/>
            <w:noWrap/>
            <w:vAlign w:val="bottom"/>
            <w:hideMark/>
          </w:tcPr>
          <w:p w14:paraId="5BFC90DC" w14:textId="77777777" w:rsidR="0017331D" w:rsidRDefault="0017331D" w:rsidP="00BA5BA5">
            <w:pPr>
              <w:rPr>
                <w:rFonts w:ascii="Arial" w:hAnsi="Arial" w:cs="Arial"/>
                <w:color w:val="000000"/>
              </w:rPr>
            </w:pPr>
            <w:r>
              <w:rPr>
                <w:rFonts w:ascii="Arial" w:hAnsi="Arial" w:cs="Arial"/>
                <w:color w:val="000000"/>
              </w:rPr>
              <w:t xml:space="preserve">  11.2</w:t>
            </w:r>
          </w:p>
        </w:tc>
        <w:tc>
          <w:tcPr>
            <w:tcW w:w="642" w:type="dxa"/>
            <w:tcBorders>
              <w:top w:val="nil"/>
              <w:left w:val="nil"/>
              <w:bottom w:val="nil"/>
              <w:right w:val="nil"/>
            </w:tcBorders>
            <w:shd w:val="clear" w:color="auto" w:fill="auto"/>
            <w:noWrap/>
            <w:vAlign w:val="bottom"/>
            <w:hideMark/>
          </w:tcPr>
          <w:p w14:paraId="034E2CB4" w14:textId="77777777" w:rsidR="0017331D" w:rsidRPr="0048399B" w:rsidRDefault="0017331D" w:rsidP="00BA5BA5">
            <w:pPr>
              <w:jc w:val="right"/>
              <w:rPr>
                <w:rFonts w:ascii="Arial" w:hAnsi="Arial" w:cs="Arial"/>
                <w:color w:val="000000"/>
                <w:lang w:val="es-MX" w:eastAsia="es-MX"/>
              </w:rPr>
            </w:pPr>
            <w:r w:rsidRPr="0048399B">
              <w:rPr>
                <w:rFonts w:ascii="Arial" w:hAnsi="Arial" w:cs="Arial"/>
                <w:color w:val="000000"/>
                <w:lang w:val="es-MX" w:eastAsia="es-MX"/>
              </w:rPr>
              <w:t> </w:t>
            </w:r>
          </w:p>
        </w:tc>
        <w:tc>
          <w:tcPr>
            <w:tcW w:w="703" w:type="dxa"/>
            <w:tcBorders>
              <w:top w:val="nil"/>
              <w:left w:val="nil"/>
              <w:bottom w:val="nil"/>
              <w:right w:val="single" w:sz="4" w:space="0" w:color="auto"/>
            </w:tcBorders>
            <w:shd w:val="clear" w:color="auto" w:fill="auto"/>
            <w:noWrap/>
            <w:vAlign w:val="bottom"/>
            <w:hideMark/>
          </w:tcPr>
          <w:p w14:paraId="6915B4A1" w14:textId="77777777" w:rsidR="0017331D" w:rsidRDefault="0017331D" w:rsidP="00BA5BA5">
            <w:pPr>
              <w:rPr>
                <w:rFonts w:ascii="Arial" w:hAnsi="Arial" w:cs="Arial"/>
                <w:color w:val="000000"/>
              </w:rPr>
            </w:pPr>
            <w:r>
              <w:rPr>
                <w:rFonts w:ascii="Arial" w:hAnsi="Arial" w:cs="Arial"/>
                <w:color w:val="000000"/>
              </w:rPr>
              <w:t>0.2</w:t>
            </w:r>
          </w:p>
        </w:tc>
      </w:tr>
      <w:tr w:rsidR="0017331D" w:rsidRPr="00685B80" w14:paraId="4C80E9E8" w14:textId="77777777" w:rsidTr="00BA5BA5">
        <w:trPr>
          <w:trHeight w:val="255"/>
        </w:trPr>
        <w:tc>
          <w:tcPr>
            <w:tcW w:w="3108" w:type="dxa"/>
            <w:tcBorders>
              <w:top w:val="nil"/>
              <w:left w:val="single" w:sz="4" w:space="0" w:color="auto"/>
              <w:bottom w:val="nil"/>
              <w:right w:val="nil"/>
            </w:tcBorders>
            <w:shd w:val="clear" w:color="auto" w:fill="auto"/>
            <w:noWrap/>
            <w:vAlign w:val="bottom"/>
            <w:hideMark/>
          </w:tcPr>
          <w:p w14:paraId="4A531104" w14:textId="77777777" w:rsidR="0017331D" w:rsidRPr="00685B80" w:rsidRDefault="0017331D" w:rsidP="00BA5BA5">
            <w:pPr>
              <w:ind w:firstLineChars="100" w:firstLine="200"/>
              <w:rPr>
                <w:rFonts w:ascii="Arial" w:hAnsi="Arial" w:cs="Arial"/>
                <w:color w:val="000000"/>
                <w:lang w:val="es-MX" w:eastAsia="es-MX"/>
              </w:rPr>
            </w:pPr>
            <w:r w:rsidRPr="00685B80">
              <w:rPr>
                <w:rFonts w:ascii="Arial" w:hAnsi="Arial" w:cs="Arial"/>
                <w:color w:val="000000"/>
                <w:lang w:val="es-MX" w:eastAsia="es-MX"/>
              </w:rPr>
              <w:t>Chihuahua</w:t>
            </w:r>
          </w:p>
        </w:tc>
        <w:tc>
          <w:tcPr>
            <w:tcW w:w="611" w:type="dxa"/>
            <w:tcBorders>
              <w:top w:val="nil"/>
              <w:left w:val="single" w:sz="4" w:space="0" w:color="auto"/>
              <w:bottom w:val="nil"/>
              <w:right w:val="nil"/>
            </w:tcBorders>
            <w:shd w:val="clear" w:color="auto" w:fill="auto"/>
            <w:noWrap/>
            <w:vAlign w:val="bottom"/>
            <w:hideMark/>
          </w:tcPr>
          <w:p w14:paraId="6FC0A011" w14:textId="77777777" w:rsidR="0017331D" w:rsidRPr="00685B80" w:rsidRDefault="0017331D" w:rsidP="00BA5BA5">
            <w:pPr>
              <w:jc w:val="right"/>
              <w:rPr>
                <w:rFonts w:ascii="Arial" w:hAnsi="Arial" w:cs="Arial"/>
                <w:color w:val="000000"/>
                <w:lang w:val="es-MX" w:eastAsia="es-MX"/>
              </w:rPr>
            </w:pPr>
            <w:r w:rsidRPr="00685B80">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4BC99AC5" w14:textId="77777777" w:rsidR="0017331D" w:rsidRDefault="0017331D" w:rsidP="00BA5BA5">
            <w:pPr>
              <w:jc w:val="center"/>
              <w:rPr>
                <w:rFonts w:ascii="Arial" w:hAnsi="Arial" w:cs="Arial"/>
                <w:color w:val="000000"/>
              </w:rPr>
            </w:pPr>
            <w:r>
              <w:rPr>
                <w:rFonts w:ascii="Arial" w:hAnsi="Arial" w:cs="Arial"/>
                <w:color w:val="000000"/>
              </w:rPr>
              <w:t>1.6</w:t>
            </w:r>
          </w:p>
        </w:tc>
        <w:tc>
          <w:tcPr>
            <w:tcW w:w="666" w:type="dxa"/>
            <w:tcBorders>
              <w:top w:val="nil"/>
              <w:left w:val="nil"/>
              <w:bottom w:val="nil"/>
              <w:right w:val="nil"/>
            </w:tcBorders>
            <w:shd w:val="clear" w:color="auto" w:fill="auto"/>
            <w:noWrap/>
            <w:vAlign w:val="bottom"/>
            <w:hideMark/>
          </w:tcPr>
          <w:p w14:paraId="1043554E" w14:textId="77777777" w:rsidR="0017331D" w:rsidRPr="0048399B" w:rsidRDefault="0017331D" w:rsidP="00BA5BA5">
            <w:pPr>
              <w:jc w:val="right"/>
              <w:rPr>
                <w:rFonts w:ascii="Arial" w:hAnsi="Arial" w:cs="Arial"/>
                <w:color w:val="000000"/>
                <w:lang w:val="es-MX" w:eastAsia="es-MX"/>
              </w:rPr>
            </w:pPr>
          </w:p>
        </w:tc>
        <w:tc>
          <w:tcPr>
            <w:tcW w:w="814" w:type="dxa"/>
            <w:tcBorders>
              <w:top w:val="nil"/>
              <w:left w:val="nil"/>
              <w:bottom w:val="nil"/>
              <w:right w:val="single" w:sz="4" w:space="0" w:color="auto"/>
            </w:tcBorders>
            <w:shd w:val="clear" w:color="auto" w:fill="auto"/>
            <w:noWrap/>
            <w:vAlign w:val="bottom"/>
            <w:hideMark/>
          </w:tcPr>
          <w:p w14:paraId="022C4DBB" w14:textId="77777777" w:rsidR="0017331D" w:rsidRDefault="0017331D" w:rsidP="00BA5BA5">
            <w:pPr>
              <w:jc w:val="center"/>
              <w:rPr>
                <w:rFonts w:ascii="Arial" w:hAnsi="Arial" w:cs="Arial"/>
                <w:color w:val="000000"/>
              </w:rPr>
            </w:pPr>
            <w:r>
              <w:rPr>
                <w:rFonts w:ascii="Arial" w:hAnsi="Arial" w:cs="Arial"/>
                <w:color w:val="000000"/>
              </w:rPr>
              <w:t>3.3</w:t>
            </w:r>
          </w:p>
        </w:tc>
        <w:tc>
          <w:tcPr>
            <w:tcW w:w="634" w:type="dxa"/>
            <w:tcBorders>
              <w:top w:val="nil"/>
              <w:left w:val="nil"/>
              <w:bottom w:val="nil"/>
              <w:right w:val="nil"/>
            </w:tcBorders>
            <w:shd w:val="clear" w:color="auto" w:fill="auto"/>
            <w:noWrap/>
            <w:vAlign w:val="bottom"/>
            <w:hideMark/>
          </w:tcPr>
          <w:p w14:paraId="78AEC1D7" w14:textId="77777777" w:rsidR="0017331D" w:rsidRPr="00685B80" w:rsidRDefault="0017331D" w:rsidP="00BA5BA5">
            <w:pPr>
              <w:jc w:val="right"/>
              <w:rPr>
                <w:rFonts w:ascii="Arial" w:hAnsi="Arial" w:cs="Arial"/>
                <w:color w:val="000000"/>
                <w:lang w:val="es-MX" w:eastAsia="es-MX"/>
              </w:rPr>
            </w:pPr>
            <w:r w:rsidRPr="00685B80">
              <w:rPr>
                <w:rFonts w:ascii="Arial" w:hAnsi="Arial" w:cs="Arial"/>
                <w:color w:val="000000"/>
                <w:lang w:val="es-MX" w:eastAsia="es-MX"/>
              </w:rPr>
              <w:t>(-)</w:t>
            </w:r>
          </w:p>
        </w:tc>
        <w:tc>
          <w:tcPr>
            <w:tcW w:w="814" w:type="dxa"/>
            <w:tcBorders>
              <w:top w:val="nil"/>
              <w:left w:val="nil"/>
              <w:bottom w:val="nil"/>
              <w:right w:val="single" w:sz="4" w:space="0" w:color="auto"/>
            </w:tcBorders>
            <w:shd w:val="clear" w:color="auto" w:fill="auto"/>
            <w:noWrap/>
            <w:vAlign w:val="bottom"/>
            <w:hideMark/>
          </w:tcPr>
          <w:p w14:paraId="634F5D2D" w14:textId="77777777" w:rsidR="0017331D" w:rsidRDefault="0017331D" w:rsidP="00BA5BA5">
            <w:pPr>
              <w:jc w:val="center"/>
              <w:rPr>
                <w:rFonts w:ascii="Arial" w:hAnsi="Arial" w:cs="Arial"/>
                <w:color w:val="000000"/>
              </w:rPr>
            </w:pPr>
            <w:r>
              <w:rPr>
                <w:rFonts w:ascii="Arial" w:hAnsi="Arial" w:cs="Arial"/>
                <w:color w:val="000000"/>
              </w:rPr>
              <w:t>0.6</w:t>
            </w:r>
          </w:p>
        </w:tc>
        <w:tc>
          <w:tcPr>
            <w:tcW w:w="642" w:type="dxa"/>
            <w:tcBorders>
              <w:top w:val="nil"/>
              <w:left w:val="nil"/>
              <w:bottom w:val="nil"/>
              <w:right w:val="nil"/>
            </w:tcBorders>
            <w:shd w:val="clear" w:color="auto" w:fill="auto"/>
            <w:noWrap/>
            <w:vAlign w:val="bottom"/>
            <w:hideMark/>
          </w:tcPr>
          <w:p w14:paraId="76B672DE" w14:textId="77777777" w:rsidR="0017331D" w:rsidRPr="0048399B" w:rsidRDefault="0017331D" w:rsidP="00BA5BA5">
            <w:pPr>
              <w:jc w:val="right"/>
              <w:rPr>
                <w:rFonts w:ascii="Arial" w:hAnsi="Arial" w:cs="Arial"/>
                <w:color w:val="000000"/>
                <w:lang w:val="es-MX" w:eastAsia="es-MX"/>
              </w:rPr>
            </w:pPr>
            <w:r w:rsidRPr="0048399B">
              <w:rPr>
                <w:rFonts w:ascii="Arial" w:hAnsi="Arial" w:cs="Arial"/>
                <w:color w:val="000000"/>
                <w:lang w:val="es-MX" w:eastAsia="es-MX"/>
              </w:rPr>
              <w:t> </w:t>
            </w:r>
          </w:p>
        </w:tc>
        <w:tc>
          <w:tcPr>
            <w:tcW w:w="703" w:type="dxa"/>
            <w:tcBorders>
              <w:top w:val="nil"/>
              <w:left w:val="nil"/>
              <w:bottom w:val="nil"/>
              <w:right w:val="single" w:sz="4" w:space="0" w:color="auto"/>
            </w:tcBorders>
            <w:shd w:val="clear" w:color="auto" w:fill="auto"/>
            <w:noWrap/>
            <w:vAlign w:val="bottom"/>
            <w:hideMark/>
          </w:tcPr>
          <w:p w14:paraId="5061A196" w14:textId="77777777" w:rsidR="0017331D" w:rsidRDefault="0017331D" w:rsidP="00BA5BA5">
            <w:pPr>
              <w:rPr>
                <w:rFonts w:ascii="Arial" w:hAnsi="Arial" w:cs="Arial"/>
                <w:color w:val="000000"/>
              </w:rPr>
            </w:pPr>
            <w:r>
              <w:rPr>
                <w:rFonts w:ascii="Arial" w:hAnsi="Arial" w:cs="Arial"/>
                <w:color w:val="000000"/>
              </w:rPr>
              <w:t>3.1</w:t>
            </w:r>
          </w:p>
        </w:tc>
      </w:tr>
      <w:tr w:rsidR="0017331D" w:rsidRPr="00685B80" w14:paraId="4B6EDFB7" w14:textId="77777777" w:rsidTr="00BA5BA5">
        <w:trPr>
          <w:trHeight w:val="255"/>
        </w:trPr>
        <w:tc>
          <w:tcPr>
            <w:tcW w:w="3108" w:type="dxa"/>
            <w:tcBorders>
              <w:top w:val="nil"/>
              <w:left w:val="single" w:sz="4" w:space="0" w:color="auto"/>
              <w:bottom w:val="nil"/>
              <w:right w:val="nil"/>
            </w:tcBorders>
            <w:shd w:val="clear" w:color="auto" w:fill="auto"/>
            <w:noWrap/>
            <w:vAlign w:val="bottom"/>
            <w:hideMark/>
          </w:tcPr>
          <w:p w14:paraId="089A5123" w14:textId="77777777" w:rsidR="0017331D" w:rsidRPr="00685B80" w:rsidRDefault="0017331D" w:rsidP="00BA5BA5">
            <w:pPr>
              <w:ind w:firstLineChars="100" w:firstLine="200"/>
              <w:rPr>
                <w:rFonts w:ascii="Arial" w:hAnsi="Arial" w:cs="Arial"/>
                <w:color w:val="000000"/>
                <w:lang w:val="es-MX" w:eastAsia="es-MX"/>
              </w:rPr>
            </w:pPr>
            <w:r w:rsidRPr="00685B80">
              <w:rPr>
                <w:rFonts w:ascii="Arial" w:hAnsi="Arial" w:cs="Arial"/>
                <w:color w:val="000000"/>
                <w:lang w:val="es-MX" w:eastAsia="es-MX"/>
              </w:rPr>
              <w:t>Ciudad de México</w:t>
            </w:r>
          </w:p>
        </w:tc>
        <w:tc>
          <w:tcPr>
            <w:tcW w:w="611" w:type="dxa"/>
            <w:tcBorders>
              <w:top w:val="nil"/>
              <w:left w:val="single" w:sz="4" w:space="0" w:color="auto"/>
              <w:bottom w:val="nil"/>
              <w:right w:val="nil"/>
            </w:tcBorders>
            <w:shd w:val="clear" w:color="auto" w:fill="auto"/>
            <w:noWrap/>
            <w:vAlign w:val="bottom"/>
            <w:hideMark/>
          </w:tcPr>
          <w:p w14:paraId="232755C0" w14:textId="77777777" w:rsidR="0017331D" w:rsidRPr="00685B80" w:rsidRDefault="0017331D" w:rsidP="00BA5BA5">
            <w:pPr>
              <w:jc w:val="right"/>
              <w:rPr>
                <w:rFonts w:ascii="Arial" w:hAnsi="Arial" w:cs="Arial"/>
                <w:color w:val="000000"/>
                <w:lang w:val="es-MX" w:eastAsia="es-MX"/>
              </w:rPr>
            </w:pPr>
          </w:p>
        </w:tc>
        <w:tc>
          <w:tcPr>
            <w:tcW w:w="814" w:type="dxa"/>
            <w:tcBorders>
              <w:top w:val="nil"/>
              <w:left w:val="nil"/>
              <w:bottom w:val="nil"/>
              <w:right w:val="single" w:sz="4" w:space="0" w:color="auto"/>
            </w:tcBorders>
            <w:shd w:val="clear" w:color="auto" w:fill="auto"/>
            <w:noWrap/>
            <w:vAlign w:val="bottom"/>
            <w:hideMark/>
          </w:tcPr>
          <w:p w14:paraId="37117CC5" w14:textId="77777777" w:rsidR="0017331D" w:rsidRDefault="0017331D" w:rsidP="00BA5BA5">
            <w:pPr>
              <w:jc w:val="center"/>
              <w:rPr>
                <w:rFonts w:ascii="Arial" w:hAnsi="Arial" w:cs="Arial"/>
                <w:color w:val="000000"/>
              </w:rPr>
            </w:pPr>
            <w:r>
              <w:rPr>
                <w:rFonts w:ascii="Arial" w:hAnsi="Arial" w:cs="Arial"/>
                <w:color w:val="000000"/>
              </w:rPr>
              <w:t>2.7</w:t>
            </w:r>
          </w:p>
        </w:tc>
        <w:tc>
          <w:tcPr>
            <w:tcW w:w="666" w:type="dxa"/>
            <w:tcBorders>
              <w:top w:val="nil"/>
              <w:left w:val="nil"/>
              <w:bottom w:val="nil"/>
              <w:right w:val="nil"/>
            </w:tcBorders>
            <w:shd w:val="clear" w:color="auto" w:fill="auto"/>
            <w:noWrap/>
            <w:vAlign w:val="bottom"/>
            <w:hideMark/>
          </w:tcPr>
          <w:p w14:paraId="34EC5920" w14:textId="77777777" w:rsidR="0017331D" w:rsidRPr="0048399B" w:rsidRDefault="0017331D" w:rsidP="00BA5BA5">
            <w:pPr>
              <w:jc w:val="right"/>
              <w:rPr>
                <w:rFonts w:ascii="Arial" w:hAnsi="Arial" w:cs="Arial"/>
                <w:color w:val="000000"/>
                <w:lang w:val="es-MX" w:eastAsia="es-MX"/>
              </w:rPr>
            </w:pPr>
            <w:r w:rsidRPr="0048399B">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6A23E602" w14:textId="77777777" w:rsidR="0017331D" w:rsidRDefault="0017331D" w:rsidP="00BA5BA5">
            <w:pPr>
              <w:jc w:val="center"/>
              <w:rPr>
                <w:rFonts w:ascii="Arial" w:hAnsi="Arial" w:cs="Arial"/>
                <w:color w:val="000000"/>
              </w:rPr>
            </w:pPr>
            <w:r>
              <w:rPr>
                <w:rFonts w:ascii="Arial" w:hAnsi="Arial" w:cs="Arial"/>
                <w:color w:val="000000"/>
              </w:rPr>
              <w:t>4.1</w:t>
            </w:r>
          </w:p>
        </w:tc>
        <w:tc>
          <w:tcPr>
            <w:tcW w:w="634" w:type="dxa"/>
            <w:tcBorders>
              <w:top w:val="nil"/>
              <w:left w:val="nil"/>
              <w:bottom w:val="nil"/>
              <w:right w:val="nil"/>
            </w:tcBorders>
            <w:shd w:val="clear" w:color="auto" w:fill="auto"/>
            <w:noWrap/>
            <w:vAlign w:val="bottom"/>
            <w:hideMark/>
          </w:tcPr>
          <w:p w14:paraId="7E3BBC34" w14:textId="77777777" w:rsidR="0017331D" w:rsidRPr="0048399B" w:rsidRDefault="0017331D" w:rsidP="00BA5BA5">
            <w:pPr>
              <w:jc w:val="right"/>
              <w:rPr>
                <w:rFonts w:ascii="Arial" w:hAnsi="Arial" w:cs="Arial"/>
                <w:color w:val="000000"/>
                <w:lang w:val="es-MX" w:eastAsia="es-MX"/>
              </w:rPr>
            </w:pPr>
          </w:p>
        </w:tc>
        <w:tc>
          <w:tcPr>
            <w:tcW w:w="814" w:type="dxa"/>
            <w:tcBorders>
              <w:top w:val="nil"/>
              <w:left w:val="nil"/>
              <w:bottom w:val="nil"/>
              <w:right w:val="single" w:sz="4" w:space="0" w:color="auto"/>
            </w:tcBorders>
            <w:shd w:val="clear" w:color="auto" w:fill="auto"/>
            <w:noWrap/>
            <w:vAlign w:val="bottom"/>
            <w:hideMark/>
          </w:tcPr>
          <w:p w14:paraId="54B02328" w14:textId="77777777" w:rsidR="0017331D" w:rsidRDefault="0017331D" w:rsidP="00BA5BA5">
            <w:pPr>
              <w:jc w:val="center"/>
              <w:rPr>
                <w:rFonts w:ascii="Arial" w:hAnsi="Arial" w:cs="Arial"/>
                <w:color w:val="000000"/>
              </w:rPr>
            </w:pPr>
            <w:r>
              <w:rPr>
                <w:rFonts w:ascii="Arial" w:hAnsi="Arial" w:cs="Arial"/>
                <w:color w:val="000000"/>
              </w:rPr>
              <w:t>0.6</w:t>
            </w:r>
          </w:p>
        </w:tc>
        <w:tc>
          <w:tcPr>
            <w:tcW w:w="642" w:type="dxa"/>
            <w:tcBorders>
              <w:top w:val="nil"/>
              <w:left w:val="nil"/>
              <w:bottom w:val="nil"/>
              <w:right w:val="nil"/>
            </w:tcBorders>
            <w:shd w:val="clear" w:color="auto" w:fill="auto"/>
            <w:noWrap/>
            <w:vAlign w:val="bottom"/>
            <w:hideMark/>
          </w:tcPr>
          <w:p w14:paraId="04419093" w14:textId="77777777" w:rsidR="0017331D" w:rsidRPr="0048399B" w:rsidRDefault="0017331D" w:rsidP="00BA5BA5">
            <w:pPr>
              <w:jc w:val="right"/>
              <w:rPr>
                <w:rFonts w:ascii="Arial" w:hAnsi="Arial" w:cs="Arial"/>
                <w:color w:val="000000"/>
                <w:lang w:val="es-MX" w:eastAsia="es-MX"/>
              </w:rPr>
            </w:pPr>
          </w:p>
        </w:tc>
        <w:tc>
          <w:tcPr>
            <w:tcW w:w="703" w:type="dxa"/>
            <w:tcBorders>
              <w:top w:val="nil"/>
              <w:left w:val="nil"/>
              <w:bottom w:val="nil"/>
              <w:right w:val="single" w:sz="4" w:space="0" w:color="auto"/>
            </w:tcBorders>
            <w:shd w:val="clear" w:color="auto" w:fill="auto"/>
            <w:noWrap/>
            <w:vAlign w:val="bottom"/>
            <w:hideMark/>
          </w:tcPr>
          <w:p w14:paraId="6253FF1D" w14:textId="77777777" w:rsidR="0017331D" w:rsidRDefault="0017331D" w:rsidP="00BA5BA5">
            <w:pPr>
              <w:rPr>
                <w:rFonts w:ascii="Arial" w:hAnsi="Arial" w:cs="Arial"/>
                <w:color w:val="000000"/>
              </w:rPr>
            </w:pPr>
            <w:r>
              <w:rPr>
                <w:rFonts w:ascii="Arial" w:hAnsi="Arial" w:cs="Arial"/>
                <w:color w:val="000000"/>
              </w:rPr>
              <w:t>2.9</w:t>
            </w:r>
          </w:p>
        </w:tc>
      </w:tr>
      <w:tr w:rsidR="0017331D" w:rsidRPr="00685B80" w14:paraId="3F6096FC" w14:textId="77777777" w:rsidTr="00BA5BA5">
        <w:trPr>
          <w:trHeight w:val="255"/>
        </w:trPr>
        <w:tc>
          <w:tcPr>
            <w:tcW w:w="3108" w:type="dxa"/>
            <w:tcBorders>
              <w:top w:val="nil"/>
              <w:left w:val="single" w:sz="4" w:space="0" w:color="auto"/>
              <w:bottom w:val="nil"/>
              <w:right w:val="nil"/>
            </w:tcBorders>
            <w:shd w:val="clear" w:color="auto" w:fill="auto"/>
            <w:noWrap/>
            <w:vAlign w:val="bottom"/>
            <w:hideMark/>
          </w:tcPr>
          <w:p w14:paraId="778943B2" w14:textId="77777777" w:rsidR="0017331D" w:rsidRPr="00685B80" w:rsidRDefault="0017331D" w:rsidP="00BA5BA5">
            <w:pPr>
              <w:ind w:firstLineChars="100" w:firstLine="200"/>
              <w:rPr>
                <w:rFonts w:ascii="Arial" w:hAnsi="Arial" w:cs="Arial"/>
                <w:color w:val="000000"/>
                <w:lang w:val="es-MX" w:eastAsia="es-MX"/>
              </w:rPr>
            </w:pPr>
            <w:r w:rsidRPr="00685B80">
              <w:rPr>
                <w:rFonts w:ascii="Arial" w:hAnsi="Arial" w:cs="Arial"/>
                <w:color w:val="000000"/>
                <w:lang w:val="es-MX" w:eastAsia="es-MX"/>
              </w:rPr>
              <w:t>Durango</w:t>
            </w:r>
          </w:p>
        </w:tc>
        <w:tc>
          <w:tcPr>
            <w:tcW w:w="611" w:type="dxa"/>
            <w:tcBorders>
              <w:top w:val="nil"/>
              <w:left w:val="single" w:sz="4" w:space="0" w:color="auto"/>
              <w:bottom w:val="nil"/>
              <w:right w:val="nil"/>
            </w:tcBorders>
            <w:shd w:val="clear" w:color="auto" w:fill="auto"/>
            <w:noWrap/>
            <w:vAlign w:val="bottom"/>
            <w:hideMark/>
          </w:tcPr>
          <w:p w14:paraId="67F70A29" w14:textId="77777777" w:rsidR="0017331D" w:rsidRPr="00685B80" w:rsidRDefault="0017331D" w:rsidP="00BA5BA5">
            <w:pPr>
              <w:jc w:val="right"/>
              <w:rPr>
                <w:rFonts w:ascii="Arial" w:hAnsi="Arial" w:cs="Arial"/>
                <w:color w:val="000000"/>
                <w:lang w:val="es-MX" w:eastAsia="es-MX"/>
              </w:rPr>
            </w:pPr>
            <w:r w:rsidRPr="00685B80">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0B4DA289" w14:textId="77777777" w:rsidR="0017331D" w:rsidRDefault="0017331D" w:rsidP="00BA5BA5">
            <w:pPr>
              <w:jc w:val="center"/>
              <w:rPr>
                <w:rFonts w:ascii="Arial" w:hAnsi="Arial" w:cs="Arial"/>
                <w:color w:val="000000"/>
              </w:rPr>
            </w:pPr>
            <w:r>
              <w:rPr>
                <w:rFonts w:ascii="Arial" w:hAnsi="Arial" w:cs="Arial"/>
                <w:color w:val="000000"/>
              </w:rPr>
              <w:t>0.8</w:t>
            </w:r>
          </w:p>
        </w:tc>
        <w:tc>
          <w:tcPr>
            <w:tcW w:w="666" w:type="dxa"/>
            <w:tcBorders>
              <w:top w:val="nil"/>
              <w:left w:val="nil"/>
              <w:bottom w:val="nil"/>
              <w:right w:val="nil"/>
            </w:tcBorders>
            <w:shd w:val="clear" w:color="auto" w:fill="auto"/>
            <w:noWrap/>
            <w:vAlign w:val="bottom"/>
            <w:hideMark/>
          </w:tcPr>
          <w:p w14:paraId="3C611ADE" w14:textId="77777777" w:rsidR="0017331D" w:rsidRPr="00685B80" w:rsidRDefault="0017331D" w:rsidP="00BA5BA5">
            <w:pPr>
              <w:jc w:val="right"/>
              <w:rPr>
                <w:rFonts w:ascii="Arial" w:hAnsi="Arial" w:cs="Arial"/>
                <w:color w:val="000000"/>
                <w:lang w:val="es-MX" w:eastAsia="es-MX"/>
              </w:rPr>
            </w:pPr>
            <w:r w:rsidRPr="00685B80">
              <w:rPr>
                <w:rFonts w:ascii="Arial" w:hAnsi="Arial" w:cs="Arial"/>
                <w:color w:val="000000"/>
                <w:lang w:val="es-MX" w:eastAsia="es-MX"/>
              </w:rPr>
              <w:t>(-)</w:t>
            </w:r>
          </w:p>
        </w:tc>
        <w:tc>
          <w:tcPr>
            <w:tcW w:w="814" w:type="dxa"/>
            <w:tcBorders>
              <w:top w:val="nil"/>
              <w:left w:val="nil"/>
              <w:bottom w:val="nil"/>
              <w:right w:val="single" w:sz="4" w:space="0" w:color="auto"/>
            </w:tcBorders>
            <w:shd w:val="clear" w:color="auto" w:fill="auto"/>
            <w:noWrap/>
            <w:vAlign w:val="bottom"/>
            <w:hideMark/>
          </w:tcPr>
          <w:p w14:paraId="745079DB" w14:textId="77777777" w:rsidR="0017331D" w:rsidRDefault="0017331D" w:rsidP="00BA5BA5">
            <w:pPr>
              <w:jc w:val="center"/>
              <w:rPr>
                <w:rFonts w:ascii="Arial" w:hAnsi="Arial" w:cs="Arial"/>
                <w:color w:val="000000"/>
              </w:rPr>
            </w:pPr>
            <w:r>
              <w:rPr>
                <w:rFonts w:ascii="Arial" w:hAnsi="Arial" w:cs="Arial"/>
                <w:color w:val="000000"/>
              </w:rPr>
              <w:t>1.8</w:t>
            </w:r>
          </w:p>
        </w:tc>
        <w:tc>
          <w:tcPr>
            <w:tcW w:w="634" w:type="dxa"/>
            <w:tcBorders>
              <w:top w:val="nil"/>
              <w:left w:val="nil"/>
              <w:bottom w:val="nil"/>
              <w:right w:val="nil"/>
            </w:tcBorders>
            <w:shd w:val="clear" w:color="auto" w:fill="auto"/>
            <w:noWrap/>
            <w:vAlign w:val="bottom"/>
            <w:hideMark/>
          </w:tcPr>
          <w:p w14:paraId="4E5FC423" w14:textId="77777777" w:rsidR="0017331D" w:rsidRPr="00685B80" w:rsidRDefault="0017331D" w:rsidP="00BA5BA5">
            <w:pPr>
              <w:jc w:val="right"/>
              <w:rPr>
                <w:rFonts w:ascii="Arial" w:hAnsi="Arial" w:cs="Arial"/>
                <w:color w:val="000000"/>
                <w:lang w:val="es-MX" w:eastAsia="es-MX"/>
              </w:rPr>
            </w:pPr>
            <w:r w:rsidRPr="00685B80">
              <w:rPr>
                <w:rFonts w:ascii="Arial" w:hAnsi="Arial" w:cs="Arial"/>
                <w:color w:val="000000"/>
                <w:lang w:val="es-MX" w:eastAsia="es-MX"/>
              </w:rPr>
              <w:t>(-)</w:t>
            </w:r>
          </w:p>
        </w:tc>
        <w:tc>
          <w:tcPr>
            <w:tcW w:w="814" w:type="dxa"/>
            <w:tcBorders>
              <w:top w:val="nil"/>
              <w:left w:val="nil"/>
              <w:bottom w:val="nil"/>
              <w:right w:val="single" w:sz="4" w:space="0" w:color="auto"/>
            </w:tcBorders>
            <w:shd w:val="clear" w:color="auto" w:fill="auto"/>
            <w:noWrap/>
            <w:vAlign w:val="bottom"/>
            <w:hideMark/>
          </w:tcPr>
          <w:p w14:paraId="4AF45D0A" w14:textId="77777777" w:rsidR="0017331D" w:rsidRDefault="0017331D" w:rsidP="00BA5BA5">
            <w:pPr>
              <w:jc w:val="center"/>
              <w:rPr>
                <w:rFonts w:ascii="Arial" w:hAnsi="Arial" w:cs="Arial"/>
                <w:color w:val="000000"/>
              </w:rPr>
            </w:pPr>
            <w:r>
              <w:rPr>
                <w:rFonts w:ascii="Arial" w:hAnsi="Arial" w:cs="Arial"/>
                <w:color w:val="000000"/>
              </w:rPr>
              <w:t>0.5</w:t>
            </w:r>
          </w:p>
        </w:tc>
        <w:tc>
          <w:tcPr>
            <w:tcW w:w="642" w:type="dxa"/>
            <w:tcBorders>
              <w:top w:val="nil"/>
              <w:left w:val="nil"/>
              <w:bottom w:val="nil"/>
              <w:right w:val="nil"/>
            </w:tcBorders>
            <w:shd w:val="clear" w:color="auto" w:fill="auto"/>
            <w:noWrap/>
            <w:vAlign w:val="bottom"/>
            <w:hideMark/>
          </w:tcPr>
          <w:p w14:paraId="1BA218CF" w14:textId="77777777" w:rsidR="0017331D" w:rsidRPr="0048399B" w:rsidRDefault="0017331D" w:rsidP="00BA5BA5">
            <w:pPr>
              <w:jc w:val="right"/>
              <w:rPr>
                <w:rFonts w:ascii="Arial" w:hAnsi="Arial" w:cs="Arial"/>
                <w:color w:val="000000"/>
                <w:lang w:val="es-MX" w:eastAsia="es-MX"/>
              </w:rPr>
            </w:pPr>
            <w:r w:rsidRPr="0048399B">
              <w:rPr>
                <w:rFonts w:ascii="Arial" w:hAnsi="Arial" w:cs="Arial"/>
                <w:color w:val="000000"/>
                <w:lang w:val="es-MX" w:eastAsia="es-MX"/>
              </w:rPr>
              <w:t> </w:t>
            </w:r>
          </w:p>
        </w:tc>
        <w:tc>
          <w:tcPr>
            <w:tcW w:w="703" w:type="dxa"/>
            <w:tcBorders>
              <w:top w:val="nil"/>
              <w:left w:val="nil"/>
              <w:bottom w:val="nil"/>
              <w:right w:val="single" w:sz="4" w:space="0" w:color="auto"/>
            </w:tcBorders>
            <w:shd w:val="clear" w:color="auto" w:fill="auto"/>
            <w:noWrap/>
            <w:vAlign w:val="bottom"/>
            <w:hideMark/>
          </w:tcPr>
          <w:p w14:paraId="349E7E50" w14:textId="77777777" w:rsidR="0017331D" w:rsidRDefault="0017331D" w:rsidP="00BA5BA5">
            <w:pPr>
              <w:rPr>
                <w:rFonts w:ascii="Arial" w:hAnsi="Arial" w:cs="Arial"/>
                <w:color w:val="000000"/>
              </w:rPr>
            </w:pPr>
            <w:r>
              <w:rPr>
                <w:rFonts w:ascii="Arial" w:hAnsi="Arial" w:cs="Arial"/>
                <w:color w:val="000000"/>
              </w:rPr>
              <w:t>2.0</w:t>
            </w:r>
          </w:p>
        </w:tc>
      </w:tr>
      <w:tr w:rsidR="0017331D" w:rsidRPr="00685B80" w14:paraId="52B68D19" w14:textId="77777777" w:rsidTr="00BA5BA5">
        <w:trPr>
          <w:trHeight w:val="255"/>
        </w:trPr>
        <w:tc>
          <w:tcPr>
            <w:tcW w:w="3108" w:type="dxa"/>
            <w:tcBorders>
              <w:top w:val="nil"/>
              <w:left w:val="single" w:sz="4" w:space="0" w:color="auto"/>
              <w:bottom w:val="nil"/>
              <w:right w:val="nil"/>
            </w:tcBorders>
            <w:shd w:val="clear" w:color="auto" w:fill="auto"/>
            <w:noWrap/>
            <w:vAlign w:val="bottom"/>
            <w:hideMark/>
          </w:tcPr>
          <w:p w14:paraId="778D05CE" w14:textId="77777777" w:rsidR="0017331D" w:rsidRPr="00685B80" w:rsidRDefault="0017331D" w:rsidP="00BA5BA5">
            <w:pPr>
              <w:ind w:firstLineChars="100" w:firstLine="200"/>
              <w:rPr>
                <w:rFonts w:ascii="Arial" w:hAnsi="Arial" w:cs="Arial"/>
                <w:color w:val="000000"/>
                <w:lang w:val="es-MX" w:eastAsia="es-MX"/>
              </w:rPr>
            </w:pPr>
            <w:r w:rsidRPr="00685B80">
              <w:rPr>
                <w:rFonts w:ascii="Arial" w:hAnsi="Arial" w:cs="Arial"/>
                <w:color w:val="000000"/>
                <w:lang w:val="es-MX" w:eastAsia="es-MX"/>
              </w:rPr>
              <w:t>Guanajuato</w:t>
            </w:r>
          </w:p>
        </w:tc>
        <w:tc>
          <w:tcPr>
            <w:tcW w:w="611" w:type="dxa"/>
            <w:tcBorders>
              <w:top w:val="nil"/>
              <w:left w:val="single" w:sz="4" w:space="0" w:color="auto"/>
              <w:bottom w:val="nil"/>
              <w:right w:val="nil"/>
            </w:tcBorders>
            <w:shd w:val="clear" w:color="auto" w:fill="auto"/>
            <w:noWrap/>
            <w:vAlign w:val="bottom"/>
            <w:hideMark/>
          </w:tcPr>
          <w:p w14:paraId="78249BE1" w14:textId="77777777" w:rsidR="0017331D" w:rsidRPr="00685B80" w:rsidRDefault="0017331D" w:rsidP="00BA5BA5">
            <w:pPr>
              <w:jc w:val="right"/>
              <w:rPr>
                <w:rFonts w:ascii="Arial" w:hAnsi="Arial" w:cs="Arial"/>
                <w:color w:val="000000"/>
                <w:lang w:val="es-MX" w:eastAsia="es-MX"/>
              </w:rPr>
            </w:pPr>
          </w:p>
        </w:tc>
        <w:tc>
          <w:tcPr>
            <w:tcW w:w="814" w:type="dxa"/>
            <w:tcBorders>
              <w:top w:val="nil"/>
              <w:left w:val="nil"/>
              <w:bottom w:val="nil"/>
              <w:right w:val="single" w:sz="4" w:space="0" w:color="auto"/>
            </w:tcBorders>
            <w:shd w:val="clear" w:color="auto" w:fill="auto"/>
            <w:noWrap/>
            <w:vAlign w:val="bottom"/>
            <w:hideMark/>
          </w:tcPr>
          <w:p w14:paraId="2F7D043F" w14:textId="77777777" w:rsidR="0017331D" w:rsidRDefault="0017331D" w:rsidP="00BA5BA5">
            <w:pPr>
              <w:jc w:val="center"/>
              <w:rPr>
                <w:rFonts w:ascii="Arial" w:hAnsi="Arial" w:cs="Arial"/>
                <w:color w:val="000000"/>
              </w:rPr>
            </w:pPr>
            <w:r>
              <w:rPr>
                <w:rFonts w:ascii="Arial" w:hAnsi="Arial" w:cs="Arial"/>
                <w:color w:val="000000"/>
              </w:rPr>
              <w:t>1.2</w:t>
            </w:r>
          </w:p>
        </w:tc>
        <w:tc>
          <w:tcPr>
            <w:tcW w:w="666" w:type="dxa"/>
            <w:tcBorders>
              <w:top w:val="nil"/>
              <w:left w:val="nil"/>
              <w:bottom w:val="nil"/>
              <w:right w:val="nil"/>
            </w:tcBorders>
            <w:shd w:val="clear" w:color="auto" w:fill="auto"/>
            <w:noWrap/>
            <w:vAlign w:val="bottom"/>
            <w:hideMark/>
          </w:tcPr>
          <w:p w14:paraId="6A18A1F3" w14:textId="77777777" w:rsidR="0017331D" w:rsidRPr="0048399B" w:rsidRDefault="0017331D" w:rsidP="00BA5BA5">
            <w:pPr>
              <w:jc w:val="right"/>
              <w:rPr>
                <w:rFonts w:ascii="Arial" w:hAnsi="Arial" w:cs="Arial"/>
                <w:color w:val="000000"/>
                <w:lang w:val="es-MX" w:eastAsia="es-MX"/>
              </w:rPr>
            </w:pPr>
            <w:r w:rsidRPr="0048399B">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4E09E8E7" w14:textId="77777777" w:rsidR="0017331D" w:rsidRDefault="0017331D" w:rsidP="00BA5BA5">
            <w:pPr>
              <w:jc w:val="center"/>
              <w:rPr>
                <w:rFonts w:ascii="Arial" w:hAnsi="Arial" w:cs="Arial"/>
                <w:color w:val="000000"/>
              </w:rPr>
            </w:pPr>
            <w:r>
              <w:rPr>
                <w:rFonts w:ascii="Arial" w:hAnsi="Arial" w:cs="Arial"/>
                <w:color w:val="000000"/>
              </w:rPr>
              <w:t>4.5</w:t>
            </w:r>
          </w:p>
        </w:tc>
        <w:tc>
          <w:tcPr>
            <w:tcW w:w="634" w:type="dxa"/>
            <w:tcBorders>
              <w:top w:val="nil"/>
              <w:left w:val="nil"/>
              <w:bottom w:val="nil"/>
              <w:right w:val="nil"/>
            </w:tcBorders>
            <w:shd w:val="clear" w:color="auto" w:fill="auto"/>
            <w:noWrap/>
            <w:vAlign w:val="bottom"/>
            <w:hideMark/>
          </w:tcPr>
          <w:p w14:paraId="6D38C8E5" w14:textId="77777777" w:rsidR="0017331D" w:rsidRPr="0048399B" w:rsidRDefault="0017331D" w:rsidP="00BA5BA5">
            <w:pPr>
              <w:jc w:val="right"/>
              <w:rPr>
                <w:rFonts w:ascii="Arial" w:hAnsi="Arial" w:cs="Arial"/>
                <w:color w:val="000000"/>
                <w:lang w:val="es-MX" w:eastAsia="es-MX"/>
              </w:rPr>
            </w:pPr>
            <w:r w:rsidRPr="0048399B">
              <w:rPr>
                <w:rFonts w:ascii="Arial" w:hAnsi="Arial" w:cs="Arial"/>
                <w:color w:val="000000"/>
                <w:lang w:val="es-MX" w:eastAsia="es-MX"/>
              </w:rPr>
              <w:t>(-)</w:t>
            </w:r>
          </w:p>
        </w:tc>
        <w:tc>
          <w:tcPr>
            <w:tcW w:w="814" w:type="dxa"/>
            <w:tcBorders>
              <w:top w:val="nil"/>
              <w:left w:val="nil"/>
              <w:bottom w:val="nil"/>
              <w:right w:val="single" w:sz="4" w:space="0" w:color="auto"/>
            </w:tcBorders>
            <w:shd w:val="clear" w:color="auto" w:fill="auto"/>
            <w:noWrap/>
            <w:vAlign w:val="bottom"/>
            <w:hideMark/>
          </w:tcPr>
          <w:p w14:paraId="367FF75F" w14:textId="77777777" w:rsidR="0017331D" w:rsidRDefault="0017331D" w:rsidP="00BA5BA5">
            <w:pPr>
              <w:jc w:val="center"/>
              <w:rPr>
                <w:rFonts w:ascii="Arial" w:hAnsi="Arial" w:cs="Arial"/>
                <w:color w:val="000000"/>
              </w:rPr>
            </w:pPr>
            <w:r>
              <w:rPr>
                <w:rFonts w:ascii="Arial" w:hAnsi="Arial" w:cs="Arial"/>
                <w:color w:val="000000"/>
              </w:rPr>
              <w:t>3.8</w:t>
            </w:r>
          </w:p>
        </w:tc>
        <w:tc>
          <w:tcPr>
            <w:tcW w:w="642" w:type="dxa"/>
            <w:tcBorders>
              <w:top w:val="nil"/>
              <w:left w:val="nil"/>
              <w:bottom w:val="nil"/>
              <w:right w:val="nil"/>
            </w:tcBorders>
            <w:shd w:val="clear" w:color="auto" w:fill="auto"/>
            <w:noWrap/>
            <w:vAlign w:val="bottom"/>
            <w:hideMark/>
          </w:tcPr>
          <w:p w14:paraId="6641CCDA" w14:textId="77777777" w:rsidR="0017331D" w:rsidRPr="0048399B" w:rsidRDefault="0017331D" w:rsidP="00BA5BA5">
            <w:pPr>
              <w:jc w:val="right"/>
              <w:rPr>
                <w:rFonts w:ascii="Arial" w:hAnsi="Arial" w:cs="Arial"/>
                <w:color w:val="000000"/>
                <w:lang w:val="es-MX" w:eastAsia="es-MX"/>
              </w:rPr>
            </w:pPr>
            <w:r w:rsidRPr="0048399B">
              <w:rPr>
                <w:rFonts w:ascii="Arial" w:hAnsi="Arial" w:cs="Arial"/>
                <w:color w:val="000000"/>
                <w:lang w:val="es-MX" w:eastAsia="es-MX"/>
              </w:rPr>
              <w:t> </w:t>
            </w:r>
          </w:p>
        </w:tc>
        <w:tc>
          <w:tcPr>
            <w:tcW w:w="703" w:type="dxa"/>
            <w:tcBorders>
              <w:top w:val="nil"/>
              <w:left w:val="nil"/>
              <w:bottom w:val="nil"/>
              <w:right w:val="single" w:sz="4" w:space="0" w:color="auto"/>
            </w:tcBorders>
            <w:shd w:val="clear" w:color="auto" w:fill="auto"/>
            <w:noWrap/>
            <w:vAlign w:val="bottom"/>
            <w:hideMark/>
          </w:tcPr>
          <w:p w14:paraId="055CC321" w14:textId="77777777" w:rsidR="0017331D" w:rsidRDefault="0017331D" w:rsidP="00BA5BA5">
            <w:pPr>
              <w:rPr>
                <w:rFonts w:ascii="Arial" w:hAnsi="Arial" w:cs="Arial"/>
                <w:color w:val="000000"/>
              </w:rPr>
            </w:pPr>
            <w:r>
              <w:rPr>
                <w:rFonts w:ascii="Arial" w:hAnsi="Arial" w:cs="Arial"/>
                <w:color w:val="000000"/>
              </w:rPr>
              <w:t>4.1</w:t>
            </w:r>
          </w:p>
        </w:tc>
      </w:tr>
      <w:tr w:rsidR="0017331D" w:rsidRPr="00685B80" w14:paraId="77D07C01" w14:textId="77777777" w:rsidTr="00BA5BA5">
        <w:trPr>
          <w:trHeight w:val="255"/>
        </w:trPr>
        <w:tc>
          <w:tcPr>
            <w:tcW w:w="3108" w:type="dxa"/>
            <w:tcBorders>
              <w:top w:val="nil"/>
              <w:left w:val="single" w:sz="4" w:space="0" w:color="auto"/>
              <w:bottom w:val="nil"/>
              <w:right w:val="nil"/>
            </w:tcBorders>
            <w:shd w:val="clear" w:color="auto" w:fill="auto"/>
            <w:noWrap/>
            <w:vAlign w:val="bottom"/>
            <w:hideMark/>
          </w:tcPr>
          <w:p w14:paraId="404FD631" w14:textId="77777777" w:rsidR="0017331D" w:rsidRPr="00685B80" w:rsidRDefault="0017331D" w:rsidP="00BA5BA5">
            <w:pPr>
              <w:ind w:firstLineChars="100" w:firstLine="200"/>
              <w:rPr>
                <w:rFonts w:ascii="Arial" w:hAnsi="Arial" w:cs="Arial"/>
                <w:color w:val="000000"/>
                <w:lang w:val="es-MX" w:eastAsia="es-MX"/>
              </w:rPr>
            </w:pPr>
            <w:r w:rsidRPr="00685B80">
              <w:rPr>
                <w:rFonts w:ascii="Arial" w:hAnsi="Arial" w:cs="Arial"/>
                <w:color w:val="000000"/>
                <w:lang w:val="es-MX" w:eastAsia="es-MX"/>
              </w:rPr>
              <w:t>Guerrero</w:t>
            </w:r>
          </w:p>
        </w:tc>
        <w:tc>
          <w:tcPr>
            <w:tcW w:w="611" w:type="dxa"/>
            <w:tcBorders>
              <w:top w:val="nil"/>
              <w:left w:val="single" w:sz="4" w:space="0" w:color="auto"/>
              <w:bottom w:val="nil"/>
              <w:right w:val="nil"/>
            </w:tcBorders>
            <w:shd w:val="clear" w:color="auto" w:fill="auto"/>
            <w:noWrap/>
            <w:vAlign w:val="bottom"/>
            <w:hideMark/>
          </w:tcPr>
          <w:p w14:paraId="51D8F509" w14:textId="77777777" w:rsidR="0017331D" w:rsidRPr="00685B80" w:rsidRDefault="0017331D" w:rsidP="00BA5BA5">
            <w:pPr>
              <w:jc w:val="right"/>
              <w:rPr>
                <w:rFonts w:ascii="Arial" w:hAnsi="Arial" w:cs="Arial"/>
                <w:color w:val="000000"/>
                <w:lang w:val="es-MX" w:eastAsia="es-MX"/>
              </w:rPr>
            </w:pPr>
            <w:r w:rsidRPr="00685B80">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0B3D2EF1" w14:textId="77777777" w:rsidR="0017331D" w:rsidRDefault="0017331D" w:rsidP="00BA5BA5">
            <w:pPr>
              <w:jc w:val="center"/>
              <w:rPr>
                <w:rFonts w:ascii="Arial" w:hAnsi="Arial" w:cs="Arial"/>
                <w:color w:val="000000"/>
              </w:rPr>
            </w:pPr>
            <w:r>
              <w:rPr>
                <w:rFonts w:ascii="Arial" w:hAnsi="Arial" w:cs="Arial"/>
                <w:color w:val="000000"/>
              </w:rPr>
              <w:t>3.0</w:t>
            </w:r>
          </w:p>
        </w:tc>
        <w:tc>
          <w:tcPr>
            <w:tcW w:w="666" w:type="dxa"/>
            <w:tcBorders>
              <w:top w:val="nil"/>
              <w:left w:val="nil"/>
              <w:bottom w:val="nil"/>
              <w:right w:val="nil"/>
            </w:tcBorders>
            <w:shd w:val="clear" w:color="auto" w:fill="auto"/>
            <w:noWrap/>
            <w:vAlign w:val="bottom"/>
            <w:hideMark/>
          </w:tcPr>
          <w:p w14:paraId="453E90C4" w14:textId="77777777" w:rsidR="0017331D" w:rsidRPr="00685B80" w:rsidRDefault="0017331D" w:rsidP="00BA5BA5">
            <w:pPr>
              <w:jc w:val="right"/>
              <w:rPr>
                <w:rFonts w:ascii="Arial" w:hAnsi="Arial" w:cs="Arial"/>
                <w:color w:val="000000"/>
                <w:lang w:val="es-MX" w:eastAsia="es-MX"/>
              </w:rPr>
            </w:pPr>
            <w:r w:rsidRPr="00685B80">
              <w:rPr>
                <w:rFonts w:ascii="Arial" w:hAnsi="Arial" w:cs="Arial"/>
                <w:color w:val="000000"/>
                <w:lang w:val="es-MX" w:eastAsia="es-MX"/>
              </w:rPr>
              <w:t>(-)</w:t>
            </w:r>
          </w:p>
        </w:tc>
        <w:tc>
          <w:tcPr>
            <w:tcW w:w="814" w:type="dxa"/>
            <w:tcBorders>
              <w:top w:val="nil"/>
              <w:left w:val="nil"/>
              <w:bottom w:val="nil"/>
              <w:right w:val="single" w:sz="4" w:space="0" w:color="auto"/>
            </w:tcBorders>
            <w:shd w:val="clear" w:color="auto" w:fill="auto"/>
            <w:noWrap/>
            <w:vAlign w:val="bottom"/>
            <w:hideMark/>
          </w:tcPr>
          <w:p w14:paraId="0C449868" w14:textId="77777777" w:rsidR="0017331D" w:rsidRDefault="0017331D" w:rsidP="00BA5BA5">
            <w:pPr>
              <w:jc w:val="center"/>
              <w:rPr>
                <w:rFonts w:ascii="Arial" w:hAnsi="Arial" w:cs="Arial"/>
                <w:color w:val="000000"/>
              </w:rPr>
            </w:pPr>
            <w:r>
              <w:rPr>
                <w:rFonts w:ascii="Arial" w:hAnsi="Arial" w:cs="Arial"/>
                <w:color w:val="000000"/>
              </w:rPr>
              <w:t>0.7</w:t>
            </w:r>
          </w:p>
        </w:tc>
        <w:tc>
          <w:tcPr>
            <w:tcW w:w="634" w:type="dxa"/>
            <w:tcBorders>
              <w:top w:val="nil"/>
              <w:left w:val="nil"/>
              <w:bottom w:val="nil"/>
              <w:right w:val="nil"/>
            </w:tcBorders>
            <w:shd w:val="clear" w:color="auto" w:fill="auto"/>
            <w:noWrap/>
            <w:vAlign w:val="bottom"/>
            <w:hideMark/>
          </w:tcPr>
          <w:p w14:paraId="3E978228" w14:textId="77777777" w:rsidR="0017331D" w:rsidRPr="0048399B" w:rsidRDefault="0017331D" w:rsidP="00BA5BA5">
            <w:pPr>
              <w:jc w:val="right"/>
              <w:rPr>
                <w:rFonts w:ascii="Arial" w:hAnsi="Arial" w:cs="Arial"/>
                <w:color w:val="000000"/>
                <w:lang w:val="es-MX" w:eastAsia="es-MX"/>
              </w:rPr>
            </w:pPr>
          </w:p>
        </w:tc>
        <w:tc>
          <w:tcPr>
            <w:tcW w:w="814" w:type="dxa"/>
            <w:tcBorders>
              <w:top w:val="nil"/>
              <w:left w:val="nil"/>
              <w:bottom w:val="nil"/>
              <w:right w:val="single" w:sz="4" w:space="0" w:color="auto"/>
            </w:tcBorders>
            <w:shd w:val="clear" w:color="auto" w:fill="auto"/>
            <w:noWrap/>
            <w:vAlign w:val="bottom"/>
            <w:hideMark/>
          </w:tcPr>
          <w:p w14:paraId="55691118" w14:textId="77777777" w:rsidR="0017331D" w:rsidRDefault="0017331D" w:rsidP="00BA5BA5">
            <w:pPr>
              <w:jc w:val="center"/>
              <w:rPr>
                <w:rFonts w:ascii="Arial" w:hAnsi="Arial" w:cs="Arial"/>
                <w:color w:val="000000"/>
              </w:rPr>
            </w:pPr>
            <w:r>
              <w:rPr>
                <w:rFonts w:ascii="Arial" w:hAnsi="Arial" w:cs="Arial"/>
                <w:color w:val="000000"/>
              </w:rPr>
              <w:t>6.3</w:t>
            </w:r>
          </w:p>
        </w:tc>
        <w:tc>
          <w:tcPr>
            <w:tcW w:w="642" w:type="dxa"/>
            <w:tcBorders>
              <w:top w:val="nil"/>
              <w:left w:val="nil"/>
              <w:bottom w:val="nil"/>
              <w:right w:val="nil"/>
            </w:tcBorders>
            <w:shd w:val="clear" w:color="auto" w:fill="auto"/>
            <w:noWrap/>
            <w:vAlign w:val="bottom"/>
            <w:hideMark/>
          </w:tcPr>
          <w:p w14:paraId="3AC1BA62" w14:textId="77777777" w:rsidR="0017331D" w:rsidRPr="0048399B" w:rsidRDefault="0017331D" w:rsidP="00BA5BA5">
            <w:pPr>
              <w:jc w:val="right"/>
              <w:rPr>
                <w:rFonts w:ascii="Arial" w:hAnsi="Arial" w:cs="Arial"/>
                <w:color w:val="000000"/>
                <w:lang w:val="es-MX" w:eastAsia="es-MX"/>
              </w:rPr>
            </w:pPr>
            <w:r w:rsidRPr="0048399B">
              <w:rPr>
                <w:rFonts w:ascii="Arial" w:hAnsi="Arial" w:cs="Arial"/>
                <w:color w:val="000000"/>
                <w:lang w:val="es-MX" w:eastAsia="es-MX"/>
              </w:rPr>
              <w:t> </w:t>
            </w:r>
          </w:p>
        </w:tc>
        <w:tc>
          <w:tcPr>
            <w:tcW w:w="703" w:type="dxa"/>
            <w:tcBorders>
              <w:top w:val="nil"/>
              <w:left w:val="nil"/>
              <w:bottom w:val="nil"/>
              <w:right w:val="single" w:sz="4" w:space="0" w:color="auto"/>
            </w:tcBorders>
            <w:shd w:val="clear" w:color="auto" w:fill="auto"/>
            <w:noWrap/>
            <w:vAlign w:val="bottom"/>
            <w:hideMark/>
          </w:tcPr>
          <w:p w14:paraId="35181453" w14:textId="77777777" w:rsidR="0017331D" w:rsidRDefault="0017331D" w:rsidP="00BA5BA5">
            <w:pPr>
              <w:rPr>
                <w:rFonts w:ascii="Arial" w:hAnsi="Arial" w:cs="Arial"/>
                <w:color w:val="000000"/>
              </w:rPr>
            </w:pPr>
            <w:r>
              <w:rPr>
                <w:rFonts w:ascii="Arial" w:hAnsi="Arial" w:cs="Arial"/>
                <w:color w:val="000000"/>
              </w:rPr>
              <w:t>2.5</w:t>
            </w:r>
          </w:p>
        </w:tc>
      </w:tr>
      <w:tr w:rsidR="0017331D" w:rsidRPr="00685B80" w14:paraId="11C23F0D" w14:textId="77777777" w:rsidTr="00BA5BA5">
        <w:trPr>
          <w:trHeight w:val="255"/>
        </w:trPr>
        <w:tc>
          <w:tcPr>
            <w:tcW w:w="3108" w:type="dxa"/>
            <w:tcBorders>
              <w:top w:val="nil"/>
              <w:left w:val="single" w:sz="4" w:space="0" w:color="auto"/>
              <w:bottom w:val="nil"/>
              <w:right w:val="nil"/>
            </w:tcBorders>
            <w:shd w:val="clear" w:color="auto" w:fill="auto"/>
            <w:noWrap/>
            <w:vAlign w:val="bottom"/>
            <w:hideMark/>
          </w:tcPr>
          <w:p w14:paraId="143239FD" w14:textId="77777777" w:rsidR="0017331D" w:rsidRPr="00685B80" w:rsidRDefault="0017331D" w:rsidP="00BA5BA5">
            <w:pPr>
              <w:ind w:firstLineChars="100" w:firstLine="200"/>
              <w:rPr>
                <w:rFonts w:ascii="Arial" w:hAnsi="Arial" w:cs="Arial"/>
                <w:color w:val="000000"/>
                <w:lang w:val="es-MX" w:eastAsia="es-MX"/>
              </w:rPr>
            </w:pPr>
            <w:r w:rsidRPr="00685B80">
              <w:rPr>
                <w:rFonts w:ascii="Arial" w:hAnsi="Arial" w:cs="Arial"/>
                <w:color w:val="000000"/>
                <w:lang w:val="es-MX" w:eastAsia="es-MX"/>
              </w:rPr>
              <w:t>Hidalgo</w:t>
            </w:r>
          </w:p>
        </w:tc>
        <w:tc>
          <w:tcPr>
            <w:tcW w:w="611" w:type="dxa"/>
            <w:tcBorders>
              <w:top w:val="nil"/>
              <w:left w:val="single" w:sz="4" w:space="0" w:color="auto"/>
              <w:bottom w:val="nil"/>
              <w:right w:val="nil"/>
            </w:tcBorders>
            <w:shd w:val="clear" w:color="auto" w:fill="auto"/>
            <w:noWrap/>
            <w:vAlign w:val="bottom"/>
            <w:hideMark/>
          </w:tcPr>
          <w:p w14:paraId="65E749B1" w14:textId="77777777" w:rsidR="0017331D" w:rsidRPr="00685B80" w:rsidRDefault="0017331D" w:rsidP="00BA5BA5">
            <w:pPr>
              <w:jc w:val="right"/>
              <w:rPr>
                <w:rFonts w:ascii="Arial" w:hAnsi="Arial" w:cs="Arial"/>
                <w:color w:val="000000"/>
                <w:lang w:val="es-MX" w:eastAsia="es-MX"/>
              </w:rPr>
            </w:pPr>
            <w:r w:rsidRPr="00685B80">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750300A3" w14:textId="77777777" w:rsidR="0017331D" w:rsidRDefault="0017331D" w:rsidP="00BA5BA5">
            <w:pPr>
              <w:jc w:val="center"/>
              <w:rPr>
                <w:rFonts w:ascii="Arial" w:hAnsi="Arial" w:cs="Arial"/>
                <w:color w:val="000000"/>
              </w:rPr>
            </w:pPr>
            <w:r>
              <w:rPr>
                <w:rFonts w:ascii="Arial" w:hAnsi="Arial" w:cs="Arial"/>
                <w:color w:val="000000"/>
              </w:rPr>
              <w:t>3.2</w:t>
            </w:r>
          </w:p>
        </w:tc>
        <w:tc>
          <w:tcPr>
            <w:tcW w:w="666" w:type="dxa"/>
            <w:tcBorders>
              <w:top w:val="nil"/>
              <w:left w:val="nil"/>
              <w:bottom w:val="nil"/>
              <w:right w:val="nil"/>
            </w:tcBorders>
            <w:shd w:val="clear" w:color="auto" w:fill="auto"/>
            <w:noWrap/>
            <w:vAlign w:val="bottom"/>
            <w:hideMark/>
          </w:tcPr>
          <w:p w14:paraId="0F3C584A" w14:textId="77777777" w:rsidR="0017331D" w:rsidRPr="00685B80" w:rsidRDefault="0017331D" w:rsidP="00BA5BA5">
            <w:pPr>
              <w:jc w:val="right"/>
              <w:rPr>
                <w:rFonts w:ascii="Arial" w:hAnsi="Arial" w:cs="Arial"/>
                <w:color w:val="000000"/>
                <w:lang w:val="es-MX" w:eastAsia="es-MX"/>
              </w:rPr>
            </w:pPr>
            <w:r w:rsidRPr="00685B80">
              <w:rPr>
                <w:rFonts w:ascii="Arial" w:hAnsi="Arial" w:cs="Arial"/>
                <w:color w:val="000000"/>
                <w:lang w:val="es-MX" w:eastAsia="es-MX"/>
              </w:rPr>
              <w:t>(-)</w:t>
            </w:r>
          </w:p>
        </w:tc>
        <w:tc>
          <w:tcPr>
            <w:tcW w:w="814" w:type="dxa"/>
            <w:tcBorders>
              <w:top w:val="nil"/>
              <w:left w:val="nil"/>
              <w:bottom w:val="nil"/>
              <w:right w:val="single" w:sz="4" w:space="0" w:color="auto"/>
            </w:tcBorders>
            <w:shd w:val="clear" w:color="auto" w:fill="auto"/>
            <w:noWrap/>
            <w:vAlign w:val="bottom"/>
            <w:hideMark/>
          </w:tcPr>
          <w:p w14:paraId="1913D817" w14:textId="77777777" w:rsidR="0017331D" w:rsidRDefault="0017331D" w:rsidP="00BA5BA5">
            <w:pPr>
              <w:jc w:val="center"/>
              <w:rPr>
                <w:rFonts w:ascii="Arial" w:hAnsi="Arial" w:cs="Arial"/>
                <w:color w:val="000000"/>
              </w:rPr>
            </w:pPr>
            <w:r>
              <w:rPr>
                <w:rFonts w:ascii="Arial" w:hAnsi="Arial" w:cs="Arial"/>
                <w:color w:val="000000"/>
              </w:rPr>
              <w:t>0.7</w:t>
            </w:r>
          </w:p>
        </w:tc>
        <w:tc>
          <w:tcPr>
            <w:tcW w:w="634" w:type="dxa"/>
            <w:tcBorders>
              <w:top w:val="nil"/>
              <w:left w:val="nil"/>
              <w:bottom w:val="nil"/>
              <w:right w:val="nil"/>
            </w:tcBorders>
            <w:shd w:val="clear" w:color="auto" w:fill="auto"/>
            <w:noWrap/>
            <w:vAlign w:val="bottom"/>
            <w:hideMark/>
          </w:tcPr>
          <w:p w14:paraId="2955AF97" w14:textId="77777777" w:rsidR="0017331D" w:rsidRPr="0048399B" w:rsidRDefault="0017331D" w:rsidP="00BA5BA5">
            <w:pPr>
              <w:jc w:val="right"/>
              <w:rPr>
                <w:rFonts w:ascii="Arial" w:hAnsi="Arial" w:cs="Arial"/>
                <w:color w:val="000000"/>
                <w:lang w:val="es-MX" w:eastAsia="es-MX"/>
              </w:rPr>
            </w:pPr>
            <w:r w:rsidRPr="0048399B">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573E0766" w14:textId="77777777" w:rsidR="0017331D" w:rsidRDefault="0017331D" w:rsidP="00BA5BA5">
            <w:pPr>
              <w:jc w:val="center"/>
              <w:rPr>
                <w:rFonts w:ascii="Arial" w:hAnsi="Arial" w:cs="Arial"/>
                <w:color w:val="000000"/>
              </w:rPr>
            </w:pPr>
            <w:r>
              <w:rPr>
                <w:rFonts w:ascii="Arial" w:hAnsi="Arial" w:cs="Arial"/>
                <w:color w:val="000000"/>
              </w:rPr>
              <w:t>1.8</w:t>
            </w:r>
          </w:p>
        </w:tc>
        <w:tc>
          <w:tcPr>
            <w:tcW w:w="642" w:type="dxa"/>
            <w:tcBorders>
              <w:top w:val="nil"/>
              <w:left w:val="nil"/>
              <w:bottom w:val="nil"/>
              <w:right w:val="nil"/>
            </w:tcBorders>
            <w:shd w:val="clear" w:color="auto" w:fill="auto"/>
            <w:noWrap/>
            <w:vAlign w:val="bottom"/>
            <w:hideMark/>
          </w:tcPr>
          <w:p w14:paraId="01AEC234" w14:textId="77777777" w:rsidR="0017331D" w:rsidRPr="0048399B" w:rsidRDefault="0017331D" w:rsidP="00BA5BA5">
            <w:pPr>
              <w:jc w:val="right"/>
              <w:rPr>
                <w:rFonts w:ascii="Arial" w:hAnsi="Arial" w:cs="Arial"/>
                <w:color w:val="000000"/>
                <w:lang w:val="es-MX" w:eastAsia="es-MX"/>
              </w:rPr>
            </w:pPr>
            <w:r w:rsidRPr="0048399B">
              <w:rPr>
                <w:rFonts w:ascii="Arial" w:hAnsi="Arial" w:cs="Arial"/>
                <w:color w:val="000000"/>
                <w:lang w:val="es-MX" w:eastAsia="es-MX"/>
              </w:rPr>
              <w:t> </w:t>
            </w:r>
          </w:p>
        </w:tc>
        <w:tc>
          <w:tcPr>
            <w:tcW w:w="703" w:type="dxa"/>
            <w:tcBorders>
              <w:top w:val="nil"/>
              <w:left w:val="nil"/>
              <w:bottom w:val="nil"/>
              <w:right w:val="single" w:sz="4" w:space="0" w:color="auto"/>
            </w:tcBorders>
            <w:shd w:val="clear" w:color="auto" w:fill="auto"/>
            <w:noWrap/>
            <w:vAlign w:val="bottom"/>
            <w:hideMark/>
          </w:tcPr>
          <w:p w14:paraId="285CF8D1" w14:textId="77777777" w:rsidR="0017331D" w:rsidRDefault="0017331D" w:rsidP="00BA5BA5">
            <w:pPr>
              <w:rPr>
                <w:rFonts w:ascii="Arial" w:hAnsi="Arial" w:cs="Arial"/>
                <w:color w:val="000000"/>
              </w:rPr>
            </w:pPr>
            <w:r>
              <w:rPr>
                <w:rFonts w:ascii="Arial" w:hAnsi="Arial" w:cs="Arial"/>
                <w:color w:val="000000"/>
              </w:rPr>
              <w:t>4.2</w:t>
            </w:r>
          </w:p>
        </w:tc>
      </w:tr>
      <w:tr w:rsidR="0017331D" w:rsidRPr="00685B80" w14:paraId="0DF6541B" w14:textId="77777777" w:rsidTr="00BA5BA5">
        <w:trPr>
          <w:trHeight w:val="255"/>
        </w:trPr>
        <w:tc>
          <w:tcPr>
            <w:tcW w:w="3108" w:type="dxa"/>
            <w:tcBorders>
              <w:top w:val="nil"/>
              <w:left w:val="single" w:sz="4" w:space="0" w:color="auto"/>
              <w:bottom w:val="nil"/>
              <w:right w:val="nil"/>
            </w:tcBorders>
            <w:shd w:val="clear" w:color="auto" w:fill="auto"/>
            <w:noWrap/>
            <w:vAlign w:val="bottom"/>
            <w:hideMark/>
          </w:tcPr>
          <w:p w14:paraId="63F98706" w14:textId="77777777" w:rsidR="0017331D" w:rsidRPr="00685B80" w:rsidRDefault="0017331D" w:rsidP="00BA5BA5">
            <w:pPr>
              <w:ind w:firstLineChars="100" w:firstLine="200"/>
              <w:rPr>
                <w:rFonts w:ascii="Arial" w:hAnsi="Arial" w:cs="Arial"/>
                <w:color w:val="000000"/>
                <w:lang w:val="es-MX" w:eastAsia="es-MX"/>
              </w:rPr>
            </w:pPr>
            <w:r w:rsidRPr="00685B80">
              <w:rPr>
                <w:rFonts w:ascii="Arial" w:hAnsi="Arial" w:cs="Arial"/>
                <w:color w:val="000000"/>
                <w:lang w:val="es-MX" w:eastAsia="es-MX"/>
              </w:rPr>
              <w:t>Jalisco</w:t>
            </w:r>
          </w:p>
        </w:tc>
        <w:tc>
          <w:tcPr>
            <w:tcW w:w="611" w:type="dxa"/>
            <w:tcBorders>
              <w:top w:val="nil"/>
              <w:left w:val="single" w:sz="4" w:space="0" w:color="auto"/>
              <w:bottom w:val="nil"/>
              <w:right w:val="nil"/>
            </w:tcBorders>
            <w:shd w:val="clear" w:color="auto" w:fill="auto"/>
            <w:noWrap/>
            <w:vAlign w:val="bottom"/>
            <w:hideMark/>
          </w:tcPr>
          <w:p w14:paraId="76BDDEF2" w14:textId="77777777" w:rsidR="0017331D" w:rsidRPr="00685B80" w:rsidRDefault="0017331D" w:rsidP="00BA5BA5">
            <w:pPr>
              <w:jc w:val="right"/>
              <w:rPr>
                <w:rFonts w:ascii="Arial" w:hAnsi="Arial" w:cs="Arial"/>
                <w:color w:val="000000"/>
                <w:lang w:val="es-MX" w:eastAsia="es-MX"/>
              </w:rPr>
            </w:pPr>
            <w:r w:rsidRPr="00685B80">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6D1EEE16" w14:textId="77777777" w:rsidR="0017331D" w:rsidRDefault="0017331D" w:rsidP="00BA5BA5">
            <w:pPr>
              <w:jc w:val="center"/>
              <w:rPr>
                <w:rFonts w:ascii="Arial" w:hAnsi="Arial" w:cs="Arial"/>
                <w:color w:val="000000"/>
              </w:rPr>
            </w:pPr>
            <w:r>
              <w:rPr>
                <w:rFonts w:ascii="Arial" w:hAnsi="Arial" w:cs="Arial"/>
                <w:color w:val="000000"/>
              </w:rPr>
              <w:t>2.9</w:t>
            </w:r>
          </w:p>
        </w:tc>
        <w:tc>
          <w:tcPr>
            <w:tcW w:w="666" w:type="dxa"/>
            <w:tcBorders>
              <w:top w:val="nil"/>
              <w:left w:val="nil"/>
              <w:bottom w:val="nil"/>
              <w:right w:val="nil"/>
            </w:tcBorders>
            <w:shd w:val="clear" w:color="auto" w:fill="auto"/>
            <w:noWrap/>
            <w:vAlign w:val="bottom"/>
            <w:hideMark/>
          </w:tcPr>
          <w:p w14:paraId="56A0ABB7" w14:textId="77777777" w:rsidR="0017331D" w:rsidRPr="0048399B" w:rsidRDefault="0017331D" w:rsidP="00BA5BA5">
            <w:pPr>
              <w:jc w:val="right"/>
              <w:rPr>
                <w:rFonts w:ascii="Arial" w:hAnsi="Arial" w:cs="Arial"/>
                <w:color w:val="000000"/>
                <w:lang w:val="es-MX" w:eastAsia="es-MX"/>
              </w:rPr>
            </w:pPr>
          </w:p>
        </w:tc>
        <w:tc>
          <w:tcPr>
            <w:tcW w:w="814" w:type="dxa"/>
            <w:tcBorders>
              <w:top w:val="nil"/>
              <w:left w:val="nil"/>
              <w:bottom w:val="nil"/>
              <w:right w:val="single" w:sz="4" w:space="0" w:color="auto"/>
            </w:tcBorders>
            <w:shd w:val="clear" w:color="auto" w:fill="auto"/>
            <w:noWrap/>
            <w:vAlign w:val="bottom"/>
            <w:hideMark/>
          </w:tcPr>
          <w:p w14:paraId="6CE870B5" w14:textId="77777777" w:rsidR="0017331D" w:rsidRDefault="0017331D" w:rsidP="00BA5BA5">
            <w:pPr>
              <w:jc w:val="center"/>
              <w:rPr>
                <w:rFonts w:ascii="Arial" w:hAnsi="Arial" w:cs="Arial"/>
                <w:color w:val="000000"/>
              </w:rPr>
            </w:pPr>
            <w:r>
              <w:rPr>
                <w:rFonts w:ascii="Arial" w:hAnsi="Arial" w:cs="Arial"/>
                <w:color w:val="000000"/>
              </w:rPr>
              <w:t>3.6</w:t>
            </w:r>
          </w:p>
        </w:tc>
        <w:tc>
          <w:tcPr>
            <w:tcW w:w="634" w:type="dxa"/>
            <w:tcBorders>
              <w:top w:val="nil"/>
              <w:left w:val="nil"/>
              <w:bottom w:val="nil"/>
              <w:right w:val="nil"/>
            </w:tcBorders>
            <w:shd w:val="clear" w:color="auto" w:fill="auto"/>
            <w:noWrap/>
            <w:vAlign w:val="bottom"/>
            <w:hideMark/>
          </w:tcPr>
          <w:p w14:paraId="2C38B8CE" w14:textId="77777777" w:rsidR="0017331D" w:rsidRPr="0048399B" w:rsidRDefault="0017331D" w:rsidP="00BA5BA5">
            <w:pPr>
              <w:jc w:val="right"/>
              <w:rPr>
                <w:rFonts w:ascii="Arial" w:hAnsi="Arial" w:cs="Arial"/>
                <w:color w:val="000000"/>
                <w:lang w:val="es-MX" w:eastAsia="es-MX"/>
              </w:rPr>
            </w:pPr>
            <w:r w:rsidRPr="0048399B">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171683CA" w14:textId="77777777" w:rsidR="0017331D" w:rsidRDefault="0017331D" w:rsidP="00BA5BA5">
            <w:pPr>
              <w:jc w:val="center"/>
              <w:rPr>
                <w:rFonts w:ascii="Arial" w:hAnsi="Arial" w:cs="Arial"/>
                <w:color w:val="000000"/>
              </w:rPr>
            </w:pPr>
            <w:r>
              <w:rPr>
                <w:rFonts w:ascii="Arial" w:hAnsi="Arial" w:cs="Arial"/>
                <w:color w:val="000000"/>
              </w:rPr>
              <w:t>0.7</w:t>
            </w:r>
          </w:p>
        </w:tc>
        <w:tc>
          <w:tcPr>
            <w:tcW w:w="642" w:type="dxa"/>
            <w:tcBorders>
              <w:top w:val="nil"/>
              <w:left w:val="nil"/>
              <w:bottom w:val="nil"/>
              <w:right w:val="nil"/>
            </w:tcBorders>
            <w:shd w:val="clear" w:color="auto" w:fill="auto"/>
            <w:noWrap/>
            <w:vAlign w:val="bottom"/>
            <w:hideMark/>
          </w:tcPr>
          <w:p w14:paraId="55CAA4C3" w14:textId="77777777" w:rsidR="0017331D" w:rsidRPr="0048399B" w:rsidRDefault="0017331D" w:rsidP="00BA5BA5">
            <w:pPr>
              <w:jc w:val="right"/>
              <w:rPr>
                <w:rFonts w:ascii="Arial" w:hAnsi="Arial" w:cs="Arial"/>
                <w:color w:val="000000"/>
                <w:lang w:val="es-MX" w:eastAsia="es-MX"/>
              </w:rPr>
            </w:pPr>
            <w:r w:rsidRPr="0048399B">
              <w:rPr>
                <w:rFonts w:ascii="Arial" w:hAnsi="Arial" w:cs="Arial"/>
                <w:color w:val="000000"/>
                <w:lang w:val="es-MX" w:eastAsia="es-MX"/>
              </w:rPr>
              <w:t> </w:t>
            </w:r>
          </w:p>
        </w:tc>
        <w:tc>
          <w:tcPr>
            <w:tcW w:w="703" w:type="dxa"/>
            <w:tcBorders>
              <w:top w:val="nil"/>
              <w:left w:val="nil"/>
              <w:bottom w:val="nil"/>
              <w:right w:val="single" w:sz="4" w:space="0" w:color="auto"/>
            </w:tcBorders>
            <w:shd w:val="clear" w:color="auto" w:fill="auto"/>
            <w:noWrap/>
            <w:vAlign w:val="bottom"/>
            <w:hideMark/>
          </w:tcPr>
          <w:p w14:paraId="5A1FB883" w14:textId="77777777" w:rsidR="0017331D" w:rsidRDefault="0017331D" w:rsidP="00BA5BA5">
            <w:pPr>
              <w:rPr>
                <w:rFonts w:ascii="Arial" w:hAnsi="Arial" w:cs="Arial"/>
                <w:color w:val="000000"/>
              </w:rPr>
            </w:pPr>
            <w:r>
              <w:rPr>
                <w:rFonts w:ascii="Arial" w:hAnsi="Arial" w:cs="Arial"/>
                <w:color w:val="000000"/>
              </w:rPr>
              <w:t>3.9</w:t>
            </w:r>
          </w:p>
        </w:tc>
      </w:tr>
      <w:tr w:rsidR="0017331D" w:rsidRPr="00685B80" w14:paraId="4B9F81D1" w14:textId="77777777" w:rsidTr="00BA5BA5">
        <w:trPr>
          <w:trHeight w:val="255"/>
        </w:trPr>
        <w:tc>
          <w:tcPr>
            <w:tcW w:w="3108" w:type="dxa"/>
            <w:tcBorders>
              <w:top w:val="nil"/>
              <w:left w:val="single" w:sz="4" w:space="0" w:color="auto"/>
              <w:bottom w:val="nil"/>
              <w:right w:val="nil"/>
            </w:tcBorders>
            <w:shd w:val="clear" w:color="auto" w:fill="auto"/>
            <w:noWrap/>
            <w:vAlign w:val="bottom"/>
            <w:hideMark/>
          </w:tcPr>
          <w:p w14:paraId="3E055378" w14:textId="77777777" w:rsidR="0017331D" w:rsidRPr="00685B80" w:rsidRDefault="0017331D" w:rsidP="00BA5BA5">
            <w:pPr>
              <w:ind w:firstLineChars="100" w:firstLine="200"/>
              <w:rPr>
                <w:rFonts w:ascii="Arial" w:hAnsi="Arial" w:cs="Arial"/>
                <w:color w:val="000000"/>
                <w:lang w:val="es-MX" w:eastAsia="es-MX"/>
              </w:rPr>
            </w:pPr>
            <w:r>
              <w:rPr>
                <w:rFonts w:ascii="Arial" w:hAnsi="Arial" w:cs="Arial"/>
                <w:color w:val="000000"/>
                <w:lang w:val="es-MX" w:eastAsia="es-MX"/>
              </w:rPr>
              <w:t xml:space="preserve">Estado de </w:t>
            </w:r>
            <w:r w:rsidRPr="00685B80">
              <w:rPr>
                <w:rFonts w:ascii="Arial" w:hAnsi="Arial" w:cs="Arial"/>
                <w:color w:val="000000"/>
                <w:lang w:val="es-MX" w:eastAsia="es-MX"/>
              </w:rPr>
              <w:t>México</w:t>
            </w:r>
          </w:p>
        </w:tc>
        <w:tc>
          <w:tcPr>
            <w:tcW w:w="611" w:type="dxa"/>
            <w:tcBorders>
              <w:top w:val="nil"/>
              <w:left w:val="single" w:sz="4" w:space="0" w:color="auto"/>
              <w:bottom w:val="nil"/>
              <w:right w:val="nil"/>
            </w:tcBorders>
            <w:shd w:val="clear" w:color="auto" w:fill="auto"/>
            <w:noWrap/>
            <w:vAlign w:val="bottom"/>
            <w:hideMark/>
          </w:tcPr>
          <w:p w14:paraId="6D5FFD41" w14:textId="77777777" w:rsidR="0017331D" w:rsidRPr="00685B80" w:rsidRDefault="0017331D" w:rsidP="00BA5BA5">
            <w:pPr>
              <w:jc w:val="right"/>
              <w:rPr>
                <w:rFonts w:ascii="Arial" w:hAnsi="Arial" w:cs="Arial"/>
                <w:color w:val="000000"/>
                <w:lang w:val="es-MX" w:eastAsia="es-MX"/>
              </w:rPr>
            </w:pPr>
            <w:r w:rsidRPr="00685B80">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16839E94" w14:textId="77777777" w:rsidR="0017331D" w:rsidRDefault="0017331D" w:rsidP="00BA5BA5">
            <w:pPr>
              <w:jc w:val="center"/>
              <w:rPr>
                <w:rFonts w:ascii="Arial" w:hAnsi="Arial" w:cs="Arial"/>
                <w:color w:val="000000"/>
              </w:rPr>
            </w:pPr>
            <w:r>
              <w:rPr>
                <w:rFonts w:ascii="Arial" w:hAnsi="Arial" w:cs="Arial"/>
                <w:color w:val="000000"/>
              </w:rPr>
              <w:t>2.7</w:t>
            </w:r>
          </w:p>
        </w:tc>
        <w:tc>
          <w:tcPr>
            <w:tcW w:w="666" w:type="dxa"/>
            <w:tcBorders>
              <w:top w:val="nil"/>
              <w:left w:val="nil"/>
              <w:bottom w:val="nil"/>
              <w:right w:val="nil"/>
            </w:tcBorders>
            <w:shd w:val="clear" w:color="auto" w:fill="auto"/>
            <w:noWrap/>
            <w:vAlign w:val="bottom"/>
            <w:hideMark/>
          </w:tcPr>
          <w:p w14:paraId="52673FE6" w14:textId="77777777" w:rsidR="0017331D" w:rsidRPr="00685B80" w:rsidRDefault="0017331D" w:rsidP="00BA5BA5">
            <w:pPr>
              <w:jc w:val="right"/>
              <w:rPr>
                <w:rFonts w:ascii="Arial" w:hAnsi="Arial" w:cs="Arial"/>
                <w:color w:val="000000"/>
                <w:lang w:val="es-MX" w:eastAsia="es-MX"/>
              </w:rPr>
            </w:pPr>
            <w:r w:rsidRPr="00685B80">
              <w:rPr>
                <w:rFonts w:ascii="Arial" w:hAnsi="Arial" w:cs="Arial"/>
                <w:color w:val="000000"/>
                <w:lang w:val="es-MX" w:eastAsia="es-MX"/>
              </w:rPr>
              <w:t>(-)</w:t>
            </w:r>
          </w:p>
        </w:tc>
        <w:tc>
          <w:tcPr>
            <w:tcW w:w="814" w:type="dxa"/>
            <w:tcBorders>
              <w:top w:val="nil"/>
              <w:left w:val="nil"/>
              <w:bottom w:val="nil"/>
              <w:right w:val="single" w:sz="4" w:space="0" w:color="auto"/>
            </w:tcBorders>
            <w:shd w:val="clear" w:color="auto" w:fill="auto"/>
            <w:noWrap/>
            <w:vAlign w:val="bottom"/>
            <w:hideMark/>
          </w:tcPr>
          <w:p w14:paraId="5E0B33DE" w14:textId="77777777" w:rsidR="0017331D" w:rsidRDefault="0017331D" w:rsidP="00BA5BA5">
            <w:pPr>
              <w:rPr>
                <w:rFonts w:ascii="Arial" w:hAnsi="Arial" w:cs="Arial"/>
                <w:color w:val="000000"/>
              </w:rPr>
            </w:pPr>
            <w:r>
              <w:rPr>
                <w:rFonts w:ascii="Arial" w:hAnsi="Arial" w:cs="Arial"/>
                <w:color w:val="000000"/>
              </w:rPr>
              <w:t xml:space="preserve">  11.0</w:t>
            </w:r>
          </w:p>
        </w:tc>
        <w:tc>
          <w:tcPr>
            <w:tcW w:w="634" w:type="dxa"/>
            <w:tcBorders>
              <w:top w:val="nil"/>
              <w:left w:val="nil"/>
              <w:bottom w:val="nil"/>
              <w:right w:val="nil"/>
            </w:tcBorders>
            <w:shd w:val="clear" w:color="auto" w:fill="auto"/>
            <w:noWrap/>
            <w:vAlign w:val="bottom"/>
            <w:hideMark/>
          </w:tcPr>
          <w:p w14:paraId="6ED1B944" w14:textId="77777777" w:rsidR="0017331D" w:rsidRPr="0048399B" w:rsidRDefault="0017331D" w:rsidP="00BA5BA5">
            <w:pPr>
              <w:jc w:val="right"/>
              <w:rPr>
                <w:rFonts w:ascii="Arial" w:hAnsi="Arial" w:cs="Arial"/>
                <w:color w:val="000000"/>
                <w:lang w:val="es-MX" w:eastAsia="es-MX"/>
              </w:rPr>
            </w:pPr>
          </w:p>
        </w:tc>
        <w:tc>
          <w:tcPr>
            <w:tcW w:w="814" w:type="dxa"/>
            <w:tcBorders>
              <w:top w:val="nil"/>
              <w:left w:val="nil"/>
              <w:bottom w:val="nil"/>
              <w:right w:val="single" w:sz="4" w:space="0" w:color="auto"/>
            </w:tcBorders>
            <w:shd w:val="clear" w:color="auto" w:fill="auto"/>
            <w:noWrap/>
            <w:vAlign w:val="bottom"/>
            <w:hideMark/>
          </w:tcPr>
          <w:p w14:paraId="7EBD5BF0" w14:textId="77777777" w:rsidR="0017331D" w:rsidRDefault="0017331D" w:rsidP="00BA5BA5">
            <w:pPr>
              <w:jc w:val="center"/>
              <w:rPr>
                <w:rFonts w:ascii="Arial" w:hAnsi="Arial" w:cs="Arial"/>
                <w:color w:val="000000"/>
              </w:rPr>
            </w:pPr>
            <w:r>
              <w:rPr>
                <w:rFonts w:ascii="Arial" w:hAnsi="Arial" w:cs="Arial"/>
                <w:color w:val="000000"/>
              </w:rPr>
              <w:t>1.9</w:t>
            </w:r>
          </w:p>
        </w:tc>
        <w:tc>
          <w:tcPr>
            <w:tcW w:w="642" w:type="dxa"/>
            <w:tcBorders>
              <w:top w:val="nil"/>
              <w:left w:val="nil"/>
              <w:bottom w:val="nil"/>
              <w:right w:val="nil"/>
            </w:tcBorders>
            <w:shd w:val="clear" w:color="auto" w:fill="auto"/>
            <w:noWrap/>
            <w:vAlign w:val="bottom"/>
            <w:hideMark/>
          </w:tcPr>
          <w:p w14:paraId="417CF84E" w14:textId="77777777" w:rsidR="0017331D" w:rsidRPr="0048399B" w:rsidRDefault="0017331D" w:rsidP="00BA5BA5">
            <w:pPr>
              <w:jc w:val="right"/>
              <w:rPr>
                <w:rFonts w:ascii="Arial" w:hAnsi="Arial" w:cs="Arial"/>
                <w:color w:val="000000"/>
                <w:lang w:val="es-MX" w:eastAsia="es-MX"/>
              </w:rPr>
            </w:pPr>
            <w:r w:rsidRPr="0048399B">
              <w:rPr>
                <w:rFonts w:ascii="Arial" w:hAnsi="Arial" w:cs="Arial"/>
                <w:color w:val="000000"/>
                <w:lang w:val="es-MX" w:eastAsia="es-MX"/>
              </w:rPr>
              <w:t> </w:t>
            </w:r>
          </w:p>
        </w:tc>
        <w:tc>
          <w:tcPr>
            <w:tcW w:w="703" w:type="dxa"/>
            <w:tcBorders>
              <w:top w:val="nil"/>
              <w:left w:val="nil"/>
              <w:bottom w:val="nil"/>
              <w:right w:val="single" w:sz="4" w:space="0" w:color="auto"/>
            </w:tcBorders>
            <w:shd w:val="clear" w:color="auto" w:fill="auto"/>
            <w:noWrap/>
            <w:vAlign w:val="bottom"/>
            <w:hideMark/>
          </w:tcPr>
          <w:p w14:paraId="724E9463" w14:textId="77777777" w:rsidR="0017331D" w:rsidRDefault="0017331D" w:rsidP="00BA5BA5">
            <w:pPr>
              <w:rPr>
                <w:rFonts w:ascii="Arial" w:hAnsi="Arial" w:cs="Arial"/>
                <w:color w:val="000000"/>
              </w:rPr>
            </w:pPr>
            <w:r>
              <w:rPr>
                <w:rFonts w:ascii="Arial" w:hAnsi="Arial" w:cs="Arial"/>
                <w:color w:val="000000"/>
              </w:rPr>
              <w:t>3.2</w:t>
            </w:r>
          </w:p>
        </w:tc>
      </w:tr>
      <w:tr w:rsidR="0017331D" w:rsidRPr="00685B80" w14:paraId="311E5193" w14:textId="77777777" w:rsidTr="00BA5BA5">
        <w:trPr>
          <w:trHeight w:val="255"/>
        </w:trPr>
        <w:tc>
          <w:tcPr>
            <w:tcW w:w="3108" w:type="dxa"/>
            <w:tcBorders>
              <w:top w:val="nil"/>
              <w:left w:val="single" w:sz="4" w:space="0" w:color="auto"/>
              <w:bottom w:val="nil"/>
              <w:right w:val="nil"/>
            </w:tcBorders>
            <w:shd w:val="clear" w:color="auto" w:fill="auto"/>
            <w:noWrap/>
            <w:vAlign w:val="bottom"/>
            <w:hideMark/>
          </w:tcPr>
          <w:p w14:paraId="4143FF79" w14:textId="77777777" w:rsidR="0017331D" w:rsidRPr="00685B80" w:rsidRDefault="0017331D" w:rsidP="00BA5BA5">
            <w:pPr>
              <w:ind w:firstLineChars="100" w:firstLine="200"/>
              <w:rPr>
                <w:rFonts w:ascii="Arial" w:hAnsi="Arial" w:cs="Arial"/>
                <w:color w:val="000000"/>
                <w:lang w:val="es-MX" w:eastAsia="es-MX"/>
              </w:rPr>
            </w:pPr>
            <w:r w:rsidRPr="00685B80">
              <w:rPr>
                <w:rFonts w:ascii="Arial" w:hAnsi="Arial" w:cs="Arial"/>
                <w:color w:val="000000"/>
                <w:lang w:val="es-MX" w:eastAsia="es-MX"/>
              </w:rPr>
              <w:t>Michoacán de Ocampo</w:t>
            </w:r>
          </w:p>
        </w:tc>
        <w:tc>
          <w:tcPr>
            <w:tcW w:w="611" w:type="dxa"/>
            <w:tcBorders>
              <w:top w:val="nil"/>
              <w:left w:val="single" w:sz="4" w:space="0" w:color="auto"/>
              <w:bottom w:val="nil"/>
              <w:right w:val="nil"/>
            </w:tcBorders>
            <w:shd w:val="clear" w:color="auto" w:fill="auto"/>
            <w:noWrap/>
            <w:vAlign w:val="bottom"/>
            <w:hideMark/>
          </w:tcPr>
          <w:p w14:paraId="68ACA8E9" w14:textId="77777777" w:rsidR="0017331D" w:rsidRPr="00685B80" w:rsidRDefault="0017331D" w:rsidP="00BA5BA5">
            <w:pPr>
              <w:jc w:val="right"/>
              <w:rPr>
                <w:rFonts w:ascii="Arial" w:hAnsi="Arial" w:cs="Arial"/>
                <w:color w:val="000000"/>
                <w:lang w:val="es-MX" w:eastAsia="es-MX"/>
              </w:rPr>
            </w:pPr>
            <w:r w:rsidRPr="00685B80">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42D8D853" w14:textId="77777777" w:rsidR="0017331D" w:rsidRDefault="0017331D" w:rsidP="00BA5BA5">
            <w:pPr>
              <w:jc w:val="center"/>
              <w:rPr>
                <w:rFonts w:ascii="Arial" w:hAnsi="Arial" w:cs="Arial"/>
                <w:color w:val="000000"/>
              </w:rPr>
            </w:pPr>
            <w:r>
              <w:rPr>
                <w:rFonts w:ascii="Arial" w:hAnsi="Arial" w:cs="Arial"/>
                <w:color w:val="000000"/>
              </w:rPr>
              <w:t>1.9</w:t>
            </w:r>
          </w:p>
        </w:tc>
        <w:tc>
          <w:tcPr>
            <w:tcW w:w="666" w:type="dxa"/>
            <w:tcBorders>
              <w:top w:val="nil"/>
              <w:left w:val="nil"/>
              <w:bottom w:val="nil"/>
              <w:right w:val="nil"/>
            </w:tcBorders>
            <w:shd w:val="clear" w:color="auto" w:fill="auto"/>
            <w:noWrap/>
            <w:vAlign w:val="bottom"/>
            <w:hideMark/>
          </w:tcPr>
          <w:p w14:paraId="13EFAE4A" w14:textId="77777777" w:rsidR="0017331D" w:rsidRPr="0048399B" w:rsidRDefault="0017331D" w:rsidP="00BA5BA5">
            <w:pPr>
              <w:jc w:val="right"/>
              <w:rPr>
                <w:rFonts w:ascii="Arial" w:hAnsi="Arial" w:cs="Arial"/>
                <w:color w:val="000000"/>
                <w:lang w:val="es-MX" w:eastAsia="es-MX"/>
              </w:rPr>
            </w:pPr>
            <w:r w:rsidRPr="0048399B">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6CFE00F5" w14:textId="77777777" w:rsidR="0017331D" w:rsidRDefault="0017331D" w:rsidP="00BA5BA5">
            <w:pPr>
              <w:jc w:val="center"/>
              <w:rPr>
                <w:rFonts w:ascii="Arial" w:hAnsi="Arial" w:cs="Arial"/>
                <w:color w:val="000000"/>
              </w:rPr>
            </w:pPr>
            <w:r>
              <w:rPr>
                <w:rFonts w:ascii="Arial" w:hAnsi="Arial" w:cs="Arial"/>
                <w:color w:val="000000"/>
              </w:rPr>
              <w:t>4.1</w:t>
            </w:r>
          </w:p>
        </w:tc>
        <w:tc>
          <w:tcPr>
            <w:tcW w:w="634" w:type="dxa"/>
            <w:tcBorders>
              <w:top w:val="nil"/>
              <w:left w:val="nil"/>
              <w:bottom w:val="nil"/>
              <w:right w:val="nil"/>
            </w:tcBorders>
            <w:shd w:val="clear" w:color="auto" w:fill="auto"/>
            <w:noWrap/>
            <w:vAlign w:val="bottom"/>
            <w:hideMark/>
          </w:tcPr>
          <w:p w14:paraId="67779A0F" w14:textId="77777777" w:rsidR="0017331D" w:rsidRPr="00685B80" w:rsidRDefault="0017331D" w:rsidP="00BA5BA5">
            <w:pPr>
              <w:jc w:val="right"/>
              <w:rPr>
                <w:rFonts w:ascii="Arial" w:hAnsi="Arial" w:cs="Arial"/>
                <w:color w:val="000000"/>
                <w:lang w:val="es-MX" w:eastAsia="es-MX"/>
              </w:rPr>
            </w:pPr>
            <w:r w:rsidRPr="00685B80">
              <w:rPr>
                <w:rFonts w:ascii="Arial" w:hAnsi="Arial" w:cs="Arial"/>
                <w:color w:val="000000"/>
                <w:lang w:val="es-MX" w:eastAsia="es-MX"/>
              </w:rPr>
              <w:t>(-)</w:t>
            </w:r>
          </w:p>
        </w:tc>
        <w:tc>
          <w:tcPr>
            <w:tcW w:w="814" w:type="dxa"/>
            <w:tcBorders>
              <w:top w:val="nil"/>
              <w:left w:val="nil"/>
              <w:bottom w:val="nil"/>
              <w:right w:val="single" w:sz="4" w:space="0" w:color="auto"/>
            </w:tcBorders>
            <w:shd w:val="clear" w:color="auto" w:fill="auto"/>
            <w:noWrap/>
            <w:vAlign w:val="bottom"/>
            <w:hideMark/>
          </w:tcPr>
          <w:p w14:paraId="725E1061" w14:textId="77777777" w:rsidR="0017331D" w:rsidRDefault="0017331D" w:rsidP="00BA5BA5">
            <w:pPr>
              <w:jc w:val="center"/>
              <w:rPr>
                <w:rFonts w:ascii="Arial" w:hAnsi="Arial" w:cs="Arial"/>
                <w:color w:val="000000"/>
              </w:rPr>
            </w:pPr>
            <w:r>
              <w:rPr>
                <w:rFonts w:ascii="Arial" w:hAnsi="Arial" w:cs="Arial"/>
                <w:color w:val="000000"/>
              </w:rPr>
              <w:t>1.1</w:t>
            </w:r>
          </w:p>
        </w:tc>
        <w:tc>
          <w:tcPr>
            <w:tcW w:w="642" w:type="dxa"/>
            <w:tcBorders>
              <w:top w:val="nil"/>
              <w:left w:val="nil"/>
              <w:bottom w:val="nil"/>
              <w:right w:val="nil"/>
            </w:tcBorders>
            <w:shd w:val="clear" w:color="auto" w:fill="auto"/>
            <w:noWrap/>
            <w:vAlign w:val="bottom"/>
            <w:hideMark/>
          </w:tcPr>
          <w:p w14:paraId="1DA75EC3" w14:textId="77777777" w:rsidR="0017331D" w:rsidRPr="0048399B" w:rsidRDefault="0017331D" w:rsidP="00BA5BA5">
            <w:pPr>
              <w:jc w:val="right"/>
              <w:rPr>
                <w:rFonts w:ascii="Arial" w:hAnsi="Arial" w:cs="Arial"/>
                <w:color w:val="000000"/>
                <w:lang w:val="es-MX" w:eastAsia="es-MX"/>
              </w:rPr>
            </w:pPr>
            <w:r w:rsidRPr="0048399B">
              <w:rPr>
                <w:rFonts w:ascii="Arial" w:hAnsi="Arial" w:cs="Arial"/>
                <w:color w:val="000000"/>
                <w:lang w:val="es-MX" w:eastAsia="es-MX"/>
              </w:rPr>
              <w:t> </w:t>
            </w:r>
          </w:p>
        </w:tc>
        <w:tc>
          <w:tcPr>
            <w:tcW w:w="703" w:type="dxa"/>
            <w:tcBorders>
              <w:top w:val="nil"/>
              <w:left w:val="nil"/>
              <w:bottom w:val="nil"/>
              <w:right w:val="single" w:sz="4" w:space="0" w:color="auto"/>
            </w:tcBorders>
            <w:shd w:val="clear" w:color="auto" w:fill="auto"/>
            <w:noWrap/>
            <w:vAlign w:val="bottom"/>
            <w:hideMark/>
          </w:tcPr>
          <w:p w14:paraId="38EB2CB1" w14:textId="77777777" w:rsidR="0017331D" w:rsidRDefault="0017331D" w:rsidP="00BA5BA5">
            <w:pPr>
              <w:rPr>
                <w:rFonts w:ascii="Arial" w:hAnsi="Arial" w:cs="Arial"/>
                <w:color w:val="000000"/>
              </w:rPr>
            </w:pPr>
            <w:r>
              <w:rPr>
                <w:rFonts w:ascii="Arial" w:hAnsi="Arial" w:cs="Arial"/>
                <w:color w:val="000000"/>
              </w:rPr>
              <w:t>2.3</w:t>
            </w:r>
          </w:p>
        </w:tc>
      </w:tr>
      <w:tr w:rsidR="0017331D" w:rsidRPr="00685B80" w14:paraId="2DA53BBD" w14:textId="77777777" w:rsidTr="00BA5BA5">
        <w:trPr>
          <w:trHeight w:val="255"/>
        </w:trPr>
        <w:tc>
          <w:tcPr>
            <w:tcW w:w="3108" w:type="dxa"/>
            <w:tcBorders>
              <w:top w:val="nil"/>
              <w:left w:val="single" w:sz="4" w:space="0" w:color="auto"/>
              <w:bottom w:val="nil"/>
              <w:right w:val="nil"/>
            </w:tcBorders>
            <w:shd w:val="clear" w:color="auto" w:fill="auto"/>
            <w:noWrap/>
            <w:vAlign w:val="bottom"/>
            <w:hideMark/>
          </w:tcPr>
          <w:p w14:paraId="732C54FB" w14:textId="77777777" w:rsidR="0017331D" w:rsidRPr="00685B80" w:rsidRDefault="0017331D" w:rsidP="00BA5BA5">
            <w:pPr>
              <w:ind w:firstLineChars="100" w:firstLine="200"/>
              <w:rPr>
                <w:rFonts w:ascii="Arial" w:hAnsi="Arial" w:cs="Arial"/>
                <w:color w:val="000000"/>
                <w:lang w:val="es-MX" w:eastAsia="es-MX"/>
              </w:rPr>
            </w:pPr>
            <w:r w:rsidRPr="00685B80">
              <w:rPr>
                <w:rFonts w:ascii="Arial" w:hAnsi="Arial" w:cs="Arial"/>
                <w:color w:val="000000"/>
                <w:lang w:val="es-MX" w:eastAsia="es-MX"/>
              </w:rPr>
              <w:t>Morelos</w:t>
            </w:r>
          </w:p>
        </w:tc>
        <w:tc>
          <w:tcPr>
            <w:tcW w:w="611" w:type="dxa"/>
            <w:tcBorders>
              <w:top w:val="nil"/>
              <w:left w:val="single" w:sz="4" w:space="0" w:color="auto"/>
              <w:bottom w:val="nil"/>
              <w:right w:val="nil"/>
            </w:tcBorders>
            <w:shd w:val="clear" w:color="auto" w:fill="auto"/>
            <w:noWrap/>
            <w:vAlign w:val="bottom"/>
            <w:hideMark/>
          </w:tcPr>
          <w:p w14:paraId="06C5268F" w14:textId="77777777" w:rsidR="0017331D" w:rsidRPr="00685B80" w:rsidRDefault="0017331D" w:rsidP="00BA5BA5">
            <w:pPr>
              <w:jc w:val="right"/>
              <w:rPr>
                <w:rFonts w:ascii="Arial" w:hAnsi="Arial" w:cs="Arial"/>
                <w:color w:val="000000"/>
                <w:lang w:val="es-MX" w:eastAsia="es-MX"/>
              </w:rPr>
            </w:pPr>
            <w:r w:rsidRPr="00685B80">
              <w:rPr>
                <w:rFonts w:ascii="Arial" w:hAnsi="Arial" w:cs="Arial"/>
                <w:color w:val="000000"/>
                <w:lang w:val="es-MX" w:eastAsia="es-MX"/>
              </w:rPr>
              <w:t>(-)</w:t>
            </w:r>
          </w:p>
        </w:tc>
        <w:tc>
          <w:tcPr>
            <w:tcW w:w="814" w:type="dxa"/>
            <w:tcBorders>
              <w:top w:val="nil"/>
              <w:left w:val="nil"/>
              <w:bottom w:val="nil"/>
              <w:right w:val="single" w:sz="4" w:space="0" w:color="auto"/>
            </w:tcBorders>
            <w:shd w:val="clear" w:color="auto" w:fill="auto"/>
            <w:noWrap/>
            <w:vAlign w:val="bottom"/>
            <w:hideMark/>
          </w:tcPr>
          <w:p w14:paraId="5464FBB6" w14:textId="77777777" w:rsidR="0017331D" w:rsidRDefault="0017331D" w:rsidP="00BA5BA5">
            <w:pPr>
              <w:jc w:val="center"/>
              <w:rPr>
                <w:rFonts w:ascii="Arial" w:hAnsi="Arial" w:cs="Arial"/>
                <w:color w:val="000000"/>
              </w:rPr>
            </w:pPr>
            <w:r>
              <w:rPr>
                <w:rFonts w:ascii="Arial" w:hAnsi="Arial" w:cs="Arial"/>
                <w:color w:val="000000"/>
              </w:rPr>
              <w:t>0.5</w:t>
            </w:r>
          </w:p>
        </w:tc>
        <w:tc>
          <w:tcPr>
            <w:tcW w:w="666" w:type="dxa"/>
            <w:tcBorders>
              <w:top w:val="nil"/>
              <w:left w:val="nil"/>
              <w:bottom w:val="nil"/>
              <w:right w:val="nil"/>
            </w:tcBorders>
            <w:shd w:val="clear" w:color="auto" w:fill="auto"/>
            <w:noWrap/>
            <w:vAlign w:val="bottom"/>
            <w:hideMark/>
          </w:tcPr>
          <w:p w14:paraId="4119650F" w14:textId="77777777" w:rsidR="0017331D" w:rsidRPr="0048399B" w:rsidRDefault="0017331D" w:rsidP="00BA5BA5">
            <w:pPr>
              <w:jc w:val="right"/>
              <w:rPr>
                <w:rFonts w:ascii="Arial" w:hAnsi="Arial" w:cs="Arial"/>
                <w:color w:val="000000"/>
                <w:lang w:val="es-MX" w:eastAsia="es-MX"/>
              </w:rPr>
            </w:pPr>
            <w:r w:rsidRPr="0048399B">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0646D887" w14:textId="77777777" w:rsidR="0017331D" w:rsidRDefault="0017331D" w:rsidP="00BA5BA5">
            <w:pPr>
              <w:jc w:val="center"/>
              <w:rPr>
                <w:rFonts w:ascii="Arial" w:hAnsi="Arial" w:cs="Arial"/>
                <w:color w:val="000000"/>
              </w:rPr>
            </w:pPr>
            <w:r>
              <w:rPr>
                <w:rFonts w:ascii="Arial" w:hAnsi="Arial" w:cs="Arial"/>
                <w:color w:val="000000"/>
              </w:rPr>
              <w:t>7.9</w:t>
            </w:r>
          </w:p>
        </w:tc>
        <w:tc>
          <w:tcPr>
            <w:tcW w:w="634" w:type="dxa"/>
            <w:tcBorders>
              <w:top w:val="nil"/>
              <w:left w:val="nil"/>
              <w:bottom w:val="nil"/>
              <w:right w:val="nil"/>
            </w:tcBorders>
            <w:shd w:val="clear" w:color="auto" w:fill="auto"/>
            <w:noWrap/>
            <w:vAlign w:val="bottom"/>
            <w:hideMark/>
          </w:tcPr>
          <w:p w14:paraId="66ED71FB" w14:textId="77777777" w:rsidR="0017331D" w:rsidRPr="0048399B" w:rsidRDefault="0017331D" w:rsidP="00BA5BA5">
            <w:pPr>
              <w:jc w:val="right"/>
              <w:rPr>
                <w:rFonts w:ascii="Arial" w:hAnsi="Arial" w:cs="Arial"/>
                <w:color w:val="000000"/>
                <w:lang w:val="es-MX" w:eastAsia="es-MX"/>
              </w:rPr>
            </w:pPr>
            <w:r w:rsidRPr="0048399B">
              <w:rPr>
                <w:rFonts w:ascii="Arial" w:hAnsi="Arial" w:cs="Arial"/>
                <w:color w:val="000000"/>
                <w:lang w:val="es-MX" w:eastAsia="es-MX"/>
              </w:rPr>
              <w:t>(-)</w:t>
            </w:r>
          </w:p>
        </w:tc>
        <w:tc>
          <w:tcPr>
            <w:tcW w:w="814" w:type="dxa"/>
            <w:tcBorders>
              <w:top w:val="nil"/>
              <w:left w:val="nil"/>
              <w:bottom w:val="nil"/>
              <w:right w:val="single" w:sz="4" w:space="0" w:color="auto"/>
            </w:tcBorders>
            <w:shd w:val="clear" w:color="auto" w:fill="auto"/>
            <w:noWrap/>
            <w:vAlign w:val="bottom"/>
            <w:hideMark/>
          </w:tcPr>
          <w:p w14:paraId="3E3A9A34" w14:textId="77777777" w:rsidR="0017331D" w:rsidRDefault="0017331D" w:rsidP="00BA5BA5">
            <w:pPr>
              <w:jc w:val="center"/>
              <w:rPr>
                <w:rFonts w:ascii="Arial" w:hAnsi="Arial" w:cs="Arial"/>
                <w:color w:val="000000"/>
              </w:rPr>
            </w:pPr>
            <w:r>
              <w:rPr>
                <w:rFonts w:ascii="Arial" w:hAnsi="Arial" w:cs="Arial"/>
                <w:color w:val="000000"/>
              </w:rPr>
              <w:t>4.0</w:t>
            </w:r>
          </w:p>
        </w:tc>
        <w:tc>
          <w:tcPr>
            <w:tcW w:w="642" w:type="dxa"/>
            <w:tcBorders>
              <w:top w:val="nil"/>
              <w:left w:val="nil"/>
              <w:bottom w:val="nil"/>
              <w:right w:val="nil"/>
            </w:tcBorders>
            <w:shd w:val="clear" w:color="auto" w:fill="auto"/>
            <w:noWrap/>
            <w:vAlign w:val="bottom"/>
            <w:hideMark/>
          </w:tcPr>
          <w:p w14:paraId="693A8592" w14:textId="77777777" w:rsidR="0017331D" w:rsidRPr="0048399B" w:rsidRDefault="0017331D" w:rsidP="00BA5BA5">
            <w:pPr>
              <w:jc w:val="right"/>
              <w:rPr>
                <w:rFonts w:ascii="Arial" w:hAnsi="Arial" w:cs="Arial"/>
                <w:color w:val="000000"/>
                <w:lang w:val="es-MX" w:eastAsia="es-MX"/>
              </w:rPr>
            </w:pPr>
            <w:r w:rsidRPr="0048399B">
              <w:rPr>
                <w:rFonts w:ascii="Arial" w:hAnsi="Arial" w:cs="Arial"/>
                <w:color w:val="000000"/>
                <w:lang w:val="es-MX" w:eastAsia="es-MX"/>
              </w:rPr>
              <w:t> </w:t>
            </w:r>
          </w:p>
        </w:tc>
        <w:tc>
          <w:tcPr>
            <w:tcW w:w="703" w:type="dxa"/>
            <w:tcBorders>
              <w:top w:val="nil"/>
              <w:left w:val="nil"/>
              <w:bottom w:val="nil"/>
              <w:right w:val="single" w:sz="4" w:space="0" w:color="auto"/>
            </w:tcBorders>
            <w:shd w:val="clear" w:color="auto" w:fill="auto"/>
            <w:noWrap/>
            <w:vAlign w:val="bottom"/>
            <w:hideMark/>
          </w:tcPr>
          <w:p w14:paraId="0523133A" w14:textId="77777777" w:rsidR="0017331D" w:rsidRDefault="0017331D" w:rsidP="00BA5BA5">
            <w:pPr>
              <w:rPr>
                <w:rFonts w:ascii="Arial" w:hAnsi="Arial" w:cs="Arial"/>
                <w:color w:val="000000"/>
              </w:rPr>
            </w:pPr>
            <w:r>
              <w:rPr>
                <w:rFonts w:ascii="Arial" w:hAnsi="Arial" w:cs="Arial"/>
                <w:color w:val="000000"/>
              </w:rPr>
              <w:t>0.8</w:t>
            </w:r>
          </w:p>
        </w:tc>
      </w:tr>
      <w:tr w:rsidR="0017331D" w:rsidRPr="00685B80" w14:paraId="5F6DD206" w14:textId="77777777" w:rsidTr="00BA5BA5">
        <w:trPr>
          <w:trHeight w:val="255"/>
        </w:trPr>
        <w:tc>
          <w:tcPr>
            <w:tcW w:w="3108" w:type="dxa"/>
            <w:tcBorders>
              <w:top w:val="nil"/>
              <w:left w:val="single" w:sz="4" w:space="0" w:color="auto"/>
              <w:bottom w:val="nil"/>
              <w:right w:val="nil"/>
            </w:tcBorders>
            <w:shd w:val="clear" w:color="auto" w:fill="auto"/>
            <w:noWrap/>
            <w:vAlign w:val="bottom"/>
            <w:hideMark/>
          </w:tcPr>
          <w:p w14:paraId="36F186D2" w14:textId="77777777" w:rsidR="0017331D" w:rsidRPr="00685B80" w:rsidRDefault="0017331D" w:rsidP="00BA5BA5">
            <w:pPr>
              <w:ind w:firstLineChars="100" w:firstLine="200"/>
              <w:rPr>
                <w:rFonts w:ascii="Arial" w:hAnsi="Arial" w:cs="Arial"/>
                <w:color w:val="000000"/>
                <w:lang w:val="es-MX" w:eastAsia="es-MX"/>
              </w:rPr>
            </w:pPr>
            <w:r w:rsidRPr="00685B80">
              <w:rPr>
                <w:rFonts w:ascii="Arial" w:hAnsi="Arial" w:cs="Arial"/>
                <w:color w:val="000000"/>
                <w:lang w:val="es-MX" w:eastAsia="es-MX"/>
              </w:rPr>
              <w:t>Nayarit</w:t>
            </w:r>
          </w:p>
        </w:tc>
        <w:tc>
          <w:tcPr>
            <w:tcW w:w="611" w:type="dxa"/>
            <w:tcBorders>
              <w:top w:val="nil"/>
              <w:left w:val="single" w:sz="4" w:space="0" w:color="auto"/>
              <w:bottom w:val="nil"/>
              <w:right w:val="nil"/>
            </w:tcBorders>
            <w:shd w:val="clear" w:color="auto" w:fill="auto"/>
            <w:noWrap/>
            <w:vAlign w:val="bottom"/>
            <w:hideMark/>
          </w:tcPr>
          <w:p w14:paraId="6ACDF2DD" w14:textId="77777777" w:rsidR="0017331D" w:rsidRPr="00685B80" w:rsidRDefault="0017331D" w:rsidP="00BA5BA5">
            <w:pPr>
              <w:jc w:val="right"/>
              <w:rPr>
                <w:rFonts w:ascii="Arial" w:hAnsi="Arial" w:cs="Arial"/>
                <w:color w:val="000000"/>
                <w:lang w:val="es-MX" w:eastAsia="es-MX"/>
              </w:rPr>
            </w:pPr>
            <w:r w:rsidRPr="00685B80">
              <w:rPr>
                <w:rFonts w:ascii="Arial" w:hAnsi="Arial" w:cs="Arial"/>
                <w:color w:val="000000"/>
                <w:lang w:val="es-MX" w:eastAsia="es-MX"/>
              </w:rPr>
              <w:t>(-)</w:t>
            </w:r>
          </w:p>
        </w:tc>
        <w:tc>
          <w:tcPr>
            <w:tcW w:w="814" w:type="dxa"/>
            <w:tcBorders>
              <w:top w:val="nil"/>
              <w:left w:val="nil"/>
              <w:bottom w:val="nil"/>
              <w:right w:val="single" w:sz="4" w:space="0" w:color="auto"/>
            </w:tcBorders>
            <w:shd w:val="clear" w:color="auto" w:fill="auto"/>
            <w:noWrap/>
            <w:vAlign w:val="bottom"/>
            <w:hideMark/>
          </w:tcPr>
          <w:p w14:paraId="79EAFA8C" w14:textId="77777777" w:rsidR="0017331D" w:rsidRDefault="0017331D" w:rsidP="00BA5BA5">
            <w:pPr>
              <w:jc w:val="center"/>
              <w:rPr>
                <w:rFonts w:ascii="Arial" w:hAnsi="Arial" w:cs="Arial"/>
                <w:color w:val="000000"/>
              </w:rPr>
            </w:pPr>
            <w:r>
              <w:rPr>
                <w:rFonts w:ascii="Arial" w:hAnsi="Arial" w:cs="Arial"/>
                <w:color w:val="000000"/>
              </w:rPr>
              <w:t>1.0</w:t>
            </w:r>
          </w:p>
        </w:tc>
        <w:tc>
          <w:tcPr>
            <w:tcW w:w="666" w:type="dxa"/>
            <w:tcBorders>
              <w:top w:val="nil"/>
              <w:left w:val="nil"/>
              <w:bottom w:val="nil"/>
              <w:right w:val="nil"/>
            </w:tcBorders>
            <w:shd w:val="clear" w:color="auto" w:fill="auto"/>
            <w:noWrap/>
            <w:vAlign w:val="bottom"/>
            <w:hideMark/>
          </w:tcPr>
          <w:p w14:paraId="469ACD36" w14:textId="77777777" w:rsidR="0017331D" w:rsidRPr="0048399B" w:rsidRDefault="0017331D" w:rsidP="00BA5BA5">
            <w:pPr>
              <w:jc w:val="right"/>
              <w:rPr>
                <w:rFonts w:ascii="Arial" w:hAnsi="Arial" w:cs="Arial"/>
                <w:color w:val="000000"/>
                <w:lang w:val="es-MX" w:eastAsia="es-MX"/>
              </w:rPr>
            </w:pPr>
            <w:r w:rsidRPr="0048399B">
              <w:rPr>
                <w:rFonts w:ascii="Arial" w:hAnsi="Arial" w:cs="Arial"/>
                <w:color w:val="000000"/>
                <w:lang w:val="es-MX" w:eastAsia="es-MX"/>
              </w:rPr>
              <w:t>(-)</w:t>
            </w:r>
          </w:p>
        </w:tc>
        <w:tc>
          <w:tcPr>
            <w:tcW w:w="814" w:type="dxa"/>
            <w:tcBorders>
              <w:top w:val="nil"/>
              <w:left w:val="nil"/>
              <w:bottom w:val="nil"/>
              <w:right w:val="single" w:sz="4" w:space="0" w:color="auto"/>
            </w:tcBorders>
            <w:shd w:val="clear" w:color="auto" w:fill="auto"/>
            <w:noWrap/>
            <w:vAlign w:val="bottom"/>
            <w:hideMark/>
          </w:tcPr>
          <w:p w14:paraId="3BBF704D" w14:textId="77777777" w:rsidR="0017331D" w:rsidRDefault="0017331D" w:rsidP="00BA5BA5">
            <w:pPr>
              <w:jc w:val="center"/>
              <w:rPr>
                <w:rFonts w:ascii="Arial" w:hAnsi="Arial" w:cs="Arial"/>
                <w:color w:val="000000"/>
              </w:rPr>
            </w:pPr>
            <w:r>
              <w:rPr>
                <w:rFonts w:ascii="Arial" w:hAnsi="Arial" w:cs="Arial"/>
                <w:color w:val="000000"/>
              </w:rPr>
              <w:t>5.4</w:t>
            </w:r>
          </w:p>
        </w:tc>
        <w:tc>
          <w:tcPr>
            <w:tcW w:w="634" w:type="dxa"/>
            <w:tcBorders>
              <w:top w:val="nil"/>
              <w:left w:val="nil"/>
              <w:bottom w:val="nil"/>
              <w:right w:val="nil"/>
            </w:tcBorders>
            <w:shd w:val="clear" w:color="auto" w:fill="auto"/>
            <w:noWrap/>
            <w:vAlign w:val="bottom"/>
            <w:hideMark/>
          </w:tcPr>
          <w:p w14:paraId="3A441217" w14:textId="77777777" w:rsidR="0017331D" w:rsidRPr="00685B80" w:rsidRDefault="0017331D" w:rsidP="00BA5BA5">
            <w:pPr>
              <w:jc w:val="right"/>
              <w:rPr>
                <w:rFonts w:ascii="Arial" w:hAnsi="Arial" w:cs="Arial"/>
                <w:color w:val="000000"/>
                <w:lang w:val="es-MX" w:eastAsia="es-MX"/>
              </w:rPr>
            </w:pPr>
            <w:r w:rsidRPr="00685B80">
              <w:rPr>
                <w:rFonts w:ascii="Arial" w:hAnsi="Arial" w:cs="Arial"/>
                <w:color w:val="000000"/>
                <w:lang w:val="es-MX" w:eastAsia="es-MX"/>
              </w:rPr>
              <w:t>(-)</w:t>
            </w:r>
          </w:p>
        </w:tc>
        <w:tc>
          <w:tcPr>
            <w:tcW w:w="814" w:type="dxa"/>
            <w:tcBorders>
              <w:top w:val="nil"/>
              <w:left w:val="nil"/>
              <w:bottom w:val="nil"/>
              <w:right w:val="single" w:sz="4" w:space="0" w:color="auto"/>
            </w:tcBorders>
            <w:shd w:val="clear" w:color="auto" w:fill="auto"/>
            <w:noWrap/>
            <w:vAlign w:val="bottom"/>
            <w:hideMark/>
          </w:tcPr>
          <w:p w14:paraId="6076C735" w14:textId="77777777" w:rsidR="0017331D" w:rsidRDefault="0017331D" w:rsidP="00BA5BA5">
            <w:pPr>
              <w:jc w:val="center"/>
              <w:rPr>
                <w:rFonts w:ascii="Arial" w:hAnsi="Arial" w:cs="Arial"/>
                <w:color w:val="000000"/>
              </w:rPr>
            </w:pPr>
            <w:r>
              <w:rPr>
                <w:rFonts w:ascii="Arial" w:hAnsi="Arial" w:cs="Arial"/>
                <w:color w:val="000000"/>
              </w:rPr>
              <w:t>6.2</w:t>
            </w:r>
          </w:p>
        </w:tc>
        <w:tc>
          <w:tcPr>
            <w:tcW w:w="642" w:type="dxa"/>
            <w:tcBorders>
              <w:top w:val="nil"/>
              <w:left w:val="nil"/>
              <w:bottom w:val="nil"/>
              <w:right w:val="nil"/>
            </w:tcBorders>
            <w:shd w:val="clear" w:color="auto" w:fill="auto"/>
            <w:noWrap/>
            <w:vAlign w:val="bottom"/>
            <w:hideMark/>
          </w:tcPr>
          <w:p w14:paraId="47C527B3" w14:textId="77777777" w:rsidR="0017331D" w:rsidRPr="0048399B" w:rsidRDefault="0017331D" w:rsidP="00BA5BA5">
            <w:pPr>
              <w:jc w:val="right"/>
              <w:rPr>
                <w:rFonts w:ascii="Arial" w:hAnsi="Arial" w:cs="Arial"/>
                <w:color w:val="000000"/>
                <w:lang w:val="es-MX" w:eastAsia="es-MX"/>
              </w:rPr>
            </w:pPr>
            <w:r w:rsidRPr="0048399B">
              <w:rPr>
                <w:rFonts w:ascii="Arial" w:hAnsi="Arial" w:cs="Arial"/>
                <w:color w:val="000000"/>
                <w:lang w:val="es-MX" w:eastAsia="es-MX"/>
              </w:rPr>
              <w:t> </w:t>
            </w:r>
          </w:p>
        </w:tc>
        <w:tc>
          <w:tcPr>
            <w:tcW w:w="703" w:type="dxa"/>
            <w:tcBorders>
              <w:top w:val="nil"/>
              <w:left w:val="nil"/>
              <w:bottom w:val="nil"/>
              <w:right w:val="single" w:sz="4" w:space="0" w:color="auto"/>
            </w:tcBorders>
            <w:shd w:val="clear" w:color="auto" w:fill="auto"/>
            <w:noWrap/>
            <w:vAlign w:val="bottom"/>
            <w:hideMark/>
          </w:tcPr>
          <w:p w14:paraId="7190E9FF" w14:textId="77777777" w:rsidR="0017331D" w:rsidRDefault="0017331D" w:rsidP="00BA5BA5">
            <w:pPr>
              <w:rPr>
                <w:rFonts w:ascii="Arial" w:hAnsi="Arial" w:cs="Arial"/>
                <w:color w:val="000000"/>
              </w:rPr>
            </w:pPr>
            <w:r>
              <w:rPr>
                <w:rFonts w:ascii="Arial" w:hAnsi="Arial" w:cs="Arial"/>
                <w:color w:val="000000"/>
              </w:rPr>
              <w:t>0.8</w:t>
            </w:r>
          </w:p>
        </w:tc>
      </w:tr>
      <w:tr w:rsidR="0017331D" w:rsidRPr="00685B80" w14:paraId="71C0FF36" w14:textId="77777777" w:rsidTr="00BA5BA5">
        <w:trPr>
          <w:trHeight w:val="255"/>
        </w:trPr>
        <w:tc>
          <w:tcPr>
            <w:tcW w:w="3108" w:type="dxa"/>
            <w:tcBorders>
              <w:top w:val="nil"/>
              <w:left w:val="single" w:sz="4" w:space="0" w:color="auto"/>
              <w:bottom w:val="nil"/>
              <w:right w:val="nil"/>
            </w:tcBorders>
            <w:shd w:val="clear" w:color="auto" w:fill="auto"/>
            <w:noWrap/>
            <w:vAlign w:val="bottom"/>
            <w:hideMark/>
          </w:tcPr>
          <w:p w14:paraId="131F09B9" w14:textId="77777777" w:rsidR="0017331D" w:rsidRPr="00685B80" w:rsidRDefault="0017331D" w:rsidP="00BA5BA5">
            <w:pPr>
              <w:ind w:firstLineChars="100" w:firstLine="200"/>
              <w:rPr>
                <w:rFonts w:ascii="Arial" w:hAnsi="Arial" w:cs="Arial"/>
                <w:color w:val="000000"/>
                <w:lang w:val="es-MX" w:eastAsia="es-MX"/>
              </w:rPr>
            </w:pPr>
            <w:r w:rsidRPr="00685B80">
              <w:rPr>
                <w:rFonts w:ascii="Arial" w:hAnsi="Arial" w:cs="Arial"/>
                <w:color w:val="000000"/>
                <w:lang w:val="es-MX" w:eastAsia="es-MX"/>
              </w:rPr>
              <w:t>Nuevo León</w:t>
            </w:r>
          </w:p>
        </w:tc>
        <w:tc>
          <w:tcPr>
            <w:tcW w:w="611" w:type="dxa"/>
            <w:tcBorders>
              <w:top w:val="nil"/>
              <w:left w:val="single" w:sz="4" w:space="0" w:color="auto"/>
              <w:bottom w:val="nil"/>
              <w:right w:val="nil"/>
            </w:tcBorders>
            <w:shd w:val="clear" w:color="auto" w:fill="auto"/>
            <w:noWrap/>
            <w:vAlign w:val="bottom"/>
            <w:hideMark/>
          </w:tcPr>
          <w:p w14:paraId="28C4B402" w14:textId="77777777" w:rsidR="0017331D" w:rsidRPr="00685B80" w:rsidRDefault="0017331D" w:rsidP="00BA5BA5">
            <w:pPr>
              <w:jc w:val="right"/>
              <w:rPr>
                <w:rFonts w:ascii="Arial" w:hAnsi="Arial" w:cs="Arial"/>
                <w:color w:val="000000"/>
                <w:lang w:val="es-MX" w:eastAsia="es-MX"/>
              </w:rPr>
            </w:pPr>
          </w:p>
        </w:tc>
        <w:tc>
          <w:tcPr>
            <w:tcW w:w="814" w:type="dxa"/>
            <w:tcBorders>
              <w:top w:val="nil"/>
              <w:left w:val="nil"/>
              <w:bottom w:val="nil"/>
              <w:right w:val="single" w:sz="4" w:space="0" w:color="auto"/>
            </w:tcBorders>
            <w:shd w:val="clear" w:color="auto" w:fill="auto"/>
            <w:noWrap/>
            <w:vAlign w:val="bottom"/>
            <w:hideMark/>
          </w:tcPr>
          <w:p w14:paraId="1D3A743D" w14:textId="77777777" w:rsidR="0017331D" w:rsidRDefault="0017331D" w:rsidP="00BA5BA5">
            <w:pPr>
              <w:jc w:val="center"/>
              <w:rPr>
                <w:rFonts w:ascii="Arial" w:hAnsi="Arial" w:cs="Arial"/>
                <w:color w:val="000000"/>
              </w:rPr>
            </w:pPr>
            <w:r>
              <w:rPr>
                <w:rFonts w:ascii="Arial" w:hAnsi="Arial" w:cs="Arial"/>
                <w:color w:val="000000"/>
              </w:rPr>
              <w:t>3.6</w:t>
            </w:r>
          </w:p>
        </w:tc>
        <w:tc>
          <w:tcPr>
            <w:tcW w:w="666" w:type="dxa"/>
            <w:tcBorders>
              <w:top w:val="nil"/>
              <w:left w:val="nil"/>
              <w:bottom w:val="nil"/>
              <w:right w:val="nil"/>
            </w:tcBorders>
            <w:shd w:val="clear" w:color="auto" w:fill="auto"/>
            <w:noWrap/>
            <w:vAlign w:val="bottom"/>
            <w:hideMark/>
          </w:tcPr>
          <w:p w14:paraId="668A14E2" w14:textId="77777777" w:rsidR="0017331D" w:rsidRPr="0048399B" w:rsidRDefault="0017331D" w:rsidP="00BA5BA5">
            <w:pPr>
              <w:jc w:val="right"/>
              <w:rPr>
                <w:rFonts w:ascii="Arial" w:hAnsi="Arial" w:cs="Arial"/>
                <w:color w:val="000000"/>
                <w:lang w:val="es-MX" w:eastAsia="es-MX"/>
              </w:rPr>
            </w:pPr>
            <w:r w:rsidRPr="0048399B">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5A50224D" w14:textId="77777777" w:rsidR="0017331D" w:rsidRDefault="0017331D" w:rsidP="00BA5BA5">
            <w:pPr>
              <w:jc w:val="center"/>
              <w:rPr>
                <w:rFonts w:ascii="Arial" w:hAnsi="Arial" w:cs="Arial"/>
                <w:color w:val="000000"/>
              </w:rPr>
            </w:pPr>
            <w:r>
              <w:rPr>
                <w:rFonts w:ascii="Arial" w:hAnsi="Arial" w:cs="Arial"/>
                <w:color w:val="000000"/>
              </w:rPr>
              <w:t>0.6</w:t>
            </w:r>
          </w:p>
        </w:tc>
        <w:tc>
          <w:tcPr>
            <w:tcW w:w="634" w:type="dxa"/>
            <w:tcBorders>
              <w:top w:val="nil"/>
              <w:left w:val="nil"/>
              <w:bottom w:val="nil"/>
              <w:right w:val="nil"/>
            </w:tcBorders>
            <w:shd w:val="clear" w:color="auto" w:fill="auto"/>
            <w:noWrap/>
            <w:vAlign w:val="bottom"/>
            <w:hideMark/>
          </w:tcPr>
          <w:p w14:paraId="4F40DC02" w14:textId="77777777" w:rsidR="0017331D" w:rsidRPr="0048399B" w:rsidRDefault="0017331D" w:rsidP="00BA5BA5">
            <w:pPr>
              <w:jc w:val="right"/>
              <w:rPr>
                <w:rFonts w:ascii="Arial" w:hAnsi="Arial" w:cs="Arial"/>
                <w:color w:val="000000"/>
                <w:lang w:val="es-MX" w:eastAsia="es-MX"/>
              </w:rPr>
            </w:pPr>
          </w:p>
        </w:tc>
        <w:tc>
          <w:tcPr>
            <w:tcW w:w="814" w:type="dxa"/>
            <w:tcBorders>
              <w:top w:val="nil"/>
              <w:left w:val="nil"/>
              <w:bottom w:val="nil"/>
              <w:right w:val="single" w:sz="4" w:space="0" w:color="auto"/>
            </w:tcBorders>
            <w:shd w:val="clear" w:color="auto" w:fill="auto"/>
            <w:noWrap/>
            <w:vAlign w:val="bottom"/>
            <w:hideMark/>
          </w:tcPr>
          <w:p w14:paraId="0645121F" w14:textId="77777777" w:rsidR="0017331D" w:rsidRDefault="0017331D" w:rsidP="00BA5BA5">
            <w:pPr>
              <w:jc w:val="center"/>
              <w:rPr>
                <w:rFonts w:ascii="Arial" w:hAnsi="Arial" w:cs="Arial"/>
                <w:color w:val="000000"/>
              </w:rPr>
            </w:pPr>
            <w:r>
              <w:rPr>
                <w:rFonts w:ascii="Arial" w:hAnsi="Arial" w:cs="Arial"/>
                <w:color w:val="000000"/>
              </w:rPr>
              <w:t>4.0</w:t>
            </w:r>
          </w:p>
        </w:tc>
        <w:tc>
          <w:tcPr>
            <w:tcW w:w="642" w:type="dxa"/>
            <w:tcBorders>
              <w:top w:val="nil"/>
              <w:left w:val="nil"/>
              <w:bottom w:val="nil"/>
              <w:right w:val="nil"/>
            </w:tcBorders>
            <w:shd w:val="clear" w:color="auto" w:fill="auto"/>
            <w:noWrap/>
            <w:vAlign w:val="bottom"/>
            <w:hideMark/>
          </w:tcPr>
          <w:p w14:paraId="22D4D720" w14:textId="77777777" w:rsidR="0017331D" w:rsidRPr="0048399B" w:rsidRDefault="0017331D" w:rsidP="00BA5BA5">
            <w:pPr>
              <w:jc w:val="right"/>
              <w:rPr>
                <w:rFonts w:ascii="Arial" w:hAnsi="Arial" w:cs="Arial"/>
                <w:color w:val="000000"/>
                <w:lang w:val="es-MX" w:eastAsia="es-MX"/>
              </w:rPr>
            </w:pPr>
            <w:r w:rsidRPr="0048399B">
              <w:rPr>
                <w:rFonts w:ascii="Arial" w:hAnsi="Arial" w:cs="Arial"/>
                <w:color w:val="000000"/>
                <w:lang w:val="es-MX" w:eastAsia="es-MX"/>
              </w:rPr>
              <w:t> </w:t>
            </w:r>
          </w:p>
        </w:tc>
        <w:tc>
          <w:tcPr>
            <w:tcW w:w="703" w:type="dxa"/>
            <w:tcBorders>
              <w:top w:val="nil"/>
              <w:left w:val="nil"/>
              <w:bottom w:val="nil"/>
              <w:right w:val="single" w:sz="4" w:space="0" w:color="auto"/>
            </w:tcBorders>
            <w:shd w:val="clear" w:color="auto" w:fill="auto"/>
            <w:noWrap/>
            <w:vAlign w:val="bottom"/>
            <w:hideMark/>
          </w:tcPr>
          <w:p w14:paraId="5A4DB260" w14:textId="77777777" w:rsidR="0017331D" w:rsidRDefault="0017331D" w:rsidP="00BA5BA5">
            <w:pPr>
              <w:rPr>
                <w:rFonts w:ascii="Arial" w:hAnsi="Arial" w:cs="Arial"/>
                <w:color w:val="000000"/>
              </w:rPr>
            </w:pPr>
            <w:r>
              <w:rPr>
                <w:rFonts w:ascii="Arial" w:hAnsi="Arial" w:cs="Arial"/>
                <w:color w:val="000000"/>
              </w:rPr>
              <w:t>3.4</w:t>
            </w:r>
          </w:p>
        </w:tc>
      </w:tr>
      <w:tr w:rsidR="0017331D" w:rsidRPr="00685B80" w14:paraId="185D37B4" w14:textId="77777777" w:rsidTr="00BA5BA5">
        <w:trPr>
          <w:trHeight w:val="255"/>
        </w:trPr>
        <w:tc>
          <w:tcPr>
            <w:tcW w:w="3108" w:type="dxa"/>
            <w:tcBorders>
              <w:top w:val="nil"/>
              <w:left w:val="single" w:sz="4" w:space="0" w:color="auto"/>
              <w:bottom w:val="nil"/>
              <w:right w:val="nil"/>
            </w:tcBorders>
            <w:shd w:val="clear" w:color="auto" w:fill="auto"/>
            <w:noWrap/>
            <w:vAlign w:val="bottom"/>
            <w:hideMark/>
          </w:tcPr>
          <w:p w14:paraId="140BC1DE" w14:textId="77777777" w:rsidR="0017331D" w:rsidRPr="00685B80" w:rsidRDefault="0017331D" w:rsidP="00BA5BA5">
            <w:pPr>
              <w:ind w:firstLineChars="100" w:firstLine="200"/>
              <w:rPr>
                <w:rFonts w:ascii="Arial" w:hAnsi="Arial" w:cs="Arial"/>
                <w:color w:val="000000"/>
                <w:lang w:val="es-MX" w:eastAsia="es-MX"/>
              </w:rPr>
            </w:pPr>
            <w:r w:rsidRPr="00685B80">
              <w:rPr>
                <w:rFonts w:ascii="Arial" w:hAnsi="Arial" w:cs="Arial"/>
                <w:color w:val="000000"/>
                <w:lang w:val="es-MX" w:eastAsia="es-MX"/>
              </w:rPr>
              <w:t>Oaxaca</w:t>
            </w:r>
          </w:p>
        </w:tc>
        <w:tc>
          <w:tcPr>
            <w:tcW w:w="611" w:type="dxa"/>
            <w:tcBorders>
              <w:top w:val="nil"/>
              <w:left w:val="single" w:sz="4" w:space="0" w:color="auto"/>
              <w:bottom w:val="nil"/>
              <w:right w:val="nil"/>
            </w:tcBorders>
            <w:shd w:val="clear" w:color="auto" w:fill="auto"/>
            <w:noWrap/>
            <w:vAlign w:val="bottom"/>
            <w:hideMark/>
          </w:tcPr>
          <w:p w14:paraId="22190FE2" w14:textId="77777777" w:rsidR="0017331D" w:rsidRPr="00685B80" w:rsidRDefault="0017331D" w:rsidP="00BA5BA5">
            <w:pPr>
              <w:jc w:val="right"/>
              <w:rPr>
                <w:rFonts w:ascii="Arial" w:hAnsi="Arial" w:cs="Arial"/>
                <w:color w:val="000000"/>
                <w:lang w:val="es-MX" w:eastAsia="es-MX"/>
              </w:rPr>
            </w:pPr>
            <w:r w:rsidRPr="00685B80">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3683075A" w14:textId="77777777" w:rsidR="0017331D" w:rsidRDefault="0017331D" w:rsidP="00BA5BA5">
            <w:pPr>
              <w:jc w:val="center"/>
              <w:rPr>
                <w:rFonts w:ascii="Arial" w:hAnsi="Arial" w:cs="Arial"/>
                <w:color w:val="000000"/>
              </w:rPr>
            </w:pPr>
            <w:r>
              <w:rPr>
                <w:rFonts w:ascii="Arial" w:hAnsi="Arial" w:cs="Arial"/>
                <w:color w:val="000000"/>
              </w:rPr>
              <w:t>4.7</w:t>
            </w:r>
          </w:p>
        </w:tc>
        <w:tc>
          <w:tcPr>
            <w:tcW w:w="666" w:type="dxa"/>
            <w:tcBorders>
              <w:top w:val="nil"/>
              <w:left w:val="nil"/>
              <w:bottom w:val="nil"/>
              <w:right w:val="nil"/>
            </w:tcBorders>
            <w:shd w:val="clear" w:color="auto" w:fill="auto"/>
            <w:noWrap/>
            <w:vAlign w:val="bottom"/>
            <w:hideMark/>
          </w:tcPr>
          <w:p w14:paraId="5BBDCEA7" w14:textId="77777777" w:rsidR="0017331D" w:rsidRPr="0048399B" w:rsidRDefault="0017331D" w:rsidP="00BA5BA5">
            <w:pPr>
              <w:jc w:val="right"/>
              <w:rPr>
                <w:rFonts w:ascii="Arial" w:hAnsi="Arial" w:cs="Arial"/>
                <w:color w:val="000000"/>
                <w:lang w:val="es-MX" w:eastAsia="es-MX"/>
              </w:rPr>
            </w:pPr>
            <w:r w:rsidRPr="0048399B">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1BADB709" w14:textId="77777777" w:rsidR="0017331D" w:rsidRDefault="0017331D" w:rsidP="00BA5BA5">
            <w:pPr>
              <w:jc w:val="center"/>
              <w:rPr>
                <w:rFonts w:ascii="Arial" w:hAnsi="Arial" w:cs="Arial"/>
                <w:color w:val="000000"/>
              </w:rPr>
            </w:pPr>
            <w:r>
              <w:rPr>
                <w:rFonts w:ascii="Arial" w:hAnsi="Arial" w:cs="Arial"/>
                <w:color w:val="000000"/>
              </w:rPr>
              <w:t>2.9</w:t>
            </w:r>
          </w:p>
        </w:tc>
        <w:tc>
          <w:tcPr>
            <w:tcW w:w="634" w:type="dxa"/>
            <w:tcBorders>
              <w:top w:val="nil"/>
              <w:left w:val="nil"/>
              <w:bottom w:val="nil"/>
              <w:right w:val="nil"/>
            </w:tcBorders>
            <w:shd w:val="clear" w:color="auto" w:fill="auto"/>
            <w:noWrap/>
            <w:vAlign w:val="bottom"/>
            <w:hideMark/>
          </w:tcPr>
          <w:p w14:paraId="725389FE" w14:textId="77777777" w:rsidR="0017331D" w:rsidRPr="0048399B" w:rsidRDefault="0017331D" w:rsidP="00BA5BA5">
            <w:pPr>
              <w:jc w:val="right"/>
              <w:rPr>
                <w:rFonts w:ascii="Arial" w:hAnsi="Arial" w:cs="Arial"/>
                <w:color w:val="000000"/>
                <w:lang w:val="es-MX" w:eastAsia="es-MX"/>
              </w:rPr>
            </w:pPr>
            <w:r w:rsidRPr="0048399B">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09E1B82F" w14:textId="77777777" w:rsidR="0017331D" w:rsidRDefault="0017331D" w:rsidP="00BA5BA5">
            <w:pPr>
              <w:jc w:val="both"/>
              <w:rPr>
                <w:rFonts w:ascii="Arial" w:hAnsi="Arial" w:cs="Arial"/>
                <w:color w:val="000000"/>
              </w:rPr>
            </w:pPr>
            <w:r>
              <w:rPr>
                <w:rFonts w:ascii="Arial" w:hAnsi="Arial" w:cs="Arial"/>
                <w:color w:val="000000"/>
              </w:rPr>
              <w:t xml:space="preserve">  11.9</w:t>
            </w:r>
          </w:p>
        </w:tc>
        <w:tc>
          <w:tcPr>
            <w:tcW w:w="642" w:type="dxa"/>
            <w:tcBorders>
              <w:top w:val="nil"/>
              <w:left w:val="nil"/>
              <w:bottom w:val="nil"/>
              <w:right w:val="nil"/>
            </w:tcBorders>
            <w:shd w:val="clear" w:color="auto" w:fill="auto"/>
            <w:noWrap/>
            <w:vAlign w:val="bottom"/>
            <w:hideMark/>
          </w:tcPr>
          <w:p w14:paraId="33638D8F" w14:textId="77777777" w:rsidR="0017331D" w:rsidRPr="0048399B" w:rsidRDefault="0017331D" w:rsidP="00BA5BA5">
            <w:pPr>
              <w:jc w:val="right"/>
              <w:rPr>
                <w:rFonts w:ascii="Arial" w:hAnsi="Arial" w:cs="Arial"/>
                <w:color w:val="000000"/>
                <w:lang w:val="es-MX" w:eastAsia="es-MX"/>
              </w:rPr>
            </w:pPr>
            <w:r w:rsidRPr="0048399B">
              <w:rPr>
                <w:rFonts w:ascii="Arial" w:hAnsi="Arial" w:cs="Arial"/>
                <w:color w:val="000000"/>
                <w:lang w:val="es-MX" w:eastAsia="es-MX"/>
              </w:rPr>
              <w:t> </w:t>
            </w:r>
          </w:p>
        </w:tc>
        <w:tc>
          <w:tcPr>
            <w:tcW w:w="703" w:type="dxa"/>
            <w:tcBorders>
              <w:top w:val="nil"/>
              <w:left w:val="nil"/>
              <w:bottom w:val="nil"/>
              <w:right w:val="single" w:sz="4" w:space="0" w:color="auto"/>
            </w:tcBorders>
            <w:shd w:val="clear" w:color="auto" w:fill="auto"/>
            <w:noWrap/>
            <w:vAlign w:val="bottom"/>
            <w:hideMark/>
          </w:tcPr>
          <w:p w14:paraId="0D3A806B" w14:textId="77777777" w:rsidR="0017331D" w:rsidRDefault="0017331D" w:rsidP="00BA5BA5">
            <w:pPr>
              <w:rPr>
                <w:rFonts w:ascii="Arial" w:hAnsi="Arial" w:cs="Arial"/>
                <w:color w:val="000000"/>
              </w:rPr>
            </w:pPr>
            <w:r>
              <w:rPr>
                <w:rFonts w:ascii="Arial" w:hAnsi="Arial" w:cs="Arial"/>
                <w:color w:val="000000"/>
              </w:rPr>
              <w:t>2.6</w:t>
            </w:r>
          </w:p>
        </w:tc>
      </w:tr>
      <w:tr w:rsidR="0017331D" w:rsidRPr="00685B80" w14:paraId="53DE4829" w14:textId="77777777" w:rsidTr="00BA5BA5">
        <w:trPr>
          <w:trHeight w:val="255"/>
        </w:trPr>
        <w:tc>
          <w:tcPr>
            <w:tcW w:w="3108" w:type="dxa"/>
            <w:tcBorders>
              <w:top w:val="nil"/>
              <w:left w:val="single" w:sz="4" w:space="0" w:color="auto"/>
              <w:bottom w:val="nil"/>
              <w:right w:val="nil"/>
            </w:tcBorders>
            <w:shd w:val="clear" w:color="auto" w:fill="auto"/>
            <w:noWrap/>
            <w:vAlign w:val="bottom"/>
            <w:hideMark/>
          </w:tcPr>
          <w:p w14:paraId="4B2EBC06" w14:textId="77777777" w:rsidR="0017331D" w:rsidRPr="00685B80" w:rsidRDefault="0017331D" w:rsidP="00BA5BA5">
            <w:pPr>
              <w:ind w:firstLineChars="100" w:firstLine="200"/>
              <w:rPr>
                <w:rFonts w:ascii="Arial" w:hAnsi="Arial" w:cs="Arial"/>
                <w:color w:val="000000"/>
                <w:lang w:val="es-MX" w:eastAsia="es-MX"/>
              </w:rPr>
            </w:pPr>
            <w:r w:rsidRPr="00685B80">
              <w:rPr>
                <w:rFonts w:ascii="Arial" w:hAnsi="Arial" w:cs="Arial"/>
                <w:color w:val="000000"/>
                <w:lang w:val="es-MX" w:eastAsia="es-MX"/>
              </w:rPr>
              <w:t>Puebla</w:t>
            </w:r>
          </w:p>
        </w:tc>
        <w:tc>
          <w:tcPr>
            <w:tcW w:w="611" w:type="dxa"/>
            <w:tcBorders>
              <w:top w:val="nil"/>
              <w:left w:val="single" w:sz="4" w:space="0" w:color="auto"/>
              <w:bottom w:val="nil"/>
              <w:right w:val="nil"/>
            </w:tcBorders>
            <w:shd w:val="clear" w:color="auto" w:fill="auto"/>
            <w:noWrap/>
            <w:vAlign w:val="bottom"/>
            <w:hideMark/>
          </w:tcPr>
          <w:p w14:paraId="5AEFFE88" w14:textId="77777777" w:rsidR="0017331D" w:rsidRPr="00685B80" w:rsidRDefault="0017331D" w:rsidP="00BA5BA5">
            <w:pPr>
              <w:jc w:val="right"/>
              <w:rPr>
                <w:rFonts w:ascii="Arial" w:hAnsi="Arial" w:cs="Arial"/>
                <w:color w:val="000000"/>
                <w:lang w:val="es-MX" w:eastAsia="es-MX"/>
              </w:rPr>
            </w:pPr>
            <w:r w:rsidRPr="00685B80">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440484C4" w14:textId="77777777" w:rsidR="0017331D" w:rsidRDefault="0017331D" w:rsidP="00BA5BA5">
            <w:pPr>
              <w:jc w:val="center"/>
              <w:rPr>
                <w:rFonts w:ascii="Arial" w:hAnsi="Arial" w:cs="Arial"/>
                <w:color w:val="000000"/>
              </w:rPr>
            </w:pPr>
            <w:r>
              <w:rPr>
                <w:rFonts w:ascii="Arial" w:hAnsi="Arial" w:cs="Arial"/>
                <w:color w:val="000000"/>
              </w:rPr>
              <w:t>2.4</w:t>
            </w:r>
          </w:p>
        </w:tc>
        <w:tc>
          <w:tcPr>
            <w:tcW w:w="666" w:type="dxa"/>
            <w:tcBorders>
              <w:top w:val="nil"/>
              <w:left w:val="nil"/>
              <w:bottom w:val="nil"/>
              <w:right w:val="nil"/>
            </w:tcBorders>
            <w:shd w:val="clear" w:color="auto" w:fill="auto"/>
            <w:noWrap/>
            <w:vAlign w:val="bottom"/>
            <w:hideMark/>
          </w:tcPr>
          <w:p w14:paraId="7C66397A" w14:textId="77777777" w:rsidR="0017331D" w:rsidRPr="0048399B" w:rsidRDefault="0017331D" w:rsidP="00BA5BA5">
            <w:pPr>
              <w:jc w:val="right"/>
              <w:rPr>
                <w:rFonts w:ascii="Arial" w:hAnsi="Arial" w:cs="Arial"/>
                <w:color w:val="000000"/>
                <w:lang w:val="es-MX" w:eastAsia="es-MX"/>
              </w:rPr>
            </w:pPr>
            <w:r w:rsidRPr="0048399B">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78B7FB32" w14:textId="77777777" w:rsidR="0017331D" w:rsidRDefault="0017331D" w:rsidP="00BA5BA5">
            <w:pPr>
              <w:jc w:val="center"/>
              <w:rPr>
                <w:rFonts w:ascii="Arial" w:hAnsi="Arial" w:cs="Arial"/>
                <w:color w:val="000000"/>
              </w:rPr>
            </w:pPr>
            <w:r>
              <w:rPr>
                <w:rFonts w:ascii="Arial" w:hAnsi="Arial" w:cs="Arial"/>
                <w:color w:val="000000"/>
              </w:rPr>
              <w:t>2.1</w:t>
            </w:r>
          </w:p>
        </w:tc>
        <w:tc>
          <w:tcPr>
            <w:tcW w:w="634" w:type="dxa"/>
            <w:tcBorders>
              <w:top w:val="nil"/>
              <w:left w:val="nil"/>
              <w:bottom w:val="nil"/>
              <w:right w:val="nil"/>
            </w:tcBorders>
            <w:shd w:val="clear" w:color="auto" w:fill="auto"/>
            <w:noWrap/>
            <w:vAlign w:val="bottom"/>
            <w:hideMark/>
          </w:tcPr>
          <w:p w14:paraId="452CB35C" w14:textId="77777777" w:rsidR="0017331D" w:rsidRPr="0048399B" w:rsidRDefault="0017331D" w:rsidP="00BA5BA5">
            <w:pPr>
              <w:jc w:val="right"/>
              <w:rPr>
                <w:rFonts w:ascii="Arial" w:hAnsi="Arial" w:cs="Arial"/>
                <w:color w:val="000000"/>
                <w:lang w:val="es-MX" w:eastAsia="es-MX"/>
              </w:rPr>
            </w:pPr>
            <w:r w:rsidRPr="0048399B">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5EE9B68C" w14:textId="77777777" w:rsidR="0017331D" w:rsidRDefault="0017331D" w:rsidP="00BA5BA5">
            <w:pPr>
              <w:jc w:val="center"/>
              <w:rPr>
                <w:rFonts w:ascii="Arial" w:hAnsi="Arial" w:cs="Arial"/>
                <w:color w:val="000000"/>
              </w:rPr>
            </w:pPr>
            <w:r>
              <w:rPr>
                <w:rFonts w:ascii="Arial" w:hAnsi="Arial" w:cs="Arial"/>
                <w:color w:val="000000"/>
              </w:rPr>
              <w:t>1.6</w:t>
            </w:r>
          </w:p>
        </w:tc>
        <w:tc>
          <w:tcPr>
            <w:tcW w:w="642" w:type="dxa"/>
            <w:tcBorders>
              <w:top w:val="nil"/>
              <w:left w:val="nil"/>
              <w:bottom w:val="nil"/>
              <w:right w:val="nil"/>
            </w:tcBorders>
            <w:shd w:val="clear" w:color="auto" w:fill="auto"/>
            <w:noWrap/>
            <w:vAlign w:val="bottom"/>
            <w:hideMark/>
          </w:tcPr>
          <w:p w14:paraId="470D08CD" w14:textId="77777777" w:rsidR="0017331D" w:rsidRPr="0048399B" w:rsidRDefault="0017331D" w:rsidP="00BA5BA5">
            <w:pPr>
              <w:jc w:val="right"/>
              <w:rPr>
                <w:rFonts w:ascii="Arial" w:hAnsi="Arial" w:cs="Arial"/>
                <w:color w:val="000000"/>
                <w:lang w:val="es-MX" w:eastAsia="es-MX"/>
              </w:rPr>
            </w:pPr>
            <w:r w:rsidRPr="0048399B">
              <w:rPr>
                <w:rFonts w:ascii="Arial" w:hAnsi="Arial" w:cs="Arial"/>
                <w:color w:val="000000"/>
                <w:lang w:val="es-MX" w:eastAsia="es-MX"/>
              </w:rPr>
              <w:t> </w:t>
            </w:r>
          </w:p>
        </w:tc>
        <w:tc>
          <w:tcPr>
            <w:tcW w:w="703" w:type="dxa"/>
            <w:tcBorders>
              <w:top w:val="nil"/>
              <w:left w:val="nil"/>
              <w:bottom w:val="nil"/>
              <w:right w:val="single" w:sz="4" w:space="0" w:color="auto"/>
            </w:tcBorders>
            <w:shd w:val="clear" w:color="auto" w:fill="auto"/>
            <w:noWrap/>
            <w:vAlign w:val="bottom"/>
            <w:hideMark/>
          </w:tcPr>
          <w:p w14:paraId="5A17888C" w14:textId="77777777" w:rsidR="0017331D" w:rsidRDefault="0017331D" w:rsidP="00BA5BA5">
            <w:pPr>
              <w:rPr>
                <w:rFonts w:ascii="Arial" w:hAnsi="Arial" w:cs="Arial"/>
                <w:color w:val="000000"/>
              </w:rPr>
            </w:pPr>
            <w:r>
              <w:rPr>
                <w:rFonts w:ascii="Arial" w:hAnsi="Arial" w:cs="Arial"/>
                <w:color w:val="000000"/>
              </w:rPr>
              <w:t>2.8</w:t>
            </w:r>
          </w:p>
        </w:tc>
      </w:tr>
      <w:tr w:rsidR="0017331D" w:rsidRPr="00685B80" w14:paraId="66DB4E41" w14:textId="77777777" w:rsidTr="00BA5BA5">
        <w:trPr>
          <w:trHeight w:val="255"/>
        </w:trPr>
        <w:tc>
          <w:tcPr>
            <w:tcW w:w="3108" w:type="dxa"/>
            <w:tcBorders>
              <w:top w:val="nil"/>
              <w:left w:val="single" w:sz="4" w:space="0" w:color="auto"/>
              <w:bottom w:val="nil"/>
              <w:right w:val="nil"/>
            </w:tcBorders>
            <w:shd w:val="clear" w:color="auto" w:fill="auto"/>
            <w:noWrap/>
            <w:vAlign w:val="bottom"/>
            <w:hideMark/>
          </w:tcPr>
          <w:p w14:paraId="11833CEA" w14:textId="77777777" w:rsidR="0017331D" w:rsidRPr="00685B80" w:rsidRDefault="0017331D" w:rsidP="00BA5BA5">
            <w:pPr>
              <w:ind w:firstLineChars="100" w:firstLine="200"/>
              <w:rPr>
                <w:rFonts w:ascii="Arial" w:hAnsi="Arial" w:cs="Arial"/>
                <w:color w:val="000000"/>
                <w:lang w:val="es-MX" w:eastAsia="es-MX"/>
              </w:rPr>
            </w:pPr>
            <w:r w:rsidRPr="00685B80">
              <w:rPr>
                <w:rFonts w:ascii="Arial" w:hAnsi="Arial" w:cs="Arial"/>
                <w:color w:val="000000"/>
                <w:lang w:val="es-MX" w:eastAsia="es-MX"/>
              </w:rPr>
              <w:t>Querétaro</w:t>
            </w:r>
          </w:p>
        </w:tc>
        <w:tc>
          <w:tcPr>
            <w:tcW w:w="611" w:type="dxa"/>
            <w:tcBorders>
              <w:top w:val="nil"/>
              <w:left w:val="single" w:sz="4" w:space="0" w:color="auto"/>
              <w:bottom w:val="nil"/>
              <w:right w:val="nil"/>
            </w:tcBorders>
            <w:shd w:val="clear" w:color="auto" w:fill="auto"/>
            <w:noWrap/>
            <w:vAlign w:val="bottom"/>
            <w:hideMark/>
          </w:tcPr>
          <w:p w14:paraId="72C4A5AF" w14:textId="77777777" w:rsidR="0017331D" w:rsidRPr="00685B80" w:rsidRDefault="0017331D" w:rsidP="00BA5BA5">
            <w:pPr>
              <w:jc w:val="right"/>
              <w:rPr>
                <w:rFonts w:ascii="Arial" w:hAnsi="Arial" w:cs="Arial"/>
                <w:color w:val="000000"/>
                <w:lang w:val="es-MX" w:eastAsia="es-MX"/>
              </w:rPr>
            </w:pPr>
            <w:r w:rsidRPr="00685B80">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7D15321E" w14:textId="77777777" w:rsidR="0017331D" w:rsidRDefault="0017331D" w:rsidP="00BA5BA5">
            <w:pPr>
              <w:jc w:val="center"/>
              <w:rPr>
                <w:rFonts w:ascii="Arial" w:hAnsi="Arial" w:cs="Arial"/>
                <w:color w:val="000000"/>
              </w:rPr>
            </w:pPr>
            <w:r>
              <w:rPr>
                <w:rFonts w:ascii="Arial" w:hAnsi="Arial" w:cs="Arial"/>
                <w:color w:val="000000"/>
              </w:rPr>
              <w:t>3.0</w:t>
            </w:r>
          </w:p>
        </w:tc>
        <w:tc>
          <w:tcPr>
            <w:tcW w:w="666" w:type="dxa"/>
            <w:tcBorders>
              <w:top w:val="nil"/>
              <w:left w:val="nil"/>
              <w:bottom w:val="nil"/>
              <w:right w:val="nil"/>
            </w:tcBorders>
            <w:shd w:val="clear" w:color="auto" w:fill="auto"/>
            <w:noWrap/>
            <w:vAlign w:val="bottom"/>
            <w:hideMark/>
          </w:tcPr>
          <w:p w14:paraId="3130995E" w14:textId="77777777" w:rsidR="0017331D" w:rsidRPr="0048399B" w:rsidRDefault="0017331D" w:rsidP="00BA5BA5">
            <w:pPr>
              <w:jc w:val="right"/>
              <w:rPr>
                <w:rFonts w:ascii="Arial" w:hAnsi="Arial" w:cs="Arial"/>
                <w:color w:val="000000"/>
                <w:lang w:val="es-MX" w:eastAsia="es-MX"/>
              </w:rPr>
            </w:pPr>
            <w:r w:rsidRPr="0048399B">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3078775A" w14:textId="77777777" w:rsidR="0017331D" w:rsidRDefault="0017331D" w:rsidP="00BA5BA5">
            <w:pPr>
              <w:jc w:val="center"/>
              <w:rPr>
                <w:rFonts w:ascii="Arial" w:hAnsi="Arial" w:cs="Arial"/>
                <w:color w:val="000000"/>
              </w:rPr>
            </w:pPr>
            <w:r>
              <w:rPr>
                <w:rFonts w:ascii="Arial" w:hAnsi="Arial" w:cs="Arial"/>
                <w:color w:val="000000"/>
              </w:rPr>
              <w:t>0.0</w:t>
            </w:r>
          </w:p>
        </w:tc>
        <w:tc>
          <w:tcPr>
            <w:tcW w:w="634" w:type="dxa"/>
            <w:tcBorders>
              <w:top w:val="nil"/>
              <w:left w:val="nil"/>
              <w:bottom w:val="nil"/>
              <w:right w:val="nil"/>
            </w:tcBorders>
            <w:shd w:val="clear" w:color="auto" w:fill="auto"/>
            <w:noWrap/>
            <w:vAlign w:val="bottom"/>
            <w:hideMark/>
          </w:tcPr>
          <w:p w14:paraId="1887871F" w14:textId="77777777" w:rsidR="0017331D" w:rsidRPr="0048399B" w:rsidRDefault="0017331D" w:rsidP="00BA5BA5">
            <w:pPr>
              <w:jc w:val="right"/>
              <w:rPr>
                <w:rFonts w:ascii="Arial" w:hAnsi="Arial" w:cs="Arial"/>
                <w:color w:val="000000"/>
                <w:lang w:val="es-MX" w:eastAsia="es-MX"/>
              </w:rPr>
            </w:pPr>
          </w:p>
        </w:tc>
        <w:tc>
          <w:tcPr>
            <w:tcW w:w="814" w:type="dxa"/>
            <w:tcBorders>
              <w:top w:val="nil"/>
              <w:left w:val="nil"/>
              <w:bottom w:val="nil"/>
              <w:right w:val="single" w:sz="4" w:space="0" w:color="auto"/>
            </w:tcBorders>
            <w:shd w:val="clear" w:color="auto" w:fill="auto"/>
            <w:noWrap/>
            <w:vAlign w:val="bottom"/>
            <w:hideMark/>
          </w:tcPr>
          <w:p w14:paraId="2257786B" w14:textId="77777777" w:rsidR="0017331D" w:rsidRDefault="0017331D" w:rsidP="00BA5BA5">
            <w:pPr>
              <w:jc w:val="center"/>
              <w:rPr>
                <w:rFonts w:ascii="Arial" w:hAnsi="Arial" w:cs="Arial"/>
                <w:color w:val="000000"/>
              </w:rPr>
            </w:pPr>
            <w:r>
              <w:rPr>
                <w:rFonts w:ascii="Arial" w:hAnsi="Arial" w:cs="Arial"/>
                <w:color w:val="000000"/>
              </w:rPr>
              <w:t>1.8</w:t>
            </w:r>
          </w:p>
        </w:tc>
        <w:tc>
          <w:tcPr>
            <w:tcW w:w="642" w:type="dxa"/>
            <w:tcBorders>
              <w:top w:val="nil"/>
              <w:left w:val="nil"/>
              <w:bottom w:val="nil"/>
              <w:right w:val="nil"/>
            </w:tcBorders>
            <w:shd w:val="clear" w:color="auto" w:fill="auto"/>
            <w:noWrap/>
            <w:vAlign w:val="bottom"/>
            <w:hideMark/>
          </w:tcPr>
          <w:p w14:paraId="10B377A4" w14:textId="77777777" w:rsidR="0017331D" w:rsidRPr="0048399B" w:rsidRDefault="0017331D" w:rsidP="00BA5BA5">
            <w:pPr>
              <w:jc w:val="right"/>
              <w:rPr>
                <w:rFonts w:ascii="Arial" w:hAnsi="Arial" w:cs="Arial"/>
                <w:color w:val="000000"/>
                <w:lang w:val="es-MX" w:eastAsia="es-MX"/>
              </w:rPr>
            </w:pPr>
            <w:r w:rsidRPr="0048399B">
              <w:rPr>
                <w:rFonts w:ascii="Arial" w:hAnsi="Arial" w:cs="Arial"/>
                <w:color w:val="000000"/>
                <w:lang w:val="es-MX" w:eastAsia="es-MX"/>
              </w:rPr>
              <w:t> </w:t>
            </w:r>
          </w:p>
        </w:tc>
        <w:tc>
          <w:tcPr>
            <w:tcW w:w="703" w:type="dxa"/>
            <w:tcBorders>
              <w:top w:val="nil"/>
              <w:left w:val="nil"/>
              <w:bottom w:val="nil"/>
              <w:right w:val="single" w:sz="4" w:space="0" w:color="auto"/>
            </w:tcBorders>
            <w:shd w:val="clear" w:color="auto" w:fill="auto"/>
            <w:noWrap/>
            <w:vAlign w:val="bottom"/>
            <w:hideMark/>
          </w:tcPr>
          <w:p w14:paraId="50018F17" w14:textId="77777777" w:rsidR="0017331D" w:rsidRDefault="0017331D" w:rsidP="00BA5BA5">
            <w:pPr>
              <w:rPr>
                <w:rFonts w:ascii="Arial" w:hAnsi="Arial" w:cs="Arial"/>
                <w:color w:val="000000"/>
              </w:rPr>
            </w:pPr>
            <w:r>
              <w:rPr>
                <w:rFonts w:ascii="Arial" w:hAnsi="Arial" w:cs="Arial"/>
                <w:color w:val="000000"/>
              </w:rPr>
              <w:t>3.9</w:t>
            </w:r>
          </w:p>
        </w:tc>
      </w:tr>
      <w:tr w:rsidR="0017331D" w:rsidRPr="00685B80" w14:paraId="348D8E94" w14:textId="77777777" w:rsidTr="00BA5BA5">
        <w:trPr>
          <w:trHeight w:val="255"/>
        </w:trPr>
        <w:tc>
          <w:tcPr>
            <w:tcW w:w="3108" w:type="dxa"/>
            <w:tcBorders>
              <w:top w:val="nil"/>
              <w:left w:val="single" w:sz="4" w:space="0" w:color="auto"/>
              <w:bottom w:val="nil"/>
              <w:right w:val="nil"/>
            </w:tcBorders>
            <w:shd w:val="clear" w:color="auto" w:fill="auto"/>
            <w:noWrap/>
            <w:vAlign w:val="bottom"/>
            <w:hideMark/>
          </w:tcPr>
          <w:p w14:paraId="0655F8D8" w14:textId="77777777" w:rsidR="0017331D" w:rsidRPr="00685B80" w:rsidRDefault="0017331D" w:rsidP="00BA5BA5">
            <w:pPr>
              <w:ind w:firstLineChars="100" w:firstLine="200"/>
              <w:rPr>
                <w:rFonts w:ascii="Arial" w:hAnsi="Arial" w:cs="Arial"/>
                <w:color w:val="000000"/>
                <w:lang w:val="es-MX" w:eastAsia="es-MX"/>
              </w:rPr>
            </w:pPr>
            <w:r w:rsidRPr="00685B80">
              <w:rPr>
                <w:rFonts w:ascii="Arial" w:hAnsi="Arial" w:cs="Arial"/>
                <w:color w:val="000000"/>
                <w:lang w:val="es-MX" w:eastAsia="es-MX"/>
              </w:rPr>
              <w:t>Quintana Roo</w:t>
            </w:r>
          </w:p>
        </w:tc>
        <w:tc>
          <w:tcPr>
            <w:tcW w:w="611" w:type="dxa"/>
            <w:tcBorders>
              <w:top w:val="nil"/>
              <w:left w:val="single" w:sz="4" w:space="0" w:color="auto"/>
              <w:bottom w:val="nil"/>
              <w:right w:val="nil"/>
            </w:tcBorders>
            <w:shd w:val="clear" w:color="auto" w:fill="auto"/>
            <w:noWrap/>
            <w:vAlign w:val="bottom"/>
            <w:hideMark/>
          </w:tcPr>
          <w:p w14:paraId="2B383928" w14:textId="77777777" w:rsidR="0017331D" w:rsidRPr="00685B80" w:rsidRDefault="0017331D" w:rsidP="00BA5BA5">
            <w:pPr>
              <w:jc w:val="right"/>
              <w:rPr>
                <w:rFonts w:ascii="Arial" w:hAnsi="Arial" w:cs="Arial"/>
                <w:color w:val="000000"/>
                <w:lang w:val="es-MX" w:eastAsia="es-MX"/>
              </w:rPr>
            </w:pPr>
            <w:r w:rsidRPr="00685B80">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26F58056" w14:textId="77777777" w:rsidR="0017331D" w:rsidRDefault="0017331D" w:rsidP="00BA5BA5">
            <w:pPr>
              <w:jc w:val="center"/>
              <w:rPr>
                <w:rFonts w:ascii="Arial" w:hAnsi="Arial" w:cs="Arial"/>
                <w:color w:val="000000"/>
              </w:rPr>
            </w:pPr>
            <w:r>
              <w:rPr>
                <w:rFonts w:ascii="Arial" w:hAnsi="Arial" w:cs="Arial"/>
                <w:color w:val="000000"/>
              </w:rPr>
              <w:t>5.1</w:t>
            </w:r>
          </w:p>
        </w:tc>
        <w:tc>
          <w:tcPr>
            <w:tcW w:w="666" w:type="dxa"/>
            <w:tcBorders>
              <w:top w:val="nil"/>
              <w:left w:val="nil"/>
              <w:bottom w:val="nil"/>
              <w:right w:val="nil"/>
            </w:tcBorders>
            <w:shd w:val="clear" w:color="auto" w:fill="auto"/>
            <w:noWrap/>
            <w:vAlign w:val="bottom"/>
            <w:hideMark/>
          </w:tcPr>
          <w:p w14:paraId="33491DB0" w14:textId="77777777" w:rsidR="0017331D" w:rsidRPr="0048399B" w:rsidRDefault="0017331D" w:rsidP="00BA5BA5">
            <w:pPr>
              <w:jc w:val="right"/>
              <w:rPr>
                <w:rFonts w:ascii="Arial" w:hAnsi="Arial" w:cs="Arial"/>
                <w:color w:val="000000"/>
                <w:lang w:val="es-MX" w:eastAsia="es-MX"/>
              </w:rPr>
            </w:pPr>
            <w:r w:rsidRPr="0048399B">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1704B67E" w14:textId="77777777" w:rsidR="0017331D" w:rsidRDefault="0017331D" w:rsidP="00BA5BA5">
            <w:pPr>
              <w:rPr>
                <w:rFonts w:ascii="Arial" w:hAnsi="Arial" w:cs="Arial"/>
                <w:color w:val="000000"/>
              </w:rPr>
            </w:pPr>
            <w:r>
              <w:rPr>
                <w:rFonts w:ascii="Arial" w:hAnsi="Arial" w:cs="Arial"/>
                <w:color w:val="000000"/>
              </w:rPr>
              <w:t xml:space="preserve">  14.3</w:t>
            </w:r>
          </w:p>
        </w:tc>
        <w:tc>
          <w:tcPr>
            <w:tcW w:w="634" w:type="dxa"/>
            <w:tcBorders>
              <w:top w:val="nil"/>
              <w:left w:val="nil"/>
              <w:bottom w:val="nil"/>
              <w:right w:val="nil"/>
            </w:tcBorders>
            <w:shd w:val="clear" w:color="auto" w:fill="auto"/>
            <w:noWrap/>
            <w:vAlign w:val="bottom"/>
            <w:hideMark/>
          </w:tcPr>
          <w:p w14:paraId="2AD9B32D" w14:textId="77777777" w:rsidR="0017331D" w:rsidRPr="0048399B" w:rsidRDefault="0017331D" w:rsidP="00BA5BA5">
            <w:pPr>
              <w:jc w:val="right"/>
              <w:rPr>
                <w:rFonts w:ascii="Arial" w:hAnsi="Arial" w:cs="Arial"/>
                <w:color w:val="000000"/>
                <w:lang w:val="es-MX" w:eastAsia="es-MX"/>
              </w:rPr>
            </w:pPr>
            <w:r w:rsidRPr="0048399B">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7CBB900C" w14:textId="77777777" w:rsidR="0017331D" w:rsidRDefault="0017331D" w:rsidP="00BA5BA5">
            <w:pPr>
              <w:jc w:val="center"/>
              <w:rPr>
                <w:rFonts w:ascii="Arial" w:hAnsi="Arial" w:cs="Arial"/>
                <w:color w:val="000000"/>
              </w:rPr>
            </w:pPr>
            <w:r>
              <w:rPr>
                <w:rFonts w:ascii="Arial" w:hAnsi="Arial" w:cs="Arial"/>
                <w:color w:val="000000"/>
              </w:rPr>
              <w:t>5.9</w:t>
            </w:r>
          </w:p>
        </w:tc>
        <w:tc>
          <w:tcPr>
            <w:tcW w:w="642" w:type="dxa"/>
            <w:tcBorders>
              <w:top w:val="nil"/>
              <w:left w:val="nil"/>
              <w:bottom w:val="nil"/>
              <w:right w:val="nil"/>
            </w:tcBorders>
            <w:shd w:val="clear" w:color="auto" w:fill="auto"/>
            <w:noWrap/>
            <w:vAlign w:val="bottom"/>
            <w:hideMark/>
          </w:tcPr>
          <w:p w14:paraId="4292203C" w14:textId="77777777" w:rsidR="0017331D" w:rsidRPr="0048399B" w:rsidRDefault="0017331D" w:rsidP="00BA5BA5">
            <w:pPr>
              <w:jc w:val="right"/>
              <w:rPr>
                <w:rFonts w:ascii="Arial" w:hAnsi="Arial" w:cs="Arial"/>
                <w:color w:val="000000"/>
                <w:lang w:val="es-MX" w:eastAsia="es-MX"/>
              </w:rPr>
            </w:pPr>
            <w:r w:rsidRPr="0048399B">
              <w:rPr>
                <w:rFonts w:ascii="Arial" w:hAnsi="Arial" w:cs="Arial"/>
                <w:color w:val="000000"/>
                <w:lang w:val="es-MX" w:eastAsia="es-MX"/>
              </w:rPr>
              <w:t> </w:t>
            </w:r>
          </w:p>
        </w:tc>
        <w:tc>
          <w:tcPr>
            <w:tcW w:w="703" w:type="dxa"/>
            <w:tcBorders>
              <w:top w:val="nil"/>
              <w:left w:val="nil"/>
              <w:bottom w:val="nil"/>
              <w:right w:val="single" w:sz="4" w:space="0" w:color="auto"/>
            </w:tcBorders>
            <w:shd w:val="clear" w:color="auto" w:fill="auto"/>
            <w:noWrap/>
            <w:vAlign w:val="bottom"/>
            <w:hideMark/>
          </w:tcPr>
          <w:p w14:paraId="7AEB6BA5" w14:textId="77777777" w:rsidR="0017331D" w:rsidRDefault="0017331D" w:rsidP="00BA5BA5">
            <w:pPr>
              <w:rPr>
                <w:rFonts w:ascii="Arial" w:hAnsi="Arial" w:cs="Arial"/>
                <w:color w:val="000000"/>
              </w:rPr>
            </w:pPr>
            <w:r>
              <w:rPr>
                <w:rFonts w:ascii="Arial" w:hAnsi="Arial" w:cs="Arial"/>
                <w:color w:val="000000"/>
              </w:rPr>
              <w:t>4.9</w:t>
            </w:r>
          </w:p>
        </w:tc>
      </w:tr>
      <w:tr w:rsidR="0017331D" w:rsidRPr="00685B80" w14:paraId="647CCD18" w14:textId="77777777" w:rsidTr="00BA5BA5">
        <w:trPr>
          <w:trHeight w:val="255"/>
        </w:trPr>
        <w:tc>
          <w:tcPr>
            <w:tcW w:w="3108" w:type="dxa"/>
            <w:tcBorders>
              <w:top w:val="nil"/>
              <w:left w:val="single" w:sz="4" w:space="0" w:color="auto"/>
              <w:bottom w:val="nil"/>
              <w:right w:val="nil"/>
            </w:tcBorders>
            <w:shd w:val="clear" w:color="auto" w:fill="auto"/>
            <w:noWrap/>
            <w:vAlign w:val="bottom"/>
            <w:hideMark/>
          </w:tcPr>
          <w:p w14:paraId="35A3A480" w14:textId="77777777" w:rsidR="0017331D" w:rsidRPr="00685B80" w:rsidRDefault="0017331D" w:rsidP="00BA5BA5">
            <w:pPr>
              <w:ind w:firstLineChars="100" w:firstLine="200"/>
              <w:rPr>
                <w:rFonts w:ascii="Arial" w:hAnsi="Arial" w:cs="Arial"/>
                <w:color w:val="000000"/>
                <w:lang w:val="es-MX" w:eastAsia="es-MX"/>
              </w:rPr>
            </w:pPr>
            <w:r w:rsidRPr="00685B80">
              <w:rPr>
                <w:rFonts w:ascii="Arial" w:hAnsi="Arial" w:cs="Arial"/>
                <w:color w:val="000000"/>
                <w:lang w:val="es-MX" w:eastAsia="es-MX"/>
              </w:rPr>
              <w:t>San Luis Potosí</w:t>
            </w:r>
          </w:p>
        </w:tc>
        <w:tc>
          <w:tcPr>
            <w:tcW w:w="611" w:type="dxa"/>
            <w:tcBorders>
              <w:top w:val="nil"/>
              <w:left w:val="single" w:sz="4" w:space="0" w:color="auto"/>
              <w:bottom w:val="nil"/>
              <w:right w:val="nil"/>
            </w:tcBorders>
            <w:shd w:val="clear" w:color="auto" w:fill="auto"/>
            <w:noWrap/>
            <w:vAlign w:val="bottom"/>
            <w:hideMark/>
          </w:tcPr>
          <w:p w14:paraId="61EA8915" w14:textId="77777777" w:rsidR="0017331D" w:rsidRPr="00685B80" w:rsidRDefault="0017331D" w:rsidP="00BA5BA5">
            <w:pPr>
              <w:jc w:val="right"/>
              <w:rPr>
                <w:rFonts w:ascii="Arial" w:hAnsi="Arial" w:cs="Arial"/>
                <w:color w:val="000000"/>
                <w:lang w:val="es-MX" w:eastAsia="es-MX"/>
              </w:rPr>
            </w:pPr>
            <w:r w:rsidRPr="00685B80">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7D99C883" w14:textId="77777777" w:rsidR="0017331D" w:rsidRDefault="0017331D" w:rsidP="00BA5BA5">
            <w:pPr>
              <w:jc w:val="center"/>
              <w:rPr>
                <w:rFonts w:ascii="Arial" w:hAnsi="Arial" w:cs="Arial"/>
                <w:color w:val="000000"/>
              </w:rPr>
            </w:pPr>
            <w:r>
              <w:rPr>
                <w:rFonts w:ascii="Arial" w:hAnsi="Arial" w:cs="Arial"/>
                <w:color w:val="000000"/>
              </w:rPr>
              <w:t>4.2</w:t>
            </w:r>
          </w:p>
        </w:tc>
        <w:tc>
          <w:tcPr>
            <w:tcW w:w="666" w:type="dxa"/>
            <w:tcBorders>
              <w:top w:val="nil"/>
              <w:left w:val="nil"/>
              <w:bottom w:val="nil"/>
              <w:right w:val="nil"/>
            </w:tcBorders>
            <w:shd w:val="clear" w:color="auto" w:fill="auto"/>
            <w:noWrap/>
            <w:vAlign w:val="bottom"/>
            <w:hideMark/>
          </w:tcPr>
          <w:p w14:paraId="0FAE3A49" w14:textId="77777777" w:rsidR="0017331D" w:rsidRPr="0048399B" w:rsidRDefault="0017331D" w:rsidP="00BA5BA5">
            <w:pPr>
              <w:jc w:val="right"/>
              <w:rPr>
                <w:rFonts w:ascii="Arial" w:hAnsi="Arial" w:cs="Arial"/>
                <w:color w:val="000000"/>
                <w:lang w:val="es-MX" w:eastAsia="es-MX"/>
              </w:rPr>
            </w:pPr>
          </w:p>
        </w:tc>
        <w:tc>
          <w:tcPr>
            <w:tcW w:w="814" w:type="dxa"/>
            <w:tcBorders>
              <w:top w:val="nil"/>
              <w:left w:val="nil"/>
              <w:bottom w:val="nil"/>
              <w:right w:val="single" w:sz="4" w:space="0" w:color="auto"/>
            </w:tcBorders>
            <w:shd w:val="clear" w:color="auto" w:fill="auto"/>
            <w:noWrap/>
            <w:vAlign w:val="bottom"/>
            <w:hideMark/>
          </w:tcPr>
          <w:p w14:paraId="29FEBD31" w14:textId="77777777" w:rsidR="0017331D" w:rsidRDefault="0017331D" w:rsidP="00BA5BA5">
            <w:pPr>
              <w:jc w:val="center"/>
              <w:rPr>
                <w:rFonts w:ascii="Arial" w:hAnsi="Arial" w:cs="Arial"/>
                <w:color w:val="000000"/>
              </w:rPr>
            </w:pPr>
            <w:r>
              <w:rPr>
                <w:rFonts w:ascii="Arial" w:hAnsi="Arial" w:cs="Arial"/>
                <w:color w:val="000000"/>
              </w:rPr>
              <w:t>7.6</w:t>
            </w:r>
          </w:p>
        </w:tc>
        <w:tc>
          <w:tcPr>
            <w:tcW w:w="634" w:type="dxa"/>
            <w:tcBorders>
              <w:top w:val="nil"/>
              <w:left w:val="nil"/>
              <w:bottom w:val="nil"/>
              <w:right w:val="nil"/>
            </w:tcBorders>
            <w:shd w:val="clear" w:color="auto" w:fill="auto"/>
            <w:noWrap/>
            <w:vAlign w:val="bottom"/>
            <w:hideMark/>
          </w:tcPr>
          <w:p w14:paraId="2CACBCE5" w14:textId="77777777" w:rsidR="0017331D" w:rsidRPr="0048399B" w:rsidRDefault="0017331D" w:rsidP="00BA5BA5">
            <w:pPr>
              <w:jc w:val="right"/>
              <w:rPr>
                <w:rFonts w:ascii="Arial" w:hAnsi="Arial" w:cs="Arial"/>
                <w:color w:val="000000"/>
                <w:lang w:val="es-MX" w:eastAsia="es-MX"/>
              </w:rPr>
            </w:pPr>
          </w:p>
        </w:tc>
        <w:tc>
          <w:tcPr>
            <w:tcW w:w="814" w:type="dxa"/>
            <w:tcBorders>
              <w:top w:val="nil"/>
              <w:left w:val="nil"/>
              <w:bottom w:val="nil"/>
              <w:right w:val="single" w:sz="4" w:space="0" w:color="auto"/>
            </w:tcBorders>
            <w:shd w:val="clear" w:color="auto" w:fill="auto"/>
            <w:noWrap/>
            <w:vAlign w:val="bottom"/>
            <w:hideMark/>
          </w:tcPr>
          <w:p w14:paraId="79D76A97" w14:textId="77777777" w:rsidR="0017331D" w:rsidRDefault="0017331D" w:rsidP="00BA5BA5">
            <w:pPr>
              <w:jc w:val="center"/>
              <w:rPr>
                <w:rFonts w:ascii="Arial" w:hAnsi="Arial" w:cs="Arial"/>
                <w:color w:val="000000"/>
              </w:rPr>
            </w:pPr>
            <w:r>
              <w:rPr>
                <w:rFonts w:ascii="Arial" w:hAnsi="Arial" w:cs="Arial"/>
                <w:color w:val="000000"/>
              </w:rPr>
              <w:t>4.0</w:t>
            </w:r>
          </w:p>
        </w:tc>
        <w:tc>
          <w:tcPr>
            <w:tcW w:w="642" w:type="dxa"/>
            <w:tcBorders>
              <w:top w:val="nil"/>
              <w:left w:val="nil"/>
              <w:bottom w:val="nil"/>
              <w:right w:val="nil"/>
            </w:tcBorders>
            <w:shd w:val="clear" w:color="auto" w:fill="auto"/>
            <w:noWrap/>
            <w:vAlign w:val="bottom"/>
            <w:hideMark/>
          </w:tcPr>
          <w:p w14:paraId="5821150C" w14:textId="77777777" w:rsidR="0017331D" w:rsidRPr="0048399B" w:rsidRDefault="0017331D" w:rsidP="00BA5BA5">
            <w:pPr>
              <w:jc w:val="right"/>
              <w:rPr>
                <w:rFonts w:ascii="Arial" w:hAnsi="Arial" w:cs="Arial"/>
                <w:color w:val="000000"/>
                <w:lang w:val="es-MX" w:eastAsia="es-MX"/>
              </w:rPr>
            </w:pPr>
            <w:r w:rsidRPr="0048399B">
              <w:rPr>
                <w:rFonts w:ascii="Arial" w:hAnsi="Arial" w:cs="Arial"/>
                <w:color w:val="000000"/>
                <w:lang w:val="es-MX" w:eastAsia="es-MX"/>
              </w:rPr>
              <w:t> </w:t>
            </w:r>
          </w:p>
        </w:tc>
        <w:tc>
          <w:tcPr>
            <w:tcW w:w="703" w:type="dxa"/>
            <w:tcBorders>
              <w:top w:val="nil"/>
              <w:left w:val="nil"/>
              <w:bottom w:val="nil"/>
              <w:right w:val="single" w:sz="4" w:space="0" w:color="auto"/>
            </w:tcBorders>
            <w:shd w:val="clear" w:color="auto" w:fill="auto"/>
            <w:noWrap/>
            <w:vAlign w:val="bottom"/>
            <w:hideMark/>
          </w:tcPr>
          <w:p w14:paraId="0831404F" w14:textId="77777777" w:rsidR="0017331D" w:rsidRDefault="0017331D" w:rsidP="00BA5BA5">
            <w:pPr>
              <w:rPr>
                <w:rFonts w:ascii="Arial" w:hAnsi="Arial" w:cs="Arial"/>
                <w:color w:val="000000"/>
              </w:rPr>
            </w:pPr>
            <w:r>
              <w:rPr>
                <w:rFonts w:ascii="Arial" w:hAnsi="Arial" w:cs="Arial"/>
                <w:color w:val="000000"/>
              </w:rPr>
              <w:t>4.2</w:t>
            </w:r>
          </w:p>
        </w:tc>
      </w:tr>
      <w:tr w:rsidR="0017331D" w:rsidRPr="00685B80" w14:paraId="3CE654E7" w14:textId="77777777" w:rsidTr="00BA5BA5">
        <w:trPr>
          <w:trHeight w:val="255"/>
        </w:trPr>
        <w:tc>
          <w:tcPr>
            <w:tcW w:w="3108" w:type="dxa"/>
            <w:tcBorders>
              <w:top w:val="nil"/>
              <w:left w:val="single" w:sz="4" w:space="0" w:color="auto"/>
              <w:bottom w:val="nil"/>
              <w:right w:val="nil"/>
            </w:tcBorders>
            <w:shd w:val="clear" w:color="auto" w:fill="auto"/>
            <w:noWrap/>
            <w:vAlign w:val="bottom"/>
            <w:hideMark/>
          </w:tcPr>
          <w:p w14:paraId="22D50CFA" w14:textId="77777777" w:rsidR="0017331D" w:rsidRPr="00685B80" w:rsidRDefault="0017331D" w:rsidP="00BA5BA5">
            <w:pPr>
              <w:ind w:firstLineChars="100" w:firstLine="200"/>
              <w:rPr>
                <w:rFonts w:ascii="Arial" w:hAnsi="Arial" w:cs="Arial"/>
                <w:color w:val="000000"/>
                <w:lang w:val="es-MX" w:eastAsia="es-MX"/>
              </w:rPr>
            </w:pPr>
            <w:r w:rsidRPr="00685B80">
              <w:rPr>
                <w:rFonts w:ascii="Arial" w:hAnsi="Arial" w:cs="Arial"/>
                <w:color w:val="000000"/>
                <w:lang w:val="es-MX" w:eastAsia="es-MX"/>
              </w:rPr>
              <w:t>Sinaloa</w:t>
            </w:r>
          </w:p>
        </w:tc>
        <w:tc>
          <w:tcPr>
            <w:tcW w:w="611" w:type="dxa"/>
            <w:tcBorders>
              <w:top w:val="nil"/>
              <w:left w:val="single" w:sz="4" w:space="0" w:color="auto"/>
              <w:bottom w:val="nil"/>
              <w:right w:val="nil"/>
            </w:tcBorders>
            <w:shd w:val="clear" w:color="auto" w:fill="auto"/>
            <w:noWrap/>
            <w:vAlign w:val="bottom"/>
            <w:hideMark/>
          </w:tcPr>
          <w:p w14:paraId="625FA4F1" w14:textId="77777777" w:rsidR="0017331D" w:rsidRPr="00685B80" w:rsidRDefault="0017331D" w:rsidP="00BA5BA5">
            <w:pPr>
              <w:jc w:val="right"/>
              <w:rPr>
                <w:rFonts w:ascii="Arial" w:hAnsi="Arial" w:cs="Arial"/>
                <w:color w:val="000000"/>
                <w:lang w:val="es-MX" w:eastAsia="es-MX"/>
              </w:rPr>
            </w:pPr>
            <w:r w:rsidRPr="00685B80">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0A478E64" w14:textId="77777777" w:rsidR="0017331D" w:rsidRDefault="0017331D" w:rsidP="00BA5BA5">
            <w:pPr>
              <w:jc w:val="center"/>
              <w:rPr>
                <w:rFonts w:ascii="Arial" w:hAnsi="Arial" w:cs="Arial"/>
                <w:color w:val="000000"/>
              </w:rPr>
            </w:pPr>
            <w:r>
              <w:rPr>
                <w:rFonts w:ascii="Arial" w:hAnsi="Arial" w:cs="Arial"/>
                <w:color w:val="000000"/>
              </w:rPr>
              <w:t>2.7</w:t>
            </w:r>
          </w:p>
        </w:tc>
        <w:tc>
          <w:tcPr>
            <w:tcW w:w="666" w:type="dxa"/>
            <w:tcBorders>
              <w:top w:val="nil"/>
              <w:left w:val="nil"/>
              <w:bottom w:val="nil"/>
              <w:right w:val="nil"/>
            </w:tcBorders>
            <w:shd w:val="clear" w:color="auto" w:fill="auto"/>
            <w:noWrap/>
            <w:vAlign w:val="bottom"/>
            <w:hideMark/>
          </w:tcPr>
          <w:p w14:paraId="762E47D3" w14:textId="77777777" w:rsidR="0017331D" w:rsidRPr="0048399B" w:rsidRDefault="0017331D" w:rsidP="00BA5BA5">
            <w:pPr>
              <w:jc w:val="right"/>
              <w:rPr>
                <w:rFonts w:ascii="Arial" w:hAnsi="Arial" w:cs="Arial"/>
                <w:color w:val="000000"/>
                <w:lang w:val="es-MX" w:eastAsia="es-MX"/>
              </w:rPr>
            </w:pPr>
            <w:r w:rsidRPr="0048399B">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68865E04" w14:textId="77777777" w:rsidR="0017331D" w:rsidRDefault="0017331D" w:rsidP="00BA5BA5">
            <w:pPr>
              <w:jc w:val="center"/>
              <w:rPr>
                <w:rFonts w:ascii="Arial" w:hAnsi="Arial" w:cs="Arial"/>
                <w:color w:val="000000"/>
              </w:rPr>
            </w:pPr>
            <w:r>
              <w:rPr>
                <w:rFonts w:ascii="Arial" w:hAnsi="Arial" w:cs="Arial"/>
                <w:color w:val="000000"/>
              </w:rPr>
              <w:t>6.5</w:t>
            </w:r>
          </w:p>
        </w:tc>
        <w:tc>
          <w:tcPr>
            <w:tcW w:w="634" w:type="dxa"/>
            <w:tcBorders>
              <w:top w:val="nil"/>
              <w:left w:val="nil"/>
              <w:bottom w:val="nil"/>
              <w:right w:val="nil"/>
            </w:tcBorders>
            <w:shd w:val="clear" w:color="auto" w:fill="auto"/>
            <w:noWrap/>
            <w:vAlign w:val="bottom"/>
            <w:hideMark/>
          </w:tcPr>
          <w:p w14:paraId="05D19CBE" w14:textId="77777777" w:rsidR="0017331D" w:rsidRPr="0048399B" w:rsidRDefault="0017331D" w:rsidP="00BA5BA5">
            <w:pPr>
              <w:jc w:val="right"/>
              <w:rPr>
                <w:rFonts w:ascii="Arial" w:hAnsi="Arial" w:cs="Arial"/>
                <w:color w:val="000000"/>
                <w:lang w:val="es-MX" w:eastAsia="es-MX"/>
              </w:rPr>
            </w:pPr>
          </w:p>
        </w:tc>
        <w:tc>
          <w:tcPr>
            <w:tcW w:w="814" w:type="dxa"/>
            <w:tcBorders>
              <w:top w:val="nil"/>
              <w:left w:val="nil"/>
              <w:bottom w:val="nil"/>
              <w:right w:val="single" w:sz="4" w:space="0" w:color="auto"/>
            </w:tcBorders>
            <w:shd w:val="clear" w:color="auto" w:fill="auto"/>
            <w:noWrap/>
            <w:vAlign w:val="bottom"/>
            <w:hideMark/>
          </w:tcPr>
          <w:p w14:paraId="5576DDF8" w14:textId="77777777" w:rsidR="0017331D" w:rsidRDefault="0017331D" w:rsidP="00BA5BA5">
            <w:pPr>
              <w:jc w:val="center"/>
              <w:rPr>
                <w:rFonts w:ascii="Arial" w:hAnsi="Arial" w:cs="Arial"/>
                <w:color w:val="000000"/>
              </w:rPr>
            </w:pPr>
            <w:r>
              <w:rPr>
                <w:rFonts w:ascii="Arial" w:hAnsi="Arial" w:cs="Arial"/>
                <w:color w:val="000000"/>
              </w:rPr>
              <w:t>5.2</w:t>
            </w:r>
          </w:p>
        </w:tc>
        <w:tc>
          <w:tcPr>
            <w:tcW w:w="642" w:type="dxa"/>
            <w:tcBorders>
              <w:top w:val="nil"/>
              <w:left w:val="nil"/>
              <w:bottom w:val="nil"/>
              <w:right w:val="nil"/>
            </w:tcBorders>
            <w:shd w:val="clear" w:color="auto" w:fill="auto"/>
            <w:noWrap/>
            <w:vAlign w:val="bottom"/>
            <w:hideMark/>
          </w:tcPr>
          <w:p w14:paraId="4C2E4EBB" w14:textId="77777777" w:rsidR="0017331D" w:rsidRPr="0048399B" w:rsidRDefault="0017331D" w:rsidP="00BA5BA5">
            <w:pPr>
              <w:jc w:val="right"/>
              <w:rPr>
                <w:rFonts w:ascii="Arial" w:hAnsi="Arial" w:cs="Arial"/>
                <w:color w:val="000000"/>
                <w:lang w:val="es-MX" w:eastAsia="es-MX"/>
              </w:rPr>
            </w:pPr>
            <w:r w:rsidRPr="0048399B">
              <w:rPr>
                <w:rFonts w:ascii="Arial" w:hAnsi="Arial" w:cs="Arial"/>
                <w:color w:val="000000"/>
                <w:lang w:val="es-MX" w:eastAsia="es-MX"/>
              </w:rPr>
              <w:t> </w:t>
            </w:r>
          </w:p>
        </w:tc>
        <w:tc>
          <w:tcPr>
            <w:tcW w:w="703" w:type="dxa"/>
            <w:tcBorders>
              <w:top w:val="nil"/>
              <w:left w:val="nil"/>
              <w:bottom w:val="nil"/>
              <w:right w:val="single" w:sz="4" w:space="0" w:color="auto"/>
            </w:tcBorders>
            <w:shd w:val="clear" w:color="auto" w:fill="auto"/>
            <w:noWrap/>
            <w:vAlign w:val="bottom"/>
            <w:hideMark/>
          </w:tcPr>
          <w:p w14:paraId="278F3B65" w14:textId="77777777" w:rsidR="0017331D" w:rsidRDefault="0017331D" w:rsidP="00BA5BA5">
            <w:pPr>
              <w:rPr>
                <w:rFonts w:ascii="Arial" w:hAnsi="Arial" w:cs="Arial"/>
                <w:color w:val="000000"/>
              </w:rPr>
            </w:pPr>
            <w:r>
              <w:rPr>
                <w:rFonts w:ascii="Arial" w:hAnsi="Arial" w:cs="Arial"/>
                <w:color w:val="000000"/>
              </w:rPr>
              <w:t>1.4</w:t>
            </w:r>
          </w:p>
        </w:tc>
      </w:tr>
      <w:tr w:rsidR="0017331D" w:rsidRPr="00685B80" w14:paraId="2C79EA6E" w14:textId="77777777" w:rsidTr="00BA5BA5">
        <w:trPr>
          <w:trHeight w:val="255"/>
        </w:trPr>
        <w:tc>
          <w:tcPr>
            <w:tcW w:w="3108" w:type="dxa"/>
            <w:tcBorders>
              <w:top w:val="nil"/>
              <w:left w:val="single" w:sz="4" w:space="0" w:color="auto"/>
              <w:bottom w:val="nil"/>
              <w:right w:val="nil"/>
            </w:tcBorders>
            <w:shd w:val="clear" w:color="auto" w:fill="auto"/>
            <w:noWrap/>
            <w:vAlign w:val="bottom"/>
            <w:hideMark/>
          </w:tcPr>
          <w:p w14:paraId="6B53F922" w14:textId="77777777" w:rsidR="0017331D" w:rsidRPr="00685B80" w:rsidRDefault="0017331D" w:rsidP="00BA5BA5">
            <w:pPr>
              <w:ind w:firstLineChars="100" w:firstLine="200"/>
              <w:rPr>
                <w:rFonts w:ascii="Arial" w:hAnsi="Arial" w:cs="Arial"/>
                <w:color w:val="000000"/>
                <w:lang w:val="es-MX" w:eastAsia="es-MX"/>
              </w:rPr>
            </w:pPr>
            <w:r w:rsidRPr="00685B80">
              <w:rPr>
                <w:rFonts w:ascii="Arial" w:hAnsi="Arial" w:cs="Arial"/>
                <w:color w:val="000000"/>
                <w:lang w:val="es-MX" w:eastAsia="es-MX"/>
              </w:rPr>
              <w:t>Sonora</w:t>
            </w:r>
          </w:p>
        </w:tc>
        <w:tc>
          <w:tcPr>
            <w:tcW w:w="611" w:type="dxa"/>
            <w:tcBorders>
              <w:top w:val="nil"/>
              <w:left w:val="single" w:sz="4" w:space="0" w:color="auto"/>
              <w:bottom w:val="nil"/>
              <w:right w:val="nil"/>
            </w:tcBorders>
            <w:shd w:val="clear" w:color="auto" w:fill="auto"/>
            <w:noWrap/>
            <w:vAlign w:val="bottom"/>
            <w:hideMark/>
          </w:tcPr>
          <w:p w14:paraId="0F8977AE" w14:textId="77777777" w:rsidR="0017331D" w:rsidRPr="00685B80" w:rsidRDefault="0017331D" w:rsidP="00BA5BA5">
            <w:pPr>
              <w:jc w:val="right"/>
              <w:rPr>
                <w:rFonts w:ascii="Arial" w:hAnsi="Arial" w:cs="Arial"/>
                <w:color w:val="000000"/>
                <w:lang w:val="es-MX" w:eastAsia="es-MX"/>
              </w:rPr>
            </w:pPr>
          </w:p>
        </w:tc>
        <w:tc>
          <w:tcPr>
            <w:tcW w:w="814" w:type="dxa"/>
            <w:tcBorders>
              <w:top w:val="nil"/>
              <w:left w:val="nil"/>
              <w:bottom w:val="nil"/>
              <w:right w:val="single" w:sz="4" w:space="0" w:color="auto"/>
            </w:tcBorders>
            <w:shd w:val="clear" w:color="auto" w:fill="auto"/>
            <w:noWrap/>
            <w:vAlign w:val="bottom"/>
            <w:hideMark/>
          </w:tcPr>
          <w:p w14:paraId="27C0F819" w14:textId="77777777" w:rsidR="0017331D" w:rsidRDefault="0017331D" w:rsidP="00BA5BA5">
            <w:pPr>
              <w:jc w:val="center"/>
              <w:rPr>
                <w:rFonts w:ascii="Arial" w:hAnsi="Arial" w:cs="Arial"/>
                <w:color w:val="000000"/>
              </w:rPr>
            </w:pPr>
            <w:r>
              <w:rPr>
                <w:rFonts w:ascii="Arial" w:hAnsi="Arial" w:cs="Arial"/>
                <w:color w:val="000000"/>
              </w:rPr>
              <w:t>1.2</w:t>
            </w:r>
          </w:p>
        </w:tc>
        <w:tc>
          <w:tcPr>
            <w:tcW w:w="666" w:type="dxa"/>
            <w:tcBorders>
              <w:top w:val="nil"/>
              <w:left w:val="nil"/>
              <w:bottom w:val="nil"/>
              <w:right w:val="nil"/>
            </w:tcBorders>
            <w:shd w:val="clear" w:color="auto" w:fill="auto"/>
            <w:noWrap/>
            <w:vAlign w:val="bottom"/>
            <w:hideMark/>
          </w:tcPr>
          <w:p w14:paraId="30FA9F2A" w14:textId="77777777" w:rsidR="0017331D" w:rsidRPr="0048399B" w:rsidRDefault="0017331D" w:rsidP="00BA5BA5">
            <w:pPr>
              <w:jc w:val="right"/>
              <w:rPr>
                <w:rFonts w:ascii="Arial" w:hAnsi="Arial" w:cs="Arial"/>
                <w:color w:val="000000"/>
                <w:lang w:val="es-MX" w:eastAsia="es-MX"/>
              </w:rPr>
            </w:pPr>
            <w:r w:rsidRPr="0048399B">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19B8DE0F" w14:textId="77777777" w:rsidR="0017331D" w:rsidRDefault="0017331D" w:rsidP="00BA5BA5">
            <w:pPr>
              <w:jc w:val="center"/>
              <w:rPr>
                <w:rFonts w:ascii="Arial" w:hAnsi="Arial" w:cs="Arial"/>
                <w:color w:val="000000"/>
              </w:rPr>
            </w:pPr>
            <w:r>
              <w:rPr>
                <w:rFonts w:ascii="Arial" w:hAnsi="Arial" w:cs="Arial"/>
                <w:color w:val="000000"/>
              </w:rPr>
              <w:t>2.6</w:t>
            </w:r>
          </w:p>
        </w:tc>
        <w:tc>
          <w:tcPr>
            <w:tcW w:w="634" w:type="dxa"/>
            <w:tcBorders>
              <w:top w:val="nil"/>
              <w:left w:val="nil"/>
              <w:bottom w:val="nil"/>
              <w:right w:val="nil"/>
            </w:tcBorders>
            <w:shd w:val="clear" w:color="auto" w:fill="auto"/>
            <w:noWrap/>
            <w:vAlign w:val="bottom"/>
            <w:hideMark/>
          </w:tcPr>
          <w:p w14:paraId="642BAA15" w14:textId="77777777" w:rsidR="0017331D" w:rsidRPr="0048399B" w:rsidRDefault="0017331D" w:rsidP="00BA5BA5">
            <w:pPr>
              <w:jc w:val="right"/>
              <w:rPr>
                <w:rFonts w:ascii="Arial" w:hAnsi="Arial" w:cs="Arial"/>
                <w:color w:val="000000"/>
                <w:lang w:val="es-MX" w:eastAsia="es-MX"/>
              </w:rPr>
            </w:pPr>
            <w:r w:rsidRPr="0048399B">
              <w:rPr>
                <w:rFonts w:ascii="Arial" w:hAnsi="Arial" w:cs="Arial"/>
                <w:color w:val="000000"/>
                <w:lang w:val="es-MX" w:eastAsia="es-MX"/>
              </w:rPr>
              <w:t>(-)</w:t>
            </w:r>
          </w:p>
        </w:tc>
        <w:tc>
          <w:tcPr>
            <w:tcW w:w="814" w:type="dxa"/>
            <w:tcBorders>
              <w:top w:val="nil"/>
              <w:left w:val="nil"/>
              <w:bottom w:val="nil"/>
              <w:right w:val="single" w:sz="4" w:space="0" w:color="auto"/>
            </w:tcBorders>
            <w:shd w:val="clear" w:color="auto" w:fill="auto"/>
            <w:noWrap/>
            <w:vAlign w:val="bottom"/>
            <w:hideMark/>
          </w:tcPr>
          <w:p w14:paraId="7A28D027" w14:textId="77777777" w:rsidR="0017331D" w:rsidRDefault="0017331D" w:rsidP="00BA5BA5">
            <w:pPr>
              <w:jc w:val="center"/>
              <w:rPr>
                <w:rFonts w:ascii="Arial" w:hAnsi="Arial" w:cs="Arial"/>
                <w:color w:val="000000"/>
              </w:rPr>
            </w:pPr>
            <w:r>
              <w:rPr>
                <w:rFonts w:ascii="Arial" w:hAnsi="Arial" w:cs="Arial"/>
                <w:color w:val="000000"/>
              </w:rPr>
              <w:t>0.5</w:t>
            </w:r>
          </w:p>
        </w:tc>
        <w:tc>
          <w:tcPr>
            <w:tcW w:w="642" w:type="dxa"/>
            <w:tcBorders>
              <w:top w:val="nil"/>
              <w:left w:val="nil"/>
              <w:bottom w:val="nil"/>
              <w:right w:val="nil"/>
            </w:tcBorders>
            <w:shd w:val="clear" w:color="auto" w:fill="auto"/>
            <w:noWrap/>
            <w:vAlign w:val="bottom"/>
            <w:hideMark/>
          </w:tcPr>
          <w:p w14:paraId="0AC650EC" w14:textId="77777777" w:rsidR="0017331D" w:rsidRPr="0048399B" w:rsidRDefault="0017331D" w:rsidP="00BA5BA5">
            <w:pPr>
              <w:jc w:val="right"/>
              <w:rPr>
                <w:rFonts w:ascii="Arial" w:hAnsi="Arial" w:cs="Arial"/>
                <w:color w:val="000000"/>
                <w:lang w:val="es-MX" w:eastAsia="es-MX"/>
              </w:rPr>
            </w:pPr>
          </w:p>
        </w:tc>
        <w:tc>
          <w:tcPr>
            <w:tcW w:w="703" w:type="dxa"/>
            <w:tcBorders>
              <w:top w:val="nil"/>
              <w:left w:val="nil"/>
              <w:bottom w:val="nil"/>
              <w:right w:val="single" w:sz="4" w:space="0" w:color="auto"/>
            </w:tcBorders>
            <w:shd w:val="clear" w:color="auto" w:fill="auto"/>
            <w:noWrap/>
            <w:vAlign w:val="bottom"/>
            <w:hideMark/>
          </w:tcPr>
          <w:p w14:paraId="751B1ECF" w14:textId="77777777" w:rsidR="0017331D" w:rsidRDefault="0017331D" w:rsidP="00BA5BA5">
            <w:pPr>
              <w:rPr>
                <w:rFonts w:ascii="Arial" w:hAnsi="Arial" w:cs="Arial"/>
                <w:color w:val="000000"/>
              </w:rPr>
            </w:pPr>
            <w:r>
              <w:rPr>
                <w:rFonts w:ascii="Arial" w:hAnsi="Arial" w:cs="Arial"/>
                <w:color w:val="000000"/>
              </w:rPr>
              <w:t>2.6</w:t>
            </w:r>
          </w:p>
        </w:tc>
      </w:tr>
      <w:tr w:rsidR="0017331D" w:rsidRPr="00685B80" w14:paraId="4258855A" w14:textId="77777777" w:rsidTr="00BA5BA5">
        <w:trPr>
          <w:trHeight w:val="255"/>
        </w:trPr>
        <w:tc>
          <w:tcPr>
            <w:tcW w:w="3108" w:type="dxa"/>
            <w:tcBorders>
              <w:top w:val="nil"/>
              <w:left w:val="single" w:sz="4" w:space="0" w:color="auto"/>
              <w:bottom w:val="nil"/>
              <w:right w:val="nil"/>
            </w:tcBorders>
            <w:shd w:val="clear" w:color="auto" w:fill="auto"/>
            <w:noWrap/>
            <w:vAlign w:val="bottom"/>
            <w:hideMark/>
          </w:tcPr>
          <w:p w14:paraId="5C2341EB" w14:textId="77777777" w:rsidR="0017331D" w:rsidRPr="00685B80" w:rsidRDefault="0017331D" w:rsidP="00BA5BA5">
            <w:pPr>
              <w:ind w:firstLineChars="100" w:firstLine="200"/>
              <w:rPr>
                <w:rFonts w:ascii="Arial" w:hAnsi="Arial" w:cs="Arial"/>
                <w:color w:val="000000"/>
                <w:lang w:val="es-MX" w:eastAsia="es-MX"/>
              </w:rPr>
            </w:pPr>
            <w:r w:rsidRPr="00685B80">
              <w:rPr>
                <w:rFonts w:ascii="Arial" w:hAnsi="Arial" w:cs="Arial"/>
                <w:color w:val="000000"/>
                <w:lang w:val="es-MX" w:eastAsia="es-MX"/>
              </w:rPr>
              <w:t>Tabasco</w:t>
            </w:r>
          </w:p>
        </w:tc>
        <w:tc>
          <w:tcPr>
            <w:tcW w:w="611" w:type="dxa"/>
            <w:tcBorders>
              <w:top w:val="nil"/>
              <w:left w:val="single" w:sz="4" w:space="0" w:color="auto"/>
              <w:bottom w:val="nil"/>
              <w:right w:val="nil"/>
            </w:tcBorders>
            <w:shd w:val="clear" w:color="auto" w:fill="auto"/>
            <w:noWrap/>
            <w:vAlign w:val="bottom"/>
            <w:hideMark/>
          </w:tcPr>
          <w:p w14:paraId="4FA4CAE8" w14:textId="77777777" w:rsidR="0017331D" w:rsidRPr="00685B80" w:rsidRDefault="0017331D" w:rsidP="00BA5BA5">
            <w:pPr>
              <w:jc w:val="right"/>
              <w:rPr>
                <w:rFonts w:ascii="Arial" w:hAnsi="Arial" w:cs="Arial"/>
                <w:color w:val="000000"/>
                <w:lang w:val="es-MX" w:eastAsia="es-MX"/>
              </w:rPr>
            </w:pPr>
            <w:r w:rsidRPr="00685B80">
              <w:rPr>
                <w:rFonts w:ascii="Arial" w:hAnsi="Arial" w:cs="Arial"/>
                <w:color w:val="000000"/>
                <w:lang w:val="es-MX" w:eastAsia="es-MX"/>
              </w:rPr>
              <w:t>(-)</w:t>
            </w:r>
          </w:p>
        </w:tc>
        <w:tc>
          <w:tcPr>
            <w:tcW w:w="814" w:type="dxa"/>
            <w:tcBorders>
              <w:top w:val="nil"/>
              <w:left w:val="nil"/>
              <w:bottom w:val="nil"/>
              <w:right w:val="single" w:sz="4" w:space="0" w:color="auto"/>
            </w:tcBorders>
            <w:shd w:val="clear" w:color="auto" w:fill="auto"/>
            <w:noWrap/>
            <w:vAlign w:val="bottom"/>
            <w:hideMark/>
          </w:tcPr>
          <w:p w14:paraId="00090DC3" w14:textId="77777777" w:rsidR="0017331D" w:rsidRDefault="0017331D" w:rsidP="00BA5BA5">
            <w:pPr>
              <w:jc w:val="center"/>
              <w:rPr>
                <w:rFonts w:ascii="Arial" w:hAnsi="Arial" w:cs="Arial"/>
                <w:color w:val="000000"/>
              </w:rPr>
            </w:pPr>
            <w:r>
              <w:rPr>
                <w:rFonts w:ascii="Arial" w:hAnsi="Arial" w:cs="Arial"/>
                <w:color w:val="000000"/>
              </w:rPr>
              <w:t>8.2</w:t>
            </w:r>
          </w:p>
        </w:tc>
        <w:tc>
          <w:tcPr>
            <w:tcW w:w="666" w:type="dxa"/>
            <w:tcBorders>
              <w:top w:val="nil"/>
              <w:left w:val="nil"/>
              <w:bottom w:val="nil"/>
              <w:right w:val="nil"/>
            </w:tcBorders>
            <w:shd w:val="clear" w:color="auto" w:fill="auto"/>
            <w:noWrap/>
            <w:vAlign w:val="bottom"/>
            <w:hideMark/>
          </w:tcPr>
          <w:p w14:paraId="76619F65" w14:textId="77777777" w:rsidR="0017331D" w:rsidRPr="0048399B" w:rsidRDefault="0017331D" w:rsidP="00BA5BA5">
            <w:pPr>
              <w:jc w:val="right"/>
              <w:rPr>
                <w:rFonts w:ascii="Arial" w:hAnsi="Arial" w:cs="Arial"/>
                <w:color w:val="000000"/>
                <w:lang w:val="es-MX" w:eastAsia="es-MX"/>
              </w:rPr>
            </w:pPr>
          </w:p>
        </w:tc>
        <w:tc>
          <w:tcPr>
            <w:tcW w:w="814" w:type="dxa"/>
            <w:tcBorders>
              <w:top w:val="nil"/>
              <w:left w:val="nil"/>
              <w:bottom w:val="nil"/>
              <w:right w:val="single" w:sz="4" w:space="0" w:color="auto"/>
            </w:tcBorders>
            <w:shd w:val="clear" w:color="auto" w:fill="auto"/>
            <w:noWrap/>
            <w:vAlign w:val="bottom"/>
            <w:hideMark/>
          </w:tcPr>
          <w:p w14:paraId="1A2CD052" w14:textId="77777777" w:rsidR="0017331D" w:rsidRDefault="0017331D" w:rsidP="00BA5BA5">
            <w:pPr>
              <w:jc w:val="center"/>
              <w:rPr>
                <w:rFonts w:ascii="Arial" w:hAnsi="Arial" w:cs="Arial"/>
                <w:color w:val="000000"/>
              </w:rPr>
            </w:pPr>
            <w:r>
              <w:rPr>
                <w:rFonts w:ascii="Arial" w:hAnsi="Arial" w:cs="Arial"/>
                <w:color w:val="000000"/>
              </w:rPr>
              <w:t>2.9</w:t>
            </w:r>
          </w:p>
        </w:tc>
        <w:tc>
          <w:tcPr>
            <w:tcW w:w="634" w:type="dxa"/>
            <w:tcBorders>
              <w:top w:val="nil"/>
              <w:left w:val="nil"/>
              <w:bottom w:val="nil"/>
              <w:right w:val="nil"/>
            </w:tcBorders>
            <w:shd w:val="clear" w:color="auto" w:fill="auto"/>
            <w:noWrap/>
            <w:vAlign w:val="bottom"/>
            <w:hideMark/>
          </w:tcPr>
          <w:p w14:paraId="444086D2" w14:textId="77777777" w:rsidR="0017331D" w:rsidRPr="0048399B" w:rsidRDefault="0017331D" w:rsidP="00BA5BA5">
            <w:pPr>
              <w:jc w:val="right"/>
              <w:rPr>
                <w:rFonts w:ascii="Arial" w:hAnsi="Arial" w:cs="Arial"/>
                <w:color w:val="000000"/>
                <w:lang w:val="es-MX" w:eastAsia="es-MX"/>
              </w:rPr>
            </w:pPr>
            <w:r w:rsidRPr="0048399B">
              <w:rPr>
                <w:rFonts w:ascii="Arial" w:hAnsi="Arial" w:cs="Arial"/>
                <w:color w:val="000000"/>
                <w:lang w:val="es-MX" w:eastAsia="es-MX"/>
              </w:rPr>
              <w:t>(-)</w:t>
            </w:r>
          </w:p>
        </w:tc>
        <w:tc>
          <w:tcPr>
            <w:tcW w:w="814" w:type="dxa"/>
            <w:tcBorders>
              <w:top w:val="nil"/>
              <w:left w:val="nil"/>
              <w:bottom w:val="nil"/>
              <w:right w:val="single" w:sz="4" w:space="0" w:color="auto"/>
            </w:tcBorders>
            <w:shd w:val="clear" w:color="auto" w:fill="auto"/>
            <w:noWrap/>
            <w:vAlign w:val="bottom"/>
            <w:hideMark/>
          </w:tcPr>
          <w:p w14:paraId="7A81067E" w14:textId="77777777" w:rsidR="0017331D" w:rsidRDefault="0017331D" w:rsidP="00BA5BA5">
            <w:pPr>
              <w:rPr>
                <w:rFonts w:ascii="Arial" w:hAnsi="Arial" w:cs="Arial"/>
                <w:color w:val="000000"/>
              </w:rPr>
            </w:pPr>
            <w:r>
              <w:rPr>
                <w:rFonts w:ascii="Arial" w:hAnsi="Arial" w:cs="Arial"/>
                <w:color w:val="000000"/>
              </w:rPr>
              <w:t xml:space="preserve">  12.8</w:t>
            </w:r>
          </w:p>
        </w:tc>
        <w:tc>
          <w:tcPr>
            <w:tcW w:w="642" w:type="dxa"/>
            <w:tcBorders>
              <w:top w:val="nil"/>
              <w:left w:val="nil"/>
              <w:bottom w:val="nil"/>
              <w:right w:val="nil"/>
            </w:tcBorders>
            <w:shd w:val="clear" w:color="auto" w:fill="auto"/>
            <w:noWrap/>
            <w:vAlign w:val="bottom"/>
            <w:hideMark/>
          </w:tcPr>
          <w:p w14:paraId="42E318AB" w14:textId="77777777" w:rsidR="0017331D" w:rsidRPr="0048399B" w:rsidRDefault="0017331D" w:rsidP="00BA5BA5">
            <w:pPr>
              <w:jc w:val="right"/>
              <w:rPr>
                <w:rFonts w:ascii="Arial" w:hAnsi="Arial" w:cs="Arial"/>
                <w:color w:val="000000"/>
                <w:lang w:val="es-MX" w:eastAsia="es-MX"/>
              </w:rPr>
            </w:pPr>
            <w:r w:rsidRPr="0048399B">
              <w:rPr>
                <w:rFonts w:ascii="Arial" w:hAnsi="Arial" w:cs="Arial"/>
                <w:color w:val="000000"/>
                <w:lang w:val="es-MX" w:eastAsia="es-MX"/>
              </w:rPr>
              <w:t> </w:t>
            </w:r>
          </w:p>
        </w:tc>
        <w:tc>
          <w:tcPr>
            <w:tcW w:w="703" w:type="dxa"/>
            <w:tcBorders>
              <w:top w:val="nil"/>
              <w:left w:val="nil"/>
              <w:bottom w:val="nil"/>
              <w:right w:val="single" w:sz="4" w:space="0" w:color="auto"/>
            </w:tcBorders>
            <w:shd w:val="clear" w:color="auto" w:fill="auto"/>
            <w:noWrap/>
            <w:vAlign w:val="bottom"/>
            <w:hideMark/>
          </w:tcPr>
          <w:p w14:paraId="1D362C91" w14:textId="77777777" w:rsidR="0017331D" w:rsidRDefault="0017331D" w:rsidP="00BA5BA5">
            <w:pPr>
              <w:rPr>
                <w:rFonts w:ascii="Arial" w:hAnsi="Arial" w:cs="Arial"/>
                <w:color w:val="000000"/>
              </w:rPr>
            </w:pPr>
            <w:r>
              <w:rPr>
                <w:rFonts w:ascii="Arial" w:hAnsi="Arial" w:cs="Arial"/>
                <w:color w:val="000000"/>
              </w:rPr>
              <w:t>0.1</w:t>
            </w:r>
          </w:p>
        </w:tc>
      </w:tr>
      <w:tr w:rsidR="0017331D" w:rsidRPr="00685B80" w14:paraId="7DA10F22" w14:textId="77777777" w:rsidTr="00BA5BA5">
        <w:trPr>
          <w:trHeight w:val="255"/>
        </w:trPr>
        <w:tc>
          <w:tcPr>
            <w:tcW w:w="3108" w:type="dxa"/>
            <w:tcBorders>
              <w:top w:val="nil"/>
              <w:left w:val="single" w:sz="4" w:space="0" w:color="auto"/>
              <w:bottom w:val="nil"/>
              <w:right w:val="nil"/>
            </w:tcBorders>
            <w:shd w:val="clear" w:color="auto" w:fill="auto"/>
            <w:noWrap/>
            <w:vAlign w:val="bottom"/>
            <w:hideMark/>
          </w:tcPr>
          <w:p w14:paraId="59009CE5" w14:textId="77777777" w:rsidR="0017331D" w:rsidRPr="00685B80" w:rsidRDefault="0017331D" w:rsidP="00BA5BA5">
            <w:pPr>
              <w:ind w:firstLineChars="100" w:firstLine="200"/>
              <w:rPr>
                <w:rFonts w:ascii="Arial" w:hAnsi="Arial" w:cs="Arial"/>
                <w:color w:val="000000"/>
                <w:lang w:val="es-MX" w:eastAsia="es-MX"/>
              </w:rPr>
            </w:pPr>
            <w:r w:rsidRPr="00685B80">
              <w:rPr>
                <w:rFonts w:ascii="Arial" w:hAnsi="Arial" w:cs="Arial"/>
                <w:color w:val="000000"/>
                <w:lang w:val="es-MX" w:eastAsia="es-MX"/>
              </w:rPr>
              <w:t>Tamaulipas</w:t>
            </w:r>
          </w:p>
        </w:tc>
        <w:tc>
          <w:tcPr>
            <w:tcW w:w="611" w:type="dxa"/>
            <w:tcBorders>
              <w:top w:val="nil"/>
              <w:left w:val="single" w:sz="4" w:space="0" w:color="auto"/>
              <w:bottom w:val="nil"/>
              <w:right w:val="nil"/>
            </w:tcBorders>
            <w:shd w:val="clear" w:color="auto" w:fill="auto"/>
            <w:noWrap/>
            <w:vAlign w:val="bottom"/>
            <w:hideMark/>
          </w:tcPr>
          <w:p w14:paraId="078FD6CF" w14:textId="77777777" w:rsidR="0017331D" w:rsidRPr="00685B80" w:rsidRDefault="0017331D" w:rsidP="00BA5BA5">
            <w:pPr>
              <w:jc w:val="right"/>
              <w:rPr>
                <w:rFonts w:ascii="Arial" w:hAnsi="Arial" w:cs="Arial"/>
                <w:color w:val="000000"/>
                <w:lang w:val="es-MX" w:eastAsia="es-MX"/>
              </w:rPr>
            </w:pPr>
          </w:p>
        </w:tc>
        <w:tc>
          <w:tcPr>
            <w:tcW w:w="814" w:type="dxa"/>
            <w:tcBorders>
              <w:top w:val="nil"/>
              <w:left w:val="nil"/>
              <w:bottom w:val="nil"/>
              <w:right w:val="single" w:sz="4" w:space="0" w:color="auto"/>
            </w:tcBorders>
            <w:shd w:val="clear" w:color="auto" w:fill="auto"/>
            <w:noWrap/>
            <w:vAlign w:val="bottom"/>
            <w:hideMark/>
          </w:tcPr>
          <w:p w14:paraId="34307FF8" w14:textId="77777777" w:rsidR="0017331D" w:rsidRDefault="0017331D" w:rsidP="00BA5BA5">
            <w:pPr>
              <w:jc w:val="center"/>
              <w:rPr>
                <w:rFonts w:ascii="Arial" w:hAnsi="Arial" w:cs="Arial"/>
                <w:color w:val="000000"/>
              </w:rPr>
            </w:pPr>
            <w:r>
              <w:rPr>
                <w:rFonts w:ascii="Arial" w:hAnsi="Arial" w:cs="Arial"/>
                <w:color w:val="000000"/>
              </w:rPr>
              <w:t>2.2</w:t>
            </w:r>
          </w:p>
        </w:tc>
        <w:tc>
          <w:tcPr>
            <w:tcW w:w="666" w:type="dxa"/>
            <w:tcBorders>
              <w:top w:val="nil"/>
              <w:left w:val="nil"/>
              <w:bottom w:val="nil"/>
              <w:right w:val="nil"/>
            </w:tcBorders>
            <w:shd w:val="clear" w:color="auto" w:fill="auto"/>
            <w:noWrap/>
            <w:vAlign w:val="bottom"/>
            <w:hideMark/>
          </w:tcPr>
          <w:p w14:paraId="43AA0C7C" w14:textId="77777777" w:rsidR="0017331D" w:rsidRPr="00685B80" w:rsidRDefault="0017331D" w:rsidP="00BA5BA5">
            <w:pPr>
              <w:jc w:val="right"/>
              <w:rPr>
                <w:rFonts w:ascii="Arial" w:hAnsi="Arial" w:cs="Arial"/>
                <w:color w:val="000000"/>
                <w:lang w:val="es-MX" w:eastAsia="es-MX"/>
              </w:rPr>
            </w:pPr>
            <w:r w:rsidRPr="00685B80">
              <w:rPr>
                <w:rFonts w:ascii="Arial" w:hAnsi="Arial" w:cs="Arial"/>
                <w:color w:val="000000"/>
                <w:lang w:val="es-MX" w:eastAsia="es-MX"/>
              </w:rPr>
              <w:t>(-)</w:t>
            </w:r>
          </w:p>
        </w:tc>
        <w:tc>
          <w:tcPr>
            <w:tcW w:w="814" w:type="dxa"/>
            <w:tcBorders>
              <w:top w:val="nil"/>
              <w:left w:val="nil"/>
              <w:bottom w:val="nil"/>
              <w:right w:val="single" w:sz="4" w:space="0" w:color="auto"/>
            </w:tcBorders>
            <w:shd w:val="clear" w:color="auto" w:fill="auto"/>
            <w:noWrap/>
            <w:vAlign w:val="bottom"/>
            <w:hideMark/>
          </w:tcPr>
          <w:p w14:paraId="6DADBE25" w14:textId="77777777" w:rsidR="0017331D" w:rsidRDefault="0017331D" w:rsidP="00BA5BA5">
            <w:pPr>
              <w:jc w:val="center"/>
              <w:rPr>
                <w:rFonts w:ascii="Arial" w:hAnsi="Arial" w:cs="Arial"/>
                <w:color w:val="000000"/>
              </w:rPr>
            </w:pPr>
            <w:r>
              <w:rPr>
                <w:rFonts w:ascii="Arial" w:hAnsi="Arial" w:cs="Arial"/>
                <w:color w:val="000000"/>
              </w:rPr>
              <w:t>6.8</w:t>
            </w:r>
          </w:p>
        </w:tc>
        <w:tc>
          <w:tcPr>
            <w:tcW w:w="634" w:type="dxa"/>
            <w:tcBorders>
              <w:top w:val="nil"/>
              <w:left w:val="nil"/>
              <w:bottom w:val="nil"/>
              <w:right w:val="nil"/>
            </w:tcBorders>
            <w:shd w:val="clear" w:color="auto" w:fill="auto"/>
            <w:noWrap/>
            <w:vAlign w:val="bottom"/>
            <w:hideMark/>
          </w:tcPr>
          <w:p w14:paraId="3D648E1F" w14:textId="77777777" w:rsidR="0017331D" w:rsidRPr="0048399B" w:rsidRDefault="0017331D" w:rsidP="00BA5BA5">
            <w:pPr>
              <w:jc w:val="right"/>
              <w:rPr>
                <w:rFonts w:ascii="Arial" w:hAnsi="Arial" w:cs="Arial"/>
                <w:color w:val="000000"/>
                <w:lang w:val="es-MX" w:eastAsia="es-MX"/>
              </w:rPr>
            </w:pPr>
          </w:p>
        </w:tc>
        <w:tc>
          <w:tcPr>
            <w:tcW w:w="814" w:type="dxa"/>
            <w:tcBorders>
              <w:top w:val="nil"/>
              <w:left w:val="nil"/>
              <w:bottom w:val="nil"/>
              <w:right w:val="single" w:sz="4" w:space="0" w:color="auto"/>
            </w:tcBorders>
            <w:shd w:val="clear" w:color="auto" w:fill="auto"/>
            <w:noWrap/>
            <w:vAlign w:val="bottom"/>
            <w:hideMark/>
          </w:tcPr>
          <w:p w14:paraId="55AD1EB1" w14:textId="77777777" w:rsidR="0017331D" w:rsidRDefault="0017331D" w:rsidP="00BA5BA5">
            <w:pPr>
              <w:jc w:val="center"/>
              <w:rPr>
                <w:rFonts w:ascii="Arial" w:hAnsi="Arial" w:cs="Arial"/>
                <w:color w:val="000000"/>
              </w:rPr>
            </w:pPr>
            <w:r>
              <w:rPr>
                <w:rFonts w:ascii="Arial" w:hAnsi="Arial" w:cs="Arial"/>
                <w:color w:val="000000"/>
              </w:rPr>
              <w:t>4.0</w:t>
            </w:r>
          </w:p>
        </w:tc>
        <w:tc>
          <w:tcPr>
            <w:tcW w:w="642" w:type="dxa"/>
            <w:tcBorders>
              <w:top w:val="nil"/>
              <w:left w:val="nil"/>
              <w:bottom w:val="nil"/>
              <w:right w:val="nil"/>
            </w:tcBorders>
            <w:shd w:val="clear" w:color="auto" w:fill="auto"/>
            <w:noWrap/>
            <w:vAlign w:val="bottom"/>
            <w:hideMark/>
          </w:tcPr>
          <w:p w14:paraId="6D7F4790" w14:textId="77777777" w:rsidR="0017331D" w:rsidRPr="0048399B" w:rsidRDefault="0017331D" w:rsidP="00BA5BA5">
            <w:pPr>
              <w:jc w:val="right"/>
              <w:rPr>
                <w:rFonts w:ascii="Arial" w:hAnsi="Arial" w:cs="Arial"/>
                <w:color w:val="000000"/>
                <w:lang w:val="es-MX" w:eastAsia="es-MX"/>
              </w:rPr>
            </w:pPr>
            <w:r w:rsidRPr="0048399B">
              <w:rPr>
                <w:rFonts w:ascii="Arial" w:hAnsi="Arial" w:cs="Arial"/>
                <w:color w:val="000000"/>
                <w:lang w:val="es-MX" w:eastAsia="es-MX"/>
              </w:rPr>
              <w:t> </w:t>
            </w:r>
          </w:p>
        </w:tc>
        <w:tc>
          <w:tcPr>
            <w:tcW w:w="703" w:type="dxa"/>
            <w:tcBorders>
              <w:top w:val="nil"/>
              <w:left w:val="nil"/>
              <w:bottom w:val="nil"/>
              <w:right w:val="single" w:sz="4" w:space="0" w:color="auto"/>
            </w:tcBorders>
            <w:shd w:val="clear" w:color="auto" w:fill="auto"/>
            <w:noWrap/>
            <w:vAlign w:val="bottom"/>
            <w:hideMark/>
          </w:tcPr>
          <w:p w14:paraId="46E9424B" w14:textId="77777777" w:rsidR="0017331D" w:rsidRDefault="0017331D" w:rsidP="00BA5BA5">
            <w:pPr>
              <w:rPr>
                <w:rFonts w:ascii="Arial" w:hAnsi="Arial" w:cs="Arial"/>
                <w:color w:val="000000"/>
              </w:rPr>
            </w:pPr>
            <w:r>
              <w:rPr>
                <w:rFonts w:ascii="Arial" w:hAnsi="Arial" w:cs="Arial"/>
                <w:color w:val="000000"/>
              </w:rPr>
              <w:t>1.7</w:t>
            </w:r>
          </w:p>
        </w:tc>
      </w:tr>
      <w:tr w:rsidR="0017331D" w:rsidRPr="00685B80" w14:paraId="2AC424B4" w14:textId="77777777" w:rsidTr="00BA5BA5">
        <w:trPr>
          <w:trHeight w:val="255"/>
        </w:trPr>
        <w:tc>
          <w:tcPr>
            <w:tcW w:w="3108" w:type="dxa"/>
            <w:tcBorders>
              <w:top w:val="nil"/>
              <w:left w:val="single" w:sz="4" w:space="0" w:color="auto"/>
              <w:bottom w:val="nil"/>
              <w:right w:val="nil"/>
            </w:tcBorders>
            <w:shd w:val="clear" w:color="auto" w:fill="auto"/>
            <w:noWrap/>
            <w:vAlign w:val="bottom"/>
            <w:hideMark/>
          </w:tcPr>
          <w:p w14:paraId="26CE8E07" w14:textId="77777777" w:rsidR="0017331D" w:rsidRPr="00685B80" w:rsidRDefault="0017331D" w:rsidP="00BA5BA5">
            <w:pPr>
              <w:ind w:firstLineChars="100" w:firstLine="200"/>
              <w:rPr>
                <w:rFonts w:ascii="Arial" w:hAnsi="Arial" w:cs="Arial"/>
                <w:color w:val="000000"/>
                <w:lang w:val="es-MX" w:eastAsia="es-MX"/>
              </w:rPr>
            </w:pPr>
            <w:r w:rsidRPr="00685B80">
              <w:rPr>
                <w:rFonts w:ascii="Arial" w:hAnsi="Arial" w:cs="Arial"/>
                <w:color w:val="000000"/>
                <w:lang w:val="es-MX" w:eastAsia="es-MX"/>
              </w:rPr>
              <w:t>Tlaxcala</w:t>
            </w:r>
          </w:p>
        </w:tc>
        <w:tc>
          <w:tcPr>
            <w:tcW w:w="611" w:type="dxa"/>
            <w:tcBorders>
              <w:top w:val="nil"/>
              <w:left w:val="single" w:sz="4" w:space="0" w:color="auto"/>
              <w:bottom w:val="nil"/>
              <w:right w:val="nil"/>
            </w:tcBorders>
            <w:shd w:val="clear" w:color="auto" w:fill="auto"/>
            <w:noWrap/>
            <w:vAlign w:val="bottom"/>
            <w:hideMark/>
          </w:tcPr>
          <w:p w14:paraId="5D2B73FD" w14:textId="77777777" w:rsidR="0017331D" w:rsidRPr="00685B80" w:rsidRDefault="0017331D" w:rsidP="00BA5BA5">
            <w:pPr>
              <w:jc w:val="right"/>
              <w:rPr>
                <w:rFonts w:ascii="Arial" w:hAnsi="Arial" w:cs="Arial"/>
                <w:color w:val="000000"/>
                <w:lang w:val="es-MX" w:eastAsia="es-MX"/>
              </w:rPr>
            </w:pPr>
          </w:p>
        </w:tc>
        <w:tc>
          <w:tcPr>
            <w:tcW w:w="814" w:type="dxa"/>
            <w:tcBorders>
              <w:top w:val="nil"/>
              <w:left w:val="nil"/>
              <w:bottom w:val="nil"/>
              <w:right w:val="single" w:sz="4" w:space="0" w:color="auto"/>
            </w:tcBorders>
            <w:shd w:val="clear" w:color="auto" w:fill="auto"/>
            <w:noWrap/>
            <w:vAlign w:val="bottom"/>
            <w:hideMark/>
          </w:tcPr>
          <w:p w14:paraId="670D9BC1" w14:textId="77777777" w:rsidR="0017331D" w:rsidRDefault="0017331D" w:rsidP="00BA5BA5">
            <w:pPr>
              <w:jc w:val="center"/>
              <w:rPr>
                <w:rFonts w:ascii="Arial" w:hAnsi="Arial" w:cs="Arial"/>
                <w:color w:val="000000"/>
              </w:rPr>
            </w:pPr>
            <w:r>
              <w:rPr>
                <w:rFonts w:ascii="Arial" w:hAnsi="Arial" w:cs="Arial"/>
                <w:color w:val="000000"/>
              </w:rPr>
              <w:t>3.4</w:t>
            </w:r>
          </w:p>
        </w:tc>
        <w:tc>
          <w:tcPr>
            <w:tcW w:w="666" w:type="dxa"/>
            <w:tcBorders>
              <w:top w:val="nil"/>
              <w:left w:val="nil"/>
              <w:bottom w:val="nil"/>
              <w:right w:val="nil"/>
            </w:tcBorders>
            <w:shd w:val="clear" w:color="auto" w:fill="auto"/>
            <w:noWrap/>
            <w:vAlign w:val="bottom"/>
            <w:hideMark/>
          </w:tcPr>
          <w:p w14:paraId="101D3C11" w14:textId="77777777" w:rsidR="0017331D" w:rsidRPr="0048399B" w:rsidRDefault="0017331D" w:rsidP="00BA5BA5">
            <w:pPr>
              <w:jc w:val="right"/>
              <w:rPr>
                <w:rFonts w:ascii="Arial" w:hAnsi="Arial" w:cs="Arial"/>
                <w:color w:val="000000"/>
                <w:lang w:val="es-MX" w:eastAsia="es-MX"/>
              </w:rPr>
            </w:pPr>
            <w:r w:rsidRPr="0048399B">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4C9622CE" w14:textId="77777777" w:rsidR="0017331D" w:rsidRDefault="0017331D" w:rsidP="00BA5BA5">
            <w:pPr>
              <w:jc w:val="center"/>
              <w:rPr>
                <w:rFonts w:ascii="Arial" w:hAnsi="Arial" w:cs="Arial"/>
                <w:color w:val="000000"/>
              </w:rPr>
            </w:pPr>
            <w:r>
              <w:rPr>
                <w:rFonts w:ascii="Arial" w:hAnsi="Arial" w:cs="Arial"/>
                <w:color w:val="000000"/>
              </w:rPr>
              <w:t>1.2</w:t>
            </w:r>
          </w:p>
        </w:tc>
        <w:tc>
          <w:tcPr>
            <w:tcW w:w="634" w:type="dxa"/>
            <w:tcBorders>
              <w:top w:val="nil"/>
              <w:left w:val="nil"/>
              <w:bottom w:val="nil"/>
              <w:right w:val="nil"/>
            </w:tcBorders>
            <w:shd w:val="clear" w:color="auto" w:fill="auto"/>
            <w:noWrap/>
            <w:vAlign w:val="bottom"/>
            <w:hideMark/>
          </w:tcPr>
          <w:p w14:paraId="36C20F61" w14:textId="77777777" w:rsidR="0017331D" w:rsidRPr="0048399B" w:rsidRDefault="0017331D" w:rsidP="00BA5BA5">
            <w:pPr>
              <w:jc w:val="right"/>
              <w:rPr>
                <w:rFonts w:ascii="Arial" w:hAnsi="Arial" w:cs="Arial"/>
                <w:color w:val="000000"/>
                <w:lang w:val="es-MX" w:eastAsia="es-MX"/>
              </w:rPr>
            </w:pPr>
          </w:p>
        </w:tc>
        <w:tc>
          <w:tcPr>
            <w:tcW w:w="814" w:type="dxa"/>
            <w:tcBorders>
              <w:top w:val="nil"/>
              <w:left w:val="nil"/>
              <w:bottom w:val="nil"/>
              <w:right w:val="single" w:sz="4" w:space="0" w:color="auto"/>
            </w:tcBorders>
            <w:shd w:val="clear" w:color="auto" w:fill="auto"/>
            <w:noWrap/>
            <w:vAlign w:val="bottom"/>
            <w:hideMark/>
          </w:tcPr>
          <w:p w14:paraId="4DD4CE36" w14:textId="77777777" w:rsidR="0017331D" w:rsidRDefault="0017331D" w:rsidP="00BA5BA5">
            <w:pPr>
              <w:jc w:val="center"/>
              <w:rPr>
                <w:rFonts w:ascii="Arial" w:hAnsi="Arial" w:cs="Arial"/>
                <w:color w:val="000000"/>
              </w:rPr>
            </w:pPr>
            <w:r>
              <w:rPr>
                <w:rFonts w:ascii="Arial" w:hAnsi="Arial" w:cs="Arial"/>
                <w:color w:val="000000"/>
              </w:rPr>
              <w:t>7.8</w:t>
            </w:r>
          </w:p>
        </w:tc>
        <w:tc>
          <w:tcPr>
            <w:tcW w:w="642" w:type="dxa"/>
            <w:tcBorders>
              <w:top w:val="nil"/>
              <w:left w:val="nil"/>
              <w:bottom w:val="nil"/>
              <w:right w:val="nil"/>
            </w:tcBorders>
            <w:shd w:val="clear" w:color="auto" w:fill="auto"/>
            <w:noWrap/>
            <w:vAlign w:val="bottom"/>
            <w:hideMark/>
          </w:tcPr>
          <w:p w14:paraId="77F7BC83" w14:textId="77777777" w:rsidR="0017331D" w:rsidRPr="0048399B" w:rsidRDefault="0017331D" w:rsidP="00BA5BA5">
            <w:pPr>
              <w:jc w:val="right"/>
              <w:rPr>
                <w:rFonts w:ascii="Arial" w:hAnsi="Arial" w:cs="Arial"/>
                <w:color w:val="000000"/>
                <w:lang w:val="es-MX" w:eastAsia="es-MX"/>
              </w:rPr>
            </w:pPr>
            <w:r w:rsidRPr="0048399B">
              <w:rPr>
                <w:rFonts w:ascii="Arial" w:hAnsi="Arial" w:cs="Arial"/>
                <w:color w:val="000000"/>
                <w:lang w:val="es-MX" w:eastAsia="es-MX"/>
              </w:rPr>
              <w:t> </w:t>
            </w:r>
          </w:p>
        </w:tc>
        <w:tc>
          <w:tcPr>
            <w:tcW w:w="703" w:type="dxa"/>
            <w:tcBorders>
              <w:top w:val="nil"/>
              <w:left w:val="nil"/>
              <w:bottom w:val="nil"/>
              <w:right w:val="single" w:sz="4" w:space="0" w:color="auto"/>
            </w:tcBorders>
            <w:shd w:val="clear" w:color="auto" w:fill="auto"/>
            <w:noWrap/>
            <w:vAlign w:val="bottom"/>
            <w:hideMark/>
          </w:tcPr>
          <w:p w14:paraId="7607F80E" w14:textId="77777777" w:rsidR="0017331D" w:rsidRDefault="0017331D" w:rsidP="00BA5BA5">
            <w:pPr>
              <w:rPr>
                <w:rFonts w:ascii="Arial" w:hAnsi="Arial" w:cs="Arial"/>
                <w:color w:val="000000"/>
              </w:rPr>
            </w:pPr>
            <w:r>
              <w:rPr>
                <w:rFonts w:ascii="Arial" w:hAnsi="Arial" w:cs="Arial"/>
                <w:color w:val="000000"/>
              </w:rPr>
              <w:t>1.3</w:t>
            </w:r>
          </w:p>
        </w:tc>
      </w:tr>
      <w:tr w:rsidR="0017331D" w:rsidRPr="00685B80" w14:paraId="35FE23A2" w14:textId="77777777" w:rsidTr="00BA5BA5">
        <w:trPr>
          <w:trHeight w:val="255"/>
        </w:trPr>
        <w:tc>
          <w:tcPr>
            <w:tcW w:w="3108" w:type="dxa"/>
            <w:tcBorders>
              <w:top w:val="nil"/>
              <w:left w:val="single" w:sz="4" w:space="0" w:color="auto"/>
              <w:bottom w:val="nil"/>
              <w:right w:val="nil"/>
            </w:tcBorders>
            <w:shd w:val="clear" w:color="auto" w:fill="auto"/>
            <w:noWrap/>
            <w:vAlign w:val="bottom"/>
            <w:hideMark/>
          </w:tcPr>
          <w:p w14:paraId="41C0CB5B" w14:textId="77777777" w:rsidR="0017331D" w:rsidRPr="00685B80" w:rsidRDefault="0017331D" w:rsidP="00BA5BA5">
            <w:pPr>
              <w:ind w:leftChars="100" w:left="202" w:hangingChars="1" w:hanging="2"/>
              <w:rPr>
                <w:rFonts w:ascii="Arial" w:hAnsi="Arial" w:cs="Arial"/>
                <w:color w:val="000000"/>
                <w:lang w:val="es-MX" w:eastAsia="es-MX"/>
              </w:rPr>
            </w:pPr>
            <w:r w:rsidRPr="00685B80">
              <w:rPr>
                <w:rFonts w:ascii="Arial" w:hAnsi="Arial" w:cs="Arial"/>
                <w:color w:val="000000"/>
                <w:lang w:val="es-MX" w:eastAsia="es-MX"/>
              </w:rPr>
              <w:t>Veracruz de Ignacio de la Llave</w:t>
            </w:r>
          </w:p>
        </w:tc>
        <w:tc>
          <w:tcPr>
            <w:tcW w:w="611" w:type="dxa"/>
            <w:tcBorders>
              <w:top w:val="nil"/>
              <w:left w:val="single" w:sz="4" w:space="0" w:color="auto"/>
              <w:bottom w:val="nil"/>
              <w:right w:val="nil"/>
            </w:tcBorders>
            <w:shd w:val="clear" w:color="auto" w:fill="auto"/>
            <w:noWrap/>
            <w:vAlign w:val="bottom"/>
            <w:hideMark/>
          </w:tcPr>
          <w:p w14:paraId="1C464438" w14:textId="77777777" w:rsidR="0017331D" w:rsidRPr="00685B80" w:rsidRDefault="0017331D" w:rsidP="00BA5BA5">
            <w:pPr>
              <w:jc w:val="right"/>
              <w:rPr>
                <w:rFonts w:ascii="Arial" w:hAnsi="Arial" w:cs="Arial"/>
                <w:color w:val="000000"/>
                <w:lang w:val="es-MX" w:eastAsia="es-MX"/>
              </w:rPr>
            </w:pPr>
            <w:r w:rsidRPr="00685B80">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4EB3C9DF" w14:textId="77777777" w:rsidR="0017331D" w:rsidRDefault="0017331D" w:rsidP="00BA5BA5">
            <w:pPr>
              <w:jc w:val="center"/>
              <w:rPr>
                <w:rFonts w:ascii="Arial" w:hAnsi="Arial" w:cs="Arial"/>
                <w:color w:val="000000"/>
              </w:rPr>
            </w:pPr>
            <w:r>
              <w:rPr>
                <w:rFonts w:ascii="Arial" w:hAnsi="Arial" w:cs="Arial"/>
                <w:color w:val="000000"/>
              </w:rPr>
              <w:t>2.3</w:t>
            </w:r>
          </w:p>
        </w:tc>
        <w:tc>
          <w:tcPr>
            <w:tcW w:w="666" w:type="dxa"/>
            <w:tcBorders>
              <w:top w:val="nil"/>
              <w:left w:val="nil"/>
              <w:bottom w:val="nil"/>
              <w:right w:val="nil"/>
            </w:tcBorders>
            <w:shd w:val="clear" w:color="auto" w:fill="auto"/>
            <w:noWrap/>
            <w:vAlign w:val="bottom"/>
            <w:hideMark/>
          </w:tcPr>
          <w:p w14:paraId="62544C52" w14:textId="77777777" w:rsidR="0017331D" w:rsidRPr="0048399B" w:rsidRDefault="0017331D" w:rsidP="00BA5BA5">
            <w:pPr>
              <w:jc w:val="right"/>
              <w:rPr>
                <w:rFonts w:ascii="Arial" w:hAnsi="Arial" w:cs="Arial"/>
                <w:color w:val="000000"/>
                <w:lang w:val="es-MX" w:eastAsia="es-MX"/>
              </w:rPr>
            </w:pPr>
          </w:p>
        </w:tc>
        <w:tc>
          <w:tcPr>
            <w:tcW w:w="814" w:type="dxa"/>
            <w:tcBorders>
              <w:top w:val="nil"/>
              <w:left w:val="nil"/>
              <w:bottom w:val="nil"/>
              <w:right w:val="single" w:sz="4" w:space="0" w:color="auto"/>
            </w:tcBorders>
            <w:shd w:val="clear" w:color="auto" w:fill="auto"/>
            <w:noWrap/>
            <w:vAlign w:val="bottom"/>
            <w:hideMark/>
          </w:tcPr>
          <w:p w14:paraId="5700DD99" w14:textId="77777777" w:rsidR="0017331D" w:rsidRDefault="0017331D" w:rsidP="00BA5BA5">
            <w:pPr>
              <w:jc w:val="center"/>
              <w:rPr>
                <w:rFonts w:ascii="Arial" w:hAnsi="Arial" w:cs="Arial"/>
                <w:color w:val="000000"/>
              </w:rPr>
            </w:pPr>
            <w:r>
              <w:rPr>
                <w:rFonts w:ascii="Arial" w:hAnsi="Arial" w:cs="Arial"/>
                <w:color w:val="000000"/>
              </w:rPr>
              <w:t>3.2</w:t>
            </w:r>
          </w:p>
        </w:tc>
        <w:tc>
          <w:tcPr>
            <w:tcW w:w="634" w:type="dxa"/>
            <w:tcBorders>
              <w:top w:val="nil"/>
              <w:left w:val="nil"/>
              <w:bottom w:val="nil"/>
              <w:right w:val="nil"/>
            </w:tcBorders>
            <w:shd w:val="clear" w:color="auto" w:fill="auto"/>
            <w:noWrap/>
            <w:vAlign w:val="bottom"/>
            <w:hideMark/>
          </w:tcPr>
          <w:p w14:paraId="5742216E" w14:textId="77777777" w:rsidR="0017331D" w:rsidRPr="0048399B" w:rsidRDefault="0017331D" w:rsidP="00BA5BA5">
            <w:pPr>
              <w:jc w:val="right"/>
              <w:rPr>
                <w:rFonts w:ascii="Arial" w:hAnsi="Arial" w:cs="Arial"/>
                <w:color w:val="000000"/>
                <w:lang w:val="es-MX" w:eastAsia="es-MX"/>
              </w:rPr>
            </w:pPr>
            <w:r w:rsidRPr="0048399B">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1F09538D" w14:textId="77777777" w:rsidR="0017331D" w:rsidRDefault="0017331D" w:rsidP="00BA5BA5">
            <w:pPr>
              <w:jc w:val="center"/>
              <w:rPr>
                <w:rFonts w:ascii="Arial" w:hAnsi="Arial" w:cs="Arial"/>
                <w:color w:val="000000"/>
              </w:rPr>
            </w:pPr>
            <w:r>
              <w:rPr>
                <w:rFonts w:ascii="Arial" w:hAnsi="Arial" w:cs="Arial"/>
                <w:color w:val="000000"/>
              </w:rPr>
              <w:t>3.4</w:t>
            </w:r>
          </w:p>
        </w:tc>
        <w:tc>
          <w:tcPr>
            <w:tcW w:w="642" w:type="dxa"/>
            <w:tcBorders>
              <w:top w:val="nil"/>
              <w:left w:val="nil"/>
              <w:bottom w:val="nil"/>
              <w:right w:val="nil"/>
            </w:tcBorders>
            <w:shd w:val="clear" w:color="auto" w:fill="auto"/>
            <w:noWrap/>
            <w:vAlign w:val="bottom"/>
            <w:hideMark/>
          </w:tcPr>
          <w:p w14:paraId="43D712DA" w14:textId="77777777" w:rsidR="0017331D" w:rsidRPr="0048399B" w:rsidRDefault="0017331D" w:rsidP="00BA5BA5">
            <w:pPr>
              <w:jc w:val="right"/>
              <w:rPr>
                <w:rFonts w:ascii="Arial" w:hAnsi="Arial" w:cs="Arial"/>
                <w:color w:val="000000"/>
                <w:lang w:val="es-MX" w:eastAsia="es-MX"/>
              </w:rPr>
            </w:pPr>
            <w:r w:rsidRPr="0048399B">
              <w:rPr>
                <w:rFonts w:ascii="Arial" w:hAnsi="Arial" w:cs="Arial"/>
                <w:color w:val="000000"/>
                <w:lang w:val="es-MX" w:eastAsia="es-MX"/>
              </w:rPr>
              <w:t> </w:t>
            </w:r>
          </w:p>
        </w:tc>
        <w:tc>
          <w:tcPr>
            <w:tcW w:w="703" w:type="dxa"/>
            <w:tcBorders>
              <w:top w:val="nil"/>
              <w:left w:val="nil"/>
              <w:bottom w:val="nil"/>
              <w:right w:val="single" w:sz="4" w:space="0" w:color="auto"/>
            </w:tcBorders>
            <w:shd w:val="clear" w:color="auto" w:fill="auto"/>
            <w:noWrap/>
            <w:vAlign w:val="bottom"/>
            <w:hideMark/>
          </w:tcPr>
          <w:p w14:paraId="2CFB0BBD" w14:textId="77777777" w:rsidR="0017331D" w:rsidRDefault="0017331D" w:rsidP="00BA5BA5">
            <w:pPr>
              <w:rPr>
                <w:rFonts w:ascii="Arial" w:hAnsi="Arial" w:cs="Arial"/>
                <w:color w:val="000000"/>
              </w:rPr>
            </w:pPr>
            <w:r>
              <w:rPr>
                <w:rFonts w:ascii="Arial" w:hAnsi="Arial" w:cs="Arial"/>
                <w:color w:val="000000"/>
              </w:rPr>
              <w:t>1.6</w:t>
            </w:r>
          </w:p>
        </w:tc>
      </w:tr>
      <w:tr w:rsidR="0017331D" w:rsidRPr="00685B80" w14:paraId="1C8B7DE0" w14:textId="77777777" w:rsidTr="00BA5BA5">
        <w:trPr>
          <w:trHeight w:val="255"/>
        </w:trPr>
        <w:tc>
          <w:tcPr>
            <w:tcW w:w="3108" w:type="dxa"/>
            <w:tcBorders>
              <w:top w:val="nil"/>
              <w:left w:val="single" w:sz="4" w:space="0" w:color="auto"/>
              <w:bottom w:val="nil"/>
              <w:right w:val="nil"/>
            </w:tcBorders>
            <w:shd w:val="clear" w:color="auto" w:fill="auto"/>
            <w:noWrap/>
            <w:vAlign w:val="bottom"/>
            <w:hideMark/>
          </w:tcPr>
          <w:p w14:paraId="71A9CCC0" w14:textId="77777777" w:rsidR="0017331D" w:rsidRPr="00685B80" w:rsidRDefault="0017331D" w:rsidP="00BA5BA5">
            <w:pPr>
              <w:ind w:firstLineChars="100" w:firstLine="200"/>
              <w:rPr>
                <w:rFonts w:ascii="Arial" w:hAnsi="Arial" w:cs="Arial"/>
                <w:color w:val="000000"/>
                <w:lang w:val="es-MX" w:eastAsia="es-MX"/>
              </w:rPr>
            </w:pPr>
            <w:r w:rsidRPr="00685B80">
              <w:rPr>
                <w:rFonts w:ascii="Arial" w:hAnsi="Arial" w:cs="Arial"/>
                <w:color w:val="000000"/>
                <w:lang w:val="es-MX" w:eastAsia="es-MX"/>
              </w:rPr>
              <w:t>Yucatán</w:t>
            </w:r>
          </w:p>
        </w:tc>
        <w:tc>
          <w:tcPr>
            <w:tcW w:w="611" w:type="dxa"/>
            <w:tcBorders>
              <w:top w:val="nil"/>
              <w:left w:val="single" w:sz="4" w:space="0" w:color="auto"/>
              <w:bottom w:val="nil"/>
              <w:right w:val="nil"/>
            </w:tcBorders>
            <w:shd w:val="clear" w:color="auto" w:fill="auto"/>
            <w:noWrap/>
            <w:vAlign w:val="bottom"/>
            <w:hideMark/>
          </w:tcPr>
          <w:p w14:paraId="1A20C5DB" w14:textId="77777777" w:rsidR="0017331D" w:rsidRPr="00685B80" w:rsidRDefault="0017331D" w:rsidP="00BA5BA5">
            <w:pPr>
              <w:jc w:val="right"/>
              <w:rPr>
                <w:rFonts w:ascii="Arial" w:hAnsi="Arial" w:cs="Arial"/>
                <w:color w:val="000000"/>
                <w:lang w:val="es-MX" w:eastAsia="es-MX"/>
              </w:rPr>
            </w:pPr>
          </w:p>
        </w:tc>
        <w:tc>
          <w:tcPr>
            <w:tcW w:w="814" w:type="dxa"/>
            <w:tcBorders>
              <w:top w:val="nil"/>
              <w:left w:val="nil"/>
              <w:bottom w:val="nil"/>
              <w:right w:val="single" w:sz="4" w:space="0" w:color="auto"/>
            </w:tcBorders>
            <w:shd w:val="clear" w:color="auto" w:fill="auto"/>
            <w:noWrap/>
            <w:vAlign w:val="bottom"/>
            <w:hideMark/>
          </w:tcPr>
          <w:p w14:paraId="76532FCF" w14:textId="77777777" w:rsidR="0017331D" w:rsidRDefault="0017331D" w:rsidP="00BA5BA5">
            <w:pPr>
              <w:jc w:val="center"/>
              <w:rPr>
                <w:rFonts w:ascii="Arial" w:hAnsi="Arial" w:cs="Arial"/>
                <w:color w:val="000000"/>
              </w:rPr>
            </w:pPr>
            <w:r>
              <w:rPr>
                <w:rFonts w:ascii="Arial" w:hAnsi="Arial" w:cs="Arial"/>
                <w:color w:val="000000"/>
              </w:rPr>
              <w:t>3.2</w:t>
            </w:r>
          </w:p>
        </w:tc>
        <w:tc>
          <w:tcPr>
            <w:tcW w:w="666" w:type="dxa"/>
            <w:tcBorders>
              <w:top w:val="nil"/>
              <w:left w:val="nil"/>
              <w:bottom w:val="nil"/>
              <w:right w:val="nil"/>
            </w:tcBorders>
            <w:shd w:val="clear" w:color="auto" w:fill="auto"/>
            <w:noWrap/>
            <w:vAlign w:val="bottom"/>
            <w:hideMark/>
          </w:tcPr>
          <w:p w14:paraId="705DFC73" w14:textId="77777777" w:rsidR="0017331D" w:rsidRPr="0048399B" w:rsidRDefault="0017331D" w:rsidP="00BA5BA5">
            <w:pPr>
              <w:jc w:val="right"/>
              <w:rPr>
                <w:rFonts w:ascii="Arial" w:hAnsi="Arial" w:cs="Arial"/>
                <w:color w:val="000000"/>
                <w:lang w:val="es-MX" w:eastAsia="es-MX"/>
              </w:rPr>
            </w:pPr>
          </w:p>
        </w:tc>
        <w:tc>
          <w:tcPr>
            <w:tcW w:w="814" w:type="dxa"/>
            <w:tcBorders>
              <w:top w:val="nil"/>
              <w:left w:val="nil"/>
              <w:bottom w:val="nil"/>
              <w:right w:val="single" w:sz="4" w:space="0" w:color="auto"/>
            </w:tcBorders>
            <w:shd w:val="clear" w:color="auto" w:fill="auto"/>
            <w:noWrap/>
            <w:vAlign w:val="bottom"/>
            <w:hideMark/>
          </w:tcPr>
          <w:p w14:paraId="60AAC97A" w14:textId="77777777" w:rsidR="0017331D" w:rsidRDefault="0017331D" w:rsidP="00BA5BA5">
            <w:pPr>
              <w:jc w:val="center"/>
              <w:rPr>
                <w:rFonts w:ascii="Arial" w:hAnsi="Arial" w:cs="Arial"/>
                <w:color w:val="000000"/>
              </w:rPr>
            </w:pPr>
            <w:r>
              <w:rPr>
                <w:rFonts w:ascii="Arial" w:hAnsi="Arial" w:cs="Arial"/>
                <w:color w:val="000000"/>
              </w:rPr>
              <w:t>5.3</w:t>
            </w:r>
          </w:p>
        </w:tc>
        <w:tc>
          <w:tcPr>
            <w:tcW w:w="634" w:type="dxa"/>
            <w:tcBorders>
              <w:top w:val="nil"/>
              <w:left w:val="nil"/>
              <w:bottom w:val="nil"/>
              <w:right w:val="nil"/>
            </w:tcBorders>
            <w:shd w:val="clear" w:color="auto" w:fill="auto"/>
            <w:noWrap/>
            <w:vAlign w:val="bottom"/>
            <w:hideMark/>
          </w:tcPr>
          <w:p w14:paraId="13003759" w14:textId="77777777" w:rsidR="0017331D" w:rsidRPr="0048399B" w:rsidRDefault="0017331D" w:rsidP="00BA5BA5">
            <w:pPr>
              <w:jc w:val="right"/>
              <w:rPr>
                <w:rFonts w:ascii="Arial" w:hAnsi="Arial" w:cs="Arial"/>
                <w:color w:val="000000"/>
                <w:lang w:val="es-MX" w:eastAsia="es-MX"/>
              </w:rPr>
            </w:pPr>
          </w:p>
        </w:tc>
        <w:tc>
          <w:tcPr>
            <w:tcW w:w="814" w:type="dxa"/>
            <w:tcBorders>
              <w:top w:val="nil"/>
              <w:left w:val="nil"/>
              <w:bottom w:val="nil"/>
              <w:right w:val="single" w:sz="4" w:space="0" w:color="auto"/>
            </w:tcBorders>
            <w:shd w:val="clear" w:color="auto" w:fill="auto"/>
            <w:noWrap/>
            <w:vAlign w:val="bottom"/>
            <w:hideMark/>
          </w:tcPr>
          <w:p w14:paraId="0A5805A3" w14:textId="77777777" w:rsidR="0017331D" w:rsidRDefault="0017331D" w:rsidP="00BA5BA5">
            <w:pPr>
              <w:jc w:val="center"/>
              <w:rPr>
                <w:rFonts w:ascii="Arial" w:hAnsi="Arial" w:cs="Arial"/>
                <w:color w:val="000000"/>
              </w:rPr>
            </w:pPr>
            <w:r>
              <w:rPr>
                <w:rFonts w:ascii="Arial" w:hAnsi="Arial" w:cs="Arial"/>
                <w:color w:val="000000"/>
              </w:rPr>
              <w:t>1.4</w:t>
            </w:r>
          </w:p>
        </w:tc>
        <w:tc>
          <w:tcPr>
            <w:tcW w:w="642" w:type="dxa"/>
            <w:tcBorders>
              <w:top w:val="nil"/>
              <w:left w:val="nil"/>
              <w:bottom w:val="nil"/>
              <w:right w:val="nil"/>
            </w:tcBorders>
            <w:shd w:val="clear" w:color="auto" w:fill="auto"/>
            <w:noWrap/>
            <w:vAlign w:val="bottom"/>
            <w:hideMark/>
          </w:tcPr>
          <w:p w14:paraId="6DDCE972" w14:textId="77777777" w:rsidR="0017331D" w:rsidRPr="0048399B" w:rsidRDefault="0017331D" w:rsidP="00BA5BA5">
            <w:pPr>
              <w:jc w:val="right"/>
              <w:rPr>
                <w:rFonts w:ascii="Arial" w:hAnsi="Arial" w:cs="Arial"/>
                <w:color w:val="000000"/>
                <w:lang w:val="es-MX" w:eastAsia="es-MX"/>
              </w:rPr>
            </w:pPr>
            <w:r w:rsidRPr="0048399B">
              <w:rPr>
                <w:rFonts w:ascii="Arial" w:hAnsi="Arial" w:cs="Arial"/>
                <w:color w:val="000000"/>
                <w:lang w:val="es-MX" w:eastAsia="es-MX"/>
              </w:rPr>
              <w:t> </w:t>
            </w:r>
          </w:p>
        </w:tc>
        <w:tc>
          <w:tcPr>
            <w:tcW w:w="703" w:type="dxa"/>
            <w:tcBorders>
              <w:top w:val="nil"/>
              <w:left w:val="nil"/>
              <w:bottom w:val="nil"/>
              <w:right w:val="single" w:sz="4" w:space="0" w:color="auto"/>
            </w:tcBorders>
            <w:shd w:val="clear" w:color="auto" w:fill="auto"/>
            <w:noWrap/>
            <w:vAlign w:val="bottom"/>
            <w:hideMark/>
          </w:tcPr>
          <w:p w14:paraId="4EF4B333" w14:textId="77777777" w:rsidR="0017331D" w:rsidRDefault="0017331D" w:rsidP="00BA5BA5">
            <w:pPr>
              <w:rPr>
                <w:rFonts w:ascii="Arial" w:hAnsi="Arial" w:cs="Arial"/>
                <w:color w:val="000000"/>
              </w:rPr>
            </w:pPr>
            <w:r>
              <w:rPr>
                <w:rFonts w:ascii="Arial" w:hAnsi="Arial" w:cs="Arial"/>
                <w:color w:val="000000"/>
              </w:rPr>
              <w:t>3.8</w:t>
            </w:r>
          </w:p>
        </w:tc>
      </w:tr>
      <w:tr w:rsidR="0017331D" w:rsidRPr="00685B80" w14:paraId="507BC0FB" w14:textId="77777777" w:rsidTr="00BA5BA5">
        <w:trPr>
          <w:trHeight w:val="255"/>
        </w:trPr>
        <w:tc>
          <w:tcPr>
            <w:tcW w:w="3108" w:type="dxa"/>
            <w:tcBorders>
              <w:top w:val="nil"/>
              <w:left w:val="single" w:sz="4" w:space="0" w:color="auto"/>
              <w:bottom w:val="single" w:sz="4" w:space="0" w:color="auto"/>
              <w:right w:val="nil"/>
            </w:tcBorders>
            <w:shd w:val="clear" w:color="auto" w:fill="auto"/>
            <w:noWrap/>
            <w:vAlign w:val="bottom"/>
            <w:hideMark/>
          </w:tcPr>
          <w:p w14:paraId="2E68C5C1" w14:textId="77777777" w:rsidR="0017331D" w:rsidRPr="00685B80" w:rsidRDefault="0017331D" w:rsidP="00BA5BA5">
            <w:pPr>
              <w:ind w:firstLineChars="100" w:firstLine="200"/>
              <w:rPr>
                <w:rFonts w:ascii="Arial" w:hAnsi="Arial" w:cs="Arial"/>
                <w:color w:val="000000"/>
                <w:lang w:val="es-MX" w:eastAsia="es-MX"/>
              </w:rPr>
            </w:pPr>
            <w:r w:rsidRPr="00685B80">
              <w:rPr>
                <w:rFonts w:ascii="Arial" w:hAnsi="Arial" w:cs="Arial"/>
                <w:color w:val="000000"/>
                <w:lang w:val="es-MX" w:eastAsia="es-MX"/>
              </w:rPr>
              <w:t>Zacatecas</w:t>
            </w:r>
          </w:p>
        </w:tc>
        <w:tc>
          <w:tcPr>
            <w:tcW w:w="611" w:type="dxa"/>
            <w:tcBorders>
              <w:top w:val="nil"/>
              <w:left w:val="single" w:sz="4" w:space="0" w:color="auto"/>
              <w:bottom w:val="single" w:sz="4" w:space="0" w:color="auto"/>
              <w:right w:val="nil"/>
            </w:tcBorders>
            <w:shd w:val="clear" w:color="auto" w:fill="auto"/>
            <w:noWrap/>
            <w:vAlign w:val="bottom"/>
            <w:hideMark/>
          </w:tcPr>
          <w:p w14:paraId="04774C9E" w14:textId="77777777" w:rsidR="0017331D" w:rsidRPr="00685B80" w:rsidRDefault="0017331D" w:rsidP="00BA5BA5">
            <w:pPr>
              <w:jc w:val="right"/>
              <w:rPr>
                <w:rFonts w:ascii="Arial" w:hAnsi="Arial" w:cs="Arial"/>
                <w:color w:val="000000"/>
                <w:lang w:val="es-MX" w:eastAsia="es-MX"/>
              </w:rPr>
            </w:pPr>
            <w:r w:rsidRPr="0048399B">
              <w:rPr>
                <w:rFonts w:ascii="Arial" w:hAnsi="Arial" w:cs="Arial"/>
                <w:color w:val="000000"/>
                <w:lang w:val="es-MX" w:eastAsia="es-MX"/>
              </w:rPr>
              <w:t>(-)</w:t>
            </w:r>
          </w:p>
        </w:tc>
        <w:tc>
          <w:tcPr>
            <w:tcW w:w="814" w:type="dxa"/>
            <w:tcBorders>
              <w:top w:val="nil"/>
              <w:left w:val="nil"/>
              <w:bottom w:val="single" w:sz="4" w:space="0" w:color="auto"/>
              <w:right w:val="single" w:sz="4" w:space="0" w:color="auto"/>
            </w:tcBorders>
            <w:shd w:val="clear" w:color="auto" w:fill="auto"/>
            <w:noWrap/>
            <w:vAlign w:val="bottom"/>
            <w:hideMark/>
          </w:tcPr>
          <w:p w14:paraId="6FC2F228" w14:textId="77777777" w:rsidR="0017331D" w:rsidRDefault="0017331D" w:rsidP="00BA5BA5">
            <w:pPr>
              <w:jc w:val="center"/>
              <w:rPr>
                <w:rFonts w:ascii="Arial" w:hAnsi="Arial" w:cs="Arial"/>
                <w:color w:val="000000"/>
              </w:rPr>
            </w:pPr>
            <w:r>
              <w:rPr>
                <w:rFonts w:ascii="Arial" w:hAnsi="Arial" w:cs="Arial"/>
                <w:color w:val="000000"/>
              </w:rPr>
              <w:t>0.1</w:t>
            </w:r>
          </w:p>
        </w:tc>
        <w:tc>
          <w:tcPr>
            <w:tcW w:w="666" w:type="dxa"/>
            <w:tcBorders>
              <w:top w:val="nil"/>
              <w:left w:val="nil"/>
              <w:bottom w:val="single" w:sz="4" w:space="0" w:color="auto"/>
              <w:right w:val="nil"/>
            </w:tcBorders>
            <w:shd w:val="clear" w:color="auto" w:fill="auto"/>
            <w:noWrap/>
            <w:vAlign w:val="bottom"/>
            <w:hideMark/>
          </w:tcPr>
          <w:p w14:paraId="24D0E18B" w14:textId="77777777" w:rsidR="0017331D" w:rsidRPr="0048399B" w:rsidRDefault="0017331D" w:rsidP="00BA5BA5">
            <w:pPr>
              <w:jc w:val="right"/>
              <w:rPr>
                <w:rFonts w:ascii="Arial" w:hAnsi="Arial" w:cs="Arial"/>
                <w:color w:val="000000"/>
                <w:lang w:val="es-MX" w:eastAsia="es-MX"/>
              </w:rPr>
            </w:pPr>
          </w:p>
        </w:tc>
        <w:tc>
          <w:tcPr>
            <w:tcW w:w="814" w:type="dxa"/>
            <w:tcBorders>
              <w:top w:val="nil"/>
              <w:left w:val="nil"/>
              <w:bottom w:val="single" w:sz="4" w:space="0" w:color="auto"/>
              <w:right w:val="single" w:sz="4" w:space="0" w:color="auto"/>
            </w:tcBorders>
            <w:shd w:val="clear" w:color="auto" w:fill="auto"/>
            <w:noWrap/>
            <w:vAlign w:val="bottom"/>
            <w:hideMark/>
          </w:tcPr>
          <w:p w14:paraId="7C695275" w14:textId="77777777" w:rsidR="0017331D" w:rsidRDefault="0017331D" w:rsidP="00BA5BA5">
            <w:pPr>
              <w:jc w:val="center"/>
              <w:rPr>
                <w:rFonts w:ascii="Arial" w:hAnsi="Arial" w:cs="Arial"/>
                <w:color w:val="000000"/>
              </w:rPr>
            </w:pPr>
            <w:r>
              <w:rPr>
                <w:rFonts w:ascii="Arial" w:hAnsi="Arial" w:cs="Arial"/>
                <w:color w:val="000000"/>
              </w:rPr>
              <w:t>3.2</w:t>
            </w:r>
          </w:p>
        </w:tc>
        <w:tc>
          <w:tcPr>
            <w:tcW w:w="634" w:type="dxa"/>
            <w:tcBorders>
              <w:top w:val="nil"/>
              <w:left w:val="nil"/>
              <w:bottom w:val="single" w:sz="4" w:space="0" w:color="auto"/>
              <w:right w:val="nil"/>
            </w:tcBorders>
            <w:shd w:val="clear" w:color="auto" w:fill="auto"/>
            <w:noWrap/>
            <w:vAlign w:val="bottom"/>
            <w:hideMark/>
          </w:tcPr>
          <w:p w14:paraId="6F8D3ED9" w14:textId="77777777" w:rsidR="0017331D" w:rsidRPr="0048399B" w:rsidRDefault="0017331D" w:rsidP="00BA5BA5">
            <w:pPr>
              <w:jc w:val="right"/>
              <w:rPr>
                <w:rFonts w:ascii="Arial" w:hAnsi="Arial" w:cs="Arial"/>
                <w:color w:val="000000"/>
                <w:lang w:val="es-MX" w:eastAsia="es-MX"/>
              </w:rPr>
            </w:pPr>
            <w:r w:rsidRPr="0048399B">
              <w:rPr>
                <w:rFonts w:ascii="Arial" w:hAnsi="Arial" w:cs="Arial"/>
                <w:color w:val="000000"/>
                <w:lang w:val="es-MX" w:eastAsia="es-MX"/>
              </w:rPr>
              <w:t>(-)</w:t>
            </w:r>
          </w:p>
        </w:tc>
        <w:tc>
          <w:tcPr>
            <w:tcW w:w="814" w:type="dxa"/>
            <w:tcBorders>
              <w:top w:val="nil"/>
              <w:left w:val="nil"/>
              <w:bottom w:val="single" w:sz="4" w:space="0" w:color="auto"/>
              <w:right w:val="single" w:sz="4" w:space="0" w:color="auto"/>
            </w:tcBorders>
            <w:shd w:val="clear" w:color="auto" w:fill="auto"/>
            <w:noWrap/>
            <w:vAlign w:val="bottom"/>
            <w:hideMark/>
          </w:tcPr>
          <w:p w14:paraId="18B0FDDA" w14:textId="77777777" w:rsidR="0017331D" w:rsidRDefault="0017331D" w:rsidP="00BA5BA5">
            <w:pPr>
              <w:jc w:val="center"/>
              <w:rPr>
                <w:rFonts w:ascii="Arial" w:hAnsi="Arial" w:cs="Arial"/>
                <w:color w:val="000000"/>
              </w:rPr>
            </w:pPr>
            <w:r>
              <w:rPr>
                <w:rFonts w:ascii="Arial" w:hAnsi="Arial" w:cs="Arial"/>
                <w:color w:val="000000"/>
              </w:rPr>
              <w:t>2.2</w:t>
            </w:r>
          </w:p>
        </w:tc>
        <w:tc>
          <w:tcPr>
            <w:tcW w:w="642" w:type="dxa"/>
            <w:tcBorders>
              <w:top w:val="nil"/>
              <w:left w:val="nil"/>
              <w:bottom w:val="single" w:sz="4" w:space="0" w:color="auto"/>
              <w:right w:val="nil"/>
            </w:tcBorders>
            <w:shd w:val="clear" w:color="auto" w:fill="auto"/>
            <w:noWrap/>
            <w:vAlign w:val="bottom"/>
            <w:hideMark/>
          </w:tcPr>
          <w:p w14:paraId="590740C7" w14:textId="77777777" w:rsidR="0017331D" w:rsidRPr="0048399B" w:rsidRDefault="0017331D" w:rsidP="00BA5BA5">
            <w:pPr>
              <w:jc w:val="right"/>
              <w:rPr>
                <w:rFonts w:ascii="Arial" w:hAnsi="Arial" w:cs="Arial"/>
                <w:color w:val="000000"/>
                <w:lang w:val="es-MX" w:eastAsia="es-MX"/>
              </w:rPr>
            </w:pPr>
          </w:p>
        </w:tc>
        <w:tc>
          <w:tcPr>
            <w:tcW w:w="703" w:type="dxa"/>
            <w:tcBorders>
              <w:top w:val="nil"/>
              <w:left w:val="nil"/>
              <w:bottom w:val="single" w:sz="4" w:space="0" w:color="auto"/>
              <w:right w:val="single" w:sz="4" w:space="0" w:color="auto"/>
            </w:tcBorders>
            <w:shd w:val="clear" w:color="auto" w:fill="auto"/>
            <w:noWrap/>
            <w:vAlign w:val="bottom"/>
            <w:hideMark/>
          </w:tcPr>
          <w:p w14:paraId="064CEF0F" w14:textId="77777777" w:rsidR="0017331D" w:rsidRDefault="0017331D" w:rsidP="00BA5BA5">
            <w:pPr>
              <w:rPr>
                <w:rFonts w:ascii="Arial" w:hAnsi="Arial" w:cs="Arial"/>
                <w:color w:val="000000"/>
              </w:rPr>
            </w:pPr>
            <w:r>
              <w:rPr>
                <w:rFonts w:ascii="Arial" w:hAnsi="Arial" w:cs="Arial"/>
                <w:color w:val="000000"/>
              </w:rPr>
              <w:t>0.6</w:t>
            </w:r>
          </w:p>
        </w:tc>
      </w:tr>
    </w:tbl>
    <w:p w14:paraId="36A72F4E" w14:textId="77777777" w:rsidR="0017331D" w:rsidRDefault="0017331D" w:rsidP="0017331D">
      <w:pPr>
        <w:pStyle w:val="Textoindependiente2"/>
        <w:spacing w:before="0"/>
        <w:ind w:left="142"/>
        <w:rPr>
          <w:rFonts w:cs="Arial"/>
          <w:sz w:val="16"/>
          <w:szCs w:val="16"/>
        </w:rPr>
      </w:pPr>
      <w:r w:rsidRPr="00706D76">
        <w:rPr>
          <w:rFonts w:cs="Arial"/>
          <w:sz w:val="16"/>
          <w:szCs w:val="16"/>
        </w:rPr>
        <w:t>Fuente: INEGI.</w:t>
      </w:r>
    </w:p>
    <w:p w14:paraId="46CEA02C" w14:textId="77777777" w:rsidR="0017331D" w:rsidRDefault="0017331D" w:rsidP="0017331D">
      <w:pPr>
        <w:pStyle w:val="n01"/>
        <w:keepLines w:val="0"/>
        <w:spacing w:before="0" w:line="20" w:lineRule="atLeast"/>
        <w:ind w:left="851" w:right="900" w:firstLine="0"/>
        <w:jc w:val="center"/>
        <w:outlineLvl w:val="0"/>
        <w:rPr>
          <w:rFonts w:ascii="Arial" w:hAnsi="Arial" w:cs="Arial"/>
          <w:b/>
          <w:smallCaps/>
          <w:color w:val="auto"/>
          <w:spacing w:val="-6"/>
          <w:szCs w:val="24"/>
        </w:rPr>
      </w:pPr>
    </w:p>
    <w:p w14:paraId="7FE393D8" w14:textId="77777777" w:rsidR="0017331D" w:rsidRDefault="0017331D" w:rsidP="0017331D">
      <w:pPr>
        <w:pStyle w:val="Estilo3"/>
        <w:spacing w:before="240"/>
        <w:rPr>
          <w:rFonts w:cs="Arial"/>
        </w:rPr>
      </w:pPr>
    </w:p>
    <w:p w14:paraId="58ABB9D5" w14:textId="77777777" w:rsidR="0017331D" w:rsidRDefault="0017331D" w:rsidP="0017331D">
      <w:pPr>
        <w:pStyle w:val="n01"/>
        <w:keepLines w:val="0"/>
        <w:spacing w:before="0" w:line="20" w:lineRule="atLeast"/>
        <w:ind w:left="851" w:right="900" w:firstLine="0"/>
        <w:jc w:val="center"/>
        <w:outlineLvl w:val="0"/>
        <w:rPr>
          <w:rFonts w:ascii="Arial" w:hAnsi="Arial" w:cs="Arial"/>
          <w:b/>
          <w:smallCaps/>
          <w:color w:val="auto"/>
          <w:spacing w:val="-6"/>
          <w:szCs w:val="24"/>
        </w:rPr>
      </w:pPr>
    </w:p>
    <w:p w14:paraId="4F04FDAA" w14:textId="77777777" w:rsidR="0017331D" w:rsidRDefault="0017331D" w:rsidP="0017331D">
      <w:pPr>
        <w:pStyle w:val="n01"/>
        <w:keepLines w:val="0"/>
        <w:spacing w:before="0" w:line="20" w:lineRule="atLeast"/>
        <w:ind w:left="851" w:right="900" w:firstLine="0"/>
        <w:jc w:val="center"/>
        <w:outlineLvl w:val="0"/>
        <w:rPr>
          <w:rFonts w:ascii="Arial" w:hAnsi="Arial" w:cs="Arial"/>
          <w:b/>
          <w:smallCaps/>
          <w:color w:val="auto"/>
          <w:spacing w:val="-6"/>
          <w:szCs w:val="24"/>
        </w:rPr>
      </w:pPr>
    </w:p>
    <w:p w14:paraId="0D844212" w14:textId="77777777" w:rsidR="0017331D" w:rsidRDefault="0017331D" w:rsidP="0017331D">
      <w:pPr>
        <w:spacing w:before="160"/>
        <w:rPr>
          <w:lang w:val="es-MX"/>
        </w:rPr>
      </w:pPr>
    </w:p>
    <w:p w14:paraId="77259903" w14:textId="77777777" w:rsidR="002C1035" w:rsidRDefault="002C1035" w:rsidP="00BA5BA5">
      <w:pPr>
        <w:spacing w:before="120"/>
        <w:ind w:right="-121"/>
        <w:jc w:val="both"/>
        <w:rPr>
          <w:rFonts w:ascii="Arial" w:hAnsi="Arial"/>
          <w:sz w:val="24"/>
          <w:szCs w:val="24"/>
          <w:lang w:val="es-MX"/>
        </w:rPr>
      </w:pPr>
    </w:p>
    <w:p w14:paraId="628A0DE9" w14:textId="77777777" w:rsidR="002C1035" w:rsidRDefault="002C1035" w:rsidP="00BA5BA5">
      <w:pPr>
        <w:spacing w:before="120"/>
        <w:ind w:right="-121"/>
        <w:jc w:val="both"/>
        <w:rPr>
          <w:rFonts w:ascii="Arial" w:hAnsi="Arial"/>
          <w:sz w:val="24"/>
          <w:szCs w:val="24"/>
          <w:lang w:val="es-MX"/>
        </w:rPr>
      </w:pPr>
    </w:p>
    <w:p w14:paraId="7482DBF5" w14:textId="786C01B2" w:rsidR="00BA5BA5" w:rsidRPr="002C1035" w:rsidRDefault="00BA5BA5" w:rsidP="00504D5B">
      <w:pPr>
        <w:ind w:right="-121"/>
        <w:jc w:val="both"/>
        <w:rPr>
          <w:rFonts w:ascii="Arial" w:hAnsi="Arial"/>
          <w:sz w:val="24"/>
          <w:szCs w:val="24"/>
          <w:lang w:val="es-MX"/>
        </w:rPr>
      </w:pPr>
      <w:r w:rsidRPr="002C1035">
        <w:rPr>
          <w:rFonts w:ascii="Arial" w:hAnsi="Arial"/>
          <w:sz w:val="24"/>
          <w:szCs w:val="24"/>
          <w:lang w:val="es-MX"/>
        </w:rPr>
        <w:t>En el año de referencia, los estados que reportaron el mayor crecimiento anual en su PIB en términos reales fueron Baja California Sur con una tasa de 17.2%, Quintana Roo 5.1%, Oaxaca 4.7%, San Luis Potosí 4.2%, Nuevo León 3.6%, Tlaxcala y Aguascalientes con 3.4% en cada entidad, Yucatán e Hidalgo 3.2% cada uno, Guerrero y Querétaro 3% en cada caso, todas las tasas con relación al 2017.</w:t>
      </w:r>
    </w:p>
    <w:p w14:paraId="25E761D1" w14:textId="77777777" w:rsidR="0017331D" w:rsidRDefault="0017331D" w:rsidP="0017331D">
      <w:pPr>
        <w:spacing w:before="120"/>
        <w:ind w:right="-121"/>
        <w:jc w:val="both"/>
        <w:rPr>
          <w:rFonts w:ascii="Arial" w:hAnsi="Arial"/>
          <w:b/>
          <w:sz w:val="24"/>
          <w:szCs w:val="24"/>
          <w:lang w:val="es-MX"/>
        </w:rPr>
      </w:pPr>
    </w:p>
    <w:p w14:paraId="7928C08B" w14:textId="77777777" w:rsidR="0017331D" w:rsidRDefault="0017331D" w:rsidP="0017331D">
      <w:pPr>
        <w:pStyle w:val="consang"/>
        <w:spacing w:after="0" w:line="240" w:lineRule="auto"/>
        <w:ind w:left="-709" w:right="-830" w:firstLine="0"/>
        <w:jc w:val="center"/>
        <w:rPr>
          <w:rFonts w:ascii="Arial" w:hAnsi="Arial" w:cs="Arial"/>
          <w:b/>
          <w:smallCaps/>
          <w:szCs w:val="24"/>
        </w:rPr>
      </w:pPr>
    </w:p>
    <w:p w14:paraId="2B6F7ED2" w14:textId="77777777" w:rsidR="0017331D" w:rsidRDefault="0017331D" w:rsidP="0017331D">
      <w:pPr>
        <w:pStyle w:val="consang"/>
        <w:spacing w:after="0" w:line="240" w:lineRule="auto"/>
        <w:ind w:left="-709" w:right="-830" w:firstLine="0"/>
        <w:jc w:val="center"/>
        <w:rPr>
          <w:rFonts w:ascii="Arial" w:hAnsi="Arial" w:cs="Arial"/>
          <w:b/>
          <w:smallCaps/>
          <w:szCs w:val="24"/>
        </w:rPr>
      </w:pPr>
    </w:p>
    <w:p w14:paraId="6F610E89" w14:textId="77777777" w:rsidR="0017331D" w:rsidRDefault="0017331D" w:rsidP="0017331D">
      <w:pPr>
        <w:tabs>
          <w:tab w:val="left" w:pos="8789"/>
        </w:tabs>
        <w:ind w:right="51"/>
        <w:jc w:val="center"/>
        <w:rPr>
          <w:b/>
          <w:sz w:val="28"/>
        </w:rPr>
      </w:pPr>
    </w:p>
    <w:p w14:paraId="79778C36" w14:textId="77777777" w:rsidR="0017331D" w:rsidRPr="00815A90" w:rsidRDefault="0017331D" w:rsidP="0017331D">
      <w:pPr>
        <w:tabs>
          <w:tab w:val="left" w:pos="8789"/>
        </w:tabs>
        <w:ind w:right="51"/>
        <w:jc w:val="center"/>
        <w:rPr>
          <w:rFonts w:ascii="Arial" w:hAnsi="Arial" w:cs="Arial"/>
          <w:b/>
          <w:sz w:val="24"/>
          <w:szCs w:val="24"/>
        </w:rPr>
      </w:pPr>
    </w:p>
    <w:p w14:paraId="7A4AE9ED" w14:textId="77777777" w:rsidR="0017331D" w:rsidRPr="00815A90" w:rsidRDefault="0017331D" w:rsidP="0017331D">
      <w:pPr>
        <w:tabs>
          <w:tab w:val="left" w:pos="8789"/>
        </w:tabs>
        <w:ind w:right="51"/>
        <w:jc w:val="center"/>
        <w:rPr>
          <w:rFonts w:ascii="Arial" w:hAnsi="Arial" w:cs="Arial"/>
          <w:b/>
          <w:sz w:val="24"/>
          <w:szCs w:val="24"/>
        </w:rPr>
      </w:pPr>
      <w:r w:rsidRPr="00815A90">
        <w:rPr>
          <w:rFonts w:ascii="Arial" w:hAnsi="Arial" w:cs="Arial"/>
          <w:b/>
          <w:sz w:val="24"/>
          <w:szCs w:val="24"/>
        </w:rPr>
        <w:t>Se anexa Nota Técnica</w:t>
      </w:r>
    </w:p>
    <w:p w14:paraId="26FD221C" w14:textId="77777777" w:rsidR="0017331D" w:rsidRPr="00815A90" w:rsidRDefault="0017331D" w:rsidP="0017331D">
      <w:pPr>
        <w:tabs>
          <w:tab w:val="left" w:pos="8789"/>
        </w:tabs>
        <w:ind w:right="51"/>
        <w:jc w:val="center"/>
        <w:rPr>
          <w:rFonts w:ascii="Arial" w:hAnsi="Arial" w:cs="Arial"/>
          <w:b/>
          <w:sz w:val="24"/>
          <w:szCs w:val="24"/>
        </w:rPr>
      </w:pPr>
    </w:p>
    <w:p w14:paraId="58124D22" w14:textId="77777777" w:rsidR="0017331D" w:rsidRDefault="0017331D" w:rsidP="0017331D">
      <w:pPr>
        <w:tabs>
          <w:tab w:val="left" w:pos="8789"/>
        </w:tabs>
        <w:ind w:right="51"/>
        <w:jc w:val="center"/>
        <w:rPr>
          <w:b/>
          <w:sz w:val="28"/>
        </w:rPr>
      </w:pPr>
    </w:p>
    <w:p w14:paraId="5125FDB2" w14:textId="77777777" w:rsidR="0017331D" w:rsidRDefault="0017331D" w:rsidP="0017331D">
      <w:pPr>
        <w:tabs>
          <w:tab w:val="left" w:pos="8789"/>
        </w:tabs>
        <w:ind w:right="51"/>
        <w:jc w:val="center"/>
        <w:rPr>
          <w:b/>
          <w:sz w:val="28"/>
        </w:rPr>
      </w:pPr>
    </w:p>
    <w:p w14:paraId="39828888" w14:textId="77777777" w:rsidR="0017331D" w:rsidRDefault="0017331D" w:rsidP="0017331D">
      <w:pPr>
        <w:tabs>
          <w:tab w:val="left" w:pos="8789"/>
        </w:tabs>
        <w:ind w:right="51"/>
        <w:jc w:val="center"/>
        <w:rPr>
          <w:b/>
          <w:sz w:val="28"/>
        </w:rPr>
      </w:pPr>
    </w:p>
    <w:p w14:paraId="5FBC8E57" w14:textId="77777777" w:rsidR="0017331D" w:rsidRDefault="0017331D" w:rsidP="0017331D">
      <w:pPr>
        <w:tabs>
          <w:tab w:val="left" w:pos="8789"/>
        </w:tabs>
        <w:ind w:right="51"/>
        <w:jc w:val="center"/>
        <w:rPr>
          <w:b/>
          <w:sz w:val="28"/>
        </w:rPr>
      </w:pPr>
    </w:p>
    <w:p w14:paraId="5FAD7DA4" w14:textId="77777777" w:rsidR="0017331D" w:rsidRDefault="0017331D" w:rsidP="0017331D">
      <w:pPr>
        <w:tabs>
          <w:tab w:val="left" w:pos="8789"/>
        </w:tabs>
        <w:ind w:right="51"/>
        <w:jc w:val="center"/>
        <w:rPr>
          <w:b/>
          <w:sz w:val="28"/>
        </w:rPr>
      </w:pPr>
    </w:p>
    <w:p w14:paraId="1DB9D4D9" w14:textId="77777777" w:rsidR="0017331D" w:rsidRDefault="0017331D" w:rsidP="0017331D">
      <w:pPr>
        <w:tabs>
          <w:tab w:val="left" w:pos="8789"/>
        </w:tabs>
        <w:ind w:right="51"/>
        <w:jc w:val="center"/>
        <w:rPr>
          <w:b/>
          <w:sz w:val="28"/>
        </w:rPr>
      </w:pPr>
    </w:p>
    <w:p w14:paraId="7D273B41" w14:textId="77777777" w:rsidR="0017331D" w:rsidRDefault="0017331D" w:rsidP="0017331D">
      <w:pPr>
        <w:tabs>
          <w:tab w:val="left" w:pos="8789"/>
        </w:tabs>
        <w:ind w:right="51"/>
        <w:jc w:val="center"/>
        <w:rPr>
          <w:b/>
          <w:sz w:val="28"/>
        </w:rPr>
      </w:pPr>
    </w:p>
    <w:p w14:paraId="6519362E" w14:textId="77777777" w:rsidR="0017331D" w:rsidRDefault="0017331D" w:rsidP="0017331D">
      <w:pPr>
        <w:tabs>
          <w:tab w:val="left" w:pos="8789"/>
        </w:tabs>
        <w:ind w:right="51"/>
        <w:jc w:val="center"/>
        <w:rPr>
          <w:b/>
          <w:sz w:val="28"/>
        </w:rPr>
      </w:pPr>
    </w:p>
    <w:p w14:paraId="13406F6F" w14:textId="77777777" w:rsidR="0017331D" w:rsidRDefault="0017331D" w:rsidP="0017331D">
      <w:pPr>
        <w:tabs>
          <w:tab w:val="left" w:pos="8789"/>
        </w:tabs>
        <w:ind w:right="51"/>
        <w:jc w:val="center"/>
        <w:rPr>
          <w:b/>
          <w:sz w:val="28"/>
        </w:rPr>
      </w:pPr>
    </w:p>
    <w:p w14:paraId="29FFBE4E" w14:textId="77777777" w:rsidR="0017331D" w:rsidRDefault="0017331D" w:rsidP="0017331D">
      <w:pPr>
        <w:tabs>
          <w:tab w:val="left" w:pos="8789"/>
        </w:tabs>
        <w:ind w:right="51"/>
        <w:jc w:val="center"/>
        <w:rPr>
          <w:b/>
          <w:sz w:val="28"/>
        </w:rPr>
      </w:pPr>
    </w:p>
    <w:p w14:paraId="53348D07" w14:textId="77777777" w:rsidR="0017331D" w:rsidRDefault="0017331D" w:rsidP="0017331D">
      <w:pPr>
        <w:tabs>
          <w:tab w:val="left" w:pos="8789"/>
        </w:tabs>
        <w:ind w:right="51"/>
        <w:jc w:val="center"/>
        <w:rPr>
          <w:b/>
          <w:sz w:val="28"/>
        </w:rPr>
      </w:pPr>
    </w:p>
    <w:p w14:paraId="22132574" w14:textId="77777777" w:rsidR="0017331D" w:rsidRDefault="0017331D" w:rsidP="0017331D">
      <w:pPr>
        <w:tabs>
          <w:tab w:val="left" w:pos="8789"/>
        </w:tabs>
        <w:ind w:right="51"/>
        <w:jc w:val="center"/>
        <w:rPr>
          <w:b/>
          <w:sz w:val="28"/>
        </w:rPr>
      </w:pPr>
    </w:p>
    <w:p w14:paraId="539099CC" w14:textId="77777777" w:rsidR="0017331D" w:rsidRDefault="0017331D" w:rsidP="0017331D">
      <w:pPr>
        <w:tabs>
          <w:tab w:val="left" w:pos="8789"/>
        </w:tabs>
        <w:ind w:right="51"/>
        <w:jc w:val="center"/>
        <w:rPr>
          <w:b/>
          <w:sz w:val="28"/>
        </w:rPr>
      </w:pPr>
    </w:p>
    <w:p w14:paraId="6D690BF6" w14:textId="77777777" w:rsidR="0017331D" w:rsidRDefault="0017331D" w:rsidP="0017331D">
      <w:pPr>
        <w:pStyle w:val="NormalWeb"/>
        <w:spacing w:before="0" w:beforeAutospacing="0" w:after="0" w:afterAutospacing="0"/>
        <w:ind w:left="-426" w:right="-518"/>
        <w:contextualSpacing/>
        <w:jc w:val="center"/>
        <w:rPr>
          <w:sz w:val="20"/>
          <w:szCs w:val="20"/>
        </w:rPr>
      </w:pPr>
    </w:p>
    <w:p w14:paraId="71FCC8F0" w14:textId="77777777" w:rsidR="0017331D" w:rsidRPr="00D63508" w:rsidRDefault="0017331D" w:rsidP="0017331D">
      <w:pPr>
        <w:pStyle w:val="NormalWeb"/>
        <w:spacing w:before="0" w:beforeAutospacing="0" w:after="0" w:afterAutospacing="0"/>
        <w:ind w:left="-426" w:right="-518"/>
        <w:contextualSpacing/>
        <w:jc w:val="center"/>
        <w:rPr>
          <w:sz w:val="22"/>
          <w:szCs w:val="22"/>
        </w:rPr>
      </w:pPr>
    </w:p>
    <w:p w14:paraId="09B580AC" w14:textId="77777777" w:rsidR="0017331D" w:rsidRPr="00D63508" w:rsidRDefault="0017331D" w:rsidP="0017331D">
      <w:pPr>
        <w:pStyle w:val="NormalWeb"/>
        <w:spacing w:before="0" w:beforeAutospacing="0" w:after="0" w:afterAutospacing="0"/>
        <w:ind w:left="-426" w:right="-518"/>
        <w:contextualSpacing/>
        <w:jc w:val="center"/>
        <w:rPr>
          <w:sz w:val="22"/>
          <w:szCs w:val="22"/>
        </w:rPr>
      </w:pPr>
      <w:r w:rsidRPr="00D63508">
        <w:rPr>
          <w:sz w:val="22"/>
          <w:szCs w:val="22"/>
        </w:rPr>
        <w:t xml:space="preserve">Para consultas de medios y periodistas, contactar a: </w:t>
      </w:r>
      <w:hyperlink r:id="rId8" w:history="1">
        <w:r w:rsidRPr="00D63508">
          <w:rPr>
            <w:rStyle w:val="Hipervnculo"/>
            <w:sz w:val="22"/>
            <w:szCs w:val="22"/>
          </w:rPr>
          <w:t>comunicacionsocial@inegi.org.mx</w:t>
        </w:r>
      </w:hyperlink>
      <w:r w:rsidRPr="00D63508">
        <w:rPr>
          <w:sz w:val="22"/>
          <w:szCs w:val="22"/>
        </w:rPr>
        <w:t xml:space="preserve"> </w:t>
      </w:r>
    </w:p>
    <w:p w14:paraId="1316061A" w14:textId="77777777" w:rsidR="0017331D" w:rsidRPr="00D63508" w:rsidRDefault="0017331D" w:rsidP="0017331D">
      <w:pPr>
        <w:pStyle w:val="NormalWeb"/>
        <w:spacing w:before="0" w:beforeAutospacing="0" w:after="0" w:afterAutospacing="0"/>
        <w:ind w:left="-426" w:right="-518"/>
        <w:contextualSpacing/>
        <w:jc w:val="center"/>
        <w:rPr>
          <w:sz w:val="22"/>
          <w:szCs w:val="22"/>
        </w:rPr>
      </w:pPr>
      <w:r w:rsidRPr="00D63508">
        <w:rPr>
          <w:sz w:val="22"/>
          <w:szCs w:val="22"/>
        </w:rPr>
        <w:t xml:space="preserve">o llamar al teléfono (55) 52-78-10-00, </w:t>
      </w:r>
      <w:proofErr w:type="spellStart"/>
      <w:r w:rsidRPr="00D63508">
        <w:rPr>
          <w:sz w:val="22"/>
          <w:szCs w:val="22"/>
        </w:rPr>
        <w:t>exts</w:t>
      </w:r>
      <w:proofErr w:type="spellEnd"/>
      <w:r w:rsidRPr="00D63508">
        <w:rPr>
          <w:sz w:val="22"/>
          <w:szCs w:val="22"/>
        </w:rPr>
        <w:t>. 1134, 1260 y 1241.</w:t>
      </w:r>
    </w:p>
    <w:p w14:paraId="4EF4CF16" w14:textId="77777777" w:rsidR="0017331D" w:rsidRPr="00D63508" w:rsidRDefault="0017331D" w:rsidP="0017331D">
      <w:pPr>
        <w:ind w:left="-426" w:right="-518"/>
        <w:contextualSpacing/>
        <w:jc w:val="center"/>
        <w:rPr>
          <w:rFonts w:ascii="Arial" w:hAnsi="Arial" w:cs="Arial"/>
          <w:sz w:val="22"/>
          <w:szCs w:val="22"/>
        </w:rPr>
      </w:pPr>
    </w:p>
    <w:p w14:paraId="20B96F50" w14:textId="77777777" w:rsidR="0017331D" w:rsidRPr="00D63508" w:rsidRDefault="0017331D" w:rsidP="0017331D">
      <w:pPr>
        <w:ind w:left="-426" w:right="-518"/>
        <w:contextualSpacing/>
        <w:jc w:val="center"/>
        <w:rPr>
          <w:rFonts w:ascii="Arial" w:hAnsi="Arial" w:cs="Arial"/>
          <w:sz w:val="22"/>
          <w:szCs w:val="22"/>
        </w:rPr>
      </w:pPr>
      <w:r w:rsidRPr="00D63508">
        <w:rPr>
          <w:rFonts w:ascii="Arial" w:hAnsi="Arial" w:cs="Arial"/>
          <w:sz w:val="22"/>
          <w:szCs w:val="22"/>
        </w:rPr>
        <w:t>Dirección de Atención a Medios / Dirección General Adjunta de Comunicación</w:t>
      </w:r>
    </w:p>
    <w:p w14:paraId="04F00E42" w14:textId="77777777" w:rsidR="0017331D" w:rsidRPr="00BE0FC5" w:rsidRDefault="0017331D" w:rsidP="0017331D">
      <w:pPr>
        <w:ind w:left="-426" w:right="-518"/>
        <w:contextualSpacing/>
        <w:jc w:val="center"/>
      </w:pPr>
    </w:p>
    <w:p w14:paraId="085FA451" w14:textId="77777777" w:rsidR="0017331D" w:rsidRPr="008F0992" w:rsidRDefault="0017331D" w:rsidP="0017331D">
      <w:pPr>
        <w:ind w:left="-425" w:right="-516"/>
        <w:contextualSpacing/>
        <w:jc w:val="center"/>
        <w:rPr>
          <w:noProof/>
          <w:lang w:eastAsia="es-MX"/>
        </w:rPr>
      </w:pPr>
      <w:r w:rsidRPr="00FF1218">
        <w:rPr>
          <w:noProof/>
          <w:lang w:val="es-MX" w:eastAsia="es-MX"/>
        </w:rPr>
        <w:drawing>
          <wp:inline distT="0" distB="0" distL="0" distR="0" wp14:anchorId="299F370B" wp14:editId="5C0F7451">
            <wp:extent cx="274320" cy="365760"/>
            <wp:effectExtent l="0" t="0" r="0" b="0"/>
            <wp:docPr id="1" name="Imagen 1"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7EE20AA" wp14:editId="65680068">
            <wp:extent cx="365760" cy="365760"/>
            <wp:effectExtent l="0" t="0" r="0" b="0"/>
            <wp:docPr id="4" name="Imagen 4"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1E49023" wp14:editId="187A804F">
            <wp:extent cx="365760" cy="365760"/>
            <wp:effectExtent l="0" t="0" r="0" b="0"/>
            <wp:docPr id="15" name="Imagen 15"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E991843" wp14:editId="424499B5">
            <wp:extent cx="365760" cy="365760"/>
            <wp:effectExtent l="0" t="0" r="0" b="0"/>
            <wp:docPr id="14" name="Imagen 14"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5CC986A6" wp14:editId="3A3F7C9A">
            <wp:extent cx="2286000" cy="274320"/>
            <wp:effectExtent l="0" t="0" r="0" b="0"/>
            <wp:docPr id="194" name="Imagen 194">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582F5C97" w14:textId="77777777" w:rsidR="0017331D" w:rsidRDefault="0017331D" w:rsidP="0017331D">
      <w:pPr>
        <w:pStyle w:val="NormalWeb"/>
        <w:spacing w:before="0" w:beforeAutospacing="0" w:after="0" w:afterAutospacing="0"/>
        <w:ind w:left="-426" w:right="-518"/>
        <w:contextualSpacing/>
        <w:jc w:val="center"/>
        <w:rPr>
          <w:sz w:val="18"/>
          <w:szCs w:val="18"/>
        </w:rPr>
      </w:pPr>
    </w:p>
    <w:p w14:paraId="2BFFEA4B" w14:textId="77777777" w:rsidR="0017331D" w:rsidRDefault="0017331D" w:rsidP="0017331D">
      <w:pPr>
        <w:pStyle w:val="NormalWeb"/>
        <w:spacing w:before="0" w:beforeAutospacing="0" w:after="0" w:afterAutospacing="0"/>
        <w:ind w:left="-426" w:right="-518"/>
        <w:contextualSpacing/>
        <w:jc w:val="center"/>
        <w:rPr>
          <w:sz w:val="18"/>
          <w:szCs w:val="18"/>
        </w:rPr>
      </w:pPr>
    </w:p>
    <w:p w14:paraId="13CC0622" w14:textId="77777777" w:rsidR="0017331D" w:rsidRDefault="0017331D" w:rsidP="0017331D">
      <w:pPr>
        <w:tabs>
          <w:tab w:val="left" w:pos="8789"/>
        </w:tabs>
        <w:ind w:right="51"/>
        <w:jc w:val="center"/>
        <w:rPr>
          <w:b/>
          <w:sz w:val="28"/>
        </w:rPr>
      </w:pPr>
    </w:p>
    <w:p w14:paraId="1513F363" w14:textId="77777777" w:rsidR="0017331D" w:rsidRPr="00815A90" w:rsidRDefault="0017331D" w:rsidP="0017331D">
      <w:pPr>
        <w:rPr>
          <w:rFonts w:ascii="Arial" w:hAnsi="Arial" w:cs="Arial"/>
          <w:sz w:val="18"/>
          <w:szCs w:val="18"/>
        </w:rPr>
      </w:pPr>
    </w:p>
    <w:p w14:paraId="396CD6CF" w14:textId="77777777" w:rsidR="0017331D" w:rsidRPr="00157C43" w:rsidRDefault="0017331D" w:rsidP="0017331D">
      <w:pPr>
        <w:pStyle w:val="bullet"/>
        <w:numPr>
          <w:ilvl w:val="0"/>
          <w:numId w:val="0"/>
        </w:numPr>
        <w:tabs>
          <w:tab w:val="left" w:pos="8789"/>
        </w:tabs>
        <w:spacing w:before="0"/>
        <w:ind w:right="51"/>
        <w:jc w:val="center"/>
        <w:rPr>
          <w:rFonts w:cs="Arial"/>
          <w:szCs w:val="24"/>
        </w:rPr>
        <w:sectPr w:rsidR="0017331D" w:rsidRPr="00157C43" w:rsidSect="00BA5BA5">
          <w:headerReference w:type="even" r:id="rId19"/>
          <w:headerReference w:type="default" r:id="rId20"/>
          <w:footerReference w:type="even" r:id="rId21"/>
          <w:footerReference w:type="default" r:id="rId22"/>
          <w:headerReference w:type="first" r:id="rId23"/>
          <w:footerReference w:type="first" r:id="rId24"/>
          <w:pgSz w:w="12240" w:h="15840" w:code="1"/>
          <w:pgMar w:top="1" w:right="1701" w:bottom="0" w:left="1588" w:header="510" w:footer="510" w:gutter="0"/>
          <w:cols w:space="720"/>
          <w:docGrid w:linePitch="272"/>
        </w:sectPr>
      </w:pPr>
      <w:r>
        <w:rPr>
          <w:rFonts w:cs="Arial"/>
          <w:szCs w:val="24"/>
        </w:rPr>
        <w:tab/>
      </w:r>
    </w:p>
    <w:p w14:paraId="1F79A5BB" w14:textId="77777777" w:rsidR="0017331D" w:rsidRDefault="0017331D" w:rsidP="0017331D">
      <w:pPr>
        <w:pStyle w:val="Profesin"/>
        <w:outlineLvl w:val="0"/>
        <w:rPr>
          <w:lang w:val="es-MX"/>
        </w:rPr>
      </w:pPr>
    </w:p>
    <w:p w14:paraId="18D7CB4E" w14:textId="5D3CAD88" w:rsidR="0017331D" w:rsidRDefault="0017331D" w:rsidP="0017331D">
      <w:pPr>
        <w:pStyle w:val="Profesin"/>
        <w:outlineLvl w:val="0"/>
        <w:rPr>
          <w:lang w:val="es-MX"/>
        </w:rPr>
      </w:pPr>
      <w:r>
        <w:rPr>
          <w:lang w:val="es-MX"/>
        </w:rPr>
        <w:t>NOTA TÉCNICA</w:t>
      </w:r>
    </w:p>
    <w:p w14:paraId="7BDA1B6F" w14:textId="77777777" w:rsidR="002C1035" w:rsidRDefault="002C1035" w:rsidP="0017331D">
      <w:pPr>
        <w:pStyle w:val="Profesin"/>
        <w:outlineLvl w:val="0"/>
        <w:rPr>
          <w:lang w:val="es-MX"/>
        </w:rPr>
      </w:pPr>
    </w:p>
    <w:p w14:paraId="0DD7F04E" w14:textId="77777777" w:rsidR="00122FEF" w:rsidRDefault="00122FEF" w:rsidP="0008272A">
      <w:pPr>
        <w:pStyle w:val="Profesin"/>
        <w:outlineLvl w:val="0"/>
        <w:rPr>
          <w:lang w:val="es-MX"/>
        </w:rPr>
      </w:pPr>
      <w:r>
        <w:rPr>
          <w:lang w:val="es-MX"/>
        </w:rPr>
        <w:t>PRoducto interno b</w:t>
      </w:r>
      <w:r w:rsidR="00697886">
        <w:rPr>
          <w:lang w:val="es-MX"/>
        </w:rPr>
        <w:t xml:space="preserve">ruto por entidad federativa </w:t>
      </w:r>
      <w:r w:rsidR="00452FFE">
        <w:rPr>
          <w:lang w:val="es-MX"/>
        </w:rPr>
        <w:t>2018</w:t>
      </w:r>
    </w:p>
    <w:p w14:paraId="6967239B" w14:textId="77777777" w:rsidR="002C1035" w:rsidRDefault="002C1035" w:rsidP="00134E7A">
      <w:pPr>
        <w:spacing w:before="360"/>
        <w:jc w:val="both"/>
        <w:rPr>
          <w:rFonts w:ascii="Arial" w:eastAsia="Calibri" w:hAnsi="Arial" w:cs="Arial"/>
          <w:b/>
          <w:sz w:val="24"/>
          <w:szCs w:val="28"/>
          <w:lang w:val="es-MX" w:eastAsia="en-US"/>
        </w:rPr>
      </w:pPr>
    </w:p>
    <w:p w14:paraId="38B6A1C8" w14:textId="18074177" w:rsidR="00D62AFE" w:rsidRPr="00D62AFE" w:rsidRDefault="00D62AFE" w:rsidP="002C1035">
      <w:pPr>
        <w:spacing w:before="240"/>
        <w:jc w:val="both"/>
        <w:rPr>
          <w:rFonts w:ascii="Arial" w:eastAsia="Calibri" w:hAnsi="Arial" w:cs="Arial"/>
          <w:b/>
          <w:sz w:val="24"/>
          <w:szCs w:val="28"/>
          <w:lang w:val="es-MX" w:eastAsia="en-US"/>
        </w:rPr>
      </w:pPr>
      <w:r w:rsidRPr="00D62AFE">
        <w:rPr>
          <w:rFonts w:ascii="Arial" w:eastAsia="Calibri" w:hAnsi="Arial" w:cs="Arial"/>
          <w:b/>
          <w:sz w:val="24"/>
          <w:szCs w:val="28"/>
          <w:lang w:val="es-MX" w:eastAsia="en-US"/>
        </w:rPr>
        <w:t>Aspectos Generales</w:t>
      </w:r>
    </w:p>
    <w:p w14:paraId="51693F4F" w14:textId="77777777" w:rsidR="004C313A" w:rsidRDefault="004C313A" w:rsidP="00134E7A">
      <w:pPr>
        <w:pStyle w:val="Textoindependiente"/>
        <w:rPr>
          <w:lang w:val="es-MX"/>
        </w:rPr>
      </w:pPr>
      <w:r>
        <w:rPr>
          <w:lang w:val="es-MX"/>
        </w:rPr>
        <w:t xml:space="preserve">Como parte del </w:t>
      </w:r>
      <w:r w:rsidRPr="007B4CA8">
        <w:rPr>
          <w:lang w:val="es-MX"/>
        </w:rPr>
        <w:t>Sistema de Cuentas Nacionales de México</w:t>
      </w:r>
      <w:r w:rsidRPr="00E34B3D">
        <w:rPr>
          <w:lang w:val="es-MX"/>
        </w:rPr>
        <w:t xml:space="preserve"> </w:t>
      </w:r>
      <w:r>
        <w:rPr>
          <w:lang w:val="es-MX"/>
        </w:rPr>
        <w:t>e</w:t>
      </w:r>
      <w:r w:rsidRPr="00E34B3D">
        <w:rPr>
          <w:lang w:val="es-MX"/>
        </w:rPr>
        <w:t xml:space="preserve">l INEGI </w:t>
      </w:r>
      <w:r>
        <w:rPr>
          <w:lang w:val="es-MX"/>
        </w:rPr>
        <w:t>presenta</w:t>
      </w:r>
      <w:r w:rsidRPr="00E34B3D">
        <w:rPr>
          <w:lang w:val="es-MX"/>
        </w:rPr>
        <w:t xml:space="preserve"> los resultados del </w:t>
      </w:r>
      <w:r w:rsidRPr="007B4CA8">
        <w:rPr>
          <w:lang w:val="es-MX"/>
        </w:rPr>
        <w:t xml:space="preserve">“Producto Interno Bruto por Entidad </w:t>
      </w:r>
      <w:r w:rsidR="00452FFE">
        <w:rPr>
          <w:lang w:val="es-MX"/>
        </w:rPr>
        <w:t>Federativa, 2018</w:t>
      </w:r>
      <w:r w:rsidRPr="004C313A">
        <w:rPr>
          <w:lang w:val="es-MX"/>
        </w:rPr>
        <w:t xml:space="preserve"> preliminar</w:t>
      </w:r>
      <w:r>
        <w:rPr>
          <w:lang w:val="es-MX"/>
        </w:rPr>
        <w:t>. Año base 2013”, mediante los cuales se proporciona información para cada una de las entida</w:t>
      </w:r>
      <w:r w:rsidR="00227FA3">
        <w:rPr>
          <w:lang w:val="es-MX"/>
        </w:rPr>
        <w:t>des federativas y sus respectiva</w:t>
      </w:r>
      <w:r>
        <w:rPr>
          <w:lang w:val="es-MX"/>
        </w:rPr>
        <w:t>s actividades económicas.</w:t>
      </w:r>
    </w:p>
    <w:p w14:paraId="4DAEA8BE" w14:textId="795B7A24" w:rsidR="00222B00" w:rsidRDefault="00222B00" w:rsidP="002C1035">
      <w:pPr>
        <w:pStyle w:val="Textoindependiente"/>
        <w:rPr>
          <w:lang w:val="es-MX"/>
        </w:rPr>
      </w:pPr>
      <w:r>
        <w:rPr>
          <w:lang w:val="es-MX"/>
        </w:rPr>
        <w:t>La información contiene cifras en valores corrientes y a precios constantes de 2013, así como los índices de precios implícitos e índices de volumen físico correspondientes.</w:t>
      </w:r>
    </w:p>
    <w:p w14:paraId="4569AAFE" w14:textId="01D1AC1E" w:rsidR="002C1035" w:rsidRDefault="002C1035" w:rsidP="00134E7A">
      <w:pPr>
        <w:pStyle w:val="Textoindependiente"/>
        <w:spacing w:before="120"/>
        <w:rPr>
          <w:lang w:val="es-MX"/>
        </w:rPr>
      </w:pPr>
    </w:p>
    <w:p w14:paraId="63C4A635" w14:textId="0A2918A6" w:rsidR="002C1035" w:rsidRDefault="002C1035" w:rsidP="00134E7A">
      <w:pPr>
        <w:pStyle w:val="Textoindependiente"/>
        <w:spacing w:before="120"/>
        <w:rPr>
          <w:lang w:val="es-MX"/>
        </w:rPr>
      </w:pPr>
    </w:p>
    <w:p w14:paraId="65A3572B" w14:textId="4653F5AC" w:rsidR="002C1035" w:rsidRDefault="002C1035" w:rsidP="00134E7A">
      <w:pPr>
        <w:pStyle w:val="Textoindependiente"/>
        <w:spacing w:before="120"/>
        <w:rPr>
          <w:lang w:val="es-MX"/>
        </w:rPr>
      </w:pPr>
    </w:p>
    <w:p w14:paraId="1E04944A" w14:textId="30B99554" w:rsidR="002C1035" w:rsidRDefault="002C1035" w:rsidP="00134E7A">
      <w:pPr>
        <w:pStyle w:val="Textoindependiente"/>
        <w:spacing w:before="120"/>
        <w:rPr>
          <w:lang w:val="es-MX"/>
        </w:rPr>
      </w:pPr>
    </w:p>
    <w:p w14:paraId="5AA28511" w14:textId="27D7B6F1" w:rsidR="002C1035" w:rsidRDefault="002C1035" w:rsidP="00134E7A">
      <w:pPr>
        <w:pStyle w:val="Textoindependiente"/>
        <w:spacing w:before="120"/>
        <w:rPr>
          <w:lang w:val="es-MX"/>
        </w:rPr>
      </w:pPr>
    </w:p>
    <w:p w14:paraId="19920642" w14:textId="1206C920" w:rsidR="002C1035" w:rsidRDefault="002C1035" w:rsidP="00134E7A">
      <w:pPr>
        <w:pStyle w:val="Textoindependiente"/>
        <w:spacing w:before="120"/>
        <w:rPr>
          <w:lang w:val="es-MX"/>
        </w:rPr>
      </w:pPr>
    </w:p>
    <w:p w14:paraId="295E9E7A" w14:textId="2DF27D99" w:rsidR="002C1035" w:rsidRDefault="002C1035" w:rsidP="00134E7A">
      <w:pPr>
        <w:pStyle w:val="Textoindependiente"/>
        <w:spacing w:before="120"/>
        <w:rPr>
          <w:lang w:val="es-MX"/>
        </w:rPr>
      </w:pPr>
    </w:p>
    <w:p w14:paraId="4AC910CD" w14:textId="1E96677C" w:rsidR="002C1035" w:rsidRDefault="002C1035" w:rsidP="00134E7A">
      <w:pPr>
        <w:pStyle w:val="Textoindependiente"/>
        <w:spacing w:before="120"/>
        <w:rPr>
          <w:lang w:val="es-MX"/>
        </w:rPr>
      </w:pPr>
    </w:p>
    <w:p w14:paraId="0B0CBFD0" w14:textId="03275825" w:rsidR="002C1035" w:rsidRDefault="002C1035" w:rsidP="00134E7A">
      <w:pPr>
        <w:pStyle w:val="Textoindependiente"/>
        <w:spacing w:before="120"/>
        <w:rPr>
          <w:lang w:val="es-MX"/>
        </w:rPr>
      </w:pPr>
    </w:p>
    <w:p w14:paraId="176D4528" w14:textId="5602CE79" w:rsidR="002C1035" w:rsidRDefault="002C1035" w:rsidP="00134E7A">
      <w:pPr>
        <w:pStyle w:val="Textoindependiente"/>
        <w:spacing w:before="120"/>
        <w:rPr>
          <w:lang w:val="es-MX"/>
        </w:rPr>
      </w:pPr>
    </w:p>
    <w:p w14:paraId="44B7D89D" w14:textId="5BFDE503" w:rsidR="002C1035" w:rsidRDefault="002C1035" w:rsidP="00134E7A">
      <w:pPr>
        <w:pStyle w:val="Textoindependiente"/>
        <w:spacing w:before="120"/>
        <w:rPr>
          <w:lang w:val="es-MX"/>
        </w:rPr>
      </w:pPr>
    </w:p>
    <w:p w14:paraId="36478619" w14:textId="70F03709" w:rsidR="002C1035" w:rsidRDefault="002C1035" w:rsidP="00134E7A">
      <w:pPr>
        <w:pStyle w:val="Textoindependiente"/>
        <w:spacing w:before="120"/>
        <w:rPr>
          <w:lang w:val="es-MX"/>
        </w:rPr>
      </w:pPr>
    </w:p>
    <w:p w14:paraId="4A7C38D3" w14:textId="1A9CC781" w:rsidR="002C1035" w:rsidRDefault="002C1035" w:rsidP="00134E7A">
      <w:pPr>
        <w:pStyle w:val="Textoindependiente"/>
        <w:spacing w:before="120"/>
        <w:rPr>
          <w:lang w:val="es-MX"/>
        </w:rPr>
      </w:pPr>
    </w:p>
    <w:p w14:paraId="0B9E52F8" w14:textId="53E1A2EC" w:rsidR="002C1035" w:rsidRDefault="002C1035" w:rsidP="00134E7A">
      <w:pPr>
        <w:pStyle w:val="Textoindependiente"/>
        <w:spacing w:before="120"/>
        <w:rPr>
          <w:lang w:val="es-MX"/>
        </w:rPr>
      </w:pPr>
    </w:p>
    <w:p w14:paraId="123425BB" w14:textId="75984348" w:rsidR="002C1035" w:rsidRDefault="002C1035" w:rsidP="00134E7A">
      <w:pPr>
        <w:pStyle w:val="Textoindependiente"/>
        <w:spacing w:before="120"/>
        <w:rPr>
          <w:lang w:val="es-MX"/>
        </w:rPr>
      </w:pPr>
    </w:p>
    <w:p w14:paraId="6D5A24E1" w14:textId="3645B22B" w:rsidR="002C1035" w:rsidRDefault="002C1035" w:rsidP="00134E7A">
      <w:pPr>
        <w:pStyle w:val="Textoindependiente"/>
        <w:spacing w:before="120"/>
        <w:rPr>
          <w:lang w:val="es-MX"/>
        </w:rPr>
      </w:pPr>
    </w:p>
    <w:p w14:paraId="2AD0DACA" w14:textId="29662F95" w:rsidR="002C1035" w:rsidRDefault="002C1035" w:rsidP="00134E7A">
      <w:pPr>
        <w:pStyle w:val="Textoindependiente"/>
        <w:spacing w:before="120"/>
        <w:rPr>
          <w:lang w:val="es-MX"/>
        </w:rPr>
      </w:pPr>
    </w:p>
    <w:p w14:paraId="503C2372" w14:textId="2E28AEB9" w:rsidR="002C1035" w:rsidRDefault="002C1035" w:rsidP="00134E7A">
      <w:pPr>
        <w:pStyle w:val="Textoindependiente"/>
        <w:spacing w:before="120"/>
        <w:rPr>
          <w:lang w:val="es-MX"/>
        </w:rPr>
      </w:pPr>
    </w:p>
    <w:p w14:paraId="408C6235" w14:textId="77777777" w:rsidR="00816C27" w:rsidRDefault="000603D1" w:rsidP="009962F1">
      <w:pPr>
        <w:pStyle w:val="Textoindependiente"/>
        <w:rPr>
          <w:b/>
          <w:smallCaps/>
          <w:lang w:val="es-MX"/>
        </w:rPr>
      </w:pPr>
      <w:r>
        <w:rPr>
          <w:rFonts w:eastAsia="Calibri" w:cs="Arial"/>
          <w:b/>
          <w:szCs w:val="28"/>
          <w:lang w:val="es-MX" w:eastAsia="en-US"/>
        </w:rPr>
        <w:lastRenderedPageBreak/>
        <w:t>Principales Resultados</w:t>
      </w:r>
      <w:r w:rsidR="00344A10">
        <w:rPr>
          <w:b/>
          <w:smallCaps/>
          <w:lang w:val="es-MX"/>
        </w:rPr>
        <w:t>:</w:t>
      </w:r>
    </w:p>
    <w:p w14:paraId="64A05548" w14:textId="77777777" w:rsidR="002D666D" w:rsidRPr="008F4C6F" w:rsidRDefault="000603D1" w:rsidP="00134E7A">
      <w:pPr>
        <w:pStyle w:val="Textoindependiente"/>
        <w:spacing w:before="120"/>
        <w:rPr>
          <w:b/>
          <w:smallCaps/>
          <w:lang w:val="es-MX"/>
        </w:rPr>
      </w:pPr>
      <w:r>
        <w:rPr>
          <w:rFonts w:eastAsia="Calibri" w:cs="Arial"/>
          <w:b/>
          <w:szCs w:val="28"/>
          <w:lang w:val="es-MX" w:eastAsia="en-US"/>
        </w:rPr>
        <w:t>Producto Interno Bruto por Entidad Federativa</w:t>
      </w:r>
    </w:p>
    <w:p w14:paraId="75F496AD" w14:textId="77777777" w:rsidR="00CA732A" w:rsidRDefault="002256A9" w:rsidP="00134E7A">
      <w:pPr>
        <w:tabs>
          <w:tab w:val="center" w:pos="3348"/>
        </w:tabs>
        <w:spacing w:before="120"/>
        <w:jc w:val="both"/>
        <w:rPr>
          <w:rFonts w:ascii="Arial" w:hAnsi="Arial"/>
          <w:sz w:val="24"/>
          <w:szCs w:val="22"/>
          <w:lang w:val="es-MX" w:eastAsia="es-MX"/>
        </w:rPr>
      </w:pPr>
      <w:r w:rsidRPr="00E37B14">
        <w:rPr>
          <w:rFonts w:ascii="Arial" w:hAnsi="Arial"/>
          <w:sz w:val="24"/>
          <w:szCs w:val="22"/>
          <w:lang w:val="es-MX" w:eastAsia="es-MX"/>
        </w:rPr>
        <w:t xml:space="preserve">En </w:t>
      </w:r>
      <w:r w:rsidR="00FB76FD">
        <w:rPr>
          <w:rFonts w:ascii="Arial" w:hAnsi="Arial"/>
          <w:sz w:val="24"/>
          <w:szCs w:val="22"/>
          <w:lang w:val="es-MX" w:eastAsia="es-MX"/>
        </w:rPr>
        <w:t>2018</w:t>
      </w:r>
      <w:r w:rsidRPr="00E37B14">
        <w:rPr>
          <w:rFonts w:ascii="Arial" w:hAnsi="Arial"/>
          <w:sz w:val="24"/>
          <w:szCs w:val="22"/>
          <w:lang w:val="es-MX" w:eastAsia="es-MX"/>
        </w:rPr>
        <w:t xml:space="preserve"> el Producto</w:t>
      </w:r>
      <w:r w:rsidRPr="002256A9">
        <w:rPr>
          <w:rFonts w:ascii="Arial" w:hAnsi="Arial"/>
          <w:sz w:val="24"/>
          <w:szCs w:val="22"/>
          <w:lang w:val="es-MX" w:eastAsia="es-MX"/>
        </w:rPr>
        <w:t xml:space="preserve"> Interno Bruto total a precios básicos</w:t>
      </w:r>
      <w:r w:rsidR="005C3F57">
        <w:rPr>
          <w:rFonts w:ascii="Arial" w:hAnsi="Arial"/>
          <w:sz w:val="24"/>
          <w:szCs w:val="22"/>
          <w:lang w:val="es-MX" w:eastAsia="es-MX"/>
        </w:rPr>
        <w:t xml:space="preserve"> </w:t>
      </w:r>
      <w:r w:rsidR="005C3F57" w:rsidRPr="00E37B14">
        <w:rPr>
          <w:rFonts w:ascii="Arial" w:hAnsi="Arial"/>
          <w:sz w:val="24"/>
          <w:szCs w:val="22"/>
          <w:lang w:val="es-MX" w:eastAsia="es-MX"/>
        </w:rPr>
        <w:t xml:space="preserve">resultó de </w:t>
      </w:r>
      <w:r w:rsidR="00FB76FD">
        <w:rPr>
          <w:rFonts w:ascii="Arial" w:hAnsi="Arial"/>
          <w:sz w:val="24"/>
          <w:szCs w:val="22"/>
          <w:lang w:val="es-MX" w:eastAsia="es-MX"/>
        </w:rPr>
        <w:t>22</w:t>
      </w:r>
      <w:r w:rsidR="004C313A">
        <w:rPr>
          <w:rFonts w:ascii="Arial" w:hAnsi="Arial"/>
          <w:sz w:val="24"/>
          <w:szCs w:val="22"/>
          <w:lang w:val="es-MX" w:eastAsia="es-MX"/>
        </w:rPr>
        <w:t>,</w:t>
      </w:r>
      <w:r w:rsidR="00FB76FD">
        <w:rPr>
          <w:rFonts w:ascii="Arial" w:hAnsi="Arial"/>
          <w:sz w:val="24"/>
          <w:szCs w:val="22"/>
          <w:lang w:val="es-MX" w:eastAsia="es-MX"/>
        </w:rPr>
        <w:t>191</w:t>
      </w:r>
      <w:r w:rsidR="004C313A">
        <w:rPr>
          <w:rFonts w:ascii="Arial" w:hAnsi="Arial"/>
          <w:sz w:val="24"/>
          <w:szCs w:val="22"/>
          <w:lang w:val="es-MX" w:eastAsia="es-MX"/>
        </w:rPr>
        <w:t>,</w:t>
      </w:r>
      <w:r w:rsidR="00FB76FD">
        <w:rPr>
          <w:rFonts w:ascii="Arial" w:hAnsi="Arial"/>
          <w:sz w:val="24"/>
          <w:szCs w:val="22"/>
          <w:lang w:val="es-MX" w:eastAsia="es-MX"/>
        </w:rPr>
        <w:t>164</w:t>
      </w:r>
      <w:r w:rsidRPr="00E37B14">
        <w:rPr>
          <w:rFonts w:ascii="Arial" w:hAnsi="Arial"/>
          <w:sz w:val="24"/>
          <w:szCs w:val="22"/>
          <w:lang w:val="es-MX" w:eastAsia="es-MX"/>
        </w:rPr>
        <w:t xml:space="preserve"> millones de pesos corrientes, monto integrado principalmente por la contribución de</w:t>
      </w:r>
      <w:r w:rsidR="002D666D" w:rsidRPr="00E37B14">
        <w:rPr>
          <w:rFonts w:ascii="Arial" w:hAnsi="Arial"/>
          <w:sz w:val="24"/>
          <w:szCs w:val="22"/>
          <w:lang w:val="es-MX" w:eastAsia="es-MX"/>
        </w:rPr>
        <w:t xml:space="preserve"> </w:t>
      </w:r>
      <w:r w:rsidRPr="00E37B14">
        <w:rPr>
          <w:rFonts w:ascii="Arial" w:hAnsi="Arial"/>
          <w:sz w:val="24"/>
          <w:szCs w:val="22"/>
          <w:lang w:val="es-MX" w:eastAsia="es-MX"/>
        </w:rPr>
        <w:t>l</w:t>
      </w:r>
      <w:r w:rsidR="002D666D" w:rsidRPr="00E37B14">
        <w:rPr>
          <w:rFonts w:ascii="Arial" w:hAnsi="Arial"/>
          <w:sz w:val="24"/>
          <w:szCs w:val="22"/>
          <w:lang w:val="es-MX" w:eastAsia="es-MX"/>
        </w:rPr>
        <w:t>a</w:t>
      </w:r>
      <w:r w:rsidRPr="00E37B14">
        <w:rPr>
          <w:rFonts w:ascii="Arial" w:hAnsi="Arial"/>
          <w:sz w:val="24"/>
          <w:szCs w:val="22"/>
          <w:lang w:val="es-MX" w:eastAsia="es-MX"/>
        </w:rPr>
        <w:t xml:space="preserve"> </w:t>
      </w:r>
      <w:r w:rsidR="002D666D" w:rsidRPr="00E37B14">
        <w:rPr>
          <w:rFonts w:ascii="Arial" w:hAnsi="Arial"/>
          <w:sz w:val="24"/>
          <w:szCs w:val="22"/>
          <w:lang w:val="es-MX" w:eastAsia="es-MX"/>
        </w:rPr>
        <w:t>Ciudad de México</w:t>
      </w:r>
      <w:r w:rsidRPr="00E37B14">
        <w:rPr>
          <w:rFonts w:ascii="Arial" w:hAnsi="Arial"/>
          <w:sz w:val="24"/>
          <w:szCs w:val="22"/>
          <w:lang w:val="es-MX" w:eastAsia="es-MX"/>
        </w:rPr>
        <w:t xml:space="preserve"> que participó con </w:t>
      </w:r>
      <w:r w:rsidR="00784AD9" w:rsidRPr="00E37B14">
        <w:rPr>
          <w:rFonts w:ascii="Arial" w:hAnsi="Arial"/>
          <w:sz w:val="24"/>
          <w:szCs w:val="22"/>
          <w:lang w:val="es-MX" w:eastAsia="es-MX"/>
        </w:rPr>
        <w:t>3,</w:t>
      </w:r>
      <w:r w:rsidR="00FB76FD">
        <w:rPr>
          <w:rFonts w:ascii="Arial" w:hAnsi="Arial"/>
          <w:sz w:val="24"/>
          <w:szCs w:val="22"/>
          <w:lang w:val="es-MX" w:eastAsia="es-MX"/>
        </w:rPr>
        <w:t>631</w:t>
      </w:r>
      <w:r w:rsidR="00784AD9" w:rsidRPr="00E37B14">
        <w:rPr>
          <w:rFonts w:ascii="Arial" w:hAnsi="Arial"/>
          <w:sz w:val="24"/>
          <w:szCs w:val="22"/>
          <w:lang w:val="es-MX" w:eastAsia="es-MX"/>
        </w:rPr>
        <w:t>,</w:t>
      </w:r>
      <w:r w:rsidR="00FB76FD">
        <w:rPr>
          <w:rFonts w:ascii="Arial" w:hAnsi="Arial"/>
          <w:sz w:val="24"/>
          <w:szCs w:val="22"/>
          <w:lang w:val="es-MX" w:eastAsia="es-MX"/>
        </w:rPr>
        <w:t>195</w:t>
      </w:r>
      <w:r w:rsidRPr="00E37B14">
        <w:rPr>
          <w:rFonts w:ascii="Arial" w:hAnsi="Arial"/>
          <w:sz w:val="24"/>
          <w:szCs w:val="22"/>
          <w:lang w:val="es-MX" w:eastAsia="es-MX"/>
        </w:rPr>
        <w:t xml:space="preserve"> millones, seguido por e</w:t>
      </w:r>
      <w:r w:rsidR="005C3F57" w:rsidRPr="00E37B14">
        <w:rPr>
          <w:rFonts w:ascii="Arial" w:hAnsi="Arial"/>
          <w:sz w:val="24"/>
          <w:szCs w:val="22"/>
          <w:lang w:val="es-MX" w:eastAsia="es-MX"/>
        </w:rPr>
        <w:t>l Estado de México</w:t>
      </w:r>
      <w:r w:rsidR="00816E39" w:rsidRPr="00CA732A">
        <w:rPr>
          <w:rStyle w:val="Refdenotaalpie"/>
          <w:rFonts w:ascii="Arial" w:hAnsi="Arial"/>
          <w:b w:val="0"/>
        </w:rPr>
        <w:footnoteReference w:id="3"/>
      </w:r>
      <w:r w:rsidR="005C3F57" w:rsidRPr="00E37B14">
        <w:rPr>
          <w:rFonts w:ascii="Arial" w:hAnsi="Arial"/>
          <w:sz w:val="24"/>
          <w:szCs w:val="22"/>
          <w:lang w:val="es-MX" w:eastAsia="es-MX"/>
        </w:rPr>
        <w:t xml:space="preserve"> con 1,</w:t>
      </w:r>
      <w:r w:rsidR="00FB76FD">
        <w:rPr>
          <w:rFonts w:ascii="Arial" w:hAnsi="Arial"/>
          <w:sz w:val="24"/>
          <w:szCs w:val="22"/>
          <w:lang w:val="es-MX" w:eastAsia="es-MX"/>
        </w:rPr>
        <w:t>958</w:t>
      </w:r>
      <w:r w:rsidR="00784AD9" w:rsidRPr="00E37B14">
        <w:rPr>
          <w:rFonts w:ascii="Arial" w:hAnsi="Arial"/>
          <w:sz w:val="24"/>
          <w:szCs w:val="22"/>
          <w:lang w:val="es-MX" w:eastAsia="es-MX"/>
        </w:rPr>
        <w:t>,</w:t>
      </w:r>
      <w:r w:rsidR="00FB76FD">
        <w:rPr>
          <w:rFonts w:ascii="Arial" w:hAnsi="Arial"/>
          <w:sz w:val="24"/>
          <w:szCs w:val="22"/>
          <w:lang w:val="es-MX" w:eastAsia="es-MX"/>
        </w:rPr>
        <w:t>936</w:t>
      </w:r>
      <w:r w:rsidRPr="00E37B14">
        <w:rPr>
          <w:rFonts w:ascii="Arial" w:hAnsi="Arial"/>
          <w:sz w:val="24"/>
          <w:szCs w:val="22"/>
          <w:lang w:val="es-MX" w:eastAsia="es-MX"/>
        </w:rPr>
        <w:t xml:space="preserve"> millones, Nuevo León 1,</w:t>
      </w:r>
      <w:r w:rsidR="00FB76FD">
        <w:rPr>
          <w:rFonts w:ascii="Arial" w:hAnsi="Arial"/>
          <w:sz w:val="24"/>
          <w:szCs w:val="22"/>
          <w:lang w:val="es-MX" w:eastAsia="es-MX"/>
        </w:rPr>
        <w:t>695</w:t>
      </w:r>
      <w:r w:rsidR="005C3F57" w:rsidRPr="00E37B14">
        <w:rPr>
          <w:rFonts w:ascii="Arial" w:hAnsi="Arial"/>
          <w:sz w:val="24"/>
          <w:szCs w:val="22"/>
          <w:lang w:val="es-MX" w:eastAsia="es-MX"/>
        </w:rPr>
        <w:t>,</w:t>
      </w:r>
      <w:r w:rsidR="00FB76FD">
        <w:rPr>
          <w:rFonts w:ascii="Arial" w:hAnsi="Arial"/>
          <w:sz w:val="24"/>
          <w:szCs w:val="22"/>
          <w:lang w:val="es-MX" w:eastAsia="es-MX"/>
        </w:rPr>
        <w:t>715</w:t>
      </w:r>
      <w:r w:rsidRPr="00E37B14">
        <w:rPr>
          <w:rFonts w:ascii="Arial" w:hAnsi="Arial"/>
          <w:sz w:val="24"/>
          <w:szCs w:val="22"/>
          <w:lang w:val="es-MX" w:eastAsia="es-MX"/>
        </w:rPr>
        <w:t xml:space="preserve"> millones, Jalisco </w:t>
      </w:r>
      <w:r w:rsidR="005C3F57" w:rsidRPr="00E37B14">
        <w:rPr>
          <w:rFonts w:ascii="Arial" w:hAnsi="Arial"/>
          <w:sz w:val="24"/>
          <w:szCs w:val="22"/>
          <w:lang w:val="es-MX" w:eastAsia="es-MX"/>
        </w:rPr>
        <w:t>1,</w:t>
      </w:r>
      <w:r w:rsidR="00FB76FD">
        <w:rPr>
          <w:rFonts w:ascii="Arial" w:hAnsi="Arial"/>
          <w:sz w:val="24"/>
          <w:szCs w:val="22"/>
          <w:lang w:val="es-MX" w:eastAsia="es-MX"/>
        </w:rPr>
        <w:t>575</w:t>
      </w:r>
      <w:r w:rsidR="00F252DD" w:rsidRPr="00E37B14">
        <w:rPr>
          <w:rFonts w:ascii="Arial" w:hAnsi="Arial"/>
          <w:sz w:val="24"/>
          <w:szCs w:val="22"/>
          <w:lang w:val="es-MX" w:eastAsia="es-MX"/>
        </w:rPr>
        <w:t>,</w:t>
      </w:r>
      <w:r w:rsidR="00FB76FD">
        <w:rPr>
          <w:rFonts w:ascii="Arial" w:hAnsi="Arial"/>
          <w:sz w:val="24"/>
          <w:szCs w:val="22"/>
          <w:lang w:val="es-MX" w:eastAsia="es-MX"/>
        </w:rPr>
        <w:t>126</w:t>
      </w:r>
      <w:r w:rsidRPr="00E37B14">
        <w:rPr>
          <w:rFonts w:ascii="Arial" w:hAnsi="Arial"/>
          <w:sz w:val="24"/>
          <w:szCs w:val="22"/>
          <w:lang w:val="es-MX" w:eastAsia="es-MX"/>
        </w:rPr>
        <w:t xml:space="preserve"> millones, Veracruz de Ignacio de la L</w:t>
      </w:r>
      <w:r w:rsidR="00124D13" w:rsidRPr="00E37B14">
        <w:rPr>
          <w:rFonts w:ascii="Arial" w:hAnsi="Arial"/>
          <w:sz w:val="24"/>
          <w:szCs w:val="22"/>
          <w:lang w:val="es-MX" w:eastAsia="es-MX"/>
        </w:rPr>
        <w:t xml:space="preserve">lave </w:t>
      </w:r>
      <w:r w:rsidR="00FB76FD">
        <w:rPr>
          <w:rFonts w:ascii="Arial" w:hAnsi="Arial"/>
          <w:sz w:val="24"/>
          <w:szCs w:val="22"/>
          <w:lang w:val="es-MX" w:eastAsia="es-MX"/>
        </w:rPr>
        <w:t>1,006</w:t>
      </w:r>
      <w:r w:rsidR="00F252DD" w:rsidRPr="00E37B14">
        <w:rPr>
          <w:rFonts w:ascii="Arial" w:hAnsi="Arial"/>
          <w:sz w:val="24"/>
          <w:szCs w:val="22"/>
          <w:lang w:val="es-MX" w:eastAsia="es-MX"/>
        </w:rPr>
        <w:t>,</w:t>
      </w:r>
      <w:r w:rsidR="00FB76FD">
        <w:rPr>
          <w:rFonts w:ascii="Arial" w:hAnsi="Arial"/>
          <w:sz w:val="24"/>
          <w:szCs w:val="22"/>
          <w:lang w:val="es-MX" w:eastAsia="es-MX"/>
        </w:rPr>
        <w:t>376</w:t>
      </w:r>
      <w:r w:rsidRPr="00E37B14">
        <w:rPr>
          <w:rFonts w:ascii="Arial" w:hAnsi="Arial"/>
          <w:sz w:val="24"/>
          <w:szCs w:val="22"/>
          <w:lang w:val="es-MX" w:eastAsia="es-MX"/>
        </w:rPr>
        <w:t xml:space="preserve"> millones, </w:t>
      </w:r>
      <w:r w:rsidR="000603D1" w:rsidRPr="00E37B14">
        <w:rPr>
          <w:rFonts w:ascii="Arial" w:hAnsi="Arial"/>
          <w:sz w:val="24"/>
          <w:szCs w:val="22"/>
          <w:lang w:val="es-MX" w:eastAsia="es-MX"/>
        </w:rPr>
        <w:t>Guanajuato</w:t>
      </w:r>
      <w:r w:rsidRPr="00E37B14">
        <w:rPr>
          <w:rFonts w:ascii="Arial" w:hAnsi="Arial"/>
          <w:sz w:val="24"/>
          <w:szCs w:val="22"/>
          <w:lang w:val="es-MX" w:eastAsia="es-MX"/>
        </w:rPr>
        <w:t xml:space="preserve"> </w:t>
      </w:r>
      <w:r w:rsidR="00FB76FD">
        <w:rPr>
          <w:rFonts w:ascii="Arial" w:hAnsi="Arial"/>
          <w:sz w:val="24"/>
          <w:szCs w:val="22"/>
          <w:lang w:val="es-MX" w:eastAsia="es-MX"/>
        </w:rPr>
        <w:t>978</w:t>
      </w:r>
      <w:r w:rsidR="00124D13" w:rsidRPr="00E37B14">
        <w:rPr>
          <w:rFonts w:ascii="Arial" w:hAnsi="Arial"/>
          <w:sz w:val="24"/>
          <w:szCs w:val="22"/>
          <w:lang w:val="es-MX" w:eastAsia="es-MX"/>
        </w:rPr>
        <w:t>,</w:t>
      </w:r>
      <w:r w:rsidR="00FB76FD">
        <w:rPr>
          <w:rFonts w:ascii="Arial" w:hAnsi="Arial"/>
          <w:sz w:val="24"/>
          <w:szCs w:val="22"/>
          <w:lang w:val="es-MX" w:eastAsia="es-MX"/>
        </w:rPr>
        <w:t>291</w:t>
      </w:r>
      <w:r w:rsidR="00124D13" w:rsidRPr="00E37B14">
        <w:rPr>
          <w:rFonts w:ascii="Arial" w:hAnsi="Arial"/>
          <w:sz w:val="24"/>
          <w:szCs w:val="22"/>
          <w:lang w:val="es-MX" w:eastAsia="es-MX"/>
        </w:rPr>
        <w:t xml:space="preserve"> millones, </w:t>
      </w:r>
      <w:r w:rsidR="000603D1" w:rsidRPr="00E37B14">
        <w:rPr>
          <w:rFonts w:ascii="Arial" w:hAnsi="Arial"/>
          <w:sz w:val="24"/>
          <w:szCs w:val="22"/>
          <w:lang w:val="es-MX" w:eastAsia="es-MX"/>
        </w:rPr>
        <w:t xml:space="preserve">Coahuila de Zaragoza </w:t>
      </w:r>
      <w:r w:rsidR="00FB76FD">
        <w:rPr>
          <w:rFonts w:ascii="Arial" w:hAnsi="Arial"/>
          <w:sz w:val="24"/>
          <w:szCs w:val="22"/>
          <w:lang w:val="es-MX" w:eastAsia="es-MX"/>
        </w:rPr>
        <w:t>836</w:t>
      </w:r>
      <w:r w:rsidR="00F252DD" w:rsidRPr="00E37B14">
        <w:rPr>
          <w:rFonts w:ascii="Arial" w:hAnsi="Arial"/>
          <w:sz w:val="24"/>
          <w:szCs w:val="22"/>
          <w:lang w:val="es-MX" w:eastAsia="es-MX"/>
        </w:rPr>
        <w:t>,</w:t>
      </w:r>
      <w:r w:rsidR="00FB76FD">
        <w:rPr>
          <w:rFonts w:ascii="Arial" w:hAnsi="Arial"/>
          <w:sz w:val="24"/>
          <w:szCs w:val="22"/>
          <w:lang w:val="es-MX" w:eastAsia="es-MX"/>
        </w:rPr>
        <w:t>394</w:t>
      </w:r>
      <w:r w:rsidR="000603D1" w:rsidRPr="00E37B14">
        <w:rPr>
          <w:rFonts w:ascii="Arial" w:hAnsi="Arial"/>
          <w:sz w:val="24"/>
          <w:szCs w:val="22"/>
          <w:lang w:val="es-MX" w:eastAsia="es-MX"/>
        </w:rPr>
        <w:t xml:space="preserve"> millones,</w:t>
      </w:r>
      <w:r w:rsidR="00DB795B">
        <w:rPr>
          <w:rFonts w:ascii="Arial" w:hAnsi="Arial"/>
          <w:sz w:val="24"/>
          <w:szCs w:val="22"/>
          <w:lang w:val="es-MX" w:eastAsia="es-MX"/>
        </w:rPr>
        <w:t xml:space="preserve"> </w:t>
      </w:r>
      <w:r w:rsidR="00DB795B" w:rsidRPr="00E37B14">
        <w:rPr>
          <w:rFonts w:ascii="Arial" w:hAnsi="Arial"/>
          <w:sz w:val="24"/>
          <w:szCs w:val="22"/>
          <w:lang w:val="es-MX" w:eastAsia="es-MX"/>
        </w:rPr>
        <w:t xml:space="preserve">Puebla </w:t>
      </w:r>
      <w:r w:rsidR="00FB76FD">
        <w:rPr>
          <w:rFonts w:ascii="Arial" w:hAnsi="Arial"/>
          <w:sz w:val="24"/>
          <w:szCs w:val="22"/>
          <w:lang w:val="es-MX" w:eastAsia="es-MX"/>
        </w:rPr>
        <w:t>763</w:t>
      </w:r>
      <w:r w:rsidR="00DB795B" w:rsidRPr="00E37B14">
        <w:rPr>
          <w:rFonts w:ascii="Arial" w:hAnsi="Arial"/>
          <w:sz w:val="24"/>
          <w:szCs w:val="22"/>
          <w:lang w:val="es-MX" w:eastAsia="es-MX"/>
        </w:rPr>
        <w:t>,</w:t>
      </w:r>
      <w:r w:rsidR="00FB76FD">
        <w:rPr>
          <w:rFonts w:ascii="Arial" w:hAnsi="Arial"/>
          <w:sz w:val="24"/>
          <w:szCs w:val="22"/>
          <w:lang w:val="es-MX" w:eastAsia="es-MX"/>
        </w:rPr>
        <w:t>036</w:t>
      </w:r>
      <w:r w:rsidR="00DB795B" w:rsidRPr="00E37B14">
        <w:rPr>
          <w:rFonts w:ascii="Arial" w:hAnsi="Arial"/>
          <w:sz w:val="24"/>
          <w:szCs w:val="22"/>
          <w:lang w:val="es-MX" w:eastAsia="es-MX"/>
        </w:rPr>
        <w:t xml:space="preserve"> millones</w:t>
      </w:r>
      <w:r w:rsidR="00FB76FD" w:rsidRPr="00E37B14">
        <w:rPr>
          <w:rFonts w:ascii="Arial" w:hAnsi="Arial"/>
          <w:sz w:val="24"/>
          <w:szCs w:val="22"/>
          <w:lang w:val="es-MX" w:eastAsia="es-MX"/>
        </w:rPr>
        <w:t xml:space="preserve">, </w:t>
      </w:r>
      <w:r w:rsidR="00FB76FD">
        <w:rPr>
          <w:rFonts w:ascii="Arial" w:hAnsi="Arial"/>
          <w:sz w:val="24"/>
          <w:szCs w:val="22"/>
          <w:lang w:val="es-MX" w:eastAsia="es-MX"/>
        </w:rPr>
        <w:t>Chihuahua 749</w:t>
      </w:r>
      <w:r w:rsidR="00FB76FD" w:rsidRPr="00E37B14">
        <w:rPr>
          <w:rFonts w:ascii="Arial" w:hAnsi="Arial"/>
          <w:sz w:val="24"/>
          <w:szCs w:val="22"/>
          <w:lang w:val="es-MX" w:eastAsia="es-MX"/>
        </w:rPr>
        <w:t>,</w:t>
      </w:r>
      <w:r w:rsidR="00FB76FD">
        <w:rPr>
          <w:rFonts w:ascii="Arial" w:hAnsi="Arial"/>
          <w:sz w:val="24"/>
          <w:szCs w:val="22"/>
          <w:lang w:val="es-MX" w:eastAsia="es-MX"/>
        </w:rPr>
        <w:t>889 millones</w:t>
      </w:r>
      <w:r w:rsidR="00DB795B">
        <w:rPr>
          <w:rFonts w:ascii="Arial" w:hAnsi="Arial"/>
          <w:sz w:val="24"/>
          <w:szCs w:val="22"/>
          <w:lang w:val="es-MX" w:eastAsia="es-MX"/>
        </w:rPr>
        <w:t xml:space="preserve">, Sonora </w:t>
      </w:r>
      <w:r w:rsidR="00FB76FD">
        <w:rPr>
          <w:rFonts w:ascii="Arial" w:hAnsi="Arial"/>
          <w:sz w:val="24"/>
          <w:szCs w:val="22"/>
          <w:lang w:val="es-MX" w:eastAsia="es-MX"/>
        </w:rPr>
        <w:t>749</w:t>
      </w:r>
      <w:r w:rsidR="00F252DD" w:rsidRPr="00E37B14">
        <w:rPr>
          <w:rFonts w:ascii="Arial" w:hAnsi="Arial"/>
          <w:sz w:val="24"/>
          <w:szCs w:val="22"/>
          <w:lang w:val="es-MX" w:eastAsia="es-MX"/>
        </w:rPr>
        <w:t>,</w:t>
      </w:r>
      <w:r w:rsidR="00FB76FD">
        <w:rPr>
          <w:rFonts w:ascii="Arial" w:hAnsi="Arial"/>
          <w:sz w:val="24"/>
          <w:szCs w:val="22"/>
          <w:lang w:val="es-MX" w:eastAsia="es-MX"/>
        </w:rPr>
        <w:t>425</w:t>
      </w:r>
      <w:r w:rsidR="00F252DD" w:rsidRPr="00E37B14">
        <w:rPr>
          <w:rFonts w:ascii="Arial" w:hAnsi="Arial"/>
          <w:sz w:val="24"/>
          <w:szCs w:val="22"/>
          <w:lang w:val="es-MX" w:eastAsia="es-MX"/>
        </w:rPr>
        <w:t xml:space="preserve"> millones </w:t>
      </w:r>
      <w:r w:rsidR="00DB795B">
        <w:rPr>
          <w:rFonts w:ascii="Arial" w:hAnsi="Arial"/>
          <w:sz w:val="24"/>
          <w:szCs w:val="22"/>
          <w:lang w:val="es-MX" w:eastAsia="es-MX"/>
        </w:rPr>
        <w:t xml:space="preserve">y Baja California con </w:t>
      </w:r>
      <w:r w:rsidR="00FB76FD">
        <w:rPr>
          <w:rFonts w:ascii="Arial" w:hAnsi="Arial"/>
          <w:sz w:val="24"/>
          <w:szCs w:val="22"/>
          <w:lang w:val="es-MX" w:eastAsia="es-MX"/>
        </w:rPr>
        <w:t>743</w:t>
      </w:r>
      <w:r w:rsidR="00F252DD" w:rsidRPr="00E37B14">
        <w:rPr>
          <w:rFonts w:ascii="Arial" w:hAnsi="Arial"/>
          <w:sz w:val="24"/>
          <w:szCs w:val="22"/>
          <w:lang w:val="es-MX" w:eastAsia="es-MX"/>
        </w:rPr>
        <w:t>,</w:t>
      </w:r>
      <w:r w:rsidR="00FB76FD">
        <w:rPr>
          <w:rFonts w:ascii="Arial" w:hAnsi="Arial"/>
          <w:sz w:val="24"/>
          <w:szCs w:val="22"/>
          <w:lang w:val="es-MX" w:eastAsia="es-MX"/>
        </w:rPr>
        <w:t>763</w:t>
      </w:r>
      <w:r w:rsidR="00F252DD" w:rsidRPr="00E37B14">
        <w:rPr>
          <w:rFonts w:ascii="Arial" w:hAnsi="Arial"/>
          <w:sz w:val="24"/>
          <w:szCs w:val="22"/>
          <w:lang w:val="es-MX" w:eastAsia="es-MX"/>
        </w:rPr>
        <w:t xml:space="preserve"> millones</w:t>
      </w:r>
      <w:r w:rsidRPr="00E37B14">
        <w:rPr>
          <w:rFonts w:ascii="Arial" w:hAnsi="Arial"/>
          <w:sz w:val="24"/>
          <w:szCs w:val="22"/>
          <w:lang w:val="es-MX" w:eastAsia="es-MX"/>
        </w:rPr>
        <w:t xml:space="preserve">. Este grupo de entidades generó </w:t>
      </w:r>
      <w:r w:rsidR="000603D1" w:rsidRPr="00E37B14">
        <w:rPr>
          <w:rFonts w:ascii="Arial" w:hAnsi="Arial"/>
          <w:sz w:val="24"/>
          <w:szCs w:val="22"/>
          <w:lang w:val="es-MX" w:eastAsia="es-MX"/>
        </w:rPr>
        <w:t xml:space="preserve">el </w:t>
      </w:r>
      <w:r w:rsidRPr="00E37B14">
        <w:rPr>
          <w:rFonts w:ascii="Arial" w:hAnsi="Arial"/>
          <w:sz w:val="24"/>
          <w:szCs w:val="22"/>
          <w:lang w:val="es-MX" w:eastAsia="es-MX"/>
        </w:rPr>
        <w:t>6</w:t>
      </w:r>
      <w:r w:rsidR="00FB76FD">
        <w:rPr>
          <w:rFonts w:ascii="Arial" w:hAnsi="Arial"/>
          <w:sz w:val="24"/>
          <w:szCs w:val="22"/>
          <w:lang w:val="es-MX" w:eastAsia="es-MX"/>
        </w:rPr>
        <w:t>6.2</w:t>
      </w:r>
      <w:r w:rsidRPr="00E37B14">
        <w:rPr>
          <w:rFonts w:ascii="Arial" w:hAnsi="Arial"/>
          <w:sz w:val="24"/>
          <w:szCs w:val="22"/>
          <w:lang w:val="es-MX" w:eastAsia="es-MX"/>
        </w:rPr>
        <w:t>% del produ</w:t>
      </w:r>
      <w:r w:rsidRPr="002256A9">
        <w:rPr>
          <w:rFonts w:ascii="Arial" w:hAnsi="Arial"/>
          <w:sz w:val="24"/>
          <w:szCs w:val="22"/>
          <w:lang w:val="es-MX" w:eastAsia="es-MX"/>
        </w:rPr>
        <w:t>cto total</w:t>
      </w:r>
      <w:r w:rsidR="00CA732A">
        <w:rPr>
          <w:rFonts w:ascii="Arial" w:hAnsi="Arial"/>
          <w:sz w:val="24"/>
          <w:szCs w:val="22"/>
          <w:lang w:val="es-MX" w:eastAsia="es-MX"/>
        </w:rPr>
        <w:t xml:space="preserve"> (véase gráfico siguiente)</w:t>
      </w:r>
      <w:r w:rsidRPr="002256A9">
        <w:rPr>
          <w:rFonts w:ascii="Arial" w:hAnsi="Arial"/>
          <w:sz w:val="24"/>
          <w:szCs w:val="22"/>
          <w:lang w:val="es-MX" w:eastAsia="es-MX"/>
        </w:rPr>
        <w:t>.</w:t>
      </w:r>
    </w:p>
    <w:p w14:paraId="43455DCA" w14:textId="77777777" w:rsidR="00B94212" w:rsidRPr="009E2FCB" w:rsidRDefault="00B94212" w:rsidP="00134E7A">
      <w:pPr>
        <w:pStyle w:val="n01"/>
        <w:keepLines w:val="0"/>
        <w:spacing w:before="0"/>
        <w:ind w:left="0" w:firstLine="0"/>
        <w:jc w:val="center"/>
        <w:outlineLvl w:val="0"/>
        <w:rPr>
          <w:rFonts w:ascii="Arial" w:eastAsia="Calibri" w:hAnsi="Arial" w:cs="Arial"/>
          <w:color w:val="auto"/>
          <w:szCs w:val="28"/>
          <w:lang w:val="es-MX" w:eastAsia="en-US"/>
        </w:rPr>
      </w:pPr>
      <w:r w:rsidRPr="009E2FCB">
        <w:rPr>
          <w:rFonts w:ascii="Arial" w:eastAsia="Calibri" w:hAnsi="Arial" w:cs="Arial"/>
          <w:color w:val="auto"/>
          <w:szCs w:val="28"/>
          <w:lang w:val="es-MX" w:eastAsia="en-US"/>
        </w:rPr>
        <w:t>Gráfica 1</w:t>
      </w:r>
    </w:p>
    <w:p w14:paraId="572BDA6F" w14:textId="77777777" w:rsidR="00B94212" w:rsidRPr="00DC44B6" w:rsidRDefault="001A3433" w:rsidP="00B94212">
      <w:pPr>
        <w:pStyle w:val="n01"/>
        <w:keepLines w:val="0"/>
        <w:spacing w:before="0" w:line="20" w:lineRule="atLeast"/>
        <w:ind w:left="851" w:right="900" w:firstLine="0"/>
        <w:jc w:val="center"/>
        <w:outlineLvl w:val="0"/>
        <w:rPr>
          <w:rFonts w:ascii="Arial" w:hAnsi="Arial" w:cs="Arial"/>
          <w:b/>
          <w:color w:val="auto"/>
          <w:spacing w:val="-6"/>
          <w:szCs w:val="24"/>
        </w:rPr>
      </w:pPr>
      <w:r>
        <w:rPr>
          <w:rFonts w:ascii="Arial" w:hAnsi="Arial" w:cs="Arial"/>
          <w:b/>
          <w:smallCaps/>
          <w:color w:val="auto"/>
          <w:spacing w:val="-6"/>
          <w:szCs w:val="24"/>
        </w:rPr>
        <w:t xml:space="preserve">Producto Interno Bruto por Entidad Federativa en </w:t>
      </w:r>
      <w:r w:rsidR="0012524B">
        <w:rPr>
          <w:rFonts w:ascii="Arial" w:hAnsi="Arial" w:cs="Arial"/>
          <w:b/>
          <w:smallCaps/>
          <w:color w:val="auto"/>
          <w:spacing w:val="-6"/>
          <w:szCs w:val="24"/>
        </w:rPr>
        <w:t>201</w:t>
      </w:r>
      <w:r w:rsidR="00FB76FD">
        <w:rPr>
          <w:rFonts w:ascii="Arial" w:hAnsi="Arial" w:cs="Arial"/>
          <w:b/>
          <w:smallCaps/>
          <w:color w:val="auto"/>
          <w:spacing w:val="-6"/>
          <w:szCs w:val="24"/>
        </w:rPr>
        <w:t>8</w:t>
      </w:r>
    </w:p>
    <w:p w14:paraId="4867BC2D" w14:textId="77777777" w:rsidR="00B94212" w:rsidRDefault="00B94212" w:rsidP="00B94212">
      <w:pPr>
        <w:pStyle w:val="n01"/>
        <w:keepLines w:val="0"/>
        <w:spacing w:before="0" w:line="20" w:lineRule="atLeast"/>
        <w:ind w:left="0" w:firstLine="0"/>
        <w:jc w:val="center"/>
        <w:outlineLvl w:val="0"/>
        <w:rPr>
          <w:rFonts w:ascii="Arial" w:hAnsi="Arial" w:cs="Arial"/>
          <w:b/>
          <w:smallCaps/>
          <w:color w:val="auto"/>
          <w:sz w:val="20"/>
          <w:szCs w:val="22"/>
        </w:rPr>
      </w:pPr>
      <w:r w:rsidRPr="00DC44B6">
        <w:rPr>
          <w:rFonts w:ascii="Arial" w:hAnsi="Arial" w:cs="Arial"/>
          <w:color w:val="auto"/>
          <w:spacing w:val="-6"/>
          <w:sz w:val="20"/>
          <w:szCs w:val="24"/>
        </w:rPr>
        <w:t>(</w:t>
      </w:r>
      <w:r>
        <w:rPr>
          <w:rFonts w:ascii="Arial" w:hAnsi="Arial" w:cs="Arial"/>
          <w:color w:val="auto"/>
          <w:spacing w:val="-6"/>
          <w:sz w:val="20"/>
          <w:szCs w:val="24"/>
        </w:rPr>
        <w:t>Estructura porcentual)</w:t>
      </w:r>
    </w:p>
    <w:p w14:paraId="4EAADABF" w14:textId="77777777" w:rsidR="007B1FB2" w:rsidRPr="00B06512" w:rsidRDefault="00F92635" w:rsidP="001D6917">
      <w:pPr>
        <w:pStyle w:val="Textoindependiente"/>
        <w:widowControl w:val="0"/>
        <w:spacing w:before="0"/>
        <w:jc w:val="center"/>
        <w:rPr>
          <w:smallCaps/>
          <w:sz w:val="18"/>
          <w:szCs w:val="18"/>
          <w:lang w:val="es-MX"/>
        </w:rPr>
      </w:pPr>
      <w:r w:rsidRPr="00F92635">
        <w:rPr>
          <w:noProof/>
          <w:lang w:val="es-MX" w:eastAsia="es-MX"/>
        </w:rPr>
        <w:drawing>
          <wp:inline distT="0" distB="0" distL="0" distR="0" wp14:anchorId="41C1C37E" wp14:editId="417585CD">
            <wp:extent cx="4921587" cy="44280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921587" cy="4428000"/>
                    </a:xfrm>
                    <a:prstGeom prst="rect">
                      <a:avLst/>
                    </a:prstGeom>
                    <a:noFill/>
                    <a:ln>
                      <a:noFill/>
                    </a:ln>
                  </pic:spPr>
                </pic:pic>
              </a:graphicData>
            </a:graphic>
          </wp:inline>
        </w:drawing>
      </w:r>
    </w:p>
    <w:p w14:paraId="0B96A768" w14:textId="77777777" w:rsidR="00435777" w:rsidRDefault="000B2614" w:rsidP="00134E7A">
      <w:pPr>
        <w:ind w:left="567"/>
        <w:rPr>
          <w:rFonts w:ascii="Arial" w:hAnsi="Arial" w:cs="Arial"/>
          <w:sz w:val="16"/>
          <w:szCs w:val="16"/>
        </w:rPr>
      </w:pPr>
      <w:r>
        <w:rPr>
          <w:rFonts w:ascii="Arial" w:hAnsi="Arial" w:cs="Arial"/>
          <w:sz w:val="16"/>
          <w:szCs w:val="16"/>
        </w:rPr>
        <w:t xml:space="preserve"> </w:t>
      </w:r>
      <w:r w:rsidR="0058052C">
        <w:rPr>
          <w:rFonts w:ascii="Arial" w:hAnsi="Arial" w:cs="Arial"/>
          <w:sz w:val="16"/>
          <w:szCs w:val="16"/>
        </w:rPr>
        <w:t xml:space="preserve"> </w:t>
      </w:r>
      <w:r w:rsidR="00435777">
        <w:rPr>
          <w:rFonts w:ascii="Arial" w:hAnsi="Arial" w:cs="Arial"/>
          <w:sz w:val="16"/>
          <w:szCs w:val="16"/>
        </w:rPr>
        <w:t>NOTA: La suma de los parciales puede no coincidir</w:t>
      </w:r>
      <w:r w:rsidR="000121D7">
        <w:rPr>
          <w:rFonts w:ascii="Arial" w:hAnsi="Arial" w:cs="Arial"/>
          <w:sz w:val="16"/>
          <w:szCs w:val="16"/>
        </w:rPr>
        <w:t xml:space="preserve"> con el total</w:t>
      </w:r>
      <w:r w:rsidR="00435777">
        <w:rPr>
          <w:rFonts w:ascii="Arial" w:hAnsi="Arial" w:cs="Arial"/>
          <w:sz w:val="16"/>
          <w:szCs w:val="16"/>
        </w:rPr>
        <w:t xml:space="preserve"> debido al redondeo.</w:t>
      </w:r>
    </w:p>
    <w:p w14:paraId="2DA10857" w14:textId="77777777" w:rsidR="00FC2436" w:rsidRPr="00CA5ACC" w:rsidRDefault="000B2614" w:rsidP="00134E7A">
      <w:pPr>
        <w:ind w:left="567"/>
        <w:rPr>
          <w:rFonts w:ascii="Arial" w:hAnsi="Arial" w:cs="Arial"/>
          <w:smallCaps/>
          <w:sz w:val="16"/>
          <w:szCs w:val="16"/>
        </w:rPr>
      </w:pPr>
      <w:r>
        <w:rPr>
          <w:rFonts w:ascii="Arial" w:hAnsi="Arial" w:cs="Arial"/>
          <w:sz w:val="16"/>
          <w:szCs w:val="16"/>
        </w:rPr>
        <w:t xml:space="preserve"> </w:t>
      </w:r>
      <w:r w:rsidR="0058052C">
        <w:rPr>
          <w:rFonts w:ascii="Arial" w:hAnsi="Arial" w:cs="Arial"/>
          <w:sz w:val="16"/>
          <w:szCs w:val="16"/>
        </w:rPr>
        <w:t xml:space="preserve"> </w:t>
      </w:r>
      <w:r w:rsidR="00706D76" w:rsidRPr="00706D76">
        <w:rPr>
          <w:rFonts w:ascii="Arial" w:hAnsi="Arial" w:cs="Arial"/>
          <w:sz w:val="16"/>
          <w:szCs w:val="16"/>
        </w:rPr>
        <w:t xml:space="preserve">Fuente: INEGI. </w:t>
      </w:r>
    </w:p>
    <w:p w14:paraId="1633F4EE" w14:textId="77777777" w:rsidR="009962F1" w:rsidRDefault="009962F1" w:rsidP="00222B00">
      <w:pPr>
        <w:pStyle w:val="n01"/>
        <w:keepLines w:val="0"/>
        <w:spacing w:before="0"/>
        <w:ind w:left="0" w:firstLine="0"/>
        <w:outlineLvl w:val="0"/>
        <w:rPr>
          <w:rFonts w:ascii="Arial" w:eastAsia="Calibri" w:hAnsi="Arial" w:cs="Arial"/>
          <w:b/>
          <w:color w:val="auto"/>
          <w:szCs w:val="28"/>
          <w:lang w:val="es-MX" w:eastAsia="en-US"/>
        </w:rPr>
      </w:pPr>
    </w:p>
    <w:p w14:paraId="7E263560" w14:textId="77777777" w:rsidR="009962F1" w:rsidRDefault="009962F1" w:rsidP="00222B00">
      <w:pPr>
        <w:pStyle w:val="n01"/>
        <w:keepLines w:val="0"/>
        <w:spacing w:before="0"/>
        <w:ind w:left="0" w:firstLine="0"/>
        <w:outlineLvl w:val="0"/>
        <w:rPr>
          <w:rFonts w:ascii="Arial" w:eastAsia="Calibri" w:hAnsi="Arial" w:cs="Arial"/>
          <w:b/>
          <w:color w:val="auto"/>
          <w:szCs w:val="28"/>
          <w:lang w:val="es-MX" w:eastAsia="en-US"/>
        </w:rPr>
      </w:pPr>
    </w:p>
    <w:p w14:paraId="15C9B6FE" w14:textId="6247F8F2" w:rsidR="00B224F2" w:rsidRPr="000603D1" w:rsidRDefault="00931C51" w:rsidP="00222B00">
      <w:pPr>
        <w:pStyle w:val="n01"/>
        <w:keepLines w:val="0"/>
        <w:spacing w:before="0"/>
        <w:ind w:left="0" w:firstLine="0"/>
        <w:outlineLvl w:val="0"/>
        <w:rPr>
          <w:rFonts w:ascii="Arial" w:eastAsia="Calibri" w:hAnsi="Arial" w:cs="Arial"/>
          <w:b/>
          <w:color w:val="auto"/>
          <w:szCs w:val="28"/>
          <w:lang w:val="es-MX" w:eastAsia="en-US"/>
        </w:rPr>
      </w:pPr>
      <w:r w:rsidRPr="000603D1">
        <w:rPr>
          <w:rFonts w:ascii="Arial" w:eastAsia="Calibri" w:hAnsi="Arial" w:cs="Arial"/>
          <w:b/>
          <w:color w:val="auto"/>
          <w:szCs w:val="28"/>
          <w:lang w:val="es-MX" w:eastAsia="en-US"/>
        </w:rPr>
        <w:lastRenderedPageBreak/>
        <w:t>Estructura del PIB</w:t>
      </w:r>
      <w:r w:rsidR="00A558EB" w:rsidRPr="000603D1">
        <w:rPr>
          <w:rFonts w:ascii="Arial" w:eastAsia="Calibri" w:hAnsi="Arial" w:cs="Arial"/>
          <w:b/>
          <w:color w:val="auto"/>
          <w:szCs w:val="28"/>
          <w:lang w:val="es-MX" w:eastAsia="en-US"/>
        </w:rPr>
        <w:t xml:space="preserve"> </w:t>
      </w:r>
      <w:r w:rsidRPr="000603D1">
        <w:rPr>
          <w:rFonts w:ascii="Arial" w:eastAsia="Calibri" w:hAnsi="Arial" w:cs="Arial"/>
          <w:b/>
          <w:color w:val="auto"/>
          <w:szCs w:val="28"/>
          <w:lang w:val="es-MX" w:eastAsia="en-US"/>
        </w:rPr>
        <w:t>E</w:t>
      </w:r>
      <w:r w:rsidR="00A558EB" w:rsidRPr="000603D1">
        <w:rPr>
          <w:rFonts w:ascii="Arial" w:eastAsia="Calibri" w:hAnsi="Arial" w:cs="Arial"/>
          <w:b/>
          <w:color w:val="auto"/>
          <w:szCs w:val="28"/>
          <w:lang w:val="es-MX" w:eastAsia="en-US"/>
        </w:rPr>
        <w:t>statal</w:t>
      </w:r>
      <w:r w:rsidR="003E33E9" w:rsidRPr="000603D1">
        <w:rPr>
          <w:rFonts w:ascii="Arial" w:eastAsia="Calibri" w:hAnsi="Arial" w:cs="Arial"/>
          <w:b/>
          <w:color w:val="auto"/>
          <w:szCs w:val="28"/>
          <w:lang w:val="es-MX" w:eastAsia="en-US"/>
        </w:rPr>
        <w:t xml:space="preserve"> por grupos de actividades e</w:t>
      </w:r>
      <w:r w:rsidRPr="000603D1">
        <w:rPr>
          <w:rFonts w:ascii="Arial" w:eastAsia="Calibri" w:hAnsi="Arial" w:cs="Arial"/>
          <w:b/>
          <w:color w:val="auto"/>
          <w:szCs w:val="28"/>
          <w:lang w:val="es-MX" w:eastAsia="en-US"/>
        </w:rPr>
        <w:t>conómicas</w:t>
      </w:r>
    </w:p>
    <w:p w14:paraId="767DE964" w14:textId="77777777" w:rsidR="00931C51" w:rsidRDefault="00E10A56" w:rsidP="00BE58AC">
      <w:pPr>
        <w:pStyle w:val="Textoindependiente"/>
        <w:spacing w:before="600"/>
        <w:rPr>
          <w:i/>
          <w:lang w:val="es-MX"/>
        </w:rPr>
      </w:pPr>
      <w:r>
        <w:rPr>
          <w:i/>
          <w:lang w:val="es-MX"/>
        </w:rPr>
        <w:t>Actividades p</w:t>
      </w:r>
      <w:r w:rsidR="00931C51">
        <w:rPr>
          <w:i/>
          <w:lang w:val="es-MX"/>
        </w:rPr>
        <w:t>rimarias</w:t>
      </w:r>
    </w:p>
    <w:p w14:paraId="576F873B" w14:textId="77777777" w:rsidR="000B2614" w:rsidRDefault="005A3D19" w:rsidP="00BE58AC">
      <w:pPr>
        <w:tabs>
          <w:tab w:val="center" w:pos="3348"/>
        </w:tabs>
        <w:spacing w:before="600"/>
        <w:jc w:val="both"/>
        <w:rPr>
          <w:rFonts w:ascii="Arial" w:hAnsi="Arial"/>
          <w:sz w:val="24"/>
          <w:szCs w:val="22"/>
          <w:lang w:val="es-MX" w:eastAsia="es-MX"/>
        </w:rPr>
      </w:pPr>
      <w:r w:rsidRPr="00E37B14">
        <w:rPr>
          <w:rFonts w:ascii="Arial" w:hAnsi="Arial"/>
          <w:sz w:val="24"/>
          <w:szCs w:val="22"/>
          <w:lang w:val="es-MX" w:eastAsia="es-MX"/>
        </w:rPr>
        <w:t>D</w:t>
      </w:r>
      <w:r w:rsidR="00124D13" w:rsidRPr="00E37B14">
        <w:rPr>
          <w:rFonts w:ascii="Arial" w:hAnsi="Arial"/>
          <w:sz w:val="24"/>
          <w:szCs w:val="22"/>
          <w:lang w:val="es-MX" w:eastAsia="es-MX"/>
        </w:rPr>
        <w:t xml:space="preserve">urante </w:t>
      </w:r>
      <w:r w:rsidR="0012524B" w:rsidRPr="00E37B14">
        <w:rPr>
          <w:rFonts w:ascii="Arial" w:hAnsi="Arial"/>
          <w:sz w:val="24"/>
          <w:szCs w:val="22"/>
          <w:lang w:val="es-MX" w:eastAsia="es-MX"/>
        </w:rPr>
        <w:t>201</w:t>
      </w:r>
      <w:r w:rsidR="00FB76FD">
        <w:rPr>
          <w:rFonts w:ascii="Arial" w:hAnsi="Arial"/>
          <w:sz w:val="24"/>
          <w:szCs w:val="22"/>
          <w:lang w:val="es-MX" w:eastAsia="es-MX"/>
        </w:rPr>
        <w:t>8</w:t>
      </w:r>
      <w:r w:rsidR="000C4640" w:rsidRPr="00E37B14">
        <w:rPr>
          <w:rFonts w:ascii="Arial" w:hAnsi="Arial"/>
          <w:sz w:val="24"/>
          <w:szCs w:val="22"/>
          <w:lang w:val="es-MX" w:eastAsia="es-MX"/>
        </w:rPr>
        <w:t>,</w:t>
      </w:r>
      <w:r w:rsidRPr="00E37B14">
        <w:rPr>
          <w:rFonts w:ascii="Arial" w:hAnsi="Arial"/>
          <w:sz w:val="24"/>
          <w:szCs w:val="22"/>
          <w:lang w:val="es-MX" w:eastAsia="es-MX"/>
        </w:rPr>
        <w:t xml:space="preserve"> el PIB de las actividades primarias integradas por la agricultura, cría y explotación de animales, aprovechamiento forestal, pesca y caza alcanzaron </w:t>
      </w:r>
      <w:r w:rsidR="00FB76FD">
        <w:rPr>
          <w:rFonts w:ascii="Arial" w:hAnsi="Arial"/>
          <w:sz w:val="24"/>
          <w:szCs w:val="22"/>
          <w:lang w:val="es-MX" w:eastAsia="es-MX"/>
        </w:rPr>
        <w:t>795</w:t>
      </w:r>
      <w:r w:rsidR="00DB795B">
        <w:rPr>
          <w:rFonts w:ascii="Arial" w:hAnsi="Arial"/>
          <w:sz w:val="24"/>
          <w:szCs w:val="22"/>
          <w:lang w:val="es-MX" w:eastAsia="es-MX"/>
        </w:rPr>
        <w:t>,</w:t>
      </w:r>
      <w:r w:rsidR="00C42732">
        <w:rPr>
          <w:rFonts w:ascii="Arial" w:hAnsi="Arial"/>
          <w:sz w:val="24"/>
          <w:szCs w:val="22"/>
          <w:lang w:val="es-MX" w:eastAsia="es-MX"/>
        </w:rPr>
        <w:t>383</w:t>
      </w:r>
      <w:r w:rsidRPr="00E37B14">
        <w:rPr>
          <w:rFonts w:ascii="Arial" w:hAnsi="Arial"/>
          <w:sz w:val="24"/>
          <w:szCs w:val="22"/>
          <w:lang w:val="es-MX" w:eastAsia="es-MX"/>
        </w:rPr>
        <w:t xml:space="preserve"> millones de pesos corrientes, cifra en la que Jalisco contribuyó </w:t>
      </w:r>
      <w:r w:rsidR="00BE7594">
        <w:rPr>
          <w:rFonts w:ascii="Arial" w:hAnsi="Arial"/>
          <w:sz w:val="24"/>
          <w:szCs w:val="22"/>
          <w:lang w:val="es-MX" w:eastAsia="es-MX"/>
        </w:rPr>
        <w:t>con la</w:t>
      </w:r>
      <w:r w:rsidRPr="00E37B14">
        <w:rPr>
          <w:rFonts w:ascii="Arial" w:hAnsi="Arial"/>
          <w:sz w:val="24"/>
          <w:szCs w:val="22"/>
          <w:lang w:val="es-MX" w:eastAsia="es-MX"/>
        </w:rPr>
        <w:t xml:space="preserve"> mayor proporción co</w:t>
      </w:r>
      <w:r w:rsidR="001A577A" w:rsidRPr="00E37B14">
        <w:rPr>
          <w:rFonts w:ascii="Arial" w:hAnsi="Arial"/>
          <w:sz w:val="24"/>
          <w:szCs w:val="22"/>
          <w:lang w:val="es-MX" w:eastAsia="es-MX"/>
        </w:rPr>
        <w:t xml:space="preserve">n </w:t>
      </w:r>
      <w:r w:rsidR="00C42732">
        <w:rPr>
          <w:rFonts w:ascii="Arial" w:hAnsi="Arial"/>
          <w:sz w:val="24"/>
          <w:szCs w:val="22"/>
          <w:lang w:val="es-MX" w:eastAsia="es-MX"/>
        </w:rPr>
        <w:t>12.5</w:t>
      </w:r>
      <w:r w:rsidRPr="00E37B14">
        <w:rPr>
          <w:rFonts w:ascii="Arial" w:hAnsi="Arial"/>
          <w:sz w:val="24"/>
          <w:szCs w:val="22"/>
          <w:lang w:val="es-MX" w:eastAsia="es-MX"/>
        </w:rPr>
        <w:t xml:space="preserve">%, </w:t>
      </w:r>
      <w:r w:rsidR="0073771A" w:rsidRPr="00E37B14">
        <w:rPr>
          <w:rFonts w:ascii="Arial" w:hAnsi="Arial"/>
          <w:sz w:val="24"/>
          <w:szCs w:val="22"/>
          <w:lang w:val="es-MX" w:eastAsia="es-MX"/>
        </w:rPr>
        <w:t xml:space="preserve">Michoacán de Ocampo </w:t>
      </w:r>
      <w:r w:rsidR="00DB795B">
        <w:rPr>
          <w:rFonts w:ascii="Arial" w:hAnsi="Arial"/>
          <w:sz w:val="24"/>
          <w:szCs w:val="22"/>
          <w:lang w:val="es-MX" w:eastAsia="es-MX"/>
        </w:rPr>
        <w:t>10.</w:t>
      </w:r>
      <w:r w:rsidR="00C42732">
        <w:rPr>
          <w:rFonts w:ascii="Arial" w:hAnsi="Arial"/>
          <w:sz w:val="24"/>
          <w:szCs w:val="22"/>
          <w:lang w:val="es-MX" w:eastAsia="es-MX"/>
        </w:rPr>
        <w:t>1</w:t>
      </w:r>
      <w:r w:rsidR="0073771A" w:rsidRPr="00E37B14">
        <w:rPr>
          <w:rFonts w:ascii="Arial" w:hAnsi="Arial"/>
          <w:sz w:val="24"/>
          <w:szCs w:val="22"/>
          <w:lang w:val="es-MX" w:eastAsia="es-MX"/>
        </w:rPr>
        <w:t xml:space="preserve">%, </w:t>
      </w:r>
      <w:r w:rsidRPr="00E37B14">
        <w:rPr>
          <w:rFonts w:ascii="Arial" w:hAnsi="Arial"/>
          <w:sz w:val="24"/>
          <w:szCs w:val="22"/>
          <w:lang w:val="es-MX" w:eastAsia="es-MX"/>
        </w:rPr>
        <w:t>Veracruz de Ignacio de la Llave 7.</w:t>
      </w:r>
      <w:r w:rsidR="00C42732">
        <w:rPr>
          <w:rFonts w:ascii="Arial" w:hAnsi="Arial"/>
          <w:sz w:val="24"/>
          <w:szCs w:val="22"/>
          <w:lang w:val="es-MX" w:eastAsia="es-MX"/>
        </w:rPr>
        <w:t>4</w:t>
      </w:r>
      <w:r w:rsidRPr="00E37B14">
        <w:rPr>
          <w:rFonts w:ascii="Arial" w:hAnsi="Arial"/>
          <w:sz w:val="24"/>
          <w:szCs w:val="22"/>
          <w:lang w:val="es-MX" w:eastAsia="es-MX"/>
        </w:rPr>
        <w:t xml:space="preserve">%, </w:t>
      </w:r>
      <w:r w:rsidR="00C42732">
        <w:rPr>
          <w:rFonts w:ascii="Arial" w:hAnsi="Arial"/>
          <w:sz w:val="24"/>
          <w:szCs w:val="22"/>
          <w:lang w:val="es-MX" w:eastAsia="es-MX"/>
        </w:rPr>
        <w:t>Sinaloa 7</w:t>
      </w:r>
      <w:r w:rsidR="00C42732" w:rsidRPr="00E37B14">
        <w:rPr>
          <w:rFonts w:ascii="Arial" w:hAnsi="Arial"/>
          <w:sz w:val="24"/>
          <w:szCs w:val="22"/>
          <w:lang w:val="es-MX" w:eastAsia="es-MX"/>
        </w:rPr>
        <w:t xml:space="preserve">%, </w:t>
      </w:r>
      <w:r w:rsidR="0073771A" w:rsidRPr="00E37B14">
        <w:rPr>
          <w:rFonts w:ascii="Arial" w:hAnsi="Arial"/>
          <w:sz w:val="24"/>
          <w:szCs w:val="22"/>
          <w:lang w:val="es-MX" w:eastAsia="es-MX"/>
        </w:rPr>
        <w:t>Chihuahua 6</w:t>
      </w:r>
      <w:r w:rsidR="00C42732">
        <w:rPr>
          <w:rFonts w:ascii="Arial" w:hAnsi="Arial"/>
          <w:sz w:val="24"/>
          <w:szCs w:val="22"/>
          <w:lang w:val="es-MX" w:eastAsia="es-MX"/>
        </w:rPr>
        <w:t>.9</w:t>
      </w:r>
      <w:r w:rsidR="0073771A" w:rsidRPr="00E37B14">
        <w:rPr>
          <w:rFonts w:ascii="Arial" w:hAnsi="Arial"/>
          <w:sz w:val="24"/>
          <w:szCs w:val="22"/>
          <w:lang w:val="es-MX" w:eastAsia="es-MX"/>
        </w:rPr>
        <w:t xml:space="preserve">%, </w:t>
      </w:r>
      <w:r w:rsidR="00D030EA" w:rsidRPr="00E37B14">
        <w:rPr>
          <w:rFonts w:ascii="Arial" w:hAnsi="Arial"/>
          <w:sz w:val="24"/>
          <w:szCs w:val="22"/>
          <w:lang w:val="es-MX" w:eastAsia="es-MX"/>
        </w:rPr>
        <w:t xml:space="preserve">Sonora </w:t>
      </w:r>
      <w:r w:rsidR="00C42732">
        <w:rPr>
          <w:rFonts w:ascii="Arial" w:hAnsi="Arial"/>
          <w:sz w:val="24"/>
          <w:szCs w:val="22"/>
          <w:lang w:val="es-MX" w:eastAsia="es-MX"/>
        </w:rPr>
        <w:t>6.2</w:t>
      </w:r>
      <w:r w:rsidRPr="00E37B14">
        <w:rPr>
          <w:rFonts w:ascii="Arial" w:hAnsi="Arial"/>
          <w:sz w:val="24"/>
          <w:szCs w:val="22"/>
          <w:lang w:val="es-MX" w:eastAsia="es-MX"/>
        </w:rPr>
        <w:t xml:space="preserve">%, </w:t>
      </w:r>
      <w:r w:rsidR="00C42732">
        <w:rPr>
          <w:rFonts w:ascii="Arial" w:hAnsi="Arial"/>
          <w:sz w:val="24"/>
          <w:szCs w:val="22"/>
          <w:lang w:val="es-MX" w:eastAsia="es-MX"/>
        </w:rPr>
        <w:t>Guanajuato 4.7</w:t>
      </w:r>
      <w:r w:rsidR="0073771A" w:rsidRPr="00E37B14">
        <w:rPr>
          <w:rFonts w:ascii="Arial" w:hAnsi="Arial"/>
          <w:sz w:val="24"/>
          <w:szCs w:val="22"/>
          <w:lang w:val="es-MX" w:eastAsia="es-MX"/>
        </w:rPr>
        <w:t xml:space="preserve">%, Puebla </w:t>
      </w:r>
      <w:r w:rsidR="00C42732">
        <w:rPr>
          <w:rFonts w:ascii="Arial" w:hAnsi="Arial"/>
          <w:sz w:val="24"/>
          <w:szCs w:val="22"/>
          <w:lang w:val="es-MX" w:eastAsia="es-MX"/>
        </w:rPr>
        <w:t>3.6</w:t>
      </w:r>
      <w:r w:rsidR="00DB795B">
        <w:rPr>
          <w:rFonts w:ascii="Arial" w:hAnsi="Arial"/>
          <w:sz w:val="24"/>
          <w:szCs w:val="22"/>
          <w:lang w:val="es-MX" w:eastAsia="es-MX"/>
        </w:rPr>
        <w:t xml:space="preserve">%, </w:t>
      </w:r>
      <w:r w:rsidR="008A633E" w:rsidRPr="00E37B14">
        <w:rPr>
          <w:rFonts w:ascii="Arial" w:hAnsi="Arial"/>
          <w:sz w:val="24"/>
          <w:szCs w:val="22"/>
          <w:lang w:val="es-MX" w:eastAsia="es-MX"/>
        </w:rPr>
        <w:t xml:space="preserve">el </w:t>
      </w:r>
      <w:r w:rsidR="00D030EA" w:rsidRPr="00E37B14">
        <w:rPr>
          <w:rFonts w:ascii="Arial" w:hAnsi="Arial"/>
          <w:sz w:val="24"/>
          <w:szCs w:val="22"/>
          <w:lang w:val="es-MX" w:eastAsia="es-MX"/>
        </w:rPr>
        <w:t xml:space="preserve">Estado de México </w:t>
      </w:r>
      <w:r w:rsidR="00C42732">
        <w:rPr>
          <w:rFonts w:ascii="Arial" w:hAnsi="Arial"/>
          <w:sz w:val="24"/>
          <w:szCs w:val="22"/>
          <w:lang w:val="es-MX" w:eastAsia="es-MX"/>
        </w:rPr>
        <w:t>3.2</w:t>
      </w:r>
      <w:r w:rsidR="00D030EA" w:rsidRPr="00E37B14">
        <w:rPr>
          <w:rFonts w:ascii="Arial" w:hAnsi="Arial"/>
          <w:sz w:val="24"/>
          <w:szCs w:val="22"/>
          <w:lang w:val="es-MX" w:eastAsia="es-MX"/>
        </w:rPr>
        <w:t xml:space="preserve">%, </w:t>
      </w:r>
      <w:r w:rsidR="00786991" w:rsidRPr="00E37B14">
        <w:rPr>
          <w:rFonts w:ascii="Arial" w:hAnsi="Arial"/>
          <w:sz w:val="24"/>
          <w:szCs w:val="22"/>
          <w:lang w:val="es-MX" w:eastAsia="es-MX"/>
        </w:rPr>
        <w:t>Durango 3.</w:t>
      </w:r>
      <w:r w:rsidR="00C42732">
        <w:rPr>
          <w:rFonts w:ascii="Arial" w:hAnsi="Arial"/>
          <w:sz w:val="24"/>
          <w:szCs w:val="22"/>
          <w:lang w:val="es-MX" w:eastAsia="es-MX"/>
        </w:rPr>
        <w:t>1</w:t>
      </w:r>
      <w:r w:rsidR="00786991" w:rsidRPr="00E37B14">
        <w:rPr>
          <w:rFonts w:ascii="Arial" w:hAnsi="Arial"/>
          <w:sz w:val="24"/>
          <w:szCs w:val="22"/>
          <w:lang w:val="es-MX" w:eastAsia="es-MX"/>
        </w:rPr>
        <w:t>%</w:t>
      </w:r>
      <w:r w:rsidR="00786991">
        <w:rPr>
          <w:rFonts w:ascii="Arial" w:hAnsi="Arial"/>
          <w:sz w:val="24"/>
          <w:szCs w:val="22"/>
          <w:lang w:val="es-MX" w:eastAsia="es-MX"/>
        </w:rPr>
        <w:t xml:space="preserve"> y </w:t>
      </w:r>
      <w:r w:rsidR="00D030EA" w:rsidRPr="00E37B14">
        <w:rPr>
          <w:rFonts w:ascii="Arial" w:hAnsi="Arial"/>
          <w:sz w:val="24"/>
          <w:szCs w:val="22"/>
          <w:lang w:val="es-MX" w:eastAsia="es-MX"/>
        </w:rPr>
        <w:t xml:space="preserve">Chiapas </w:t>
      </w:r>
      <w:r w:rsidR="00C42732">
        <w:rPr>
          <w:rFonts w:ascii="Arial" w:hAnsi="Arial"/>
          <w:sz w:val="24"/>
          <w:szCs w:val="22"/>
          <w:lang w:val="es-MX" w:eastAsia="es-MX"/>
        </w:rPr>
        <w:t>con 3</w:t>
      </w:r>
      <w:r w:rsidR="008A633E" w:rsidRPr="00E37B14">
        <w:rPr>
          <w:rFonts w:ascii="Arial" w:hAnsi="Arial"/>
          <w:sz w:val="24"/>
          <w:szCs w:val="22"/>
          <w:lang w:val="es-MX" w:eastAsia="es-MX"/>
        </w:rPr>
        <w:t xml:space="preserve"> por cient</w:t>
      </w:r>
      <w:r w:rsidR="0073771A" w:rsidRPr="00E37B14">
        <w:rPr>
          <w:rFonts w:ascii="Arial" w:hAnsi="Arial"/>
          <w:sz w:val="24"/>
          <w:szCs w:val="22"/>
          <w:lang w:val="es-MX" w:eastAsia="es-MX"/>
        </w:rPr>
        <w:t>o</w:t>
      </w:r>
      <w:r w:rsidR="000B2614" w:rsidRPr="00E37B14">
        <w:rPr>
          <w:rFonts w:ascii="Arial" w:hAnsi="Arial"/>
          <w:sz w:val="24"/>
          <w:szCs w:val="22"/>
          <w:lang w:val="es-MX" w:eastAsia="es-MX"/>
        </w:rPr>
        <w:t>. El resto de los estados participó con el 3</w:t>
      </w:r>
      <w:r w:rsidR="00C42732">
        <w:rPr>
          <w:rFonts w:ascii="Arial" w:hAnsi="Arial"/>
          <w:sz w:val="24"/>
          <w:szCs w:val="22"/>
          <w:lang w:val="es-MX" w:eastAsia="es-MX"/>
        </w:rPr>
        <w:t>2.3</w:t>
      </w:r>
      <w:r w:rsidR="000B2614" w:rsidRPr="00E37B14">
        <w:rPr>
          <w:rFonts w:ascii="Arial" w:hAnsi="Arial"/>
          <w:sz w:val="24"/>
          <w:szCs w:val="22"/>
          <w:lang w:val="es-MX" w:eastAsia="es-MX"/>
        </w:rPr>
        <w:t xml:space="preserve"> por ciento</w:t>
      </w:r>
      <w:r w:rsidR="000B2614" w:rsidRPr="005A3D19">
        <w:rPr>
          <w:rFonts w:ascii="Arial" w:hAnsi="Arial"/>
          <w:sz w:val="24"/>
          <w:szCs w:val="22"/>
          <w:lang w:val="es-MX" w:eastAsia="es-MX"/>
        </w:rPr>
        <w:t>.</w:t>
      </w:r>
    </w:p>
    <w:p w14:paraId="6CA3BD78" w14:textId="77777777" w:rsidR="002D666D" w:rsidRPr="009E2FCB" w:rsidRDefault="002D666D" w:rsidP="008A633E">
      <w:pPr>
        <w:pStyle w:val="n01"/>
        <w:keepLines w:val="0"/>
        <w:spacing w:before="720"/>
        <w:ind w:left="0" w:firstLine="0"/>
        <w:jc w:val="center"/>
        <w:outlineLvl w:val="0"/>
        <w:rPr>
          <w:rFonts w:ascii="Arial" w:eastAsia="Calibri" w:hAnsi="Arial" w:cs="Arial"/>
          <w:color w:val="auto"/>
          <w:szCs w:val="28"/>
          <w:lang w:val="es-MX" w:eastAsia="en-US"/>
        </w:rPr>
      </w:pPr>
      <w:r>
        <w:rPr>
          <w:rFonts w:ascii="Arial" w:eastAsia="Calibri" w:hAnsi="Arial" w:cs="Arial"/>
          <w:color w:val="auto"/>
          <w:szCs w:val="28"/>
          <w:lang w:val="es-MX" w:eastAsia="en-US"/>
        </w:rPr>
        <w:t>Gráfica 2</w:t>
      </w:r>
    </w:p>
    <w:p w14:paraId="60A89908" w14:textId="77777777" w:rsidR="002D666D" w:rsidRPr="00DC44B6" w:rsidRDefault="002D666D" w:rsidP="002D666D">
      <w:pPr>
        <w:pStyle w:val="n01"/>
        <w:keepLines w:val="0"/>
        <w:spacing w:before="0" w:line="20" w:lineRule="atLeast"/>
        <w:ind w:left="851" w:right="900" w:firstLine="0"/>
        <w:jc w:val="center"/>
        <w:outlineLvl w:val="0"/>
        <w:rPr>
          <w:rFonts w:ascii="Arial" w:hAnsi="Arial" w:cs="Arial"/>
          <w:b/>
          <w:color w:val="auto"/>
          <w:spacing w:val="-6"/>
          <w:szCs w:val="24"/>
        </w:rPr>
      </w:pPr>
      <w:r>
        <w:rPr>
          <w:rFonts w:ascii="Arial" w:hAnsi="Arial" w:cs="Arial"/>
          <w:b/>
          <w:smallCaps/>
          <w:color w:val="auto"/>
          <w:spacing w:val="-6"/>
          <w:szCs w:val="24"/>
        </w:rPr>
        <w:t xml:space="preserve">Producto Interno Bruto de las actividades primarias en </w:t>
      </w:r>
      <w:r w:rsidR="0012524B">
        <w:rPr>
          <w:rFonts w:ascii="Arial" w:hAnsi="Arial" w:cs="Arial"/>
          <w:b/>
          <w:smallCaps/>
          <w:color w:val="auto"/>
          <w:spacing w:val="-6"/>
          <w:szCs w:val="24"/>
        </w:rPr>
        <w:t>201</w:t>
      </w:r>
      <w:r w:rsidR="00E91142">
        <w:rPr>
          <w:rFonts w:ascii="Arial" w:hAnsi="Arial" w:cs="Arial"/>
          <w:b/>
          <w:smallCaps/>
          <w:color w:val="auto"/>
          <w:spacing w:val="-6"/>
          <w:szCs w:val="24"/>
        </w:rPr>
        <w:t>8</w:t>
      </w:r>
    </w:p>
    <w:p w14:paraId="3F03AC3C" w14:textId="77777777" w:rsidR="002D666D" w:rsidRDefault="002D666D" w:rsidP="002D666D">
      <w:pPr>
        <w:pStyle w:val="n01"/>
        <w:keepLines w:val="0"/>
        <w:spacing w:before="0" w:line="20" w:lineRule="atLeast"/>
        <w:ind w:left="0" w:firstLine="0"/>
        <w:jc w:val="center"/>
        <w:outlineLvl w:val="0"/>
        <w:rPr>
          <w:rFonts w:ascii="Arial" w:hAnsi="Arial" w:cs="Arial"/>
          <w:b/>
          <w:smallCaps/>
          <w:color w:val="auto"/>
          <w:sz w:val="20"/>
          <w:szCs w:val="22"/>
        </w:rPr>
      </w:pPr>
      <w:r w:rsidRPr="00DC44B6">
        <w:rPr>
          <w:rFonts w:ascii="Arial" w:hAnsi="Arial" w:cs="Arial"/>
          <w:color w:val="auto"/>
          <w:spacing w:val="-6"/>
          <w:sz w:val="20"/>
          <w:szCs w:val="24"/>
        </w:rPr>
        <w:t>(</w:t>
      </w:r>
      <w:r>
        <w:rPr>
          <w:rFonts w:ascii="Arial" w:hAnsi="Arial" w:cs="Arial"/>
          <w:color w:val="auto"/>
          <w:spacing w:val="-6"/>
          <w:sz w:val="20"/>
          <w:szCs w:val="24"/>
        </w:rPr>
        <w:t>Estructura porcentual)</w:t>
      </w:r>
    </w:p>
    <w:p w14:paraId="0AF35BF5" w14:textId="77777777" w:rsidR="004F4854" w:rsidRPr="00815495" w:rsidRDefault="004E1E73" w:rsidP="00ED6217">
      <w:pPr>
        <w:ind w:left="-567"/>
        <w:jc w:val="center"/>
        <w:rPr>
          <w:rFonts w:ascii="Arial" w:hAnsi="Arial"/>
          <w:smallCaps/>
          <w:sz w:val="18"/>
          <w:szCs w:val="18"/>
          <w:lang w:val="es-MX"/>
        </w:rPr>
      </w:pPr>
      <w:r w:rsidRPr="004E1E73">
        <w:rPr>
          <w:noProof/>
        </w:rPr>
        <w:drawing>
          <wp:inline distT="0" distB="0" distL="0" distR="0" wp14:anchorId="549AD8D2" wp14:editId="537CD7D7">
            <wp:extent cx="6343363" cy="4068000"/>
            <wp:effectExtent l="19050" t="19050" r="19685" b="279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343363" cy="4068000"/>
                    </a:xfrm>
                    <a:prstGeom prst="rect">
                      <a:avLst/>
                    </a:prstGeom>
                    <a:noFill/>
                    <a:ln>
                      <a:solidFill>
                        <a:schemeClr val="tx1"/>
                      </a:solidFill>
                    </a:ln>
                  </pic:spPr>
                </pic:pic>
              </a:graphicData>
            </a:graphic>
          </wp:inline>
        </w:drawing>
      </w:r>
    </w:p>
    <w:p w14:paraId="351B7788" w14:textId="77777777" w:rsidR="00E120A8" w:rsidRDefault="00ED16ED" w:rsidP="00ED6217">
      <w:pPr>
        <w:tabs>
          <w:tab w:val="left" w:pos="595"/>
        </w:tabs>
        <w:ind w:left="-567"/>
        <w:rPr>
          <w:rFonts w:ascii="Arial" w:hAnsi="Arial" w:cs="Arial"/>
          <w:sz w:val="16"/>
          <w:szCs w:val="16"/>
        </w:rPr>
      </w:pPr>
      <w:r>
        <w:rPr>
          <w:rFonts w:ascii="Arial" w:hAnsi="Arial" w:cs="Arial"/>
          <w:sz w:val="16"/>
          <w:szCs w:val="16"/>
        </w:rPr>
        <w:t xml:space="preserve"> </w:t>
      </w:r>
      <w:r w:rsidR="00815495">
        <w:rPr>
          <w:rFonts w:ascii="Arial" w:hAnsi="Arial" w:cs="Arial"/>
          <w:sz w:val="16"/>
          <w:szCs w:val="16"/>
        </w:rPr>
        <w:t>Fuente</w:t>
      </w:r>
      <w:r w:rsidR="00815495" w:rsidRPr="00706D76">
        <w:rPr>
          <w:rFonts w:ascii="Arial" w:hAnsi="Arial" w:cs="Arial"/>
          <w:sz w:val="16"/>
          <w:szCs w:val="16"/>
        </w:rPr>
        <w:t>: INEGI.</w:t>
      </w:r>
    </w:p>
    <w:p w14:paraId="79C578B7" w14:textId="77777777" w:rsidR="00E120A8" w:rsidRDefault="00E120A8">
      <w:pPr>
        <w:rPr>
          <w:rFonts w:ascii="Arial" w:hAnsi="Arial" w:cs="Arial"/>
          <w:sz w:val="16"/>
          <w:szCs w:val="16"/>
        </w:rPr>
      </w:pPr>
      <w:r>
        <w:rPr>
          <w:rFonts w:ascii="Arial" w:hAnsi="Arial" w:cs="Arial"/>
          <w:sz w:val="16"/>
          <w:szCs w:val="16"/>
        </w:rPr>
        <w:br w:type="page"/>
      </w:r>
    </w:p>
    <w:p w14:paraId="27B4FC4B" w14:textId="77777777" w:rsidR="0092557D" w:rsidRDefault="0092557D" w:rsidP="00E120A8">
      <w:pPr>
        <w:pStyle w:val="Textoindependiente"/>
        <w:spacing w:before="1800" w:after="120"/>
        <w:rPr>
          <w:i/>
          <w:lang w:val="es-MX"/>
        </w:rPr>
      </w:pPr>
      <w:r>
        <w:rPr>
          <w:i/>
          <w:lang w:val="es-MX"/>
        </w:rPr>
        <w:lastRenderedPageBreak/>
        <w:t>Actividades Secundarias</w:t>
      </w:r>
    </w:p>
    <w:p w14:paraId="653F8DCE" w14:textId="77777777" w:rsidR="009D0345" w:rsidRDefault="009D0345" w:rsidP="00BE58AC">
      <w:pPr>
        <w:pStyle w:val="Textoindependiente"/>
        <w:spacing w:before="600"/>
      </w:pPr>
      <w:r>
        <w:t>Las actividades secundarias</w:t>
      </w:r>
      <w:r w:rsidRPr="007B4CA8">
        <w:t xml:space="preserve"> conformad</w:t>
      </w:r>
      <w:r>
        <w:t>as</w:t>
      </w:r>
      <w:r w:rsidRPr="007B4CA8">
        <w:t xml:space="preserve"> por</w:t>
      </w:r>
      <w:r>
        <w:t xml:space="preserve"> la minería, </w:t>
      </w:r>
      <w:r w:rsidR="00B227F0">
        <w:t xml:space="preserve">las </w:t>
      </w:r>
      <w:r>
        <w:t>industria</w:t>
      </w:r>
      <w:r w:rsidR="00B227F0">
        <w:t>s</w:t>
      </w:r>
      <w:r>
        <w:t xml:space="preserve"> manufacturera</w:t>
      </w:r>
      <w:r w:rsidR="00B227F0">
        <w:t>s</w:t>
      </w:r>
      <w:r>
        <w:t xml:space="preserve">, </w:t>
      </w:r>
      <w:r w:rsidR="00B227F0">
        <w:t xml:space="preserve">la </w:t>
      </w:r>
      <w:r>
        <w:t xml:space="preserve">construcción </w:t>
      </w:r>
      <w:r w:rsidRPr="00F345CD">
        <w:t xml:space="preserve">y la </w:t>
      </w:r>
      <w:r>
        <w:t xml:space="preserve">generación, transmisión y distribución de energía eléctrica </w:t>
      </w:r>
      <w:r w:rsidRPr="00F345CD">
        <w:t>y suministro de gas por ductos al consumidor final</w:t>
      </w:r>
      <w:r>
        <w:t xml:space="preserve">, registraron en </w:t>
      </w:r>
      <w:r w:rsidR="00E91142">
        <w:t>2018</w:t>
      </w:r>
      <w:r w:rsidRPr="00F345CD">
        <w:t xml:space="preserve"> un monto</w:t>
      </w:r>
      <w:r>
        <w:t xml:space="preserve"> de </w:t>
      </w:r>
      <w:r w:rsidR="00E91142">
        <w:t>7</w:t>
      </w:r>
      <w:r w:rsidR="000746B1">
        <w:t>,</w:t>
      </w:r>
      <w:r w:rsidR="00E91142">
        <w:t>268,243</w:t>
      </w:r>
      <w:r w:rsidRPr="0097357D">
        <w:t xml:space="preserve"> millones de </w:t>
      </w:r>
      <w:r w:rsidRPr="00E37B14">
        <w:t xml:space="preserve">pesos corrientes. Las entidades que en mayor medida aportaron a esta cifra fueron: </w:t>
      </w:r>
      <w:r w:rsidR="00E91142">
        <w:t>Nuevo León 9.4</w:t>
      </w:r>
      <w:r w:rsidR="008A633E" w:rsidRPr="00E37B14">
        <w:t xml:space="preserve">%, </w:t>
      </w:r>
      <w:r w:rsidR="000D06BC" w:rsidRPr="00E37B14">
        <w:t xml:space="preserve">el </w:t>
      </w:r>
      <w:r w:rsidR="00D030EA" w:rsidRPr="00E37B14">
        <w:t xml:space="preserve">Estado de México </w:t>
      </w:r>
      <w:r w:rsidR="000D06BC" w:rsidRPr="00E37B14">
        <w:t xml:space="preserve">con </w:t>
      </w:r>
      <w:r w:rsidR="00E91142">
        <w:t>7.3</w:t>
      </w:r>
      <w:r w:rsidR="00D030EA" w:rsidRPr="00E37B14">
        <w:t xml:space="preserve">%, </w:t>
      </w:r>
      <w:r w:rsidR="0073771A" w:rsidRPr="00E37B14">
        <w:t xml:space="preserve">Jalisco </w:t>
      </w:r>
      <w:r w:rsidR="00E91142">
        <w:t>6.8</w:t>
      </w:r>
      <w:r w:rsidR="0073771A" w:rsidRPr="00E37B14">
        <w:t xml:space="preserve">%, </w:t>
      </w:r>
      <w:r w:rsidR="008A633E" w:rsidRPr="00E37B14">
        <w:t xml:space="preserve">Coahuila de Zaragoza 6.3%, </w:t>
      </w:r>
      <w:r w:rsidR="000746B1" w:rsidRPr="00E37B14">
        <w:t>Campeche</w:t>
      </w:r>
      <w:r w:rsidR="000746B1" w:rsidRPr="00E37B14">
        <w:rPr>
          <w:rStyle w:val="Refdenotaalpie"/>
          <w:b w:val="0"/>
          <w:sz w:val="20"/>
        </w:rPr>
        <w:footnoteReference w:id="4"/>
      </w:r>
      <w:r w:rsidR="000746B1">
        <w:t xml:space="preserve"> </w:t>
      </w:r>
      <w:r w:rsidR="00E91142">
        <w:t>6.1</w:t>
      </w:r>
      <w:r w:rsidR="000746B1">
        <w:t xml:space="preserve">%, </w:t>
      </w:r>
      <w:r w:rsidR="000746B1" w:rsidRPr="00E37B14">
        <w:t>Guanajuato 5</w:t>
      </w:r>
      <w:r w:rsidR="00E91142">
        <w:t>.2</w:t>
      </w:r>
      <w:r w:rsidR="000746B1" w:rsidRPr="00E37B14">
        <w:t xml:space="preserve">%, </w:t>
      </w:r>
      <w:r w:rsidR="00E91142">
        <w:t>la Ciudad de México 5.1</w:t>
      </w:r>
      <w:r w:rsidR="008A633E" w:rsidRPr="00E37B14">
        <w:t xml:space="preserve">%, Sonora </w:t>
      </w:r>
      <w:r w:rsidR="00E91142">
        <w:t>4.9</w:t>
      </w:r>
      <w:r w:rsidR="000746B1">
        <w:t>%</w:t>
      </w:r>
      <w:r w:rsidR="008A633E" w:rsidRPr="00E37B14">
        <w:t xml:space="preserve">, </w:t>
      </w:r>
      <w:r w:rsidR="00932CEF" w:rsidRPr="00E37B14">
        <w:t xml:space="preserve">Chihuahua </w:t>
      </w:r>
      <w:r w:rsidR="00E91142">
        <w:t xml:space="preserve">y </w:t>
      </w:r>
      <w:r w:rsidR="00096F79">
        <w:t>Baja California 4.4</w:t>
      </w:r>
      <w:r w:rsidR="000746B1" w:rsidRPr="00E37B14">
        <w:t>%</w:t>
      </w:r>
      <w:r w:rsidR="00E91142">
        <w:t xml:space="preserve"> </w:t>
      </w:r>
      <w:r w:rsidR="00C07C7B">
        <w:t>individualmente</w:t>
      </w:r>
      <w:r w:rsidR="00E91142">
        <w:t>,</w:t>
      </w:r>
      <w:r w:rsidR="000746B1">
        <w:t xml:space="preserve"> y</w:t>
      </w:r>
      <w:r w:rsidR="000746B1" w:rsidRPr="00E37B14">
        <w:t xml:space="preserve"> </w:t>
      </w:r>
      <w:r w:rsidRPr="00E37B14">
        <w:t>V</w:t>
      </w:r>
      <w:r w:rsidR="0073771A" w:rsidRPr="00E37B14">
        <w:t>eracruz de Igna</w:t>
      </w:r>
      <w:r w:rsidR="000016A5" w:rsidRPr="00E37B14">
        <w:t xml:space="preserve">cio de la Llave </w:t>
      </w:r>
      <w:r w:rsidR="00932CEF" w:rsidRPr="00E37B14">
        <w:t>4.</w:t>
      </w:r>
      <w:r w:rsidR="000746B1">
        <w:t>3 po</w:t>
      </w:r>
      <w:r w:rsidR="00531CD9" w:rsidRPr="00E37B14">
        <w:t>r ciento</w:t>
      </w:r>
      <w:r w:rsidRPr="00E37B14">
        <w:t>. El resto de l</w:t>
      </w:r>
      <w:r w:rsidR="00C07C7B">
        <w:t>os</w:t>
      </w:r>
      <w:r w:rsidRPr="00E37B14">
        <w:t xml:space="preserve"> </w:t>
      </w:r>
      <w:r w:rsidR="00C07C7B">
        <w:t>estados</w:t>
      </w:r>
      <w:r w:rsidRPr="00E37B14">
        <w:t xml:space="preserve"> participa</w:t>
      </w:r>
      <w:r w:rsidR="001A4BF0" w:rsidRPr="00E37B14">
        <w:t>r</w:t>
      </w:r>
      <w:r w:rsidR="00812CB4" w:rsidRPr="00E37B14">
        <w:t xml:space="preserve">on de manera agregada con el </w:t>
      </w:r>
      <w:r w:rsidR="00932CEF" w:rsidRPr="00E37B14">
        <w:t>3</w:t>
      </w:r>
      <w:r w:rsidR="000746B1">
        <w:t>5</w:t>
      </w:r>
      <w:r w:rsidR="00E91142">
        <w:t>.8</w:t>
      </w:r>
      <w:r w:rsidRPr="00E37B14">
        <w:t xml:space="preserve"> por ciento.</w:t>
      </w:r>
    </w:p>
    <w:p w14:paraId="522FF964" w14:textId="77777777" w:rsidR="000603D1" w:rsidRPr="009E2FCB" w:rsidRDefault="000603D1" w:rsidP="00531CD9">
      <w:pPr>
        <w:pStyle w:val="n01"/>
        <w:keepLines w:val="0"/>
        <w:spacing w:before="600"/>
        <w:ind w:left="0" w:firstLine="0"/>
        <w:jc w:val="center"/>
        <w:outlineLvl w:val="0"/>
        <w:rPr>
          <w:rFonts w:ascii="Arial" w:eastAsia="Calibri" w:hAnsi="Arial" w:cs="Arial"/>
          <w:color w:val="auto"/>
          <w:szCs w:val="28"/>
          <w:lang w:val="es-MX" w:eastAsia="en-US"/>
        </w:rPr>
      </w:pPr>
      <w:r>
        <w:rPr>
          <w:rFonts w:ascii="Arial" w:eastAsia="Calibri" w:hAnsi="Arial" w:cs="Arial"/>
          <w:color w:val="auto"/>
          <w:szCs w:val="28"/>
          <w:lang w:val="es-MX" w:eastAsia="en-US"/>
        </w:rPr>
        <w:t>Gráfica 3</w:t>
      </w:r>
    </w:p>
    <w:p w14:paraId="157F5E34" w14:textId="77777777" w:rsidR="000603D1" w:rsidRPr="00DC44B6" w:rsidRDefault="000603D1" w:rsidP="000603D1">
      <w:pPr>
        <w:pStyle w:val="n01"/>
        <w:keepLines w:val="0"/>
        <w:spacing w:before="0" w:line="20" w:lineRule="atLeast"/>
        <w:ind w:left="851" w:right="900" w:firstLine="0"/>
        <w:jc w:val="center"/>
        <w:outlineLvl w:val="0"/>
        <w:rPr>
          <w:rFonts w:ascii="Arial" w:hAnsi="Arial" w:cs="Arial"/>
          <w:b/>
          <w:color w:val="auto"/>
          <w:spacing w:val="-6"/>
          <w:szCs w:val="24"/>
        </w:rPr>
      </w:pPr>
      <w:r>
        <w:rPr>
          <w:rFonts w:ascii="Arial" w:hAnsi="Arial" w:cs="Arial"/>
          <w:b/>
          <w:smallCaps/>
          <w:color w:val="auto"/>
          <w:spacing w:val="-6"/>
          <w:szCs w:val="24"/>
        </w:rPr>
        <w:t xml:space="preserve">Producto Interno Bruto de las actividades secundarias en </w:t>
      </w:r>
      <w:r w:rsidR="0012524B">
        <w:rPr>
          <w:rFonts w:ascii="Arial" w:hAnsi="Arial" w:cs="Arial"/>
          <w:b/>
          <w:smallCaps/>
          <w:color w:val="auto"/>
          <w:spacing w:val="-6"/>
          <w:szCs w:val="24"/>
        </w:rPr>
        <w:t>201</w:t>
      </w:r>
      <w:r w:rsidR="00E91142">
        <w:rPr>
          <w:rFonts w:ascii="Arial" w:hAnsi="Arial" w:cs="Arial"/>
          <w:b/>
          <w:smallCaps/>
          <w:color w:val="auto"/>
          <w:spacing w:val="-6"/>
          <w:szCs w:val="24"/>
        </w:rPr>
        <w:t>8</w:t>
      </w:r>
    </w:p>
    <w:p w14:paraId="524DA172" w14:textId="77777777" w:rsidR="000603D1" w:rsidRDefault="000603D1" w:rsidP="000603D1">
      <w:pPr>
        <w:pStyle w:val="Textoindependiente"/>
        <w:tabs>
          <w:tab w:val="clear" w:pos="3348"/>
        </w:tabs>
        <w:spacing w:before="0"/>
        <w:ind w:right="-2"/>
        <w:jc w:val="center"/>
        <w:rPr>
          <w:rFonts w:cs="Arial"/>
          <w:spacing w:val="-6"/>
          <w:sz w:val="20"/>
          <w:szCs w:val="24"/>
        </w:rPr>
      </w:pPr>
      <w:r w:rsidRPr="00DC44B6">
        <w:rPr>
          <w:rFonts w:cs="Arial"/>
          <w:spacing w:val="-6"/>
          <w:sz w:val="20"/>
          <w:szCs w:val="24"/>
        </w:rPr>
        <w:t>(</w:t>
      </w:r>
      <w:r>
        <w:rPr>
          <w:rFonts w:cs="Arial"/>
          <w:spacing w:val="-6"/>
          <w:sz w:val="20"/>
          <w:szCs w:val="24"/>
        </w:rPr>
        <w:t>Estructura porcentual)</w:t>
      </w:r>
    </w:p>
    <w:p w14:paraId="073760DE" w14:textId="77777777" w:rsidR="004D1AAE" w:rsidRDefault="004E1E73" w:rsidP="00E120A8">
      <w:pPr>
        <w:pStyle w:val="Textoindependiente"/>
        <w:tabs>
          <w:tab w:val="clear" w:pos="3348"/>
        </w:tabs>
        <w:spacing w:before="0"/>
        <w:ind w:left="-567" w:right="-2"/>
        <w:jc w:val="center"/>
        <w:rPr>
          <w:rFonts w:cs="Arial"/>
          <w:spacing w:val="-6"/>
          <w:sz w:val="20"/>
          <w:szCs w:val="24"/>
        </w:rPr>
      </w:pPr>
      <w:r w:rsidRPr="004E1E73">
        <w:rPr>
          <w:noProof/>
        </w:rPr>
        <w:drawing>
          <wp:inline distT="0" distB="0" distL="0" distR="0" wp14:anchorId="77712DFE" wp14:editId="4BFE4FC6">
            <wp:extent cx="6406410" cy="4067706"/>
            <wp:effectExtent l="19050" t="19050" r="13970" b="2857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410219" cy="4070124"/>
                    </a:xfrm>
                    <a:prstGeom prst="rect">
                      <a:avLst/>
                    </a:prstGeom>
                    <a:noFill/>
                    <a:ln>
                      <a:solidFill>
                        <a:schemeClr val="tx1"/>
                      </a:solidFill>
                    </a:ln>
                  </pic:spPr>
                </pic:pic>
              </a:graphicData>
            </a:graphic>
          </wp:inline>
        </w:drawing>
      </w:r>
    </w:p>
    <w:p w14:paraId="728BDEF1" w14:textId="77777777" w:rsidR="0092557D" w:rsidRPr="00706D76" w:rsidRDefault="00F92638" w:rsidP="00E120A8">
      <w:pPr>
        <w:pStyle w:val="Textoindependiente"/>
        <w:tabs>
          <w:tab w:val="clear" w:pos="3348"/>
        </w:tabs>
        <w:spacing w:before="0"/>
        <w:ind w:left="-567" w:right="-2"/>
        <w:jc w:val="left"/>
        <w:rPr>
          <w:rFonts w:cs="Arial"/>
          <w:smallCaps/>
          <w:sz w:val="16"/>
          <w:szCs w:val="16"/>
        </w:rPr>
      </w:pPr>
      <w:r>
        <w:rPr>
          <w:rFonts w:cs="Arial"/>
          <w:sz w:val="16"/>
          <w:szCs w:val="16"/>
        </w:rPr>
        <w:t xml:space="preserve"> </w:t>
      </w:r>
      <w:r w:rsidR="0092557D" w:rsidRPr="00706D76">
        <w:rPr>
          <w:rFonts w:cs="Arial"/>
          <w:sz w:val="16"/>
          <w:szCs w:val="16"/>
        </w:rPr>
        <w:t>Fuente: INEGI.</w:t>
      </w:r>
    </w:p>
    <w:p w14:paraId="7AF4A986" w14:textId="77777777" w:rsidR="00410602" w:rsidRDefault="00410602" w:rsidP="001A4BF0">
      <w:pPr>
        <w:pStyle w:val="Textoindependiente"/>
        <w:spacing w:before="960"/>
        <w:rPr>
          <w:i/>
          <w:szCs w:val="24"/>
          <w:lang w:val="es-MX"/>
        </w:rPr>
      </w:pPr>
      <w:r>
        <w:rPr>
          <w:i/>
          <w:szCs w:val="24"/>
          <w:lang w:val="es-MX"/>
        </w:rPr>
        <w:lastRenderedPageBreak/>
        <w:t>Actividades</w:t>
      </w:r>
      <w:r w:rsidR="003E33E9">
        <w:rPr>
          <w:i/>
          <w:szCs w:val="24"/>
          <w:lang w:val="es-MX"/>
        </w:rPr>
        <w:t xml:space="preserve"> secundarias sin considerar la minería p</w:t>
      </w:r>
      <w:r>
        <w:rPr>
          <w:i/>
          <w:szCs w:val="24"/>
          <w:lang w:val="es-MX"/>
        </w:rPr>
        <w:t>etrolera</w:t>
      </w:r>
    </w:p>
    <w:p w14:paraId="17188220" w14:textId="77777777" w:rsidR="007D09A2" w:rsidRDefault="00410602" w:rsidP="00BE58AC">
      <w:pPr>
        <w:pStyle w:val="Textoindependiente"/>
        <w:spacing w:before="600"/>
        <w:rPr>
          <w:rFonts w:cs="Arial"/>
          <w:b/>
          <w:smallCaps/>
          <w:sz w:val="22"/>
          <w:szCs w:val="22"/>
        </w:rPr>
      </w:pPr>
      <w:r>
        <w:rPr>
          <w:lang w:val="es-MX"/>
        </w:rPr>
        <w:t>Es importante mencionar que en algunos e</w:t>
      </w:r>
      <w:r w:rsidR="003E33E9">
        <w:rPr>
          <w:lang w:val="es-MX"/>
        </w:rPr>
        <w:t>stados, la minería p</w:t>
      </w:r>
      <w:r>
        <w:rPr>
          <w:lang w:val="es-MX"/>
        </w:rPr>
        <w:t>etrolera</w:t>
      </w:r>
      <w:r w:rsidRPr="0021653E">
        <w:rPr>
          <w:rStyle w:val="Refdenotaalpie"/>
          <w:b w:val="0"/>
          <w:sz w:val="20"/>
        </w:rPr>
        <w:footnoteReference w:id="5"/>
      </w:r>
      <w:r>
        <w:rPr>
          <w:lang w:val="es-MX"/>
        </w:rPr>
        <w:t xml:space="preserve"> </w:t>
      </w:r>
      <w:r w:rsidR="00CF5F59">
        <w:rPr>
          <w:lang w:val="es-MX"/>
        </w:rPr>
        <w:t>incide significativamente</w:t>
      </w:r>
      <w:r w:rsidR="005F4549">
        <w:rPr>
          <w:lang w:val="es-MX"/>
        </w:rPr>
        <w:t xml:space="preserve"> en su Producto Interno Bruto</w:t>
      </w:r>
      <w:r w:rsidR="00435777">
        <w:rPr>
          <w:lang w:val="es-MX"/>
        </w:rPr>
        <w:t>.</w:t>
      </w:r>
      <w:r w:rsidR="005F4549">
        <w:rPr>
          <w:lang w:val="es-MX"/>
        </w:rPr>
        <w:t xml:space="preserve"> </w:t>
      </w:r>
      <w:r>
        <w:rPr>
          <w:lang w:val="es-MX"/>
        </w:rPr>
        <w:t>Con objeto de conocer este impacto</w:t>
      </w:r>
      <w:r w:rsidR="00115439">
        <w:rPr>
          <w:lang w:val="es-MX"/>
        </w:rPr>
        <w:t>,</w:t>
      </w:r>
      <w:r>
        <w:rPr>
          <w:lang w:val="es-MX"/>
        </w:rPr>
        <w:t xml:space="preserve"> en la siguiente gráfica se presenta</w:t>
      </w:r>
      <w:r w:rsidR="00222B00">
        <w:rPr>
          <w:lang w:val="es-MX"/>
        </w:rPr>
        <w:t>n la</w:t>
      </w:r>
      <w:r w:rsidR="000562E1">
        <w:rPr>
          <w:lang w:val="es-MX"/>
        </w:rPr>
        <w:t xml:space="preserve">s </w:t>
      </w:r>
      <w:r w:rsidR="00222B00">
        <w:rPr>
          <w:lang w:val="es-MX"/>
        </w:rPr>
        <w:t>participaciones</w:t>
      </w:r>
      <w:r w:rsidR="000562E1">
        <w:rPr>
          <w:lang w:val="es-MX"/>
        </w:rPr>
        <w:t xml:space="preserve"> estatales de las actividades s</w:t>
      </w:r>
      <w:r>
        <w:rPr>
          <w:lang w:val="es-MX"/>
        </w:rPr>
        <w:t>ecundarias sin considerar dich</w:t>
      </w:r>
      <w:r w:rsidR="00E12FCD">
        <w:rPr>
          <w:lang w:val="es-MX"/>
        </w:rPr>
        <w:t>a m</w:t>
      </w:r>
      <w:r>
        <w:rPr>
          <w:lang w:val="es-MX"/>
        </w:rPr>
        <w:t>inería.</w:t>
      </w:r>
    </w:p>
    <w:p w14:paraId="333F337C" w14:textId="77777777" w:rsidR="002C1035" w:rsidRPr="009E2FCB" w:rsidRDefault="002C1035" w:rsidP="002C1035">
      <w:pPr>
        <w:pStyle w:val="n01"/>
        <w:keepLines w:val="0"/>
        <w:spacing w:before="600"/>
        <w:ind w:left="0" w:firstLine="0"/>
        <w:jc w:val="center"/>
        <w:outlineLvl w:val="0"/>
        <w:rPr>
          <w:rFonts w:ascii="Arial" w:eastAsia="Calibri" w:hAnsi="Arial" w:cs="Arial"/>
          <w:color w:val="auto"/>
          <w:szCs w:val="28"/>
          <w:lang w:val="es-MX" w:eastAsia="en-US"/>
        </w:rPr>
      </w:pPr>
      <w:r>
        <w:rPr>
          <w:rFonts w:ascii="Arial" w:eastAsia="Calibri" w:hAnsi="Arial" w:cs="Arial"/>
          <w:color w:val="auto"/>
          <w:szCs w:val="28"/>
          <w:lang w:val="es-MX" w:eastAsia="en-US"/>
        </w:rPr>
        <w:t>Gráfica 4</w:t>
      </w:r>
    </w:p>
    <w:p w14:paraId="1AA6EFBF" w14:textId="77777777" w:rsidR="002C1035" w:rsidRDefault="002C1035" w:rsidP="002C1035">
      <w:pPr>
        <w:pStyle w:val="n01"/>
        <w:keepLines w:val="0"/>
        <w:spacing w:before="0" w:line="20" w:lineRule="atLeast"/>
        <w:ind w:left="851" w:right="900" w:firstLine="0"/>
        <w:jc w:val="center"/>
        <w:outlineLvl w:val="0"/>
        <w:rPr>
          <w:rFonts w:ascii="Arial" w:hAnsi="Arial" w:cs="Arial"/>
          <w:b/>
          <w:smallCaps/>
          <w:color w:val="auto"/>
          <w:spacing w:val="-6"/>
          <w:szCs w:val="24"/>
        </w:rPr>
      </w:pPr>
      <w:r>
        <w:rPr>
          <w:rFonts w:ascii="Arial" w:hAnsi="Arial" w:cs="Arial"/>
          <w:b/>
          <w:smallCaps/>
          <w:color w:val="auto"/>
          <w:spacing w:val="-6"/>
          <w:szCs w:val="24"/>
        </w:rPr>
        <w:t>Producto Interno Bruto de las actividades secundarias en 2018</w:t>
      </w:r>
    </w:p>
    <w:p w14:paraId="114821BF" w14:textId="77777777" w:rsidR="002C1035" w:rsidRPr="00DC44B6" w:rsidRDefault="002C1035" w:rsidP="002C1035">
      <w:pPr>
        <w:pStyle w:val="n01"/>
        <w:keepLines w:val="0"/>
        <w:spacing w:before="0" w:line="20" w:lineRule="atLeast"/>
        <w:ind w:left="851" w:right="900" w:firstLine="0"/>
        <w:jc w:val="center"/>
        <w:outlineLvl w:val="0"/>
        <w:rPr>
          <w:rFonts w:ascii="Arial" w:hAnsi="Arial" w:cs="Arial"/>
          <w:b/>
          <w:color w:val="auto"/>
          <w:spacing w:val="-6"/>
          <w:szCs w:val="24"/>
        </w:rPr>
      </w:pPr>
      <w:r>
        <w:rPr>
          <w:rFonts w:ascii="Arial" w:hAnsi="Arial" w:cs="Arial"/>
          <w:b/>
          <w:smallCaps/>
          <w:color w:val="auto"/>
          <w:spacing w:val="-6"/>
          <w:szCs w:val="24"/>
        </w:rPr>
        <w:t>sin considerar la minería petrolera</w:t>
      </w:r>
    </w:p>
    <w:p w14:paraId="17434813" w14:textId="77777777" w:rsidR="002C1035" w:rsidRDefault="002C1035" w:rsidP="002C1035">
      <w:pPr>
        <w:pStyle w:val="Textoindependiente"/>
        <w:tabs>
          <w:tab w:val="clear" w:pos="3348"/>
        </w:tabs>
        <w:spacing w:before="0"/>
        <w:ind w:right="-2"/>
        <w:jc w:val="center"/>
        <w:rPr>
          <w:rFonts w:cs="Arial"/>
          <w:spacing w:val="-6"/>
          <w:sz w:val="20"/>
          <w:szCs w:val="24"/>
        </w:rPr>
      </w:pPr>
      <w:r w:rsidRPr="00DC44B6">
        <w:rPr>
          <w:rFonts w:cs="Arial"/>
          <w:spacing w:val="-6"/>
          <w:sz w:val="20"/>
          <w:szCs w:val="24"/>
        </w:rPr>
        <w:t>(</w:t>
      </w:r>
      <w:r>
        <w:rPr>
          <w:rFonts w:cs="Arial"/>
          <w:spacing w:val="-6"/>
          <w:sz w:val="20"/>
          <w:szCs w:val="24"/>
        </w:rPr>
        <w:t>Estructura porcentual)</w:t>
      </w:r>
    </w:p>
    <w:p w14:paraId="0B30B069" w14:textId="77777777" w:rsidR="002C1035" w:rsidRDefault="002C1035" w:rsidP="002C1035">
      <w:pPr>
        <w:pStyle w:val="Textoindependiente"/>
        <w:spacing w:before="0"/>
        <w:jc w:val="center"/>
        <w:rPr>
          <w:lang w:val="es-MX"/>
        </w:rPr>
      </w:pPr>
      <w:r w:rsidRPr="0066443A">
        <w:rPr>
          <w:noProof/>
          <w:lang w:val="es-MX" w:eastAsia="es-MX"/>
        </w:rPr>
        <w:drawing>
          <wp:inline distT="0" distB="0" distL="0" distR="0" wp14:anchorId="3908DDD4" wp14:editId="2432EEC0">
            <wp:extent cx="5287133" cy="5004000"/>
            <wp:effectExtent l="19050" t="19050" r="27940" b="2540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87133" cy="5004000"/>
                    </a:xfrm>
                    <a:prstGeom prst="rect">
                      <a:avLst/>
                    </a:prstGeom>
                    <a:noFill/>
                    <a:ln>
                      <a:solidFill>
                        <a:schemeClr val="tx1"/>
                      </a:solidFill>
                    </a:ln>
                  </pic:spPr>
                </pic:pic>
              </a:graphicData>
            </a:graphic>
          </wp:inline>
        </w:drawing>
      </w:r>
    </w:p>
    <w:p w14:paraId="65EC65C3" w14:textId="77777777" w:rsidR="002C1035" w:rsidRDefault="002C1035" w:rsidP="002C1035">
      <w:pPr>
        <w:pStyle w:val="Textoindependiente"/>
        <w:tabs>
          <w:tab w:val="clear" w:pos="3348"/>
          <w:tab w:val="left" w:pos="851"/>
        </w:tabs>
        <w:spacing w:before="0"/>
        <w:ind w:left="284"/>
        <w:rPr>
          <w:rFonts w:cs="Arial"/>
          <w:sz w:val="16"/>
          <w:szCs w:val="16"/>
        </w:rPr>
      </w:pPr>
      <w:r>
        <w:rPr>
          <w:rFonts w:cs="Arial"/>
          <w:sz w:val="16"/>
          <w:szCs w:val="16"/>
        </w:rPr>
        <w:t xml:space="preserve"> </w:t>
      </w:r>
      <w:r w:rsidRPr="00706D76">
        <w:rPr>
          <w:rFonts w:cs="Arial"/>
          <w:sz w:val="16"/>
          <w:szCs w:val="16"/>
        </w:rPr>
        <w:t>Fuente: INEGI.</w:t>
      </w:r>
    </w:p>
    <w:p w14:paraId="2B5FF8A4" w14:textId="77777777" w:rsidR="00931C51" w:rsidRPr="00774F69" w:rsidRDefault="00931C51" w:rsidP="00BE58AC">
      <w:pPr>
        <w:pStyle w:val="Textoindependiente"/>
        <w:tabs>
          <w:tab w:val="clear" w:pos="3348"/>
          <w:tab w:val="left" w:pos="851"/>
        </w:tabs>
        <w:spacing w:before="840"/>
        <w:rPr>
          <w:rFonts w:cs="Arial"/>
          <w:sz w:val="16"/>
          <w:szCs w:val="16"/>
        </w:rPr>
      </w:pPr>
      <w:r>
        <w:rPr>
          <w:i/>
          <w:lang w:val="es-MX"/>
        </w:rPr>
        <w:lastRenderedPageBreak/>
        <w:t>Actividades Terciarias</w:t>
      </w:r>
    </w:p>
    <w:p w14:paraId="1BD2863E" w14:textId="77777777" w:rsidR="00774F69" w:rsidRDefault="00774F69" w:rsidP="00BE58AC">
      <w:pPr>
        <w:pStyle w:val="Textoindependiente"/>
        <w:spacing w:before="600"/>
      </w:pPr>
      <w:r>
        <w:t>Este grupo de actividades</w:t>
      </w:r>
      <w:r w:rsidRPr="0021653E">
        <w:rPr>
          <w:rStyle w:val="Refdenotaalpie"/>
          <w:b w:val="0"/>
          <w:sz w:val="20"/>
        </w:rPr>
        <w:footnoteReference w:id="6"/>
      </w:r>
      <w:r w:rsidR="00BC6982">
        <w:t xml:space="preserve"> gener</w:t>
      </w:r>
      <w:r w:rsidR="00127E65">
        <w:t>ó</w:t>
      </w:r>
      <w:r w:rsidR="00BC6982">
        <w:t xml:space="preserve"> en </w:t>
      </w:r>
      <w:r w:rsidR="0012524B">
        <w:t>201</w:t>
      </w:r>
      <w:r w:rsidR="00E91142">
        <w:t>8</w:t>
      </w:r>
      <w:r>
        <w:t xml:space="preserve"> un Producto Interno </w:t>
      </w:r>
      <w:r w:rsidRPr="00E37B14">
        <w:t xml:space="preserve">Bruto de </w:t>
      </w:r>
      <w:r w:rsidR="00DD33BD">
        <w:t>14</w:t>
      </w:r>
      <w:r w:rsidR="00531CD9" w:rsidRPr="00E37B14">
        <w:t>,</w:t>
      </w:r>
      <w:r w:rsidR="00DD33BD">
        <w:t>127</w:t>
      </w:r>
      <w:r w:rsidR="00531CD9" w:rsidRPr="00E37B14">
        <w:t>,</w:t>
      </w:r>
      <w:r w:rsidR="00DD33BD">
        <w:t>538</w:t>
      </w:r>
      <w:r w:rsidRPr="00E37B14">
        <w:t xml:space="preserve"> millones de pesos corrientes, de los cuales</w:t>
      </w:r>
      <w:r w:rsidR="009A2A1E" w:rsidRPr="00E37B14">
        <w:t xml:space="preserve"> </w:t>
      </w:r>
      <w:r w:rsidR="00275721" w:rsidRPr="00E37B14">
        <w:t>la</w:t>
      </w:r>
      <w:r w:rsidR="009A2A1E" w:rsidRPr="00E37B14">
        <w:t xml:space="preserve"> </w:t>
      </w:r>
      <w:r w:rsidR="008D02FE">
        <w:t>Ciudad de México aportó 23.1</w:t>
      </w:r>
      <w:r w:rsidRPr="00E37B14">
        <w:t>% del total, e</w:t>
      </w:r>
      <w:r w:rsidR="008D02FE">
        <w:t xml:space="preserve">l Estado de México </w:t>
      </w:r>
      <w:r w:rsidR="00DD33BD">
        <w:t>9.9</w:t>
      </w:r>
      <w:r w:rsidR="00531CD9" w:rsidRPr="00E37B14">
        <w:t>%, Nuevo León 7</w:t>
      </w:r>
      <w:r w:rsidR="00DD33BD">
        <w:t>.1</w:t>
      </w:r>
      <w:r w:rsidR="00275721" w:rsidRPr="00E37B14">
        <w:t>%</w:t>
      </w:r>
      <w:r w:rsidR="00DD33BD">
        <w:t>, Jalisco 6.9</w:t>
      </w:r>
      <w:r w:rsidRPr="00E37B14">
        <w:t>%, Ver</w:t>
      </w:r>
      <w:r w:rsidR="008D02FE">
        <w:t>acruz de Ignacio de la Llave 4.5</w:t>
      </w:r>
      <w:r w:rsidRPr="00E37B14">
        <w:t xml:space="preserve">%, Guanajuato </w:t>
      </w:r>
      <w:r w:rsidR="00DD33BD">
        <w:t>4</w:t>
      </w:r>
      <w:r w:rsidR="00275721" w:rsidRPr="00E37B14">
        <w:t>%, Puebla 3.1</w:t>
      </w:r>
      <w:r w:rsidR="009A2A1E" w:rsidRPr="00E37B14">
        <w:t xml:space="preserve">%, </w:t>
      </w:r>
      <w:r w:rsidR="00531CD9" w:rsidRPr="00E37B14">
        <w:t>Baja California 2.9</w:t>
      </w:r>
      <w:r w:rsidR="009A2A1E" w:rsidRPr="00E37B14">
        <w:t>%</w:t>
      </w:r>
      <w:r w:rsidR="00531CD9" w:rsidRPr="00E37B14">
        <w:t>,</w:t>
      </w:r>
      <w:r w:rsidR="00275721" w:rsidRPr="00E37B14">
        <w:t xml:space="preserve"> </w:t>
      </w:r>
      <w:r w:rsidR="00383970" w:rsidRPr="00E37B14">
        <w:t>Michoacán de Ocampo</w:t>
      </w:r>
      <w:r w:rsidR="008D02FE">
        <w:t xml:space="preserve"> 2.7%</w:t>
      </w:r>
      <w:r w:rsidR="00383970" w:rsidRPr="00E37B14">
        <w:t>, Chihuahua</w:t>
      </w:r>
      <w:r w:rsidR="008D02FE">
        <w:t xml:space="preserve"> y</w:t>
      </w:r>
      <w:r w:rsidR="00383970" w:rsidRPr="00E37B14">
        <w:t xml:space="preserve"> Tamaulipas con 2.6% </w:t>
      </w:r>
      <w:r w:rsidR="00275721" w:rsidRPr="00E37B14">
        <w:t>cada uno</w:t>
      </w:r>
      <w:r w:rsidR="00A933CC" w:rsidRPr="00E37B14">
        <w:t>.</w:t>
      </w:r>
      <w:r w:rsidR="00AB0ABB" w:rsidRPr="00E37B14">
        <w:t xml:space="preserve"> </w:t>
      </w:r>
      <w:r w:rsidR="00A933CC" w:rsidRPr="00E37B14">
        <w:t>E</w:t>
      </w:r>
      <w:r w:rsidR="00AB0ABB" w:rsidRPr="00E37B14">
        <w:t xml:space="preserve">l </w:t>
      </w:r>
      <w:r w:rsidR="00BE2245" w:rsidRPr="00E37B14">
        <w:t>3</w:t>
      </w:r>
      <w:r w:rsidR="008D02FE">
        <w:t>0</w:t>
      </w:r>
      <w:r w:rsidR="00BE2245" w:rsidRPr="00E37B14">
        <w:t>.</w:t>
      </w:r>
      <w:r w:rsidR="00DD33BD">
        <w:t>6</w:t>
      </w:r>
      <w:r w:rsidR="008D02FE">
        <w:t>%</w:t>
      </w:r>
      <w:r w:rsidR="00B6560E" w:rsidRPr="00E37B14">
        <w:t xml:space="preserve"> </w:t>
      </w:r>
      <w:r w:rsidR="00B352AE" w:rsidRPr="00E37B14">
        <w:t>complementario</w:t>
      </w:r>
      <w:r w:rsidR="00A933CC" w:rsidRPr="00E37B14">
        <w:t xml:space="preserve"> </w:t>
      </w:r>
      <w:r w:rsidR="00B6560E" w:rsidRPr="00E37B14">
        <w:t>se</w:t>
      </w:r>
      <w:r w:rsidRPr="00E37B14">
        <w:t xml:space="preserve"> integr</w:t>
      </w:r>
      <w:r w:rsidR="00B6560E" w:rsidRPr="00E37B14">
        <w:t>ó con</w:t>
      </w:r>
      <w:r w:rsidRPr="00E37B14">
        <w:t xml:space="preserve"> el resto de los esta</w:t>
      </w:r>
      <w:r w:rsidRPr="0097357D">
        <w:t>dos.</w:t>
      </w:r>
    </w:p>
    <w:p w14:paraId="7674CA1E" w14:textId="77777777" w:rsidR="000016A5" w:rsidRPr="009E2FCB" w:rsidRDefault="008C4DCA" w:rsidP="00BE58AC">
      <w:pPr>
        <w:pStyle w:val="n01"/>
        <w:keepLines w:val="0"/>
        <w:spacing w:before="600"/>
        <w:ind w:left="0" w:firstLine="0"/>
        <w:jc w:val="center"/>
        <w:outlineLvl w:val="0"/>
        <w:rPr>
          <w:rFonts w:ascii="Arial" w:eastAsia="Calibri" w:hAnsi="Arial" w:cs="Arial"/>
          <w:color w:val="auto"/>
          <w:szCs w:val="28"/>
          <w:lang w:val="es-MX" w:eastAsia="en-US"/>
        </w:rPr>
      </w:pPr>
      <w:r>
        <w:rPr>
          <w:rFonts w:ascii="Arial" w:eastAsia="Calibri" w:hAnsi="Arial" w:cs="Arial"/>
          <w:color w:val="auto"/>
          <w:szCs w:val="28"/>
          <w:lang w:val="es-MX" w:eastAsia="en-US"/>
        </w:rPr>
        <w:t>Gráfica 5</w:t>
      </w:r>
    </w:p>
    <w:p w14:paraId="797AD9AE" w14:textId="77777777" w:rsidR="000016A5" w:rsidRPr="00DC44B6" w:rsidRDefault="000016A5" w:rsidP="000016A5">
      <w:pPr>
        <w:pStyle w:val="n01"/>
        <w:keepLines w:val="0"/>
        <w:spacing w:before="0" w:line="20" w:lineRule="atLeast"/>
        <w:ind w:left="851" w:right="900" w:firstLine="0"/>
        <w:jc w:val="center"/>
        <w:outlineLvl w:val="0"/>
        <w:rPr>
          <w:rFonts w:ascii="Arial" w:hAnsi="Arial" w:cs="Arial"/>
          <w:b/>
          <w:color w:val="auto"/>
          <w:spacing w:val="-6"/>
          <w:szCs w:val="24"/>
        </w:rPr>
      </w:pPr>
      <w:r>
        <w:rPr>
          <w:rFonts w:ascii="Arial" w:hAnsi="Arial" w:cs="Arial"/>
          <w:b/>
          <w:smallCaps/>
          <w:color w:val="auto"/>
          <w:spacing w:val="-6"/>
          <w:szCs w:val="24"/>
        </w:rPr>
        <w:t xml:space="preserve">Producto Interno Bruto de las actividades terciarias en </w:t>
      </w:r>
      <w:r w:rsidR="0012524B">
        <w:rPr>
          <w:rFonts w:ascii="Arial" w:hAnsi="Arial" w:cs="Arial"/>
          <w:b/>
          <w:smallCaps/>
          <w:color w:val="auto"/>
          <w:spacing w:val="-6"/>
          <w:szCs w:val="24"/>
        </w:rPr>
        <w:t>201</w:t>
      </w:r>
      <w:r w:rsidR="00DD33BD">
        <w:rPr>
          <w:rFonts w:ascii="Arial" w:hAnsi="Arial" w:cs="Arial"/>
          <w:b/>
          <w:smallCaps/>
          <w:color w:val="auto"/>
          <w:spacing w:val="-6"/>
          <w:szCs w:val="24"/>
        </w:rPr>
        <w:t>8</w:t>
      </w:r>
    </w:p>
    <w:p w14:paraId="78FDE0EB" w14:textId="77777777" w:rsidR="000016A5" w:rsidRDefault="000016A5" w:rsidP="000016A5">
      <w:pPr>
        <w:pStyle w:val="Textoindependiente"/>
        <w:tabs>
          <w:tab w:val="clear" w:pos="3348"/>
        </w:tabs>
        <w:spacing w:before="0"/>
        <w:ind w:right="-2"/>
        <w:jc w:val="center"/>
        <w:rPr>
          <w:rFonts w:cs="Arial"/>
          <w:spacing w:val="-6"/>
          <w:sz w:val="20"/>
          <w:szCs w:val="24"/>
        </w:rPr>
      </w:pPr>
      <w:r w:rsidRPr="00DC44B6">
        <w:rPr>
          <w:rFonts w:cs="Arial"/>
          <w:spacing w:val="-6"/>
          <w:sz w:val="20"/>
          <w:szCs w:val="24"/>
        </w:rPr>
        <w:t>(</w:t>
      </w:r>
      <w:r>
        <w:rPr>
          <w:rFonts w:cs="Arial"/>
          <w:spacing w:val="-6"/>
          <w:sz w:val="20"/>
          <w:szCs w:val="24"/>
        </w:rPr>
        <w:t>Estructura porcentual)</w:t>
      </w:r>
    </w:p>
    <w:p w14:paraId="3EAA8930" w14:textId="77777777" w:rsidR="00CD78AB" w:rsidRPr="005C2995" w:rsidRDefault="004061F8" w:rsidP="00B227F0">
      <w:pPr>
        <w:tabs>
          <w:tab w:val="left" w:pos="284"/>
        </w:tabs>
        <w:ind w:left="-567" w:right="-2" w:firstLine="1"/>
        <w:jc w:val="center"/>
        <w:rPr>
          <w:szCs w:val="16"/>
          <w:lang w:val="es-MX"/>
        </w:rPr>
      </w:pPr>
      <w:r w:rsidRPr="004061F8">
        <w:rPr>
          <w:noProof/>
        </w:rPr>
        <w:drawing>
          <wp:inline distT="0" distB="0" distL="0" distR="0" wp14:anchorId="50DB2595" wp14:editId="023DB17B">
            <wp:extent cx="6372751" cy="4067720"/>
            <wp:effectExtent l="19050" t="19050" r="9525" b="2857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377459" cy="4070725"/>
                    </a:xfrm>
                    <a:prstGeom prst="rect">
                      <a:avLst/>
                    </a:prstGeom>
                    <a:noFill/>
                    <a:ln>
                      <a:solidFill>
                        <a:schemeClr val="tx1"/>
                      </a:solidFill>
                    </a:ln>
                  </pic:spPr>
                </pic:pic>
              </a:graphicData>
            </a:graphic>
          </wp:inline>
        </w:drawing>
      </w:r>
    </w:p>
    <w:p w14:paraId="2F5DCCFB" w14:textId="77777777" w:rsidR="00931C51" w:rsidRPr="005C02DD" w:rsidRDefault="009947FA" w:rsidP="00B227F0">
      <w:pPr>
        <w:ind w:left="-567"/>
        <w:rPr>
          <w:rFonts w:ascii="Arial" w:hAnsi="Arial" w:cs="Arial"/>
          <w:sz w:val="16"/>
          <w:szCs w:val="16"/>
        </w:rPr>
      </w:pPr>
      <w:r>
        <w:rPr>
          <w:rFonts w:ascii="Arial" w:hAnsi="Arial" w:cs="Arial"/>
          <w:sz w:val="16"/>
          <w:szCs w:val="16"/>
        </w:rPr>
        <w:t xml:space="preserve"> </w:t>
      </w:r>
      <w:r w:rsidR="000E26BE">
        <w:rPr>
          <w:rFonts w:ascii="Arial" w:hAnsi="Arial" w:cs="Arial"/>
          <w:sz w:val="16"/>
          <w:szCs w:val="16"/>
        </w:rPr>
        <w:t>Fue</w:t>
      </w:r>
      <w:r w:rsidR="005C02DD">
        <w:rPr>
          <w:rFonts w:ascii="Arial" w:hAnsi="Arial" w:cs="Arial"/>
          <w:sz w:val="16"/>
          <w:szCs w:val="16"/>
        </w:rPr>
        <w:t>nte: INEGI.</w:t>
      </w:r>
    </w:p>
    <w:p w14:paraId="3C8D8B28" w14:textId="77777777" w:rsidR="00861E8E" w:rsidRPr="00861E8E" w:rsidRDefault="00A30963" w:rsidP="005C02DD">
      <w:pPr>
        <w:pStyle w:val="n01"/>
        <w:keepLines w:val="0"/>
        <w:spacing w:before="840"/>
        <w:ind w:left="0" w:firstLine="0"/>
        <w:outlineLvl w:val="0"/>
        <w:rPr>
          <w:rFonts w:ascii="Arial" w:eastAsia="Calibri" w:hAnsi="Arial" w:cs="Arial"/>
          <w:b/>
          <w:color w:val="auto"/>
          <w:szCs w:val="28"/>
          <w:lang w:val="es-MX" w:eastAsia="en-US"/>
        </w:rPr>
      </w:pPr>
      <w:r w:rsidRPr="00861E8E">
        <w:rPr>
          <w:rFonts w:ascii="Arial" w:eastAsia="Calibri" w:hAnsi="Arial" w:cs="Arial"/>
          <w:b/>
          <w:color w:val="auto"/>
          <w:szCs w:val="28"/>
          <w:lang w:val="es-MX" w:eastAsia="en-US"/>
        </w:rPr>
        <w:lastRenderedPageBreak/>
        <w:t xml:space="preserve">Dinámica de los </w:t>
      </w:r>
      <w:r w:rsidR="00B07F08">
        <w:rPr>
          <w:rFonts w:ascii="Arial" w:eastAsia="Calibri" w:hAnsi="Arial" w:cs="Arial"/>
          <w:b/>
          <w:color w:val="auto"/>
          <w:szCs w:val="28"/>
          <w:lang w:val="es-MX" w:eastAsia="en-US"/>
        </w:rPr>
        <w:t>E</w:t>
      </w:r>
      <w:r w:rsidR="00861E8E">
        <w:rPr>
          <w:rFonts w:ascii="Arial" w:eastAsia="Calibri" w:hAnsi="Arial" w:cs="Arial"/>
          <w:b/>
          <w:color w:val="auto"/>
          <w:szCs w:val="28"/>
          <w:lang w:val="es-MX" w:eastAsia="en-US"/>
        </w:rPr>
        <w:t>stados en la Economía Nacional</w:t>
      </w:r>
    </w:p>
    <w:p w14:paraId="1D204C6F" w14:textId="77777777" w:rsidR="0075750E" w:rsidRPr="00E37B14" w:rsidRDefault="008C4DCA" w:rsidP="00B10FCE">
      <w:pPr>
        <w:pStyle w:val="Textoindependiente"/>
        <w:widowControl w:val="0"/>
        <w:spacing w:before="120"/>
      </w:pPr>
      <w:r w:rsidRPr="00E37B14">
        <w:t xml:space="preserve">Durante </w:t>
      </w:r>
      <w:r w:rsidR="00F919FE">
        <w:t>2018</w:t>
      </w:r>
      <w:r w:rsidR="0075750E" w:rsidRPr="00E37B14">
        <w:t xml:space="preserve"> el Producto Interno Bruto total </w:t>
      </w:r>
      <w:r w:rsidR="0021653E" w:rsidRPr="00E37B14">
        <w:t>registró</w:t>
      </w:r>
      <w:r w:rsidR="00680143">
        <w:t xml:space="preserve"> una variación anual de 2</w:t>
      </w:r>
      <w:r w:rsidR="00F919FE">
        <w:t>.1</w:t>
      </w:r>
      <w:r w:rsidR="0075750E" w:rsidRPr="00E37B14">
        <w:t>% en tér</w:t>
      </w:r>
      <w:r w:rsidRPr="00E37B14">
        <w:t xml:space="preserve">minos reales con relación a </w:t>
      </w:r>
      <w:r w:rsidR="00E235A4">
        <w:t>2017</w:t>
      </w:r>
      <w:r w:rsidR="0075750E" w:rsidRPr="00E37B14">
        <w:t>.</w:t>
      </w:r>
    </w:p>
    <w:p w14:paraId="7B20FC10" w14:textId="77777777" w:rsidR="0075750E" w:rsidRDefault="0075750E" w:rsidP="0058092A">
      <w:pPr>
        <w:pStyle w:val="Textoindependiente"/>
        <w:tabs>
          <w:tab w:val="left" w:pos="1680"/>
        </w:tabs>
        <w:spacing w:before="120"/>
      </w:pPr>
      <w:r w:rsidRPr="00E37B14">
        <w:t xml:space="preserve">En el periodo en cuestión, los estados que presentaron aumentos por arriba del </w:t>
      </w:r>
      <w:r w:rsidR="00B04D92" w:rsidRPr="00E37B14">
        <w:t>nivel</w:t>
      </w:r>
      <w:r w:rsidRPr="00E37B14">
        <w:t xml:space="preserve"> nacional fueron: </w:t>
      </w:r>
      <w:r w:rsidR="00680143">
        <w:t>Baja California Sur</w:t>
      </w:r>
      <w:r w:rsidR="00383970" w:rsidRPr="00E37B14">
        <w:t xml:space="preserve"> </w:t>
      </w:r>
      <w:r w:rsidR="008C4DCA" w:rsidRPr="00E37B14">
        <w:t xml:space="preserve">con </w:t>
      </w:r>
      <w:r w:rsidR="00F919FE">
        <w:t>17.2</w:t>
      </w:r>
      <w:r w:rsidR="008C4DCA" w:rsidRPr="00E37B14">
        <w:t xml:space="preserve">%, </w:t>
      </w:r>
      <w:r w:rsidR="00F919FE" w:rsidRPr="00E37B14">
        <w:t>Quintana Roo</w:t>
      </w:r>
      <w:r w:rsidR="00F919FE">
        <w:t xml:space="preserve"> 5.1%, Oaxaca 4.7%, San Luis Potosí 4.2%,</w:t>
      </w:r>
      <w:r w:rsidR="00F919FE" w:rsidRPr="00F919FE">
        <w:t xml:space="preserve"> </w:t>
      </w:r>
      <w:r w:rsidR="00F919FE">
        <w:t>Nuevo León 3.6%,</w:t>
      </w:r>
      <w:r w:rsidR="00F919FE" w:rsidRPr="00F919FE">
        <w:t xml:space="preserve"> </w:t>
      </w:r>
      <w:r w:rsidR="00F919FE">
        <w:t xml:space="preserve">Tlaxcala y Aguascalientes 3.4% cada uno, Yucatán e Hidalgo 3.2% individualmente, Guerrero y Querétaro 3% en cada caso, Jalisco 2.9%, Ciudad de México, Sinaloa y el Estado de México 2.7% cada uno, Colima 2.5%, Puebla 2.4%, Baja California y Veracruz Ignacio de la Llave 2.3% individualmente, y Tamaulipas </w:t>
      </w:r>
      <w:r w:rsidR="00B227F0">
        <w:t xml:space="preserve">con </w:t>
      </w:r>
      <w:r w:rsidR="00F919FE">
        <w:t>2.2 por ciento.</w:t>
      </w:r>
      <w:r w:rsidR="00F919FE" w:rsidRPr="00F919FE">
        <w:t xml:space="preserve"> </w:t>
      </w:r>
      <w:r w:rsidR="00F919FE" w:rsidRPr="00E37B14">
        <w:t>El resto de las entidades mostraron incrementos inferiores al del país, destacando los descensos anuales de</w:t>
      </w:r>
      <w:r w:rsidR="00F919FE">
        <w:t xml:space="preserve"> Tabasco, Chiapas, Campeche, Nayarit, Morelos y Zacatecas.</w:t>
      </w:r>
    </w:p>
    <w:p w14:paraId="3B72E56D" w14:textId="77777777" w:rsidR="008C4DCA" w:rsidRPr="009E2FCB" w:rsidRDefault="008C4DCA" w:rsidP="0058092A">
      <w:pPr>
        <w:pStyle w:val="n01"/>
        <w:keepLines w:val="0"/>
        <w:spacing w:before="120"/>
        <w:ind w:left="0" w:firstLine="0"/>
        <w:jc w:val="center"/>
        <w:outlineLvl w:val="0"/>
        <w:rPr>
          <w:rFonts w:ascii="Arial" w:eastAsia="Calibri" w:hAnsi="Arial" w:cs="Arial"/>
          <w:color w:val="auto"/>
          <w:szCs w:val="28"/>
          <w:lang w:val="es-MX" w:eastAsia="en-US"/>
        </w:rPr>
      </w:pPr>
      <w:r>
        <w:rPr>
          <w:rFonts w:ascii="Arial" w:eastAsia="Calibri" w:hAnsi="Arial" w:cs="Arial"/>
          <w:color w:val="auto"/>
          <w:szCs w:val="28"/>
          <w:lang w:val="es-MX" w:eastAsia="en-US"/>
        </w:rPr>
        <w:t>Gráfica 6</w:t>
      </w:r>
    </w:p>
    <w:p w14:paraId="41D86AED" w14:textId="77777777" w:rsidR="008C4DCA" w:rsidRPr="00DC44B6" w:rsidRDefault="008C4DCA" w:rsidP="008C4DCA">
      <w:pPr>
        <w:pStyle w:val="n01"/>
        <w:keepLines w:val="0"/>
        <w:spacing w:before="0" w:line="20" w:lineRule="atLeast"/>
        <w:ind w:left="851" w:right="900" w:firstLine="0"/>
        <w:jc w:val="center"/>
        <w:outlineLvl w:val="0"/>
        <w:rPr>
          <w:rFonts w:ascii="Arial" w:hAnsi="Arial" w:cs="Arial"/>
          <w:b/>
          <w:color w:val="auto"/>
          <w:spacing w:val="-6"/>
          <w:szCs w:val="24"/>
        </w:rPr>
      </w:pPr>
      <w:r>
        <w:rPr>
          <w:rFonts w:ascii="Arial" w:hAnsi="Arial" w:cs="Arial"/>
          <w:b/>
          <w:smallCaps/>
          <w:color w:val="auto"/>
          <w:spacing w:val="-6"/>
          <w:szCs w:val="24"/>
        </w:rPr>
        <w:t xml:space="preserve">Comportamiento del Producto Interno Bruto por Entidad Federativa </w:t>
      </w:r>
      <w:r w:rsidR="0012524B">
        <w:rPr>
          <w:rFonts w:ascii="Arial" w:hAnsi="Arial" w:cs="Arial"/>
          <w:b/>
          <w:smallCaps/>
          <w:color w:val="auto"/>
          <w:spacing w:val="-6"/>
          <w:szCs w:val="24"/>
        </w:rPr>
        <w:t>201</w:t>
      </w:r>
      <w:r w:rsidR="00F6572C">
        <w:rPr>
          <w:rFonts w:ascii="Arial" w:hAnsi="Arial" w:cs="Arial"/>
          <w:b/>
          <w:smallCaps/>
          <w:color w:val="auto"/>
          <w:spacing w:val="-6"/>
          <w:szCs w:val="24"/>
        </w:rPr>
        <w:t>8</w:t>
      </w:r>
    </w:p>
    <w:p w14:paraId="268AE841" w14:textId="77777777" w:rsidR="008C4DCA" w:rsidRDefault="008C4DCA" w:rsidP="008C4DCA">
      <w:pPr>
        <w:pStyle w:val="Textoindependiente"/>
        <w:tabs>
          <w:tab w:val="clear" w:pos="3348"/>
        </w:tabs>
        <w:spacing w:before="0"/>
        <w:ind w:right="-2"/>
        <w:jc w:val="center"/>
        <w:rPr>
          <w:rFonts w:cs="Arial"/>
          <w:spacing w:val="-6"/>
          <w:sz w:val="20"/>
          <w:szCs w:val="24"/>
        </w:rPr>
      </w:pPr>
      <w:r w:rsidRPr="00DC44B6">
        <w:rPr>
          <w:rFonts w:cs="Arial"/>
          <w:spacing w:val="-6"/>
          <w:sz w:val="20"/>
          <w:szCs w:val="24"/>
        </w:rPr>
        <w:t>(</w:t>
      </w:r>
      <w:r>
        <w:rPr>
          <w:rFonts w:cs="Arial"/>
          <w:spacing w:val="-6"/>
          <w:sz w:val="20"/>
          <w:szCs w:val="24"/>
        </w:rPr>
        <w:t>Variación porcentual</w:t>
      </w:r>
      <w:r w:rsidR="009947FA">
        <w:rPr>
          <w:rFonts w:cs="Arial"/>
          <w:spacing w:val="-6"/>
          <w:sz w:val="20"/>
          <w:szCs w:val="24"/>
        </w:rPr>
        <w:t xml:space="preserve"> anual</w:t>
      </w:r>
      <w:r>
        <w:rPr>
          <w:rFonts w:cs="Arial"/>
          <w:spacing w:val="-6"/>
          <w:sz w:val="20"/>
          <w:szCs w:val="24"/>
        </w:rPr>
        <w:t>)</w:t>
      </w:r>
    </w:p>
    <w:p w14:paraId="39FCDD81" w14:textId="77777777" w:rsidR="006937FF" w:rsidRDefault="00F92635" w:rsidP="00F92635">
      <w:pPr>
        <w:pStyle w:val="Textoindependiente"/>
        <w:spacing w:before="0"/>
        <w:ind w:left="-284"/>
        <w:jc w:val="center"/>
        <w:rPr>
          <w:lang w:val="es-MX"/>
        </w:rPr>
      </w:pPr>
      <w:r w:rsidRPr="00F92635">
        <w:rPr>
          <w:noProof/>
          <w:lang w:val="es-MX" w:eastAsia="es-MX"/>
        </w:rPr>
        <w:drawing>
          <wp:inline distT="0" distB="0" distL="0" distR="0" wp14:anchorId="13CE61D3" wp14:editId="6F8BA096">
            <wp:extent cx="6021014" cy="4716000"/>
            <wp:effectExtent l="19050" t="19050" r="18415" b="279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021014" cy="4716000"/>
                    </a:xfrm>
                    <a:prstGeom prst="rect">
                      <a:avLst/>
                    </a:prstGeom>
                    <a:noFill/>
                    <a:ln>
                      <a:solidFill>
                        <a:schemeClr val="tx1"/>
                      </a:solidFill>
                    </a:ln>
                  </pic:spPr>
                </pic:pic>
              </a:graphicData>
            </a:graphic>
          </wp:inline>
        </w:drawing>
      </w:r>
    </w:p>
    <w:p w14:paraId="34CA7A2D" w14:textId="77777777" w:rsidR="006937FF" w:rsidRPr="000163D2" w:rsidRDefault="00E802DE" w:rsidP="00F92635">
      <w:pPr>
        <w:tabs>
          <w:tab w:val="left" w:pos="1134"/>
        </w:tabs>
        <w:ind w:left="-284"/>
        <w:rPr>
          <w:rFonts w:ascii="Arial" w:hAnsi="Arial" w:cs="Arial"/>
          <w:sz w:val="16"/>
          <w:szCs w:val="16"/>
        </w:rPr>
      </w:pPr>
      <w:r>
        <w:rPr>
          <w:rFonts w:ascii="Arial" w:hAnsi="Arial" w:cs="Arial"/>
          <w:sz w:val="16"/>
          <w:szCs w:val="16"/>
        </w:rPr>
        <w:t xml:space="preserve"> </w:t>
      </w:r>
      <w:r w:rsidR="0058092A">
        <w:rPr>
          <w:rFonts w:ascii="Arial" w:hAnsi="Arial" w:cs="Arial"/>
          <w:sz w:val="16"/>
          <w:szCs w:val="16"/>
        </w:rPr>
        <w:t xml:space="preserve"> </w:t>
      </w:r>
      <w:r w:rsidR="006F560E">
        <w:rPr>
          <w:rFonts w:ascii="Arial" w:hAnsi="Arial" w:cs="Arial"/>
          <w:sz w:val="16"/>
          <w:szCs w:val="16"/>
        </w:rPr>
        <w:t>Fuente: INEGI.</w:t>
      </w:r>
    </w:p>
    <w:p w14:paraId="56BDE1CB" w14:textId="77777777" w:rsidR="008C4DCA" w:rsidRPr="009E2FCB" w:rsidRDefault="008C4DCA" w:rsidP="00F919FE">
      <w:pPr>
        <w:pStyle w:val="n01"/>
        <w:keepLines w:val="0"/>
        <w:spacing w:before="720"/>
        <w:ind w:left="0" w:firstLine="0"/>
        <w:jc w:val="center"/>
        <w:outlineLvl w:val="0"/>
        <w:rPr>
          <w:rFonts w:ascii="Arial" w:eastAsia="Calibri" w:hAnsi="Arial" w:cs="Arial"/>
          <w:color w:val="auto"/>
          <w:szCs w:val="28"/>
          <w:lang w:val="es-MX" w:eastAsia="en-US"/>
        </w:rPr>
      </w:pPr>
      <w:r>
        <w:rPr>
          <w:rFonts w:ascii="Arial" w:eastAsia="Calibri" w:hAnsi="Arial" w:cs="Arial"/>
          <w:color w:val="auto"/>
          <w:szCs w:val="28"/>
          <w:lang w:val="es-MX" w:eastAsia="en-US"/>
        </w:rPr>
        <w:lastRenderedPageBreak/>
        <w:t>Cuadro 1</w:t>
      </w:r>
    </w:p>
    <w:p w14:paraId="4D8C1398" w14:textId="77777777" w:rsidR="008C4DCA" w:rsidRPr="00DC44B6" w:rsidRDefault="008C4DCA" w:rsidP="008C4DCA">
      <w:pPr>
        <w:pStyle w:val="n01"/>
        <w:keepLines w:val="0"/>
        <w:spacing w:before="0" w:line="20" w:lineRule="atLeast"/>
        <w:ind w:left="851" w:right="900" w:firstLine="0"/>
        <w:jc w:val="center"/>
        <w:outlineLvl w:val="0"/>
        <w:rPr>
          <w:rFonts w:ascii="Arial" w:hAnsi="Arial" w:cs="Arial"/>
          <w:b/>
          <w:color w:val="auto"/>
          <w:spacing w:val="-6"/>
          <w:szCs w:val="24"/>
        </w:rPr>
      </w:pPr>
      <w:r>
        <w:rPr>
          <w:rFonts w:ascii="Arial" w:hAnsi="Arial" w:cs="Arial"/>
          <w:b/>
          <w:smallCaps/>
          <w:color w:val="auto"/>
          <w:spacing w:val="-6"/>
          <w:szCs w:val="24"/>
        </w:rPr>
        <w:t xml:space="preserve">Comportamiento del Producto Interno Bruto por Entidad Federativa </w:t>
      </w:r>
      <w:r w:rsidR="0012524B">
        <w:rPr>
          <w:rFonts w:ascii="Arial" w:hAnsi="Arial" w:cs="Arial"/>
          <w:b/>
          <w:smallCaps/>
          <w:color w:val="auto"/>
          <w:spacing w:val="-6"/>
          <w:szCs w:val="24"/>
        </w:rPr>
        <w:t>201</w:t>
      </w:r>
      <w:r w:rsidR="00DD33BD">
        <w:rPr>
          <w:rFonts w:ascii="Arial" w:hAnsi="Arial" w:cs="Arial"/>
          <w:b/>
          <w:smallCaps/>
          <w:color w:val="auto"/>
          <w:spacing w:val="-6"/>
          <w:szCs w:val="24"/>
        </w:rPr>
        <w:t>8</w:t>
      </w:r>
    </w:p>
    <w:p w14:paraId="11D888CF" w14:textId="77777777" w:rsidR="00C16B8B" w:rsidRDefault="008C4DCA" w:rsidP="00FB2906">
      <w:pPr>
        <w:pStyle w:val="Textoindependiente"/>
        <w:tabs>
          <w:tab w:val="clear" w:pos="3348"/>
        </w:tabs>
        <w:spacing w:before="0"/>
        <w:ind w:right="-2"/>
        <w:jc w:val="center"/>
        <w:rPr>
          <w:rFonts w:cs="Arial"/>
          <w:spacing w:val="-6"/>
          <w:sz w:val="20"/>
          <w:szCs w:val="24"/>
        </w:rPr>
      </w:pPr>
      <w:r w:rsidRPr="00DC44B6">
        <w:rPr>
          <w:rFonts w:cs="Arial"/>
          <w:spacing w:val="-6"/>
          <w:sz w:val="20"/>
          <w:szCs w:val="24"/>
        </w:rPr>
        <w:t>(</w:t>
      </w:r>
      <w:r>
        <w:rPr>
          <w:rFonts w:cs="Arial"/>
          <w:spacing w:val="-6"/>
          <w:sz w:val="20"/>
          <w:szCs w:val="24"/>
        </w:rPr>
        <w:t>Variación porcentual anual)</w:t>
      </w:r>
    </w:p>
    <w:tbl>
      <w:tblPr>
        <w:tblW w:w="8806" w:type="dxa"/>
        <w:tblCellMar>
          <w:left w:w="70" w:type="dxa"/>
          <w:right w:w="70" w:type="dxa"/>
        </w:tblCellMar>
        <w:tblLook w:val="04A0" w:firstRow="1" w:lastRow="0" w:firstColumn="1" w:lastColumn="0" w:noHBand="0" w:noVBand="1"/>
      </w:tblPr>
      <w:tblGrid>
        <w:gridCol w:w="3108"/>
        <w:gridCol w:w="611"/>
        <w:gridCol w:w="814"/>
        <w:gridCol w:w="666"/>
        <w:gridCol w:w="814"/>
        <w:gridCol w:w="634"/>
        <w:gridCol w:w="814"/>
        <w:gridCol w:w="642"/>
        <w:gridCol w:w="703"/>
      </w:tblGrid>
      <w:tr w:rsidR="00065D8C" w:rsidRPr="00685B80" w14:paraId="0481D5A3" w14:textId="77777777" w:rsidTr="00E235A4">
        <w:trPr>
          <w:trHeight w:val="255"/>
        </w:trPr>
        <w:tc>
          <w:tcPr>
            <w:tcW w:w="3108" w:type="dxa"/>
            <w:vMerge w:val="restart"/>
            <w:tcBorders>
              <w:top w:val="single" w:sz="4" w:space="0" w:color="auto"/>
              <w:left w:val="single" w:sz="4" w:space="0" w:color="auto"/>
              <w:bottom w:val="single" w:sz="4" w:space="0" w:color="auto"/>
              <w:right w:val="single" w:sz="4" w:space="0" w:color="auto"/>
            </w:tcBorders>
            <w:shd w:val="clear" w:color="auto" w:fill="833C0B" w:themeFill="accent2" w:themeFillShade="80"/>
            <w:noWrap/>
            <w:vAlign w:val="center"/>
            <w:hideMark/>
          </w:tcPr>
          <w:p w14:paraId="3B0537D4" w14:textId="77777777" w:rsidR="00065D8C" w:rsidRPr="00E235A4" w:rsidRDefault="00065D8C" w:rsidP="00C42732">
            <w:pPr>
              <w:jc w:val="center"/>
              <w:rPr>
                <w:rFonts w:ascii="Arial" w:hAnsi="Arial" w:cs="Arial"/>
                <w:b/>
                <w:bCs/>
                <w:color w:val="FFFFFF" w:themeColor="background1"/>
                <w:lang w:val="es-MX" w:eastAsia="es-MX"/>
              </w:rPr>
            </w:pPr>
            <w:r w:rsidRPr="00E235A4">
              <w:rPr>
                <w:rFonts w:ascii="Arial" w:hAnsi="Arial" w:cs="Arial"/>
                <w:b/>
                <w:bCs/>
                <w:color w:val="FFFFFF" w:themeColor="background1"/>
                <w:lang w:val="es-MX" w:eastAsia="es-MX"/>
              </w:rPr>
              <w:t>Estado</w:t>
            </w:r>
          </w:p>
        </w:tc>
        <w:tc>
          <w:tcPr>
            <w:tcW w:w="1425" w:type="dxa"/>
            <w:gridSpan w:val="2"/>
            <w:vMerge w:val="restart"/>
            <w:tcBorders>
              <w:top w:val="single" w:sz="4" w:space="0" w:color="auto"/>
              <w:left w:val="single" w:sz="4" w:space="0" w:color="auto"/>
              <w:bottom w:val="single" w:sz="4" w:space="0" w:color="auto"/>
              <w:right w:val="single" w:sz="4" w:space="0" w:color="auto"/>
            </w:tcBorders>
            <w:shd w:val="clear" w:color="auto" w:fill="833C0B" w:themeFill="accent2" w:themeFillShade="80"/>
            <w:noWrap/>
            <w:vAlign w:val="center"/>
            <w:hideMark/>
          </w:tcPr>
          <w:p w14:paraId="523B968F" w14:textId="77777777" w:rsidR="00065D8C" w:rsidRPr="00E235A4" w:rsidRDefault="00065D8C" w:rsidP="00C42732">
            <w:pPr>
              <w:jc w:val="center"/>
              <w:rPr>
                <w:rFonts w:ascii="Arial" w:hAnsi="Arial" w:cs="Arial"/>
                <w:b/>
                <w:bCs/>
                <w:color w:val="FFFFFF" w:themeColor="background1"/>
                <w:lang w:val="es-MX" w:eastAsia="es-MX"/>
              </w:rPr>
            </w:pPr>
            <w:r w:rsidRPr="00E235A4">
              <w:rPr>
                <w:rFonts w:ascii="Arial" w:hAnsi="Arial" w:cs="Arial"/>
                <w:b/>
                <w:bCs/>
                <w:color w:val="FFFFFF" w:themeColor="background1"/>
                <w:lang w:val="es-MX" w:eastAsia="es-MX"/>
              </w:rPr>
              <w:t>Total</w:t>
            </w:r>
          </w:p>
        </w:tc>
        <w:tc>
          <w:tcPr>
            <w:tcW w:w="4273" w:type="dxa"/>
            <w:gridSpan w:val="6"/>
            <w:tcBorders>
              <w:top w:val="single" w:sz="4" w:space="0" w:color="auto"/>
              <w:left w:val="nil"/>
              <w:bottom w:val="single" w:sz="4" w:space="0" w:color="auto"/>
              <w:right w:val="single" w:sz="4" w:space="0" w:color="auto"/>
            </w:tcBorders>
            <w:shd w:val="clear" w:color="auto" w:fill="833C0B" w:themeFill="accent2" w:themeFillShade="80"/>
            <w:noWrap/>
            <w:vAlign w:val="bottom"/>
            <w:hideMark/>
          </w:tcPr>
          <w:p w14:paraId="530BBDEC" w14:textId="77777777" w:rsidR="00065D8C" w:rsidRPr="00E235A4" w:rsidRDefault="00065D8C" w:rsidP="00C42732">
            <w:pPr>
              <w:jc w:val="center"/>
              <w:rPr>
                <w:rFonts w:ascii="Arial" w:hAnsi="Arial" w:cs="Arial"/>
                <w:b/>
                <w:bCs/>
                <w:color w:val="FFFFFF" w:themeColor="background1"/>
                <w:lang w:val="es-MX" w:eastAsia="es-MX"/>
              </w:rPr>
            </w:pPr>
            <w:r w:rsidRPr="00E235A4">
              <w:rPr>
                <w:rFonts w:ascii="Arial" w:hAnsi="Arial" w:cs="Arial"/>
                <w:b/>
                <w:bCs/>
                <w:color w:val="FFFFFF" w:themeColor="background1"/>
                <w:lang w:val="es-MX" w:eastAsia="es-MX"/>
              </w:rPr>
              <w:t>Actividades</w:t>
            </w:r>
          </w:p>
        </w:tc>
      </w:tr>
      <w:tr w:rsidR="00065D8C" w:rsidRPr="00685B80" w14:paraId="4185AFFF" w14:textId="77777777" w:rsidTr="00E235A4">
        <w:trPr>
          <w:trHeight w:val="511"/>
        </w:trPr>
        <w:tc>
          <w:tcPr>
            <w:tcW w:w="3108" w:type="dxa"/>
            <w:vMerge/>
            <w:tcBorders>
              <w:top w:val="single" w:sz="4" w:space="0" w:color="auto"/>
              <w:left w:val="single" w:sz="4" w:space="0" w:color="auto"/>
              <w:bottom w:val="single" w:sz="4" w:space="0" w:color="auto"/>
              <w:right w:val="single" w:sz="4" w:space="0" w:color="auto"/>
            </w:tcBorders>
            <w:shd w:val="clear" w:color="auto" w:fill="833C0B" w:themeFill="accent2" w:themeFillShade="80"/>
            <w:vAlign w:val="center"/>
            <w:hideMark/>
          </w:tcPr>
          <w:p w14:paraId="03ED8BF6" w14:textId="77777777" w:rsidR="00065D8C" w:rsidRPr="00E235A4" w:rsidRDefault="00065D8C" w:rsidP="00C42732">
            <w:pPr>
              <w:rPr>
                <w:rFonts w:ascii="Arial" w:hAnsi="Arial" w:cs="Arial"/>
                <w:color w:val="FFFFFF" w:themeColor="background1"/>
                <w:lang w:val="es-MX" w:eastAsia="es-MX"/>
              </w:rPr>
            </w:pPr>
          </w:p>
        </w:tc>
        <w:tc>
          <w:tcPr>
            <w:tcW w:w="1425" w:type="dxa"/>
            <w:gridSpan w:val="2"/>
            <w:vMerge/>
            <w:tcBorders>
              <w:top w:val="single" w:sz="4" w:space="0" w:color="auto"/>
              <w:left w:val="single" w:sz="4" w:space="0" w:color="auto"/>
              <w:bottom w:val="single" w:sz="4" w:space="0" w:color="auto"/>
              <w:right w:val="single" w:sz="4" w:space="0" w:color="auto"/>
            </w:tcBorders>
            <w:shd w:val="clear" w:color="auto" w:fill="833C0B" w:themeFill="accent2" w:themeFillShade="80"/>
            <w:vAlign w:val="center"/>
            <w:hideMark/>
          </w:tcPr>
          <w:p w14:paraId="4B1F0341" w14:textId="77777777" w:rsidR="00065D8C" w:rsidRPr="00E235A4" w:rsidRDefault="00065D8C" w:rsidP="00C42732">
            <w:pPr>
              <w:jc w:val="center"/>
              <w:rPr>
                <w:rFonts w:ascii="Arial" w:hAnsi="Arial" w:cs="Arial"/>
                <w:b/>
                <w:bCs/>
                <w:color w:val="FFFFFF" w:themeColor="background1"/>
                <w:lang w:val="es-MX" w:eastAsia="es-MX"/>
              </w:rPr>
            </w:pPr>
          </w:p>
        </w:tc>
        <w:tc>
          <w:tcPr>
            <w:tcW w:w="1480" w:type="dxa"/>
            <w:gridSpan w:val="2"/>
            <w:tcBorders>
              <w:top w:val="single" w:sz="4" w:space="0" w:color="auto"/>
              <w:left w:val="nil"/>
              <w:bottom w:val="single" w:sz="4" w:space="0" w:color="auto"/>
              <w:right w:val="single" w:sz="4" w:space="0" w:color="auto"/>
            </w:tcBorders>
            <w:shd w:val="clear" w:color="auto" w:fill="833C0B" w:themeFill="accent2" w:themeFillShade="80"/>
            <w:noWrap/>
            <w:vAlign w:val="center"/>
            <w:hideMark/>
          </w:tcPr>
          <w:p w14:paraId="7FCCB8DD" w14:textId="77777777" w:rsidR="00065D8C" w:rsidRPr="00E235A4" w:rsidRDefault="00065D8C" w:rsidP="00C42732">
            <w:pPr>
              <w:jc w:val="center"/>
              <w:rPr>
                <w:rFonts w:ascii="Arial" w:hAnsi="Arial" w:cs="Arial"/>
                <w:b/>
                <w:bCs/>
                <w:color w:val="FFFFFF" w:themeColor="background1"/>
                <w:lang w:val="es-MX" w:eastAsia="es-MX"/>
              </w:rPr>
            </w:pPr>
            <w:r w:rsidRPr="00E235A4">
              <w:rPr>
                <w:rFonts w:ascii="Arial" w:hAnsi="Arial" w:cs="Arial"/>
                <w:b/>
                <w:bCs/>
                <w:color w:val="FFFFFF" w:themeColor="background1"/>
                <w:lang w:val="es-MX" w:eastAsia="es-MX"/>
              </w:rPr>
              <w:t>Primarias</w:t>
            </w:r>
          </w:p>
        </w:tc>
        <w:tc>
          <w:tcPr>
            <w:tcW w:w="1448" w:type="dxa"/>
            <w:gridSpan w:val="2"/>
            <w:tcBorders>
              <w:top w:val="single" w:sz="4" w:space="0" w:color="auto"/>
              <w:left w:val="nil"/>
              <w:bottom w:val="single" w:sz="4" w:space="0" w:color="auto"/>
              <w:right w:val="single" w:sz="4" w:space="0" w:color="auto"/>
            </w:tcBorders>
            <w:shd w:val="clear" w:color="auto" w:fill="833C0B" w:themeFill="accent2" w:themeFillShade="80"/>
            <w:noWrap/>
            <w:vAlign w:val="center"/>
            <w:hideMark/>
          </w:tcPr>
          <w:p w14:paraId="6BDCF7D5" w14:textId="77777777" w:rsidR="00065D8C" w:rsidRPr="00E235A4" w:rsidRDefault="00065D8C" w:rsidP="00C42732">
            <w:pPr>
              <w:jc w:val="center"/>
              <w:rPr>
                <w:rFonts w:ascii="Arial" w:hAnsi="Arial" w:cs="Arial"/>
                <w:b/>
                <w:bCs/>
                <w:color w:val="FFFFFF" w:themeColor="background1"/>
                <w:lang w:val="es-MX" w:eastAsia="es-MX"/>
              </w:rPr>
            </w:pPr>
            <w:r w:rsidRPr="00E235A4">
              <w:rPr>
                <w:rFonts w:ascii="Arial" w:hAnsi="Arial" w:cs="Arial"/>
                <w:b/>
                <w:bCs/>
                <w:color w:val="FFFFFF" w:themeColor="background1"/>
                <w:lang w:val="es-MX" w:eastAsia="es-MX"/>
              </w:rPr>
              <w:t>Secundarias</w:t>
            </w:r>
          </w:p>
        </w:tc>
        <w:tc>
          <w:tcPr>
            <w:tcW w:w="1345" w:type="dxa"/>
            <w:gridSpan w:val="2"/>
            <w:tcBorders>
              <w:top w:val="single" w:sz="4" w:space="0" w:color="auto"/>
              <w:left w:val="nil"/>
              <w:bottom w:val="single" w:sz="4" w:space="0" w:color="auto"/>
              <w:right w:val="single" w:sz="4" w:space="0" w:color="auto"/>
            </w:tcBorders>
            <w:shd w:val="clear" w:color="auto" w:fill="833C0B" w:themeFill="accent2" w:themeFillShade="80"/>
            <w:noWrap/>
            <w:vAlign w:val="center"/>
            <w:hideMark/>
          </w:tcPr>
          <w:p w14:paraId="171CA8D5" w14:textId="77777777" w:rsidR="00065D8C" w:rsidRPr="00E235A4" w:rsidRDefault="00065D8C" w:rsidP="00C42732">
            <w:pPr>
              <w:jc w:val="center"/>
              <w:rPr>
                <w:rFonts w:ascii="Arial" w:hAnsi="Arial" w:cs="Arial"/>
                <w:b/>
                <w:bCs/>
                <w:color w:val="FFFFFF" w:themeColor="background1"/>
                <w:lang w:val="es-MX" w:eastAsia="es-MX"/>
              </w:rPr>
            </w:pPr>
            <w:r w:rsidRPr="00E235A4">
              <w:rPr>
                <w:rFonts w:ascii="Arial" w:hAnsi="Arial" w:cs="Arial"/>
                <w:b/>
                <w:bCs/>
                <w:color w:val="FFFFFF" w:themeColor="background1"/>
                <w:lang w:val="es-MX" w:eastAsia="es-MX"/>
              </w:rPr>
              <w:t>Terciarias</w:t>
            </w:r>
          </w:p>
        </w:tc>
      </w:tr>
      <w:tr w:rsidR="00DD33BD" w:rsidRPr="00685B80" w14:paraId="67570668" w14:textId="77777777" w:rsidTr="00DD33BD">
        <w:trPr>
          <w:trHeight w:val="255"/>
        </w:trPr>
        <w:tc>
          <w:tcPr>
            <w:tcW w:w="3108" w:type="dxa"/>
            <w:tcBorders>
              <w:top w:val="nil"/>
              <w:left w:val="single" w:sz="4" w:space="0" w:color="auto"/>
              <w:bottom w:val="nil"/>
              <w:right w:val="nil"/>
            </w:tcBorders>
            <w:shd w:val="clear" w:color="auto" w:fill="auto"/>
            <w:noWrap/>
            <w:vAlign w:val="bottom"/>
            <w:hideMark/>
          </w:tcPr>
          <w:p w14:paraId="40BDA174" w14:textId="77777777" w:rsidR="00DD33BD" w:rsidRPr="00685B80" w:rsidRDefault="00B84ED5" w:rsidP="00DD33BD">
            <w:pPr>
              <w:ind w:firstLineChars="100" w:firstLine="201"/>
              <w:rPr>
                <w:rFonts w:ascii="Arial" w:hAnsi="Arial" w:cs="Arial"/>
                <w:b/>
                <w:bCs/>
                <w:color w:val="000000"/>
                <w:lang w:val="es-MX" w:eastAsia="es-MX"/>
              </w:rPr>
            </w:pPr>
            <w:r>
              <w:rPr>
                <w:rFonts w:ascii="Arial" w:hAnsi="Arial" w:cs="Arial"/>
                <w:b/>
                <w:bCs/>
                <w:color w:val="000000"/>
                <w:lang w:val="es-MX" w:eastAsia="es-MX"/>
              </w:rPr>
              <w:t>Estados Unidos Mexicanos</w:t>
            </w:r>
          </w:p>
        </w:tc>
        <w:tc>
          <w:tcPr>
            <w:tcW w:w="611" w:type="dxa"/>
            <w:tcBorders>
              <w:top w:val="nil"/>
              <w:left w:val="single" w:sz="4" w:space="0" w:color="auto"/>
              <w:bottom w:val="nil"/>
              <w:right w:val="nil"/>
            </w:tcBorders>
            <w:shd w:val="clear" w:color="auto" w:fill="auto"/>
            <w:noWrap/>
            <w:vAlign w:val="bottom"/>
            <w:hideMark/>
          </w:tcPr>
          <w:p w14:paraId="45E7B47C" w14:textId="77777777" w:rsidR="00DD33BD" w:rsidRPr="00685B80" w:rsidRDefault="00DD33BD" w:rsidP="00DD33BD">
            <w:pPr>
              <w:jc w:val="right"/>
              <w:rPr>
                <w:rFonts w:ascii="Arial" w:hAnsi="Arial" w:cs="Arial"/>
                <w:b/>
                <w:bCs/>
                <w:color w:val="000000"/>
                <w:lang w:val="es-MX" w:eastAsia="es-MX"/>
              </w:rPr>
            </w:pPr>
            <w:r w:rsidRPr="00685B80">
              <w:rPr>
                <w:rFonts w:ascii="Arial" w:hAnsi="Arial" w:cs="Arial"/>
                <w:b/>
                <w:bCs/>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6503CE9D" w14:textId="77777777" w:rsidR="00DD33BD" w:rsidRDefault="00DD33BD" w:rsidP="00DD33BD">
            <w:pPr>
              <w:jc w:val="center"/>
              <w:rPr>
                <w:rFonts w:ascii="Arial" w:hAnsi="Arial" w:cs="Arial"/>
                <w:b/>
                <w:bCs/>
                <w:color w:val="000000"/>
                <w:lang w:val="es-MX" w:eastAsia="es-MX"/>
              </w:rPr>
            </w:pPr>
            <w:r>
              <w:rPr>
                <w:rFonts w:ascii="Arial" w:hAnsi="Arial" w:cs="Arial"/>
                <w:b/>
                <w:bCs/>
                <w:color w:val="000000"/>
              </w:rPr>
              <w:t>2.1</w:t>
            </w:r>
          </w:p>
        </w:tc>
        <w:tc>
          <w:tcPr>
            <w:tcW w:w="666" w:type="dxa"/>
            <w:tcBorders>
              <w:top w:val="nil"/>
              <w:left w:val="nil"/>
              <w:bottom w:val="nil"/>
              <w:right w:val="nil"/>
            </w:tcBorders>
            <w:shd w:val="clear" w:color="auto" w:fill="auto"/>
            <w:noWrap/>
            <w:vAlign w:val="bottom"/>
            <w:hideMark/>
          </w:tcPr>
          <w:p w14:paraId="5E1A4782" w14:textId="77777777" w:rsidR="00DD33BD" w:rsidRPr="0048399B" w:rsidRDefault="00DD33BD" w:rsidP="00DD33BD">
            <w:pPr>
              <w:jc w:val="right"/>
              <w:rPr>
                <w:rFonts w:ascii="Arial" w:hAnsi="Arial" w:cs="Arial"/>
                <w:color w:val="000000"/>
                <w:lang w:val="es-MX" w:eastAsia="es-MX"/>
              </w:rPr>
            </w:pPr>
            <w:r w:rsidRPr="0048399B">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31362456" w14:textId="77777777" w:rsidR="00DD33BD" w:rsidRDefault="00DD33BD" w:rsidP="00DD33BD">
            <w:pPr>
              <w:jc w:val="center"/>
              <w:rPr>
                <w:rFonts w:ascii="Arial" w:hAnsi="Arial" w:cs="Arial"/>
                <w:b/>
                <w:bCs/>
                <w:color w:val="000000"/>
                <w:lang w:val="es-MX" w:eastAsia="es-MX"/>
              </w:rPr>
            </w:pPr>
            <w:r>
              <w:rPr>
                <w:rFonts w:ascii="Arial" w:hAnsi="Arial" w:cs="Arial"/>
                <w:b/>
                <w:bCs/>
                <w:color w:val="000000"/>
              </w:rPr>
              <w:t>2.4</w:t>
            </w:r>
          </w:p>
        </w:tc>
        <w:tc>
          <w:tcPr>
            <w:tcW w:w="634" w:type="dxa"/>
            <w:tcBorders>
              <w:top w:val="nil"/>
              <w:left w:val="nil"/>
              <w:bottom w:val="nil"/>
              <w:right w:val="nil"/>
            </w:tcBorders>
            <w:shd w:val="clear" w:color="auto" w:fill="auto"/>
            <w:noWrap/>
            <w:vAlign w:val="bottom"/>
            <w:hideMark/>
          </w:tcPr>
          <w:p w14:paraId="051CD67B" w14:textId="77777777" w:rsidR="00DD33BD" w:rsidRPr="0048399B" w:rsidRDefault="00DD33BD" w:rsidP="00DD33BD">
            <w:pPr>
              <w:jc w:val="right"/>
              <w:rPr>
                <w:rFonts w:ascii="Arial" w:hAnsi="Arial" w:cs="Arial"/>
                <w:color w:val="000000"/>
                <w:lang w:val="es-MX" w:eastAsia="es-MX"/>
              </w:rPr>
            </w:pPr>
            <w:r w:rsidRPr="0048399B">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3E5CDAFD" w14:textId="77777777" w:rsidR="00DD33BD" w:rsidRDefault="00DD33BD" w:rsidP="00DD33BD">
            <w:pPr>
              <w:jc w:val="center"/>
              <w:rPr>
                <w:rFonts w:ascii="Arial" w:hAnsi="Arial" w:cs="Arial"/>
                <w:b/>
                <w:bCs/>
                <w:color w:val="000000"/>
                <w:lang w:val="es-MX" w:eastAsia="es-MX"/>
              </w:rPr>
            </w:pPr>
            <w:r>
              <w:rPr>
                <w:rFonts w:ascii="Arial" w:hAnsi="Arial" w:cs="Arial"/>
                <w:b/>
                <w:bCs/>
                <w:color w:val="000000"/>
              </w:rPr>
              <w:t>0.5</w:t>
            </w:r>
          </w:p>
        </w:tc>
        <w:tc>
          <w:tcPr>
            <w:tcW w:w="642" w:type="dxa"/>
            <w:tcBorders>
              <w:top w:val="nil"/>
              <w:left w:val="nil"/>
              <w:bottom w:val="nil"/>
              <w:right w:val="nil"/>
            </w:tcBorders>
            <w:shd w:val="clear" w:color="auto" w:fill="auto"/>
            <w:noWrap/>
            <w:vAlign w:val="bottom"/>
            <w:hideMark/>
          </w:tcPr>
          <w:p w14:paraId="0B49FF7E" w14:textId="77777777" w:rsidR="00DD33BD" w:rsidRPr="0048399B" w:rsidRDefault="00DD33BD" w:rsidP="00DD33BD">
            <w:pPr>
              <w:jc w:val="right"/>
              <w:rPr>
                <w:rFonts w:ascii="Arial" w:hAnsi="Arial" w:cs="Arial"/>
                <w:color w:val="000000"/>
                <w:lang w:val="es-MX" w:eastAsia="es-MX"/>
              </w:rPr>
            </w:pPr>
            <w:r w:rsidRPr="0048399B">
              <w:rPr>
                <w:rFonts w:ascii="Arial" w:hAnsi="Arial" w:cs="Arial"/>
                <w:color w:val="000000"/>
                <w:lang w:val="es-MX" w:eastAsia="es-MX"/>
              </w:rPr>
              <w:t> </w:t>
            </w:r>
          </w:p>
        </w:tc>
        <w:tc>
          <w:tcPr>
            <w:tcW w:w="703" w:type="dxa"/>
            <w:tcBorders>
              <w:top w:val="nil"/>
              <w:left w:val="nil"/>
              <w:bottom w:val="nil"/>
              <w:right w:val="single" w:sz="4" w:space="0" w:color="auto"/>
            </w:tcBorders>
            <w:shd w:val="clear" w:color="auto" w:fill="auto"/>
            <w:noWrap/>
            <w:vAlign w:val="bottom"/>
            <w:hideMark/>
          </w:tcPr>
          <w:p w14:paraId="30DB479C" w14:textId="77777777" w:rsidR="00DD33BD" w:rsidRDefault="00DD33BD" w:rsidP="00DD33BD">
            <w:pPr>
              <w:rPr>
                <w:rFonts w:ascii="Arial" w:hAnsi="Arial" w:cs="Arial"/>
                <w:b/>
                <w:bCs/>
                <w:color w:val="000000"/>
                <w:lang w:val="es-MX" w:eastAsia="es-MX"/>
              </w:rPr>
            </w:pPr>
            <w:r>
              <w:rPr>
                <w:rFonts w:ascii="Arial" w:hAnsi="Arial" w:cs="Arial"/>
                <w:b/>
                <w:bCs/>
                <w:color w:val="000000"/>
              </w:rPr>
              <w:t>2.9</w:t>
            </w:r>
          </w:p>
        </w:tc>
      </w:tr>
      <w:tr w:rsidR="00DD33BD" w:rsidRPr="00685B80" w14:paraId="1AC2F284" w14:textId="77777777" w:rsidTr="00DD33BD">
        <w:trPr>
          <w:trHeight w:val="255"/>
        </w:trPr>
        <w:tc>
          <w:tcPr>
            <w:tcW w:w="3108" w:type="dxa"/>
            <w:tcBorders>
              <w:top w:val="nil"/>
              <w:left w:val="single" w:sz="4" w:space="0" w:color="auto"/>
              <w:bottom w:val="nil"/>
              <w:right w:val="nil"/>
            </w:tcBorders>
            <w:shd w:val="clear" w:color="auto" w:fill="auto"/>
            <w:noWrap/>
            <w:vAlign w:val="bottom"/>
            <w:hideMark/>
          </w:tcPr>
          <w:p w14:paraId="109DC2B7" w14:textId="77777777" w:rsidR="00DD33BD" w:rsidRPr="00685B80" w:rsidRDefault="00DD33BD" w:rsidP="00DD33BD">
            <w:pPr>
              <w:ind w:firstLineChars="100" w:firstLine="200"/>
              <w:rPr>
                <w:rFonts w:ascii="Arial" w:hAnsi="Arial" w:cs="Arial"/>
                <w:color w:val="000000"/>
                <w:lang w:val="es-MX" w:eastAsia="es-MX"/>
              </w:rPr>
            </w:pPr>
            <w:r w:rsidRPr="00685B80">
              <w:rPr>
                <w:rFonts w:ascii="Arial" w:hAnsi="Arial" w:cs="Arial"/>
                <w:color w:val="000000"/>
                <w:lang w:val="es-MX" w:eastAsia="es-MX"/>
              </w:rPr>
              <w:t>Aguascalientes</w:t>
            </w:r>
          </w:p>
        </w:tc>
        <w:tc>
          <w:tcPr>
            <w:tcW w:w="611" w:type="dxa"/>
            <w:tcBorders>
              <w:top w:val="nil"/>
              <w:left w:val="single" w:sz="4" w:space="0" w:color="auto"/>
              <w:bottom w:val="nil"/>
              <w:right w:val="nil"/>
            </w:tcBorders>
            <w:shd w:val="clear" w:color="auto" w:fill="auto"/>
            <w:noWrap/>
            <w:vAlign w:val="bottom"/>
            <w:hideMark/>
          </w:tcPr>
          <w:p w14:paraId="0F438E6C" w14:textId="77777777" w:rsidR="00DD33BD" w:rsidRPr="00685B80" w:rsidRDefault="00DD33BD" w:rsidP="00DD33BD">
            <w:pPr>
              <w:jc w:val="right"/>
              <w:rPr>
                <w:rFonts w:ascii="Arial" w:hAnsi="Arial" w:cs="Arial"/>
                <w:color w:val="000000"/>
                <w:lang w:val="es-MX" w:eastAsia="es-MX"/>
              </w:rPr>
            </w:pPr>
            <w:r w:rsidRPr="00685B80">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2DBB7198" w14:textId="77777777" w:rsidR="00DD33BD" w:rsidRDefault="00DD33BD" w:rsidP="00DD33BD">
            <w:pPr>
              <w:jc w:val="center"/>
              <w:rPr>
                <w:rFonts w:ascii="Arial" w:hAnsi="Arial" w:cs="Arial"/>
                <w:color w:val="000000"/>
              </w:rPr>
            </w:pPr>
            <w:r>
              <w:rPr>
                <w:rFonts w:ascii="Arial" w:hAnsi="Arial" w:cs="Arial"/>
                <w:color w:val="000000"/>
              </w:rPr>
              <w:t>3.4</w:t>
            </w:r>
          </w:p>
        </w:tc>
        <w:tc>
          <w:tcPr>
            <w:tcW w:w="666" w:type="dxa"/>
            <w:tcBorders>
              <w:top w:val="nil"/>
              <w:left w:val="nil"/>
              <w:bottom w:val="nil"/>
              <w:right w:val="nil"/>
            </w:tcBorders>
            <w:shd w:val="clear" w:color="auto" w:fill="auto"/>
            <w:noWrap/>
            <w:vAlign w:val="bottom"/>
            <w:hideMark/>
          </w:tcPr>
          <w:p w14:paraId="0B019C14" w14:textId="77777777" w:rsidR="00DD33BD" w:rsidRPr="0048399B" w:rsidRDefault="00DD33BD" w:rsidP="00DD33BD">
            <w:pPr>
              <w:jc w:val="right"/>
              <w:rPr>
                <w:rFonts w:ascii="Arial" w:hAnsi="Arial" w:cs="Arial"/>
                <w:color w:val="000000"/>
                <w:lang w:val="es-MX" w:eastAsia="es-MX"/>
              </w:rPr>
            </w:pPr>
            <w:r w:rsidRPr="0048399B">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57CD6628" w14:textId="77777777" w:rsidR="00DD33BD" w:rsidRDefault="00DD33BD" w:rsidP="00DD33BD">
            <w:pPr>
              <w:jc w:val="center"/>
              <w:rPr>
                <w:rFonts w:ascii="Arial" w:hAnsi="Arial" w:cs="Arial"/>
                <w:color w:val="000000"/>
              </w:rPr>
            </w:pPr>
            <w:r>
              <w:rPr>
                <w:rFonts w:ascii="Arial" w:hAnsi="Arial" w:cs="Arial"/>
                <w:color w:val="000000"/>
              </w:rPr>
              <w:t>3.4</w:t>
            </w:r>
          </w:p>
        </w:tc>
        <w:tc>
          <w:tcPr>
            <w:tcW w:w="634" w:type="dxa"/>
            <w:tcBorders>
              <w:top w:val="nil"/>
              <w:left w:val="nil"/>
              <w:bottom w:val="nil"/>
              <w:right w:val="nil"/>
            </w:tcBorders>
            <w:shd w:val="clear" w:color="auto" w:fill="auto"/>
            <w:noWrap/>
            <w:vAlign w:val="bottom"/>
            <w:hideMark/>
          </w:tcPr>
          <w:p w14:paraId="7DD503E3" w14:textId="77777777" w:rsidR="00DD33BD" w:rsidRPr="0048399B" w:rsidRDefault="00DD33BD" w:rsidP="00DD33BD">
            <w:pPr>
              <w:jc w:val="right"/>
              <w:rPr>
                <w:rFonts w:ascii="Arial" w:hAnsi="Arial" w:cs="Arial"/>
                <w:color w:val="000000"/>
                <w:lang w:val="es-MX" w:eastAsia="es-MX"/>
              </w:rPr>
            </w:pPr>
            <w:r w:rsidRPr="0048399B">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7003293A" w14:textId="77777777" w:rsidR="00DD33BD" w:rsidRDefault="00DD33BD" w:rsidP="00DD33BD">
            <w:pPr>
              <w:jc w:val="center"/>
              <w:rPr>
                <w:rFonts w:ascii="Arial" w:hAnsi="Arial" w:cs="Arial"/>
                <w:color w:val="000000"/>
              </w:rPr>
            </w:pPr>
            <w:r>
              <w:rPr>
                <w:rFonts w:ascii="Arial" w:hAnsi="Arial" w:cs="Arial"/>
                <w:color w:val="000000"/>
              </w:rPr>
              <w:t>2.8</w:t>
            </w:r>
          </w:p>
        </w:tc>
        <w:tc>
          <w:tcPr>
            <w:tcW w:w="642" w:type="dxa"/>
            <w:tcBorders>
              <w:top w:val="nil"/>
              <w:left w:val="nil"/>
              <w:bottom w:val="nil"/>
              <w:right w:val="nil"/>
            </w:tcBorders>
            <w:shd w:val="clear" w:color="auto" w:fill="auto"/>
            <w:noWrap/>
            <w:vAlign w:val="bottom"/>
            <w:hideMark/>
          </w:tcPr>
          <w:p w14:paraId="44518963" w14:textId="77777777" w:rsidR="00DD33BD" w:rsidRPr="0048399B" w:rsidRDefault="00DD33BD" w:rsidP="00DD33BD">
            <w:pPr>
              <w:jc w:val="right"/>
              <w:rPr>
                <w:rFonts w:ascii="Arial" w:hAnsi="Arial" w:cs="Arial"/>
                <w:color w:val="000000"/>
                <w:lang w:val="es-MX" w:eastAsia="es-MX"/>
              </w:rPr>
            </w:pPr>
            <w:r w:rsidRPr="0048399B">
              <w:rPr>
                <w:rFonts w:ascii="Arial" w:hAnsi="Arial" w:cs="Arial"/>
                <w:color w:val="000000"/>
                <w:lang w:val="es-MX" w:eastAsia="es-MX"/>
              </w:rPr>
              <w:t> </w:t>
            </w:r>
          </w:p>
        </w:tc>
        <w:tc>
          <w:tcPr>
            <w:tcW w:w="703" w:type="dxa"/>
            <w:tcBorders>
              <w:top w:val="nil"/>
              <w:left w:val="nil"/>
              <w:bottom w:val="nil"/>
              <w:right w:val="single" w:sz="4" w:space="0" w:color="auto"/>
            </w:tcBorders>
            <w:shd w:val="clear" w:color="auto" w:fill="auto"/>
            <w:noWrap/>
            <w:vAlign w:val="bottom"/>
            <w:hideMark/>
          </w:tcPr>
          <w:p w14:paraId="0710636D" w14:textId="77777777" w:rsidR="00DD33BD" w:rsidRDefault="00DD33BD" w:rsidP="00DD33BD">
            <w:pPr>
              <w:rPr>
                <w:rFonts w:ascii="Arial" w:hAnsi="Arial" w:cs="Arial"/>
                <w:color w:val="000000"/>
              </w:rPr>
            </w:pPr>
            <w:r>
              <w:rPr>
                <w:rFonts w:ascii="Arial" w:hAnsi="Arial" w:cs="Arial"/>
                <w:color w:val="000000"/>
              </w:rPr>
              <w:t>3.8</w:t>
            </w:r>
          </w:p>
        </w:tc>
      </w:tr>
      <w:tr w:rsidR="00DD33BD" w:rsidRPr="00685B80" w14:paraId="58AA6D84" w14:textId="77777777" w:rsidTr="00DD33BD">
        <w:trPr>
          <w:trHeight w:val="255"/>
        </w:trPr>
        <w:tc>
          <w:tcPr>
            <w:tcW w:w="3108" w:type="dxa"/>
            <w:tcBorders>
              <w:top w:val="nil"/>
              <w:left w:val="single" w:sz="4" w:space="0" w:color="auto"/>
              <w:bottom w:val="nil"/>
              <w:right w:val="nil"/>
            </w:tcBorders>
            <w:shd w:val="clear" w:color="auto" w:fill="auto"/>
            <w:noWrap/>
            <w:vAlign w:val="bottom"/>
            <w:hideMark/>
          </w:tcPr>
          <w:p w14:paraId="43DE61FB" w14:textId="77777777" w:rsidR="00DD33BD" w:rsidRPr="00685B80" w:rsidRDefault="00DD33BD" w:rsidP="00DD33BD">
            <w:pPr>
              <w:ind w:firstLineChars="100" w:firstLine="200"/>
              <w:rPr>
                <w:rFonts w:ascii="Arial" w:hAnsi="Arial" w:cs="Arial"/>
                <w:color w:val="000000"/>
                <w:lang w:val="es-MX" w:eastAsia="es-MX"/>
              </w:rPr>
            </w:pPr>
            <w:r w:rsidRPr="00685B80">
              <w:rPr>
                <w:rFonts w:ascii="Arial" w:hAnsi="Arial" w:cs="Arial"/>
                <w:color w:val="000000"/>
                <w:lang w:val="es-MX" w:eastAsia="es-MX"/>
              </w:rPr>
              <w:t>Baja California</w:t>
            </w:r>
          </w:p>
        </w:tc>
        <w:tc>
          <w:tcPr>
            <w:tcW w:w="611" w:type="dxa"/>
            <w:tcBorders>
              <w:top w:val="nil"/>
              <w:left w:val="single" w:sz="4" w:space="0" w:color="auto"/>
              <w:bottom w:val="nil"/>
              <w:right w:val="nil"/>
            </w:tcBorders>
            <w:shd w:val="clear" w:color="auto" w:fill="auto"/>
            <w:noWrap/>
            <w:vAlign w:val="bottom"/>
            <w:hideMark/>
          </w:tcPr>
          <w:p w14:paraId="4561C495" w14:textId="77777777" w:rsidR="00DD33BD" w:rsidRPr="00685B80" w:rsidRDefault="00DD33BD" w:rsidP="00DD33BD">
            <w:pPr>
              <w:jc w:val="right"/>
              <w:rPr>
                <w:rFonts w:ascii="Arial" w:hAnsi="Arial" w:cs="Arial"/>
                <w:color w:val="000000"/>
                <w:lang w:val="es-MX" w:eastAsia="es-MX"/>
              </w:rPr>
            </w:pPr>
            <w:r w:rsidRPr="00685B80">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52BF5F45" w14:textId="77777777" w:rsidR="00DD33BD" w:rsidRDefault="00DD33BD" w:rsidP="00DD33BD">
            <w:pPr>
              <w:jc w:val="center"/>
              <w:rPr>
                <w:rFonts w:ascii="Arial" w:hAnsi="Arial" w:cs="Arial"/>
                <w:color w:val="000000"/>
              </w:rPr>
            </w:pPr>
            <w:r>
              <w:rPr>
                <w:rFonts w:ascii="Arial" w:hAnsi="Arial" w:cs="Arial"/>
                <w:color w:val="000000"/>
              </w:rPr>
              <w:t>2.3</w:t>
            </w:r>
          </w:p>
        </w:tc>
        <w:tc>
          <w:tcPr>
            <w:tcW w:w="666" w:type="dxa"/>
            <w:tcBorders>
              <w:top w:val="nil"/>
              <w:left w:val="nil"/>
              <w:bottom w:val="nil"/>
              <w:right w:val="nil"/>
            </w:tcBorders>
            <w:shd w:val="clear" w:color="auto" w:fill="auto"/>
            <w:noWrap/>
            <w:vAlign w:val="bottom"/>
            <w:hideMark/>
          </w:tcPr>
          <w:p w14:paraId="12B6BD6D" w14:textId="77777777" w:rsidR="00DD33BD" w:rsidRPr="0048399B" w:rsidRDefault="00DD33BD" w:rsidP="00DD33BD">
            <w:pPr>
              <w:jc w:val="right"/>
              <w:rPr>
                <w:rFonts w:ascii="Arial" w:hAnsi="Arial" w:cs="Arial"/>
                <w:color w:val="000000"/>
                <w:lang w:val="es-MX" w:eastAsia="es-MX"/>
              </w:rPr>
            </w:pPr>
          </w:p>
        </w:tc>
        <w:tc>
          <w:tcPr>
            <w:tcW w:w="814" w:type="dxa"/>
            <w:tcBorders>
              <w:top w:val="nil"/>
              <w:left w:val="nil"/>
              <w:bottom w:val="nil"/>
              <w:right w:val="single" w:sz="4" w:space="0" w:color="auto"/>
            </w:tcBorders>
            <w:shd w:val="clear" w:color="auto" w:fill="auto"/>
            <w:noWrap/>
            <w:vAlign w:val="bottom"/>
            <w:hideMark/>
          </w:tcPr>
          <w:p w14:paraId="078DAC88" w14:textId="77777777" w:rsidR="00DD33BD" w:rsidRDefault="00DD33BD" w:rsidP="00DD33BD">
            <w:pPr>
              <w:jc w:val="center"/>
              <w:rPr>
                <w:rFonts w:ascii="Arial" w:hAnsi="Arial" w:cs="Arial"/>
                <w:color w:val="000000"/>
              </w:rPr>
            </w:pPr>
            <w:r>
              <w:rPr>
                <w:rFonts w:ascii="Arial" w:hAnsi="Arial" w:cs="Arial"/>
                <w:color w:val="000000"/>
              </w:rPr>
              <w:t>1.8</w:t>
            </w:r>
          </w:p>
        </w:tc>
        <w:tc>
          <w:tcPr>
            <w:tcW w:w="634" w:type="dxa"/>
            <w:tcBorders>
              <w:top w:val="nil"/>
              <w:left w:val="nil"/>
              <w:bottom w:val="nil"/>
              <w:right w:val="nil"/>
            </w:tcBorders>
            <w:shd w:val="clear" w:color="auto" w:fill="auto"/>
            <w:noWrap/>
            <w:vAlign w:val="bottom"/>
            <w:hideMark/>
          </w:tcPr>
          <w:p w14:paraId="61209E25" w14:textId="77777777" w:rsidR="00DD33BD" w:rsidRPr="0048399B" w:rsidRDefault="00DD33BD" w:rsidP="00DD33BD">
            <w:pPr>
              <w:jc w:val="right"/>
              <w:rPr>
                <w:rFonts w:ascii="Arial" w:hAnsi="Arial" w:cs="Arial"/>
                <w:color w:val="000000"/>
                <w:lang w:val="es-MX" w:eastAsia="es-MX"/>
              </w:rPr>
            </w:pPr>
            <w:r w:rsidRPr="0048399B">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3B5FC8E2" w14:textId="77777777" w:rsidR="00DD33BD" w:rsidRDefault="00DD33BD" w:rsidP="00DD33BD">
            <w:pPr>
              <w:jc w:val="center"/>
              <w:rPr>
                <w:rFonts w:ascii="Arial" w:hAnsi="Arial" w:cs="Arial"/>
                <w:color w:val="000000"/>
              </w:rPr>
            </w:pPr>
            <w:r>
              <w:rPr>
                <w:rFonts w:ascii="Arial" w:hAnsi="Arial" w:cs="Arial"/>
                <w:color w:val="000000"/>
              </w:rPr>
              <w:t>3.8</w:t>
            </w:r>
          </w:p>
        </w:tc>
        <w:tc>
          <w:tcPr>
            <w:tcW w:w="642" w:type="dxa"/>
            <w:tcBorders>
              <w:top w:val="nil"/>
              <w:left w:val="nil"/>
              <w:bottom w:val="nil"/>
              <w:right w:val="nil"/>
            </w:tcBorders>
            <w:shd w:val="clear" w:color="auto" w:fill="auto"/>
            <w:noWrap/>
            <w:vAlign w:val="bottom"/>
            <w:hideMark/>
          </w:tcPr>
          <w:p w14:paraId="64AA5EF7" w14:textId="77777777" w:rsidR="00DD33BD" w:rsidRPr="0048399B" w:rsidRDefault="00DD33BD" w:rsidP="00DD33BD">
            <w:pPr>
              <w:jc w:val="right"/>
              <w:rPr>
                <w:rFonts w:ascii="Arial" w:hAnsi="Arial" w:cs="Arial"/>
                <w:color w:val="000000"/>
                <w:lang w:val="es-MX" w:eastAsia="es-MX"/>
              </w:rPr>
            </w:pPr>
            <w:r w:rsidRPr="0048399B">
              <w:rPr>
                <w:rFonts w:ascii="Arial" w:hAnsi="Arial" w:cs="Arial"/>
                <w:color w:val="000000"/>
                <w:lang w:val="es-MX" w:eastAsia="es-MX"/>
              </w:rPr>
              <w:t> </w:t>
            </w:r>
          </w:p>
        </w:tc>
        <w:tc>
          <w:tcPr>
            <w:tcW w:w="703" w:type="dxa"/>
            <w:tcBorders>
              <w:top w:val="nil"/>
              <w:left w:val="nil"/>
              <w:bottom w:val="nil"/>
              <w:right w:val="single" w:sz="4" w:space="0" w:color="auto"/>
            </w:tcBorders>
            <w:shd w:val="clear" w:color="auto" w:fill="auto"/>
            <w:noWrap/>
            <w:vAlign w:val="bottom"/>
            <w:hideMark/>
          </w:tcPr>
          <w:p w14:paraId="770A13E7" w14:textId="77777777" w:rsidR="00DD33BD" w:rsidRDefault="00DD33BD" w:rsidP="00DD33BD">
            <w:pPr>
              <w:rPr>
                <w:rFonts w:ascii="Arial" w:hAnsi="Arial" w:cs="Arial"/>
                <w:color w:val="000000"/>
              </w:rPr>
            </w:pPr>
            <w:r>
              <w:rPr>
                <w:rFonts w:ascii="Arial" w:hAnsi="Arial" w:cs="Arial"/>
                <w:color w:val="000000"/>
              </w:rPr>
              <w:t>1.4</w:t>
            </w:r>
          </w:p>
        </w:tc>
      </w:tr>
      <w:tr w:rsidR="00DD33BD" w:rsidRPr="00685B80" w14:paraId="14C26D06" w14:textId="77777777" w:rsidTr="00DD33BD">
        <w:trPr>
          <w:trHeight w:val="255"/>
        </w:trPr>
        <w:tc>
          <w:tcPr>
            <w:tcW w:w="3108" w:type="dxa"/>
            <w:tcBorders>
              <w:top w:val="nil"/>
              <w:left w:val="single" w:sz="4" w:space="0" w:color="auto"/>
              <w:bottom w:val="nil"/>
              <w:right w:val="nil"/>
            </w:tcBorders>
            <w:shd w:val="clear" w:color="auto" w:fill="auto"/>
            <w:noWrap/>
            <w:vAlign w:val="bottom"/>
            <w:hideMark/>
          </w:tcPr>
          <w:p w14:paraId="1D3850AC" w14:textId="77777777" w:rsidR="00DD33BD" w:rsidRPr="00685B80" w:rsidRDefault="00DD33BD" w:rsidP="00DD33BD">
            <w:pPr>
              <w:ind w:firstLineChars="100" w:firstLine="200"/>
              <w:rPr>
                <w:rFonts w:ascii="Arial" w:hAnsi="Arial" w:cs="Arial"/>
                <w:color w:val="000000"/>
                <w:lang w:val="es-MX" w:eastAsia="es-MX"/>
              </w:rPr>
            </w:pPr>
            <w:r w:rsidRPr="00685B80">
              <w:rPr>
                <w:rFonts w:ascii="Arial" w:hAnsi="Arial" w:cs="Arial"/>
                <w:color w:val="000000"/>
                <w:lang w:val="es-MX" w:eastAsia="es-MX"/>
              </w:rPr>
              <w:t>Baja California Sur</w:t>
            </w:r>
          </w:p>
        </w:tc>
        <w:tc>
          <w:tcPr>
            <w:tcW w:w="611" w:type="dxa"/>
            <w:tcBorders>
              <w:top w:val="nil"/>
              <w:left w:val="single" w:sz="4" w:space="0" w:color="auto"/>
              <w:bottom w:val="nil"/>
              <w:right w:val="nil"/>
            </w:tcBorders>
            <w:shd w:val="clear" w:color="auto" w:fill="auto"/>
            <w:noWrap/>
            <w:vAlign w:val="bottom"/>
            <w:hideMark/>
          </w:tcPr>
          <w:p w14:paraId="147BA9A8" w14:textId="77777777" w:rsidR="00DD33BD" w:rsidRPr="00685B80" w:rsidRDefault="00DD33BD" w:rsidP="00DD33BD">
            <w:pPr>
              <w:jc w:val="center"/>
              <w:rPr>
                <w:rFonts w:ascii="Arial" w:hAnsi="Arial" w:cs="Arial"/>
                <w:color w:val="000000"/>
                <w:lang w:val="es-MX" w:eastAsia="es-MX"/>
              </w:rPr>
            </w:pPr>
          </w:p>
        </w:tc>
        <w:tc>
          <w:tcPr>
            <w:tcW w:w="814" w:type="dxa"/>
            <w:tcBorders>
              <w:top w:val="nil"/>
              <w:left w:val="nil"/>
              <w:bottom w:val="nil"/>
              <w:right w:val="single" w:sz="4" w:space="0" w:color="auto"/>
            </w:tcBorders>
            <w:shd w:val="clear" w:color="auto" w:fill="auto"/>
            <w:noWrap/>
            <w:vAlign w:val="bottom"/>
            <w:hideMark/>
          </w:tcPr>
          <w:p w14:paraId="67285D55" w14:textId="77777777" w:rsidR="00DD33BD" w:rsidRDefault="00DD33BD" w:rsidP="00DD33BD">
            <w:pPr>
              <w:rPr>
                <w:rFonts w:ascii="Arial" w:hAnsi="Arial" w:cs="Arial"/>
                <w:color w:val="000000"/>
              </w:rPr>
            </w:pPr>
            <w:r>
              <w:rPr>
                <w:rFonts w:ascii="Arial" w:hAnsi="Arial" w:cs="Arial"/>
                <w:color w:val="000000"/>
              </w:rPr>
              <w:t xml:space="preserve">  17.2 </w:t>
            </w:r>
          </w:p>
        </w:tc>
        <w:tc>
          <w:tcPr>
            <w:tcW w:w="666" w:type="dxa"/>
            <w:tcBorders>
              <w:top w:val="nil"/>
              <w:left w:val="nil"/>
              <w:bottom w:val="nil"/>
              <w:right w:val="nil"/>
            </w:tcBorders>
            <w:shd w:val="clear" w:color="auto" w:fill="auto"/>
            <w:noWrap/>
            <w:vAlign w:val="bottom"/>
            <w:hideMark/>
          </w:tcPr>
          <w:p w14:paraId="129174C7" w14:textId="77777777" w:rsidR="00DD33BD" w:rsidRPr="0048399B" w:rsidRDefault="00DD33BD" w:rsidP="00DD33BD">
            <w:pPr>
              <w:jc w:val="right"/>
              <w:rPr>
                <w:rFonts w:ascii="Arial" w:hAnsi="Arial" w:cs="Arial"/>
                <w:color w:val="000000"/>
                <w:lang w:val="es-MX" w:eastAsia="es-MX"/>
              </w:rPr>
            </w:pPr>
            <w:r w:rsidRPr="0048399B">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7139A32C" w14:textId="77777777" w:rsidR="00DD33BD" w:rsidRDefault="00DD33BD" w:rsidP="00DD33BD">
            <w:pPr>
              <w:jc w:val="center"/>
              <w:rPr>
                <w:rFonts w:ascii="Arial" w:hAnsi="Arial" w:cs="Arial"/>
                <w:color w:val="000000"/>
              </w:rPr>
            </w:pPr>
            <w:r>
              <w:rPr>
                <w:rFonts w:ascii="Arial" w:hAnsi="Arial" w:cs="Arial"/>
                <w:color w:val="000000"/>
              </w:rPr>
              <w:t>4.0</w:t>
            </w:r>
          </w:p>
        </w:tc>
        <w:tc>
          <w:tcPr>
            <w:tcW w:w="634" w:type="dxa"/>
            <w:tcBorders>
              <w:top w:val="nil"/>
              <w:left w:val="nil"/>
              <w:bottom w:val="nil"/>
              <w:right w:val="nil"/>
            </w:tcBorders>
            <w:shd w:val="clear" w:color="auto" w:fill="auto"/>
            <w:noWrap/>
            <w:vAlign w:val="bottom"/>
            <w:hideMark/>
          </w:tcPr>
          <w:p w14:paraId="4B35C79E" w14:textId="77777777" w:rsidR="00DD33BD" w:rsidRPr="0048399B" w:rsidRDefault="00DD33BD" w:rsidP="00DD33BD">
            <w:pPr>
              <w:jc w:val="right"/>
              <w:rPr>
                <w:rFonts w:ascii="Arial" w:hAnsi="Arial" w:cs="Arial"/>
                <w:color w:val="000000"/>
                <w:lang w:val="es-MX" w:eastAsia="es-MX"/>
              </w:rPr>
            </w:pPr>
          </w:p>
        </w:tc>
        <w:tc>
          <w:tcPr>
            <w:tcW w:w="814" w:type="dxa"/>
            <w:tcBorders>
              <w:top w:val="nil"/>
              <w:left w:val="nil"/>
              <w:bottom w:val="nil"/>
              <w:right w:val="single" w:sz="4" w:space="0" w:color="auto"/>
            </w:tcBorders>
            <w:shd w:val="clear" w:color="auto" w:fill="auto"/>
            <w:noWrap/>
            <w:vAlign w:val="bottom"/>
            <w:hideMark/>
          </w:tcPr>
          <w:p w14:paraId="6937E352" w14:textId="77777777" w:rsidR="00DD33BD" w:rsidRDefault="00DD33BD" w:rsidP="00DD33BD">
            <w:pPr>
              <w:rPr>
                <w:rFonts w:ascii="Arial" w:hAnsi="Arial" w:cs="Arial"/>
                <w:color w:val="000000"/>
              </w:rPr>
            </w:pPr>
            <w:r>
              <w:rPr>
                <w:rFonts w:ascii="Arial" w:hAnsi="Arial" w:cs="Arial"/>
                <w:color w:val="000000"/>
              </w:rPr>
              <w:t xml:space="preserve">  39.8</w:t>
            </w:r>
          </w:p>
        </w:tc>
        <w:tc>
          <w:tcPr>
            <w:tcW w:w="642" w:type="dxa"/>
            <w:tcBorders>
              <w:top w:val="nil"/>
              <w:left w:val="nil"/>
              <w:bottom w:val="nil"/>
              <w:right w:val="nil"/>
            </w:tcBorders>
            <w:shd w:val="clear" w:color="auto" w:fill="auto"/>
            <w:noWrap/>
            <w:vAlign w:val="bottom"/>
            <w:hideMark/>
          </w:tcPr>
          <w:p w14:paraId="2018A259" w14:textId="77777777" w:rsidR="00DD33BD" w:rsidRPr="0048399B" w:rsidRDefault="00DD33BD" w:rsidP="00DD33BD">
            <w:pPr>
              <w:jc w:val="right"/>
              <w:rPr>
                <w:rFonts w:ascii="Arial" w:hAnsi="Arial" w:cs="Arial"/>
                <w:color w:val="000000"/>
                <w:lang w:val="es-MX" w:eastAsia="es-MX"/>
              </w:rPr>
            </w:pPr>
          </w:p>
        </w:tc>
        <w:tc>
          <w:tcPr>
            <w:tcW w:w="703" w:type="dxa"/>
            <w:tcBorders>
              <w:top w:val="nil"/>
              <w:left w:val="nil"/>
              <w:bottom w:val="nil"/>
              <w:right w:val="single" w:sz="4" w:space="0" w:color="auto"/>
            </w:tcBorders>
            <w:shd w:val="clear" w:color="auto" w:fill="auto"/>
            <w:noWrap/>
            <w:vAlign w:val="bottom"/>
            <w:hideMark/>
          </w:tcPr>
          <w:p w14:paraId="6C18F6D6" w14:textId="77777777" w:rsidR="00DD33BD" w:rsidRDefault="00DD33BD" w:rsidP="00DD33BD">
            <w:pPr>
              <w:rPr>
                <w:rFonts w:ascii="Arial" w:hAnsi="Arial" w:cs="Arial"/>
                <w:color w:val="000000"/>
              </w:rPr>
            </w:pPr>
            <w:r>
              <w:rPr>
                <w:rFonts w:ascii="Arial" w:hAnsi="Arial" w:cs="Arial"/>
                <w:color w:val="000000"/>
              </w:rPr>
              <w:t>7.2</w:t>
            </w:r>
          </w:p>
        </w:tc>
      </w:tr>
      <w:tr w:rsidR="00DD33BD" w:rsidRPr="00685B80" w14:paraId="14A77A04" w14:textId="77777777" w:rsidTr="00DD33BD">
        <w:trPr>
          <w:trHeight w:val="255"/>
        </w:trPr>
        <w:tc>
          <w:tcPr>
            <w:tcW w:w="3108" w:type="dxa"/>
            <w:tcBorders>
              <w:top w:val="nil"/>
              <w:left w:val="single" w:sz="4" w:space="0" w:color="auto"/>
              <w:bottom w:val="nil"/>
              <w:right w:val="nil"/>
            </w:tcBorders>
            <w:shd w:val="clear" w:color="auto" w:fill="auto"/>
            <w:noWrap/>
            <w:vAlign w:val="bottom"/>
            <w:hideMark/>
          </w:tcPr>
          <w:p w14:paraId="01DD4DA2" w14:textId="77777777" w:rsidR="00DD33BD" w:rsidRPr="00685B80" w:rsidRDefault="00DD33BD" w:rsidP="00DD33BD">
            <w:pPr>
              <w:ind w:firstLineChars="100" w:firstLine="200"/>
              <w:rPr>
                <w:rFonts w:ascii="Arial" w:hAnsi="Arial" w:cs="Arial"/>
                <w:color w:val="000000"/>
                <w:lang w:val="es-MX" w:eastAsia="es-MX"/>
              </w:rPr>
            </w:pPr>
            <w:r w:rsidRPr="00685B80">
              <w:rPr>
                <w:rFonts w:ascii="Arial" w:hAnsi="Arial" w:cs="Arial"/>
                <w:color w:val="000000"/>
                <w:lang w:val="es-MX" w:eastAsia="es-MX"/>
              </w:rPr>
              <w:t>Campeche</w:t>
            </w:r>
          </w:p>
        </w:tc>
        <w:tc>
          <w:tcPr>
            <w:tcW w:w="611" w:type="dxa"/>
            <w:tcBorders>
              <w:top w:val="nil"/>
              <w:left w:val="single" w:sz="4" w:space="0" w:color="auto"/>
              <w:bottom w:val="nil"/>
              <w:right w:val="nil"/>
            </w:tcBorders>
            <w:shd w:val="clear" w:color="auto" w:fill="auto"/>
            <w:noWrap/>
            <w:vAlign w:val="bottom"/>
            <w:hideMark/>
          </w:tcPr>
          <w:p w14:paraId="21F7FA26" w14:textId="77777777" w:rsidR="00DD33BD" w:rsidRPr="00685B80" w:rsidRDefault="00DD33BD" w:rsidP="00DD33BD">
            <w:pPr>
              <w:jc w:val="right"/>
              <w:rPr>
                <w:rFonts w:ascii="Arial" w:hAnsi="Arial" w:cs="Arial"/>
                <w:color w:val="000000"/>
                <w:lang w:val="es-MX" w:eastAsia="es-MX"/>
              </w:rPr>
            </w:pPr>
            <w:r w:rsidRPr="00685B80">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4144436C" w14:textId="77777777" w:rsidR="00DD33BD" w:rsidRDefault="00DD33BD" w:rsidP="00DD33BD">
            <w:pPr>
              <w:jc w:val="center"/>
              <w:rPr>
                <w:rFonts w:ascii="Arial" w:hAnsi="Arial" w:cs="Arial"/>
                <w:color w:val="000000"/>
              </w:rPr>
            </w:pPr>
            <w:r>
              <w:rPr>
                <w:rFonts w:ascii="Arial" w:hAnsi="Arial" w:cs="Arial"/>
                <w:color w:val="000000"/>
              </w:rPr>
              <w:t>1.6</w:t>
            </w:r>
          </w:p>
        </w:tc>
        <w:tc>
          <w:tcPr>
            <w:tcW w:w="666" w:type="dxa"/>
            <w:tcBorders>
              <w:top w:val="nil"/>
              <w:left w:val="nil"/>
              <w:bottom w:val="nil"/>
              <w:right w:val="nil"/>
            </w:tcBorders>
            <w:shd w:val="clear" w:color="auto" w:fill="auto"/>
            <w:noWrap/>
            <w:vAlign w:val="bottom"/>
            <w:hideMark/>
          </w:tcPr>
          <w:p w14:paraId="72DB58E1" w14:textId="77777777" w:rsidR="00DD33BD" w:rsidRPr="0048399B" w:rsidRDefault="00DD33BD" w:rsidP="00DD33BD">
            <w:pPr>
              <w:jc w:val="right"/>
              <w:rPr>
                <w:rFonts w:ascii="Arial" w:hAnsi="Arial" w:cs="Arial"/>
                <w:color w:val="000000"/>
                <w:lang w:val="es-MX" w:eastAsia="es-MX"/>
              </w:rPr>
            </w:pPr>
            <w:r w:rsidRPr="0048399B">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63ED96FD" w14:textId="77777777" w:rsidR="00DD33BD" w:rsidRDefault="00DD33BD" w:rsidP="00DD33BD">
            <w:pPr>
              <w:jc w:val="center"/>
              <w:rPr>
                <w:rFonts w:ascii="Arial" w:hAnsi="Arial" w:cs="Arial"/>
                <w:color w:val="000000"/>
              </w:rPr>
            </w:pPr>
            <w:r>
              <w:rPr>
                <w:rFonts w:ascii="Arial" w:hAnsi="Arial" w:cs="Arial"/>
                <w:color w:val="000000"/>
              </w:rPr>
              <w:t>7.4</w:t>
            </w:r>
          </w:p>
        </w:tc>
        <w:tc>
          <w:tcPr>
            <w:tcW w:w="634" w:type="dxa"/>
            <w:tcBorders>
              <w:top w:val="nil"/>
              <w:left w:val="nil"/>
              <w:bottom w:val="nil"/>
              <w:right w:val="nil"/>
            </w:tcBorders>
            <w:shd w:val="clear" w:color="auto" w:fill="auto"/>
            <w:noWrap/>
            <w:vAlign w:val="bottom"/>
            <w:hideMark/>
          </w:tcPr>
          <w:p w14:paraId="2CC64D71" w14:textId="77777777" w:rsidR="00DD33BD" w:rsidRPr="00685B80" w:rsidRDefault="00DD33BD" w:rsidP="00DD33BD">
            <w:pPr>
              <w:jc w:val="right"/>
              <w:rPr>
                <w:rFonts w:ascii="Arial" w:hAnsi="Arial" w:cs="Arial"/>
                <w:color w:val="000000"/>
                <w:lang w:val="es-MX" w:eastAsia="es-MX"/>
              </w:rPr>
            </w:pPr>
            <w:r w:rsidRPr="00685B80">
              <w:rPr>
                <w:rFonts w:ascii="Arial" w:hAnsi="Arial" w:cs="Arial"/>
                <w:color w:val="000000"/>
                <w:lang w:val="es-MX" w:eastAsia="es-MX"/>
              </w:rPr>
              <w:t>(-)</w:t>
            </w:r>
          </w:p>
        </w:tc>
        <w:tc>
          <w:tcPr>
            <w:tcW w:w="814" w:type="dxa"/>
            <w:tcBorders>
              <w:top w:val="nil"/>
              <w:left w:val="nil"/>
              <w:bottom w:val="nil"/>
              <w:right w:val="single" w:sz="4" w:space="0" w:color="auto"/>
            </w:tcBorders>
            <w:shd w:val="clear" w:color="auto" w:fill="auto"/>
            <w:noWrap/>
            <w:vAlign w:val="bottom"/>
            <w:hideMark/>
          </w:tcPr>
          <w:p w14:paraId="4E95A03F" w14:textId="77777777" w:rsidR="00DD33BD" w:rsidRDefault="00DD33BD" w:rsidP="00DD33BD">
            <w:pPr>
              <w:jc w:val="center"/>
              <w:rPr>
                <w:rFonts w:ascii="Arial" w:hAnsi="Arial" w:cs="Arial"/>
                <w:color w:val="000000"/>
              </w:rPr>
            </w:pPr>
            <w:r>
              <w:rPr>
                <w:rFonts w:ascii="Arial" w:hAnsi="Arial" w:cs="Arial"/>
                <w:color w:val="000000"/>
              </w:rPr>
              <w:t>2.4</w:t>
            </w:r>
          </w:p>
        </w:tc>
        <w:tc>
          <w:tcPr>
            <w:tcW w:w="642" w:type="dxa"/>
            <w:tcBorders>
              <w:top w:val="nil"/>
              <w:left w:val="nil"/>
              <w:bottom w:val="nil"/>
              <w:right w:val="nil"/>
            </w:tcBorders>
            <w:shd w:val="clear" w:color="auto" w:fill="auto"/>
            <w:noWrap/>
            <w:vAlign w:val="bottom"/>
            <w:hideMark/>
          </w:tcPr>
          <w:p w14:paraId="5D317391" w14:textId="77777777" w:rsidR="00DD33BD" w:rsidRPr="0048399B" w:rsidRDefault="00DD33BD" w:rsidP="00DD33BD">
            <w:pPr>
              <w:jc w:val="right"/>
              <w:rPr>
                <w:rFonts w:ascii="Arial" w:hAnsi="Arial" w:cs="Arial"/>
                <w:color w:val="000000"/>
                <w:lang w:val="es-MX" w:eastAsia="es-MX"/>
              </w:rPr>
            </w:pPr>
            <w:r w:rsidRPr="0048399B">
              <w:rPr>
                <w:rFonts w:ascii="Arial" w:hAnsi="Arial" w:cs="Arial"/>
                <w:color w:val="000000"/>
                <w:lang w:val="es-MX" w:eastAsia="es-MX"/>
              </w:rPr>
              <w:t> </w:t>
            </w:r>
          </w:p>
        </w:tc>
        <w:tc>
          <w:tcPr>
            <w:tcW w:w="703" w:type="dxa"/>
            <w:tcBorders>
              <w:top w:val="nil"/>
              <w:left w:val="nil"/>
              <w:bottom w:val="nil"/>
              <w:right w:val="single" w:sz="4" w:space="0" w:color="auto"/>
            </w:tcBorders>
            <w:shd w:val="clear" w:color="auto" w:fill="auto"/>
            <w:noWrap/>
            <w:vAlign w:val="bottom"/>
            <w:hideMark/>
          </w:tcPr>
          <w:p w14:paraId="4D2B63FB" w14:textId="77777777" w:rsidR="00DD33BD" w:rsidRDefault="00DD33BD" w:rsidP="00DD33BD">
            <w:pPr>
              <w:rPr>
                <w:rFonts w:ascii="Arial" w:hAnsi="Arial" w:cs="Arial"/>
                <w:color w:val="000000"/>
              </w:rPr>
            </w:pPr>
            <w:r>
              <w:rPr>
                <w:rFonts w:ascii="Arial" w:hAnsi="Arial" w:cs="Arial"/>
                <w:color w:val="000000"/>
              </w:rPr>
              <w:t>2.4</w:t>
            </w:r>
          </w:p>
        </w:tc>
      </w:tr>
      <w:tr w:rsidR="00DD33BD" w:rsidRPr="00685B80" w14:paraId="320F0B9C" w14:textId="77777777" w:rsidTr="00DD33BD">
        <w:trPr>
          <w:trHeight w:val="255"/>
        </w:trPr>
        <w:tc>
          <w:tcPr>
            <w:tcW w:w="3108" w:type="dxa"/>
            <w:tcBorders>
              <w:top w:val="nil"/>
              <w:left w:val="single" w:sz="4" w:space="0" w:color="auto"/>
              <w:bottom w:val="nil"/>
              <w:right w:val="nil"/>
            </w:tcBorders>
            <w:shd w:val="clear" w:color="auto" w:fill="auto"/>
            <w:noWrap/>
            <w:vAlign w:val="bottom"/>
            <w:hideMark/>
          </w:tcPr>
          <w:p w14:paraId="78009928" w14:textId="77777777" w:rsidR="00DD33BD" w:rsidRPr="00685B80" w:rsidRDefault="00DD33BD" w:rsidP="00DD33BD">
            <w:pPr>
              <w:ind w:firstLineChars="100" w:firstLine="200"/>
              <w:rPr>
                <w:rFonts w:ascii="Arial" w:hAnsi="Arial" w:cs="Arial"/>
                <w:color w:val="000000"/>
                <w:lang w:val="es-MX" w:eastAsia="es-MX"/>
              </w:rPr>
            </w:pPr>
            <w:r w:rsidRPr="00685B80">
              <w:rPr>
                <w:rFonts w:ascii="Arial" w:hAnsi="Arial" w:cs="Arial"/>
                <w:color w:val="000000"/>
                <w:lang w:val="es-MX" w:eastAsia="es-MX"/>
              </w:rPr>
              <w:t>Coahuila de Zaragoza</w:t>
            </w:r>
          </w:p>
        </w:tc>
        <w:tc>
          <w:tcPr>
            <w:tcW w:w="611" w:type="dxa"/>
            <w:tcBorders>
              <w:top w:val="nil"/>
              <w:left w:val="single" w:sz="4" w:space="0" w:color="auto"/>
              <w:bottom w:val="nil"/>
              <w:right w:val="nil"/>
            </w:tcBorders>
            <w:shd w:val="clear" w:color="auto" w:fill="auto"/>
            <w:noWrap/>
            <w:vAlign w:val="bottom"/>
            <w:hideMark/>
          </w:tcPr>
          <w:p w14:paraId="4A008C17" w14:textId="77777777" w:rsidR="00DD33BD" w:rsidRPr="00685B80" w:rsidRDefault="00DD33BD" w:rsidP="00DD33BD">
            <w:pPr>
              <w:jc w:val="right"/>
              <w:rPr>
                <w:rFonts w:ascii="Arial" w:hAnsi="Arial" w:cs="Arial"/>
                <w:color w:val="000000"/>
                <w:lang w:val="es-MX" w:eastAsia="es-MX"/>
              </w:rPr>
            </w:pPr>
            <w:r w:rsidRPr="00685B80">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120B323D" w14:textId="77777777" w:rsidR="00DD33BD" w:rsidRDefault="00DD33BD" w:rsidP="00DD33BD">
            <w:pPr>
              <w:jc w:val="center"/>
              <w:rPr>
                <w:rFonts w:ascii="Arial" w:hAnsi="Arial" w:cs="Arial"/>
                <w:color w:val="000000"/>
              </w:rPr>
            </w:pPr>
            <w:r>
              <w:rPr>
                <w:rFonts w:ascii="Arial" w:hAnsi="Arial" w:cs="Arial"/>
                <w:color w:val="000000"/>
              </w:rPr>
              <w:t>1.3</w:t>
            </w:r>
          </w:p>
        </w:tc>
        <w:tc>
          <w:tcPr>
            <w:tcW w:w="666" w:type="dxa"/>
            <w:tcBorders>
              <w:top w:val="nil"/>
              <w:left w:val="nil"/>
              <w:bottom w:val="nil"/>
              <w:right w:val="nil"/>
            </w:tcBorders>
            <w:shd w:val="clear" w:color="auto" w:fill="auto"/>
            <w:noWrap/>
            <w:vAlign w:val="bottom"/>
            <w:hideMark/>
          </w:tcPr>
          <w:p w14:paraId="52930681" w14:textId="77777777" w:rsidR="00DD33BD" w:rsidRPr="0048399B" w:rsidRDefault="00DD33BD" w:rsidP="00DD33BD">
            <w:pPr>
              <w:jc w:val="right"/>
              <w:rPr>
                <w:rFonts w:ascii="Arial" w:hAnsi="Arial" w:cs="Arial"/>
                <w:color w:val="000000"/>
                <w:lang w:val="es-MX" w:eastAsia="es-MX"/>
              </w:rPr>
            </w:pPr>
            <w:r w:rsidRPr="0048399B">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6D6D737A" w14:textId="77777777" w:rsidR="00DD33BD" w:rsidRDefault="00DD33BD" w:rsidP="00DD33BD">
            <w:pPr>
              <w:jc w:val="center"/>
              <w:rPr>
                <w:rFonts w:ascii="Arial" w:hAnsi="Arial" w:cs="Arial"/>
                <w:color w:val="000000"/>
              </w:rPr>
            </w:pPr>
            <w:r>
              <w:rPr>
                <w:rFonts w:ascii="Arial" w:hAnsi="Arial" w:cs="Arial"/>
                <w:color w:val="000000"/>
              </w:rPr>
              <w:t>5.4</w:t>
            </w:r>
          </w:p>
        </w:tc>
        <w:tc>
          <w:tcPr>
            <w:tcW w:w="634" w:type="dxa"/>
            <w:tcBorders>
              <w:top w:val="nil"/>
              <w:left w:val="nil"/>
              <w:bottom w:val="nil"/>
              <w:right w:val="nil"/>
            </w:tcBorders>
            <w:shd w:val="clear" w:color="auto" w:fill="auto"/>
            <w:noWrap/>
            <w:vAlign w:val="bottom"/>
            <w:hideMark/>
          </w:tcPr>
          <w:p w14:paraId="1AF40FC0" w14:textId="77777777" w:rsidR="00DD33BD" w:rsidRPr="0048399B" w:rsidRDefault="00DD33BD" w:rsidP="00DD33BD">
            <w:pPr>
              <w:jc w:val="right"/>
              <w:rPr>
                <w:rFonts w:ascii="Arial" w:hAnsi="Arial" w:cs="Arial"/>
                <w:color w:val="000000"/>
                <w:lang w:val="es-MX" w:eastAsia="es-MX"/>
              </w:rPr>
            </w:pPr>
            <w:r w:rsidRPr="0048399B">
              <w:rPr>
                <w:rFonts w:ascii="Arial" w:hAnsi="Arial" w:cs="Arial"/>
                <w:color w:val="000000"/>
                <w:lang w:val="es-MX" w:eastAsia="es-MX"/>
              </w:rPr>
              <w:t>(-)</w:t>
            </w:r>
          </w:p>
        </w:tc>
        <w:tc>
          <w:tcPr>
            <w:tcW w:w="814" w:type="dxa"/>
            <w:tcBorders>
              <w:top w:val="nil"/>
              <w:left w:val="nil"/>
              <w:bottom w:val="nil"/>
              <w:right w:val="single" w:sz="4" w:space="0" w:color="auto"/>
            </w:tcBorders>
            <w:shd w:val="clear" w:color="auto" w:fill="auto"/>
            <w:noWrap/>
            <w:vAlign w:val="bottom"/>
            <w:hideMark/>
          </w:tcPr>
          <w:p w14:paraId="200CF91E" w14:textId="77777777" w:rsidR="00DD33BD" w:rsidRDefault="00DD33BD" w:rsidP="00DD33BD">
            <w:pPr>
              <w:jc w:val="center"/>
              <w:rPr>
                <w:rFonts w:ascii="Arial" w:hAnsi="Arial" w:cs="Arial"/>
                <w:color w:val="000000"/>
              </w:rPr>
            </w:pPr>
            <w:r>
              <w:rPr>
                <w:rFonts w:ascii="Arial" w:hAnsi="Arial" w:cs="Arial"/>
                <w:color w:val="000000"/>
              </w:rPr>
              <w:t>0.3</w:t>
            </w:r>
          </w:p>
        </w:tc>
        <w:tc>
          <w:tcPr>
            <w:tcW w:w="642" w:type="dxa"/>
            <w:tcBorders>
              <w:top w:val="nil"/>
              <w:left w:val="nil"/>
              <w:bottom w:val="nil"/>
              <w:right w:val="nil"/>
            </w:tcBorders>
            <w:shd w:val="clear" w:color="auto" w:fill="auto"/>
            <w:noWrap/>
            <w:vAlign w:val="bottom"/>
            <w:hideMark/>
          </w:tcPr>
          <w:p w14:paraId="2CBDA880" w14:textId="77777777" w:rsidR="00DD33BD" w:rsidRPr="0048399B" w:rsidRDefault="00DD33BD" w:rsidP="00DD33BD">
            <w:pPr>
              <w:jc w:val="right"/>
              <w:rPr>
                <w:rFonts w:ascii="Arial" w:hAnsi="Arial" w:cs="Arial"/>
                <w:color w:val="000000"/>
                <w:lang w:val="es-MX" w:eastAsia="es-MX"/>
              </w:rPr>
            </w:pPr>
            <w:r w:rsidRPr="0048399B">
              <w:rPr>
                <w:rFonts w:ascii="Arial" w:hAnsi="Arial" w:cs="Arial"/>
                <w:color w:val="000000"/>
                <w:lang w:val="es-MX" w:eastAsia="es-MX"/>
              </w:rPr>
              <w:t> </w:t>
            </w:r>
          </w:p>
        </w:tc>
        <w:tc>
          <w:tcPr>
            <w:tcW w:w="703" w:type="dxa"/>
            <w:tcBorders>
              <w:top w:val="nil"/>
              <w:left w:val="nil"/>
              <w:bottom w:val="nil"/>
              <w:right w:val="single" w:sz="4" w:space="0" w:color="auto"/>
            </w:tcBorders>
            <w:shd w:val="clear" w:color="auto" w:fill="auto"/>
            <w:noWrap/>
            <w:vAlign w:val="bottom"/>
            <w:hideMark/>
          </w:tcPr>
          <w:p w14:paraId="02F5FD9C" w14:textId="77777777" w:rsidR="00DD33BD" w:rsidRDefault="00DD33BD" w:rsidP="00DD33BD">
            <w:pPr>
              <w:rPr>
                <w:rFonts w:ascii="Arial" w:hAnsi="Arial" w:cs="Arial"/>
                <w:color w:val="000000"/>
              </w:rPr>
            </w:pPr>
            <w:r>
              <w:rPr>
                <w:rFonts w:ascii="Arial" w:hAnsi="Arial" w:cs="Arial"/>
                <w:color w:val="000000"/>
              </w:rPr>
              <w:t>3.0</w:t>
            </w:r>
          </w:p>
        </w:tc>
      </w:tr>
      <w:tr w:rsidR="00DD33BD" w:rsidRPr="00685B80" w14:paraId="2BC0C2DB" w14:textId="77777777" w:rsidTr="00DD33BD">
        <w:trPr>
          <w:trHeight w:val="255"/>
        </w:trPr>
        <w:tc>
          <w:tcPr>
            <w:tcW w:w="3108" w:type="dxa"/>
            <w:tcBorders>
              <w:top w:val="nil"/>
              <w:left w:val="single" w:sz="4" w:space="0" w:color="auto"/>
              <w:bottom w:val="nil"/>
              <w:right w:val="nil"/>
            </w:tcBorders>
            <w:shd w:val="clear" w:color="auto" w:fill="auto"/>
            <w:noWrap/>
            <w:vAlign w:val="bottom"/>
            <w:hideMark/>
          </w:tcPr>
          <w:p w14:paraId="063D3386" w14:textId="77777777" w:rsidR="00DD33BD" w:rsidRPr="00685B80" w:rsidRDefault="00DD33BD" w:rsidP="00DD33BD">
            <w:pPr>
              <w:ind w:firstLineChars="100" w:firstLine="200"/>
              <w:rPr>
                <w:rFonts w:ascii="Arial" w:hAnsi="Arial" w:cs="Arial"/>
                <w:color w:val="000000"/>
                <w:lang w:val="es-MX" w:eastAsia="es-MX"/>
              </w:rPr>
            </w:pPr>
            <w:r w:rsidRPr="00685B80">
              <w:rPr>
                <w:rFonts w:ascii="Arial" w:hAnsi="Arial" w:cs="Arial"/>
                <w:color w:val="000000"/>
                <w:lang w:val="es-MX" w:eastAsia="es-MX"/>
              </w:rPr>
              <w:t>Colima</w:t>
            </w:r>
          </w:p>
        </w:tc>
        <w:tc>
          <w:tcPr>
            <w:tcW w:w="611" w:type="dxa"/>
            <w:tcBorders>
              <w:top w:val="nil"/>
              <w:left w:val="single" w:sz="4" w:space="0" w:color="auto"/>
              <w:bottom w:val="nil"/>
              <w:right w:val="nil"/>
            </w:tcBorders>
            <w:shd w:val="clear" w:color="auto" w:fill="auto"/>
            <w:noWrap/>
            <w:vAlign w:val="bottom"/>
            <w:hideMark/>
          </w:tcPr>
          <w:p w14:paraId="74EE499C" w14:textId="77777777" w:rsidR="00DD33BD" w:rsidRPr="00685B80" w:rsidRDefault="00DD33BD" w:rsidP="00DD33BD">
            <w:pPr>
              <w:jc w:val="right"/>
              <w:rPr>
                <w:rFonts w:ascii="Arial" w:hAnsi="Arial" w:cs="Arial"/>
                <w:color w:val="000000"/>
                <w:lang w:val="es-MX" w:eastAsia="es-MX"/>
              </w:rPr>
            </w:pPr>
          </w:p>
        </w:tc>
        <w:tc>
          <w:tcPr>
            <w:tcW w:w="814" w:type="dxa"/>
            <w:tcBorders>
              <w:top w:val="nil"/>
              <w:left w:val="nil"/>
              <w:bottom w:val="nil"/>
              <w:right w:val="single" w:sz="4" w:space="0" w:color="auto"/>
            </w:tcBorders>
            <w:shd w:val="clear" w:color="auto" w:fill="auto"/>
            <w:noWrap/>
            <w:vAlign w:val="bottom"/>
            <w:hideMark/>
          </w:tcPr>
          <w:p w14:paraId="748ACCC5" w14:textId="77777777" w:rsidR="00DD33BD" w:rsidRDefault="00DD33BD" w:rsidP="00DD33BD">
            <w:pPr>
              <w:jc w:val="center"/>
              <w:rPr>
                <w:rFonts w:ascii="Arial" w:hAnsi="Arial" w:cs="Arial"/>
                <w:color w:val="000000"/>
              </w:rPr>
            </w:pPr>
            <w:r>
              <w:rPr>
                <w:rFonts w:ascii="Arial" w:hAnsi="Arial" w:cs="Arial"/>
                <w:color w:val="000000"/>
              </w:rPr>
              <w:t>2.5</w:t>
            </w:r>
          </w:p>
        </w:tc>
        <w:tc>
          <w:tcPr>
            <w:tcW w:w="666" w:type="dxa"/>
            <w:tcBorders>
              <w:top w:val="nil"/>
              <w:left w:val="nil"/>
              <w:bottom w:val="nil"/>
              <w:right w:val="nil"/>
            </w:tcBorders>
            <w:shd w:val="clear" w:color="auto" w:fill="auto"/>
            <w:noWrap/>
            <w:vAlign w:val="bottom"/>
            <w:hideMark/>
          </w:tcPr>
          <w:p w14:paraId="0BDE9F60" w14:textId="77777777" w:rsidR="00DD33BD" w:rsidRPr="0048399B" w:rsidRDefault="00DD33BD" w:rsidP="00DD33BD">
            <w:pPr>
              <w:jc w:val="right"/>
              <w:rPr>
                <w:rFonts w:ascii="Arial" w:hAnsi="Arial" w:cs="Arial"/>
                <w:color w:val="000000"/>
                <w:lang w:val="es-MX" w:eastAsia="es-MX"/>
              </w:rPr>
            </w:pPr>
          </w:p>
        </w:tc>
        <w:tc>
          <w:tcPr>
            <w:tcW w:w="814" w:type="dxa"/>
            <w:tcBorders>
              <w:top w:val="nil"/>
              <w:left w:val="nil"/>
              <w:bottom w:val="nil"/>
              <w:right w:val="single" w:sz="4" w:space="0" w:color="auto"/>
            </w:tcBorders>
            <w:shd w:val="clear" w:color="auto" w:fill="auto"/>
            <w:noWrap/>
            <w:vAlign w:val="bottom"/>
            <w:hideMark/>
          </w:tcPr>
          <w:p w14:paraId="7694D873" w14:textId="77777777" w:rsidR="00DD33BD" w:rsidRDefault="00DD33BD" w:rsidP="00DD33BD">
            <w:pPr>
              <w:jc w:val="center"/>
              <w:rPr>
                <w:rFonts w:ascii="Arial" w:hAnsi="Arial" w:cs="Arial"/>
                <w:color w:val="000000"/>
              </w:rPr>
            </w:pPr>
            <w:r>
              <w:rPr>
                <w:rFonts w:ascii="Arial" w:hAnsi="Arial" w:cs="Arial"/>
                <w:color w:val="000000"/>
              </w:rPr>
              <w:t>3.6</w:t>
            </w:r>
          </w:p>
        </w:tc>
        <w:tc>
          <w:tcPr>
            <w:tcW w:w="634" w:type="dxa"/>
            <w:tcBorders>
              <w:top w:val="nil"/>
              <w:left w:val="nil"/>
              <w:bottom w:val="nil"/>
              <w:right w:val="nil"/>
            </w:tcBorders>
            <w:shd w:val="clear" w:color="auto" w:fill="auto"/>
            <w:noWrap/>
            <w:vAlign w:val="bottom"/>
            <w:hideMark/>
          </w:tcPr>
          <w:p w14:paraId="4740A4EB" w14:textId="77777777" w:rsidR="00DD33BD" w:rsidRPr="0048399B" w:rsidRDefault="00DD33BD" w:rsidP="00DD33BD">
            <w:pPr>
              <w:jc w:val="right"/>
              <w:rPr>
                <w:rFonts w:ascii="Arial" w:hAnsi="Arial" w:cs="Arial"/>
                <w:color w:val="000000"/>
                <w:lang w:val="es-MX" w:eastAsia="es-MX"/>
              </w:rPr>
            </w:pPr>
            <w:r w:rsidRPr="0048399B">
              <w:rPr>
                <w:rFonts w:ascii="Arial" w:hAnsi="Arial" w:cs="Arial"/>
                <w:color w:val="000000"/>
                <w:lang w:val="es-MX" w:eastAsia="es-MX"/>
              </w:rPr>
              <w:t>(-)</w:t>
            </w:r>
          </w:p>
        </w:tc>
        <w:tc>
          <w:tcPr>
            <w:tcW w:w="814" w:type="dxa"/>
            <w:tcBorders>
              <w:top w:val="nil"/>
              <w:left w:val="nil"/>
              <w:bottom w:val="nil"/>
              <w:right w:val="single" w:sz="4" w:space="0" w:color="auto"/>
            </w:tcBorders>
            <w:shd w:val="clear" w:color="auto" w:fill="auto"/>
            <w:noWrap/>
            <w:vAlign w:val="bottom"/>
            <w:hideMark/>
          </w:tcPr>
          <w:p w14:paraId="1603B001" w14:textId="77777777" w:rsidR="00DD33BD" w:rsidRDefault="00DD33BD" w:rsidP="00DD33BD">
            <w:pPr>
              <w:jc w:val="center"/>
              <w:rPr>
                <w:rFonts w:ascii="Arial" w:hAnsi="Arial" w:cs="Arial"/>
                <w:color w:val="000000"/>
              </w:rPr>
            </w:pPr>
            <w:r>
              <w:rPr>
                <w:rFonts w:ascii="Arial" w:hAnsi="Arial" w:cs="Arial"/>
                <w:color w:val="000000"/>
              </w:rPr>
              <w:t>1.5</w:t>
            </w:r>
          </w:p>
        </w:tc>
        <w:tc>
          <w:tcPr>
            <w:tcW w:w="642" w:type="dxa"/>
            <w:tcBorders>
              <w:top w:val="nil"/>
              <w:left w:val="nil"/>
              <w:bottom w:val="nil"/>
              <w:right w:val="nil"/>
            </w:tcBorders>
            <w:shd w:val="clear" w:color="auto" w:fill="auto"/>
            <w:noWrap/>
            <w:vAlign w:val="bottom"/>
            <w:hideMark/>
          </w:tcPr>
          <w:p w14:paraId="2683C7AB" w14:textId="77777777" w:rsidR="00DD33BD" w:rsidRPr="0048399B" w:rsidRDefault="00DD33BD" w:rsidP="00DD33BD">
            <w:pPr>
              <w:jc w:val="right"/>
              <w:rPr>
                <w:rFonts w:ascii="Arial" w:hAnsi="Arial" w:cs="Arial"/>
                <w:color w:val="000000"/>
                <w:lang w:val="es-MX" w:eastAsia="es-MX"/>
              </w:rPr>
            </w:pPr>
            <w:r w:rsidRPr="0048399B">
              <w:rPr>
                <w:rFonts w:ascii="Arial" w:hAnsi="Arial" w:cs="Arial"/>
                <w:color w:val="000000"/>
                <w:lang w:val="es-MX" w:eastAsia="es-MX"/>
              </w:rPr>
              <w:t> </w:t>
            </w:r>
          </w:p>
        </w:tc>
        <w:tc>
          <w:tcPr>
            <w:tcW w:w="703" w:type="dxa"/>
            <w:tcBorders>
              <w:top w:val="nil"/>
              <w:left w:val="nil"/>
              <w:bottom w:val="nil"/>
              <w:right w:val="single" w:sz="4" w:space="0" w:color="auto"/>
            </w:tcBorders>
            <w:shd w:val="clear" w:color="auto" w:fill="auto"/>
            <w:noWrap/>
            <w:vAlign w:val="bottom"/>
            <w:hideMark/>
          </w:tcPr>
          <w:p w14:paraId="288FB288" w14:textId="77777777" w:rsidR="00DD33BD" w:rsidRDefault="00DD33BD" w:rsidP="00DD33BD">
            <w:pPr>
              <w:rPr>
                <w:rFonts w:ascii="Arial" w:hAnsi="Arial" w:cs="Arial"/>
                <w:color w:val="000000"/>
              </w:rPr>
            </w:pPr>
            <w:r>
              <w:rPr>
                <w:rFonts w:ascii="Arial" w:hAnsi="Arial" w:cs="Arial"/>
                <w:color w:val="000000"/>
              </w:rPr>
              <w:t>3.8</w:t>
            </w:r>
          </w:p>
        </w:tc>
      </w:tr>
      <w:tr w:rsidR="00DD33BD" w:rsidRPr="00685B80" w14:paraId="45B388DB" w14:textId="77777777" w:rsidTr="00DD33BD">
        <w:trPr>
          <w:trHeight w:val="255"/>
        </w:trPr>
        <w:tc>
          <w:tcPr>
            <w:tcW w:w="3108" w:type="dxa"/>
            <w:tcBorders>
              <w:top w:val="nil"/>
              <w:left w:val="single" w:sz="4" w:space="0" w:color="auto"/>
              <w:bottom w:val="nil"/>
              <w:right w:val="nil"/>
            </w:tcBorders>
            <w:shd w:val="clear" w:color="auto" w:fill="auto"/>
            <w:noWrap/>
            <w:vAlign w:val="bottom"/>
            <w:hideMark/>
          </w:tcPr>
          <w:p w14:paraId="1D000EEC" w14:textId="77777777" w:rsidR="00DD33BD" w:rsidRPr="00685B80" w:rsidRDefault="00DD33BD" w:rsidP="00DD33BD">
            <w:pPr>
              <w:ind w:firstLineChars="100" w:firstLine="200"/>
              <w:rPr>
                <w:rFonts w:ascii="Arial" w:hAnsi="Arial" w:cs="Arial"/>
                <w:color w:val="000000"/>
                <w:lang w:val="es-MX" w:eastAsia="es-MX"/>
              </w:rPr>
            </w:pPr>
            <w:r w:rsidRPr="00685B80">
              <w:rPr>
                <w:rFonts w:ascii="Arial" w:hAnsi="Arial" w:cs="Arial"/>
                <w:color w:val="000000"/>
                <w:lang w:val="es-MX" w:eastAsia="es-MX"/>
              </w:rPr>
              <w:t>Chiapas</w:t>
            </w:r>
          </w:p>
        </w:tc>
        <w:tc>
          <w:tcPr>
            <w:tcW w:w="611" w:type="dxa"/>
            <w:tcBorders>
              <w:top w:val="nil"/>
              <w:left w:val="single" w:sz="4" w:space="0" w:color="auto"/>
              <w:bottom w:val="nil"/>
              <w:right w:val="nil"/>
            </w:tcBorders>
            <w:shd w:val="clear" w:color="auto" w:fill="auto"/>
            <w:noWrap/>
            <w:vAlign w:val="bottom"/>
            <w:hideMark/>
          </w:tcPr>
          <w:p w14:paraId="26493287" w14:textId="77777777" w:rsidR="00DD33BD" w:rsidRPr="00685B80" w:rsidRDefault="00DD33BD" w:rsidP="00DD33BD">
            <w:pPr>
              <w:jc w:val="center"/>
              <w:rPr>
                <w:rFonts w:ascii="Arial" w:hAnsi="Arial" w:cs="Arial"/>
                <w:color w:val="000000"/>
                <w:lang w:val="es-MX" w:eastAsia="es-MX"/>
              </w:rPr>
            </w:pPr>
            <w:r>
              <w:rPr>
                <w:rFonts w:ascii="Arial" w:hAnsi="Arial" w:cs="Arial"/>
                <w:color w:val="000000"/>
                <w:lang w:val="es-MX" w:eastAsia="es-MX"/>
              </w:rPr>
              <w:t xml:space="preserve">  </w:t>
            </w:r>
            <w:r w:rsidRPr="00685B80">
              <w:rPr>
                <w:rFonts w:ascii="Arial" w:hAnsi="Arial" w:cs="Arial"/>
                <w:color w:val="000000"/>
                <w:lang w:val="es-MX" w:eastAsia="es-MX"/>
              </w:rPr>
              <w:t>(-)</w:t>
            </w:r>
            <w:r>
              <w:rPr>
                <w:rFonts w:ascii="Arial" w:hAnsi="Arial" w:cs="Arial"/>
                <w:color w:val="000000"/>
                <w:lang w:val="es-MX" w:eastAsia="es-MX"/>
              </w:rPr>
              <w:t xml:space="preserve"> </w:t>
            </w:r>
          </w:p>
        </w:tc>
        <w:tc>
          <w:tcPr>
            <w:tcW w:w="814" w:type="dxa"/>
            <w:tcBorders>
              <w:top w:val="nil"/>
              <w:left w:val="nil"/>
              <w:bottom w:val="nil"/>
              <w:right w:val="single" w:sz="4" w:space="0" w:color="auto"/>
            </w:tcBorders>
            <w:shd w:val="clear" w:color="auto" w:fill="auto"/>
            <w:noWrap/>
            <w:vAlign w:val="bottom"/>
            <w:hideMark/>
          </w:tcPr>
          <w:p w14:paraId="612420C2" w14:textId="77777777" w:rsidR="00DD33BD" w:rsidRDefault="00DD33BD" w:rsidP="00DD33BD">
            <w:pPr>
              <w:jc w:val="center"/>
              <w:rPr>
                <w:rFonts w:ascii="Arial" w:hAnsi="Arial" w:cs="Arial"/>
                <w:color w:val="000000"/>
              </w:rPr>
            </w:pPr>
            <w:r>
              <w:rPr>
                <w:rFonts w:ascii="Arial" w:hAnsi="Arial" w:cs="Arial"/>
                <w:color w:val="000000"/>
              </w:rPr>
              <w:t>2.1</w:t>
            </w:r>
          </w:p>
        </w:tc>
        <w:tc>
          <w:tcPr>
            <w:tcW w:w="666" w:type="dxa"/>
            <w:tcBorders>
              <w:top w:val="nil"/>
              <w:left w:val="nil"/>
              <w:bottom w:val="nil"/>
              <w:right w:val="nil"/>
            </w:tcBorders>
            <w:shd w:val="clear" w:color="auto" w:fill="auto"/>
            <w:noWrap/>
            <w:vAlign w:val="bottom"/>
            <w:hideMark/>
          </w:tcPr>
          <w:p w14:paraId="4209A9C3" w14:textId="77777777" w:rsidR="00DD33BD" w:rsidRPr="0048399B" w:rsidRDefault="00DD33BD" w:rsidP="00DD33BD">
            <w:pPr>
              <w:jc w:val="right"/>
              <w:rPr>
                <w:rFonts w:ascii="Arial" w:hAnsi="Arial" w:cs="Arial"/>
                <w:color w:val="000000"/>
                <w:lang w:val="es-MX" w:eastAsia="es-MX"/>
              </w:rPr>
            </w:pPr>
            <w:r w:rsidRPr="0048399B">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07C27E47" w14:textId="77777777" w:rsidR="00DD33BD" w:rsidRDefault="00DD33BD" w:rsidP="00DD33BD">
            <w:pPr>
              <w:jc w:val="center"/>
              <w:rPr>
                <w:rFonts w:ascii="Arial" w:hAnsi="Arial" w:cs="Arial"/>
                <w:color w:val="000000"/>
              </w:rPr>
            </w:pPr>
            <w:r>
              <w:rPr>
                <w:rFonts w:ascii="Arial" w:hAnsi="Arial" w:cs="Arial"/>
                <w:color w:val="000000"/>
              </w:rPr>
              <w:t>1.1</w:t>
            </w:r>
          </w:p>
        </w:tc>
        <w:tc>
          <w:tcPr>
            <w:tcW w:w="634" w:type="dxa"/>
            <w:tcBorders>
              <w:top w:val="nil"/>
              <w:left w:val="nil"/>
              <w:bottom w:val="nil"/>
              <w:right w:val="nil"/>
            </w:tcBorders>
            <w:shd w:val="clear" w:color="auto" w:fill="auto"/>
            <w:noWrap/>
            <w:vAlign w:val="bottom"/>
            <w:hideMark/>
          </w:tcPr>
          <w:p w14:paraId="4B731480" w14:textId="77777777" w:rsidR="00DD33BD" w:rsidRPr="00685B80" w:rsidRDefault="00DD33BD" w:rsidP="00DD33BD">
            <w:pPr>
              <w:jc w:val="right"/>
              <w:rPr>
                <w:rFonts w:ascii="Arial" w:hAnsi="Arial" w:cs="Arial"/>
                <w:color w:val="000000"/>
                <w:lang w:val="es-MX" w:eastAsia="es-MX"/>
              </w:rPr>
            </w:pPr>
            <w:r w:rsidRPr="00685B80">
              <w:rPr>
                <w:rFonts w:ascii="Arial" w:hAnsi="Arial" w:cs="Arial"/>
                <w:color w:val="000000"/>
                <w:lang w:val="es-MX" w:eastAsia="es-MX"/>
              </w:rPr>
              <w:t>(-)</w:t>
            </w:r>
          </w:p>
        </w:tc>
        <w:tc>
          <w:tcPr>
            <w:tcW w:w="814" w:type="dxa"/>
            <w:tcBorders>
              <w:top w:val="nil"/>
              <w:left w:val="nil"/>
              <w:bottom w:val="nil"/>
              <w:right w:val="single" w:sz="4" w:space="0" w:color="auto"/>
            </w:tcBorders>
            <w:shd w:val="clear" w:color="auto" w:fill="auto"/>
            <w:noWrap/>
            <w:vAlign w:val="bottom"/>
            <w:hideMark/>
          </w:tcPr>
          <w:p w14:paraId="18E660DF" w14:textId="77777777" w:rsidR="00DD33BD" w:rsidRDefault="00DD33BD" w:rsidP="00DD33BD">
            <w:pPr>
              <w:rPr>
                <w:rFonts w:ascii="Arial" w:hAnsi="Arial" w:cs="Arial"/>
                <w:color w:val="000000"/>
              </w:rPr>
            </w:pPr>
            <w:r>
              <w:rPr>
                <w:rFonts w:ascii="Arial" w:hAnsi="Arial" w:cs="Arial"/>
                <w:color w:val="000000"/>
              </w:rPr>
              <w:t xml:space="preserve">  11.2</w:t>
            </w:r>
          </w:p>
        </w:tc>
        <w:tc>
          <w:tcPr>
            <w:tcW w:w="642" w:type="dxa"/>
            <w:tcBorders>
              <w:top w:val="nil"/>
              <w:left w:val="nil"/>
              <w:bottom w:val="nil"/>
              <w:right w:val="nil"/>
            </w:tcBorders>
            <w:shd w:val="clear" w:color="auto" w:fill="auto"/>
            <w:noWrap/>
            <w:vAlign w:val="bottom"/>
            <w:hideMark/>
          </w:tcPr>
          <w:p w14:paraId="591F13D7" w14:textId="77777777" w:rsidR="00DD33BD" w:rsidRPr="0048399B" w:rsidRDefault="00DD33BD" w:rsidP="00DD33BD">
            <w:pPr>
              <w:jc w:val="right"/>
              <w:rPr>
                <w:rFonts w:ascii="Arial" w:hAnsi="Arial" w:cs="Arial"/>
                <w:color w:val="000000"/>
                <w:lang w:val="es-MX" w:eastAsia="es-MX"/>
              </w:rPr>
            </w:pPr>
            <w:r w:rsidRPr="0048399B">
              <w:rPr>
                <w:rFonts w:ascii="Arial" w:hAnsi="Arial" w:cs="Arial"/>
                <w:color w:val="000000"/>
                <w:lang w:val="es-MX" w:eastAsia="es-MX"/>
              </w:rPr>
              <w:t> </w:t>
            </w:r>
          </w:p>
        </w:tc>
        <w:tc>
          <w:tcPr>
            <w:tcW w:w="703" w:type="dxa"/>
            <w:tcBorders>
              <w:top w:val="nil"/>
              <w:left w:val="nil"/>
              <w:bottom w:val="nil"/>
              <w:right w:val="single" w:sz="4" w:space="0" w:color="auto"/>
            </w:tcBorders>
            <w:shd w:val="clear" w:color="auto" w:fill="auto"/>
            <w:noWrap/>
            <w:vAlign w:val="bottom"/>
            <w:hideMark/>
          </w:tcPr>
          <w:p w14:paraId="18490E3A" w14:textId="77777777" w:rsidR="00DD33BD" w:rsidRDefault="00DD33BD" w:rsidP="00DD33BD">
            <w:pPr>
              <w:rPr>
                <w:rFonts w:ascii="Arial" w:hAnsi="Arial" w:cs="Arial"/>
                <w:color w:val="000000"/>
              </w:rPr>
            </w:pPr>
            <w:r>
              <w:rPr>
                <w:rFonts w:ascii="Arial" w:hAnsi="Arial" w:cs="Arial"/>
                <w:color w:val="000000"/>
              </w:rPr>
              <w:t>0.2</w:t>
            </w:r>
          </w:p>
        </w:tc>
      </w:tr>
      <w:tr w:rsidR="00DD33BD" w:rsidRPr="00685B80" w14:paraId="020B599F" w14:textId="77777777" w:rsidTr="00DD33BD">
        <w:trPr>
          <w:trHeight w:val="255"/>
        </w:trPr>
        <w:tc>
          <w:tcPr>
            <w:tcW w:w="3108" w:type="dxa"/>
            <w:tcBorders>
              <w:top w:val="nil"/>
              <w:left w:val="single" w:sz="4" w:space="0" w:color="auto"/>
              <w:bottom w:val="nil"/>
              <w:right w:val="nil"/>
            </w:tcBorders>
            <w:shd w:val="clear" w:color="auto" w:fill="auto"/>
            <w:noWrap/>
            <w:vAlign w:val="bottom"/>
            <w:hideMark/>
          </w:tcPr>
          <w:p w14:paraId="139625D5" w14:textId="77777777" w:rsidR="00DD33BD" w:rsidRPr="00685B80" w:rsidRDefault="00DD33BD" w:rsidP="00DD33BD">
            <w:pPr>
              <w:ind w:firstLineChars="100" w:firstLine="200"/>
              <w:rPr>
                <w:rFonts w:ascii="Arial" w:hAnsi="Arial" w:cs="Arial"/>
                <w:color w:val="000000"/>
                <w:lang w:val="es-MX" w:eastAsia="es-MX"/>
              </w:rPr>
            </w:pPr>
            <w:r w:rsidRPr="00685B80">
              <w:rPr>
                <w:rFonts w:ascii="Arial" w:hAnsi="Arial" w:cs="Arial"/>
                <w:color w:val="000000"/>
                <w:lang w:val="es-MX" w:eastAsia="es-MX"/>
              </w:rPr>
              <w:t>Chihuahua</w:t>
            </w:r>
          </w:p>
        </w:tc>
        <w:tc>
          <w:tcPr>
            <w:tcW w:w="611" w:type="dxa"/>
            <w:tcBorders>
              <w:top w:val="nil"/>
              <w:left w:val="single" w:sz="4" w:space="0" w:color="auto"/>
              <w:bottom w:val="nil"/>
              <w:right w:val="nil"/>
            </w:tcBorders>
            <w:shd w:val="clear" w:color="auto" w:fill="auto"/>
            <w:noWrap/>
            <w:vAlign w:val="bottom"/>
            <w:hideMark/>
          </w:tcPr>
          <w:p w14:paraId="023621EB" w14:textId="77777777" w:rsidR="00DD33BD" w:rsidRPr="00685B80" w:rsidRDefault="00DD33BD" w:rsidP="00DD33BD">
            <w:pPr>
              <w:jc w:val="right"/>
              <w:rPr>
                <w:rFonts w:ascii="Arial" w:hAnsi="Arial" w:cs="Arial"/>
                <w:color w:val="000000"/>
                <w:lang w:val="es-MX" w:eastAsia="es-MX"/>
              </w:rPr>
            </w:pPr>
            <w:r w:rsidRPr="00685B80">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71BFD70F" w14:textId="77777777" w:rsidR="00DD33BD" w:rsidRDefault="00DD33BD" w:rsidP="00DD33BD">
            <w:pPr>
              <w:jc w:val="center"/>
              <w:rPr>
                <w:rFonts w:ascii="Arial" w:hAnsi="Arial" w:cs="Arial"/>
                <w:color w:val="000000"/>
              </w:rPr>
            </w:pPr>
            <w:r>
              <w:rPr>
                <w:rFonts w:ascii="Arial" w:hAnsi="Arial" w:cs="Arial"/>
                <w:color w:val="000000"/>
              </w:rPr>
              <w:t>1.6</w:t>
            </w:r>
          </w:p>
        </w:tc>
        <w:tc>
          <w:tcPr>
            <w:tcW w:w="666" w:type="dxa"/>
            <w:tcBorders>
              <w:top w:val="nil"/>
              <w:left w:val="nil"/>
              <w:bottom w:val="nil"/>
              <w:right w:val="nil"/>
            </w:tcBorders>
            <w:shd w:val="clear" w:color="auto" w:fill="auto"/>
            <w:noWrap/>
            <w:vAlign w:val="bottom"/>
            <w:hideMark/>
          </w:tcPr>
          <w:p w14:paraId="67AA5E79" w14:textId="77777777" w:rsidR="00DD33BD" w:rsidRPr="0048399B" w:rsidRDefault="00DD33BD" w:rsidP="00DD33BD">
            <w:pPr>
              <w:jc w:val="right"/>
              <w:rPr>
                <w:rFonts w:ascii="Arial" w:hAnsi="Arial" w:cs="Arial"/>
                <w:color w:val="000000"/>
                <w:lang w:val="es-MX" w:eastAsia="es-MX"/>
              </w:rPr>
            </w:pPr>
          </w:p>
        </w:tc>
        <w:tc>
          <w:tcPr>
            <w:tcW w:w="814" w:type="dxa"/>
            <w:tcBorders>
              <w:top w:val="nil"/>
              <w:left w:val="nil"/>
              <w:bottom w:val="nil"/>
              <w:right w:val="single" w:sz="4" w:space="0" w:color="auto"/>
            </w:tcBorders>
            <w:shd w:val="clear" w:color="auto" w:fill="auto"/>
            <w:noWrap/>
            <w:vAlign w:val="bottom"/>
            <w:hideMark/>
          </w:tcPr>
          <w:p w14:paraId="0DF73AD3" w14:textId="77777777" w:rsidR="00DD33BD" w:rsidRDefault="00DD33BD" w:rsidP="00DD33BD">
            <w:pPr>
              <w:jc w:val="center"/>
              <w:rPr>
                <w:rFonts w:ascii="Arial" w:hAnsi="Arial" w:cs="Arial"/>
                <w:color w:val="000000"/>
              </w:rPr>
            </w:pPr>
            <w:r>
              <w:rPr>
                <w:rFonts w:ascii="Arial" w:hAnsi="Arial" w:cs="Arial"/>
                <w:color w:val="000000"/>
              </w:rPr>
              <w:t>3.3</w:t>
            </w:r>
          </w:p>
        </w:tc>
        <w:tc>
          <w:tcPr>
            <w:tcW w:w="634" w:type="dxa"/>
            <w:tcBorders>
              <w:top w:val="nil"/>
              <w:left w:val="nil"/>
              <w:bottom w:val="nil"/>
              <w:right w:val="nil"/>
            </w:tcBorders>
            <w:shd w:val="clear" w:color="auto" w:fill="auto"/>
            <w:noWrap/>
            <w:vAlign w:val="bottom"/>
            <w:hideMark/>
          </w:tcPr>
          <w:p w14:paraId="60987596" w14:textId="77777777" w:rsidR="00DD33BD" w:rsidRPr="00685B80" w:rsidRDefault="00DD33BD" w:rsidP="00DD33BD">
            <w:pPr>
              <w:jc w:val="right"/>
              <w:rPr>
                <w:rFonts w:ascii="Arial" w:hAnsi="Arial" w:cs="Arial"/>
                <w:color w:val="000000"/>
                <w:lang w:val="es-MX" w:eastAsia="es-MX"/>
              </w:rPr>
            </w:pPr>
            <w:r w:rsidRPr="00685B80">
              <w:rPr>
                <w:rFonts w:ascii="Arial" w:hAnsi="Arial" w:cs="Arial"/>
                <w:color w:val="000000"/>
                <w:lang w:val="es-MX" w:eastAsia="es-MX"/>
              </w:rPr>
              <w:t>(-)</w:t>
            </w:r>
          </w:p>
        </w:tc>
        <w:tc>
          <w:tcPr>
            <w:tcW w:w="814" w:type="dxa"/>
            <w:tcBorders>
              <w:top w:val="nil"/>
              <w:left w:val="nil"/>
              <w:bottom w:val="nil"/>
              <w:right w:val="single" w:sz="4" w:space="0" w:color="auto"/>
            </w:tcBorders>
            <w:shd w:val="clear" w:color="auto" w:fill="auto"/>
            <w:noWrap/>
            <w:vAlign w:val="bottom"/>
            <w:hideMark/>
          </w:tcPr>
          <w:p w14:paraId="53E3D987" w14:textId="77777777" w:rsidR="00DD33BD" w:rsidRDefault="00DD33BD" w:rsidP="00DD33BD">
            <w:pPr>
              <w:jc w:val="center"/>
              <w:rPr>
                <w:rFonts w:ascii="Arial" w:hAnsi="Arial" w:cs="Arial"/>
                <w:color w:val="000000"/>
              </w:rPr>
            </w:pPr>
            <w:r>
              <w:rPr>
                <w:rFonts w:ascii="Arial" w:hAnsi="Arial" w:cs="Arial"/>
                <w:color w:val="000000"/>
              </w:rPr>
              <w:t>0.6</w:t>
            </w:r>
          </w:p>
        </w:tc>
        <w:tc>
          <w:tcPr>
            <w:tcW w:w="642" w:type="dxa"/>
            <w:tcBorders>
              <w:top w:val="nil"/>
              <w:left w:val="nil"/>
              <w:bottom w:val="nil"/>
              <w:right w:val="nil"/>
            </w:tcBorders>
            <w:shd w:val="clear" w:color="auto" w:fill="auto"/>
            <w:noWrap/>
            <w:vAlign w:val="bottom"/>
            <w:hideMark/>
          </w:tcPr>
          <w:p w14:paraId="671CE84E" w14:textId="77777777" w:rsidR="00DD33BD" w:rsidRPr="0048399B" w:rsidRDefault="00DD33BD" w:rsidP="00DD33BD">
            <w:pPr>
              <w:jc w:val="right"/>
              <w:rPr>
                <w:rFonts w:ascii="Arial" w:hAnsi="Arial" w:cs="Arial"/>
                <w:color w:val="000000"/>
                <w:lang w:val="es-MX" w:eastAsia="es-MX"/>
              </w:rPr>
            </w:pPr>
            <w:r w:rsidRPr="0048399B">
              <w:rPr>
                <w:rFonts w:ascii="Arial" w:hAnsi="Arial" w:cs="Arial"/>
                <w:color w:val="000000"/>
                <w:lang w:val="es-MX" w:eastAsia="es-MX"/>
              </w:rPr>
              <w:t> </w:t>
            </w:r>
          </w:p>
        </w:tc>
        <w:tc>
          <w:tcPr>
            <w:tcW w:w="703" w:type="dxa"/>
            <w:tcBorders>
              <w:top w:val="nil"/>
              <w:left w:val="nil"/>
              <w:bottom w:val="nil"/>
              <w:right w:val="single" w:sz="4" w:space="0" w:color="auto"/>
            </w:tcBorders>
            <w:shd w:val="clear" w:color="auto" w:fill="auto"/>
            <w:noWrap/>
            <w:vAlign w:val="bottom"/>
            <w:hideMark/>
          </w:tcPr>
          <w:p w14:paraId="5B08F77D" w14:textId="77777777" w:rsidR="00DD33BD" w:rsidRDefault="00DD33BD" w:rsidP="00DD33BD">
            <w:pPr>
              <w:rPr>
                <w:rFonts w:ascii="Arial" w:hAnsi="Arial" w:cs="Arial"/>
                <w:color w:val="000000"/>
              </w:rPr>
            </w:pPr>
            <w:r>
              <w:rPr>
                <w:rFonts w:ascii="Arial" w:hAnsi="Arial" w:cs="Arial"/>
                <w:color w:val="000000"/>
              </w:rPr>
              <w:t>3.1</w:t>
            </w:r>
          </w:p>
        </w:tc>
      </w:tr>
      <w:tr w:rsidR="00DD33BD" w:rsidRPr="00685B80" w14:paraId="5F2F4F7B" w14:textId="77777777" w:rsidTr="00DD33BD">
        <w:trPr>
          <w:trHeight w:val="255"/>
        </w:trPr>
        <w:tc>
          <w:tcPr>
            <w:tcW w:w="3108" w:type="dxa"/>
            <w:tcBorders>
              <w:top w:val="nil"/>
              <w:left w:val="single" w:sz="4" w:space="0" w:color="auto"/>
              <w:bottom w:val="nil"/>
              <w:right w:val="nil"/>
            </w:tcBorders>
            <w:shd w:val="clear" w:color="auto" w:fill="auto"/>
            <w:noWrap/>
            <w:vAlign w:val="bottom"/>
            <w:hideMark/>
          </w:tcPr>
          <w:p w14:paraId="0879C8C3" w14:textId="77777777" w:rsidR="00DD33BD" w:rsidRPr="00685B80" w:rsidRDefault="00DD33BD" w:rsidP="00DD33BD">
            <w:pPr>
              <w:ind w:firstLineChars="100" w:firstLine="200"/>
              <w:rPr>
                <w:rFonts w:ascii="Arial" w:hAnsi="Arial" w:cs="Arial"/>
                <w:color w:val="000000"/>
                <w:lang w:val="es-MX" w:eastAsia="es-MX"/>
              </w:rPr>
            </w:pPr>
            <w:r w:rsidRPr="00685B80">
              <w:rPr>
                <w:rFonts w:ascii="Arial" w:hAnsi="Arial" w:cs="Arial"/>
                <w:color w:val="000000"/>
                <w:lang w:val="es-MX" w:eastAsia="es-MX"/>
              </w:rPr>
              <w:t>Ciudad de México</w:t>
            </w:r>
          </w:p>
        </w:tc>
        <w:tc>
          <w:tcPr>
            <w:tcW w:w="611" w:type="dxa"/>
            <w:tcBorders>
              <w:top w:val="nil"/>
              <w:left w:val="single" w:sz="4" w:space="0" w:color="auto"/>
              <w:bottom w:val="nil"/>
              <w:right w:val="nil"/>
            </w:tcBorders>
            <w:shd w:val="clear" w:color="auto" w:fill="auto"/>
            <w:noWrap/>
            <w:vAlign w:val="bottom"/>
            <w:hideMark/>
          </w:tcPr>
          <w:p w14:paraId="43178376" w14:textId="77777777" w:rsidR="00DD33BD" w:rsidRPr="00685B80" w:rsidRDefault="00DD33BD" w:rsidP="00DD33BD">
            <w:pPr>
              <w:jc w:val="right"/>
              <w:rPr>
                <w:rFonts w:ascii="Arial" w:hAnsi="Arial" w:cs="Arial"/>
                <w:color w:val="000000"/>
                <w:lang w:val="es-MX" w:eastAsia="es-MX"/>
              </w:rPr>
            </w:pPr>
          </w:p>
        </w:tc>
        <w:tc>
          <w:tcPr>
            <w:tcW w:w="814" w:type="dxa"/>
            <w:tcBorders>
              <w:top w:val="nil"/>
              <w:left w:val="nil"/>
              <w:bottom w:val="nil"/>
              <w:right w:val="single" w:sz="4" w:space="0" w:color="auto"/>
            </w:tcBorders>
            <w:shd w:val="clear" w:color="auto" w:fill="auto"/>
            <w:noWrap/>
            <w:vAlign w:val="bottom"/>
            <w:hideMark/>
          </w:tcPr>
          <w:p w14:paraId="781B0D30" w14:textId="77777777" w:rsidR="00DD33BD" w:rsidRDefault="00DD33BD" w:rsidP="00DD33BD">
            <w:pPr>
              <w:jc w:val="center"/>
              <w:rPr>
                <w:rFonts w:ascii="Arial" w:hAnsi="Arial" w:cs="Arial"/>
                <w:color w:val="000000"/>
              </w:rPr>
            </w:pPr>
            <w:r>
              <w:rPr>
                <w:rFonts w:ascii="Arial" w:hAnsi="Arial" w:cs="Arial"/>
                <w:color w:val="000000"/>
              </w:rPr>
              <w:t>2.7</w:t>
            </w:r>
          </w:p>
        </w:tc>
        <w:tc>
          <w:tcPr>
            <w:tcW w:w="666" w:type="dxa"/>
            <w:tcBorders>
              <w:top w:val="nil"/>
              <w:left w:val="nil"/>
              <w:bottom w:val="nil"/>
              <w:right w:val="nil"/>
            </w:tcBorders>
            <w:shd w:val="clear" w:color="auto" w:fill="auto"/>
            <w:noWrap/>
            <w:vAlign w:val="bottom"/>
            <w:hideMark/>
          </w:tcPr>
          <w:p w14:paraId="40D5D85C" w14:textId="77777777" w:rsidR="00DD33BD" w:rsidRPr="0048399B" w:rsidRDefault="00DD33BD" w:rsidP="00DD33BD">
            <w:pPr>
              <w:jc w:val="right"/>
              <w:rPr>
                <w:rFonts w:ascii="Arial" w:hAnsi="Arial" w:cs="Arial"/>
                <w:color w:val="000000"/>
                <w:lang w:val="es-MX" w:eastAsia="es-MX"/>
              </w:rPr>
            </w:pPr>
            <w:r w:rsidRPr="0048399B">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66DA06E1" w14:textId="77777777" w:rsidR="00DD33BD" w:rsidRDefault="00DD33BD" w:rsidP="00DD33BD">
            <w:pPr>
              <w:jc w:val="center"/>
              <w:rPr>
                <w:rFonts w:ascii="Arial" w:hAnsi="Arial" w:cs="Arial"/>
                <w:color w:val="000000"/>
              </w:rPr>
            </w:pPr>
            <w:r>
              <w:rPr>
                <w:rFonts w:ascii="Arial" w:hAnsi="Arial" w:cs="Arial"/>
                <w:color w:val="000000"/>
              </w:rPr>
              <w:t>4.1</w:t>
            </w:r>
          </w:p>
        </w:tc>
        <w:tc>
          <w:tcPr>
            <w:tcW w:w="634" w:type="dxa"/>
            <w:tcBorders>
              <w:top w:val="nil"/>
              <w:left w:val="nil"/>
              <w:bottom w:val="nil"/>
              <w:right w:val="nil"/>
            </w:tcBorders>
            <w:shd w:val="clear" w:color="auto" w:fill="auto"/>
            <w:noWrap/>
            <w:vAlign w:val="bottom"/>
            <w:hideMark/>
          </w:tcPr>
          <w:p w14:paraId="5546CE30" w14:textId="77777777" w:rsidR="00DD33BD" w:rsidRPr="0048399B" w:rsidRDefault="00DD33BD" w:rsidP="00DD33BD">
            <w:pPr>
              <w:jc w:val="right"/>
              <w:rPr>
                <w:rFonts w:ascii="Arial" w:hAnsi="Arial" w:cs="Arial"/>
                <w:color w:val="000000"/>
                <w:lang w:val="es-MX" w:eastAsia="es-MX"/>
              </w:rPr>
            </w:pPr>
          </w:p>
        </w:tc>
        <w:tc>
          <w:tcPr>
            <w:tcW w:w="814" w:type="dxa"/>
            <w:tcBorders>
              <w:top w:val="nil"/>
              <w:left w:val="nil"/>
              <w:bottom w:val="nil"/>
              <w:right w:val="single" w:sz="4" w:space="0" w:color="auto"/>
            </w:tcBorders>
            <w:shd w:val="clear" w:color="auto" w:fill="auto"/>
            <w:noWrap/>
            <w:vAlign w:val="bottom"/>
            <w:hideMark/>
          </w:tcPr>
          <w:p w14:paraId="1860E939" w14:textId="77777777" w:rsidR="00DD33BD" w:rsidRDefault="00DD33BD" w:rsidP="00DD33BD">
            <w:pPr>
              <w:jc w:val="center"/>
              <w:rPr>
                <w:rFonts w:ascii="Arial" w:hAnsi="Arial" w:cs="Arial"/>
                <w:color w:val="000000"/>
              </w:rPr>
            </w:pPr>
            <w:r>
              <w:rPr>
                <w:rFonts w:ascii="Arial" w:hAnsi="Arial" w:cs="Arial"/>
                <w:color w:val="000000"/>
              </w:rPr>
              <w:t>0.6</w:t>
            </w:r>
          </w:p>
        </w:tc>
        <w:tc>
          <w:tcPr>
            <w:tcW w:w="642" w:type="dxa"/>
            <w:tcBorders>
              <w:top w:val="nil"/>
              <w:left w:val="nil"/>
              <w:bottom w:val="nil"/>
              <w:right w:val="nil"/>
            </w:tcBorders>
            <w:shd w:val="clear" w:color="auto" w:fill="auto"/>
            <w:noWrap/>
            <w:vAlign w:val="bottom"/>
            <w:hideMark/>
          </w:tcPr>
          <w:p w14:paraId="58DFE4C1" w14:textId="77777777" w:rsidR="00DD33BD" w:rsidRPr="0048399B" w:rsidRDefault="00DD33BD" w:rsidP="00DD33BD">
            <w:pPr>
              <w:jc w:val="right"/>
              <w:rPr>
                <w:rFonts w:ascii="Arial" w:hAnsi="Arial" w:cs="Arial"/>
                <w:color w:val="000000"/>
                <w:lang w:val="es-MX" w:eastAsia="es-MX"/>
              </w:rPr>
            </w:pPr>
          </w:p>
        </w:tc>
        <w:tc>
          <w:tcPr>
            <w:tcW w:w="703" w:type="dxa"/>
            <w:tcBorders>
              <w:top w:val="nil"/>
              <w:left w:val="nil"/>
              <w:bottom w:val="nil"/>
              <w:right w:val="single" w:sz="4" w:space="0" w:color="auto"/>
            </w:tcBorders>
            <w:shd w:val="clear" w:color="auto" w:fill="auto"/>
            <w:noWrap/>
            <w:vAlign w:val="bottom"/>
            <w:hideMark/>
          </w:tcPr>
          <w:p w14:paraId="2057B108" w14:textId="77777777" w:rsidR="00DD33BD" w:rsidRDefault="00DD33BD" w:rsidP="00DD33BD">
            <w:pPr>
              <w:rPr>
                <w:rFonts w:ascii="Arial" w:hAnsi="Arial" w:cs="Arial"/>
                <w:color w:val="000000"/>
              </w:rPr>
            </w:pPr>
            <w:r>
              <w:rPr>
                <w:rFonts w:ascii="Arial" w:hAnsi="Arial" w:cs="Arial"/>
                <w:color w:val="000000"/>
              </w:rPr>
              <w:t>2.9</w:t>
            </w:r>
          </w:p>
        </w:tc>
      </w:tr>
      <w:tr w:rsidR="00DD33BD" w:rsidRPr="00685B80" w14:paraId="6F9DC1C4" w14:textId="77777777" w:rsidTr="00DD33BD">
        <w:trPr>
          <w:trHeight w:val="255"/>
        </w:trPr>
        <w:tc>
          <w:tcPr>
            <w:tcW w:w="3108" w:type="dxa"/>
            <w:tcBorders>
              <w:top w:val="nil"/>
              <w:left w:val="single" w:sz="4" w:space="0" w:color="auto"/>
              <w:bottom w:val="nil"/>
              <w:right w:val="nil"/>
            </w:tcBorders>
            <w:shd w:val="clear" w:color="auto" w:fill="auto"/>
            <w:noWrap/>
            <w:vAlign w:val="bottom"/>
            <w:hideMark/>
          </w:tcPr>
          <w:p w14:paraId="3508F7C7" w14:textId="77777777" w:rsidR="00DD33BD" w:rsidRPr="00685B80" w:rsidRDefault="00DD33BD" w:rsidP="00DD33BD">
            <w:pPr>
              <w:ind w:firstLineChars="100" w:firstLine="200"/>
              <w:rPr>
                <w:rFonts w:ascii="Arial" w:hAnsi="Arial" w:cs="Arial"/>
                <w:color w:val="000000"/>
                <w:lang w:val="es-MX" w:eastAsia="es-MX"/>
              </w:rPr>
            </w:pPr>
            <w:r w:rsidRPr="00685B80">
              <w:rPr>
                <w:rFonts w:ascii="Arial" w:hAnsi="Arial" w:cs="Arial"/>
                <w:color w:val="000000"/>
                <w:lang w:val="es-MX" w:eastAsia="es-MX"/>
              </w:rPr>
              <w:t>Durango</w:t>
            </w:r>
          </w:p>
        </w:tc>
        <w:tc>
          <w:tcPr>
            <w:tcW w:w="611" w:type="dxa"/>
            <w:tcBorders>
              <w:top w:val="nil"/>
              <w:left w:val="single" w:sz="4" w:space="0" w:color="auto"/>
              <w:bottom w:val="nil"/>
              <w:right w:val="nil"/>
            </w:tcBorders>
            <w:shd w:val="clear" w:color="auto" w:fill="auto"/>
            <w:noWrap/>
            <w:vAlign w:val="bottom"/>
            <w:hideMark/>
          </w:tcPr>
          <w:p w14:paraId="34165BD2" w14:textId="77777777" w:rsidR="00DD33BD" w:rsidRPr="00685B80" w:rsidRDefault="00DD33BD" w:rsidP="00DD33BD">
            <w:pPr>
              <w:jc w:val="right"/>
              <w:rPr>
                <w:rFonts w:ascii="Arial" w:hAnsi="Arial" w:cs="Arial"/>
                <w:color w:val="000000"/>
                <w:lang w:val="es-MX" w:eastAsia="es-MX"/>
              </w:rPr>
            </w:pPr>
            <w:r w:rsidRPr="00685B80">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58CD488D" w14:textId="77777777" w:rsidR="00DD33BD" w:rsidRDefault="00DD33BD" w:rsidP="00DD33BD">
            <w:pPr>
              <w:jc w:val="center"/>
              <w:rPr>
                <w:rFonts w:ascii="Arial" w:hAnsi="Arial" w:cs="Arial"/>
                <w:color w:val="000000"/>
              </w:rPr>
            </w:pPr>
            <w:r>
              <w:rPr>
                <w:rFonts w:ascii="Arial" w:hAnsi="Arial" w:cs="Arial"/>
                <w:color w:val="000000"/>
              </w:rPr>
              <w:t>0.8</w:t>
            </w:r>
          </w:p>
        </w:tc>
        <w:tc>
          <w:tcPr>
            <w:tcW w:w="666" w:type="dxa"/>
            <w:tcBorders>
              <w:top w:val="nil"/>
              <w:left w:val="nil"/>
              <w:bottom w:val="nil"/>
              <w:right w:val="nil"/>
            </w:tcBorders>
            <w:shd w:val="clear" w:color="auto" w:fill="auto"/>
            <w:noWrap/>
            <w:vAlign w:val="bottom"/>
            <w:hideMark/>
          </w:tcPr>
          <w:p w14:paraId="56652B14" w14:textId="77777777" w:rsidR="00DD33BD" w:rsidRPr="00685B80" w:rsidRDefault="00DD33BD" w:rsidP="00DD33BD">
            <w:pPr>
              <w:jc w:val="right"/>
              <w:rPr>
                <w:rFonts w:ascii="Arial" w:hAnsi="Arial" w:cs="Arial"/>
                <w:color w:val="000000"/>
                <w:lang w:val="es-MX" w:eastAsia="es-MX"/>
              </w:rPr>
            </w:pPr>
            <w:r w:rsidRPr="00685B80">
              <w:rPr>
                <w:rFonts w:ascii="Arial" w:hAnsi="Arial" w:cs="Arial"/>
                <w:color w:val="000000"/>
                <w:lang w:val="es-MX" w:eastAsia="es-MX"/>
              </w:rPr>
              <w:t>(-)</w:t>
            </w:r>
          </w:p>
        </w:tc>
        <w:tc>
          <w:tcPr>
            <w:tcW w:w="814" w:type="dxa"/>
            <w:tcBorders>
              <w:top w:val="nil"/>
              <w:left w:val="nil"/>
              <w:bottom w:val="nil"/>
              <w:right w:val="single" w:sz="4" w:space="0" w:color="auto"/>
            </w:tcBorders>
            <w:shd w:val="clear" w:color="auto" w:fill="auto"/>
            <w:noWrap/>
            <w:vAlign w:val="bottom"/>
            <w:hideMark/>
          </w:tcPr>
          <w:p w14:paraId="023280A7" w14:textId="77777777" w:rsidR="00DD33BD" w:rsidRDefault="00DD33BD" w:rsidP="00DD33BD">
            <w:pPr>
              <w:jc w:val="center"/>
              <w:rPr>
                <w:rFonts w:ascii="Arial" w:hAnsi="Arial" w:cs="Arial"/>
                <w:color w:val="000000"/>
              </w:rPr>
            </w:pPr>
            <w:r>
              <w:rPr>
                <w:rFonts w:ascii="Arial" w:hAnsi="Arial" w:cs="Arial"/>
                <w:color w:val="000000"/>
              </w:rPr>
              <w:t>1.8</w:t>
            </w:r>
          </w:p>
        </w:tc>
        <w:tc>
          <w:tcPr>
            <w:tcW w:w="634" w:type="dxa"/>
            <w:tcBorders>
              <w:top w:val="nil"/>
              <w:left w:val="nil"/>
              <w:bottom w:val="nil"/>
              <w:right w:val="nil"/>
            </w:tcBorders>
            <w:shd w:val="clear" w:color="auto" w:fill="auto"/>
            <w:noWrap/>
            <w:vAlign w:val="bottom"/>
            <w:hideMark/>
          </w:tcPr>
          <w:p w14:paraId="667E26BC" w14:textId="77777777" w:rsidR="00DD33BD" w:rsidRPr="00685B80" w:rsidRDefault="00DD33BD" w:rsidP="00DD33BD">
            <w:pPr>
              <w:jc w:val="right"/>
              <w:rPr>
                <w:rFonts w:ascii="Arial" w:hAnsi="Arial" w:cs="Arial"/>
                <w:color w:val="000000"/>
                <w:lang w:val="es-MX" w:eastAsia="es-MX"/>
              </w:rPr>
            </w:pPr>
            <w:r w:rsidRPr="00685B80">
              <w:rPr>
                <w:rFonts w:ascii="Arial" w:hAnsi="Arial" w:cs="Arial"/>
                <w:color w:val="000000"/>
                <w:lang w:val="es-MX" w:eastAsia="es-MX"/>
              </w:rPr>
              <w:t>(-)</w:t>
            </w:r>
          </w:p>
        </w:tc>
        <w:tc>
          <w:tcPr>
            <w:tcW w:w="814" w:type="dxa"/>
            <w:tcBorders>
              <w:top w:val="nil"/>
              <w:left w:val="nil"/>
              <w:bottom w:val="nil"/>
              <w:right w:val="single" w:sz="4" w:space="0" w:color="auto"/>
            </w:tcBorders>
            <w:shd w:val="clear" w:color="auto" w:fill="auto"/>
            <w:noWrap/>
            <w:vAlign w:val="bottom"/>
            <w:hideMark/>
          </w:tcPr>
          <w:p w14:paraId="10A0F09D" w14:textId="77777777" w:rsidR="00DD33BD" w:rsidRDefault="00DD33BD" w:rsidP="00DD33BD">
            <w:pPr>
              <w:jc w:val="center"/>
              <w:rPr>
                <w:rFonts w:ascii="Arial" w:hAnsi="Arial" w:cs="Arial"/>
                <w:color w:val="000000"/>
              </w:rPr>
            </w:pPr>
            <w:r>
              <w:rPr>
                <w:rFonts w:ascii="Arial" w:hAnsi="Arial" w:cs="Arial"/>
                <w:color w:val="000000"/>
              </w:rPr>
              <w:t>0.5</w:t>
            </w:r>
          </w:p>
        </w:tc>
        <w:tc>
          <w:tcPr>
            <w:tcW w:w="642" w:type="dxa"/>
            <w:tcBorders>
              <w:top w:val="nil"/>
              <w:left w:val="nil"/>
              <w:bottom w:val="nil"/>
              <w:right w:val="nil"/>
            </w:tcBorders>
            <w:shd w:val="clear" w:color="auto" w:fill="auto"/>
            <w:noWrap/>
            <w:vAlign w:val="bottom"/>
            <w:hideMark/>
          </w:tcPr>
          <w:p w14:paraId="093B7A40" w14:textId="77777777" w:rsidR="00DD33BD" w:rsidRPr="0048399B" w:rsidRDefault="00DD33BD" w:rsidP="00DD33BD">
            <w:pPr>
              <w:jc w:val="right"/>
              <w:rPr>
                <w:rFonts w:ascii="Arial" w:hAnsi="Arial" w:cs="Arial"/>
                <w:color w:val="000000"/>
                <w:lang w:val="es-MX" w:eastAsia="es-MX"/>
              </w:rPr>
            </w:pPr>
            <w:r w:rsidRPr="0048399B">
              <w:rPr>
                <w:rFonts w:ascii="Arial" w:hAnsi="Arial" w:cs="Arial"/>
                <w:color w:val="000000"/>
                <w:lang w:val="es-MX" w:eastAsia="es-MX"/>
              </w:rPr>
              <w:t> </w:t>
            </w:r>
          </w:p>
        </w:tc>
        <w:tc>
          <w:tcPr>
            <w:tcW w:w="703" w:type="dxa"/>
            <w:tcBorders>
              <w:top w:val="nil"/>
              <w:left w:val="nil"/>
              <w:bottom w:val="nil"/>
              <w:right w:val="single" w:sz="4" w:space="0" w:color="auto"/>
            </w:tcBorders>
            <w:shd w:val="clear" w:color="auto" w:fill="auto"/>
            <w:noWrap/>
            <w:vAlign w:val="bottom"/>
            <w:hideMark/>
          </w:tcPr>
          <w:p w14:paraId="49CD9A1A" w14:textId="77777777" w:rsidR="00DD33BD" w:rsidRDefault="00DD33BD" w:rsidP="00DD33BD">
            <w:pPr>
              <w:rPr>
                <w:rFonts w:ascii="Arial" w:hAnsi="Arial" w:cs="Arial"/>
                <w:color w:val="000000"/>
              </w:rPr>
            </w:pPr>
            <w:r>
              <w:rPr>
                <w:rFonts w:ascii="Arial" w:hAnsi="Arial" w:cs="Arial"/>
                <w:color w:val="000000"/>
              </w:rPr>
              <w:t>2.0</w:t>
            </w:r>
          </w:p>
        </w:tc>
      </w:tr>
      <w:tr w:rsidR="00DD33BD" w:rsidRPr="00685B80" w14:paraId="26CB95BA" w14:textId="77777777" w:rsidTr="00DD33BD">
        <w:trPr>
          <w:trHeight w:val="255"/>
        </w:trPr>
        <w:tc>
          <w:tcPr>
            <w:tcW w:w="3108" w:type="dxa"/>
            <w:tcBorders>
              <w:top w:val="nil"/>
              <w:left w:val="single" w:sz="4" w:space="0" w:color="auto"/>
              <w:bottom w:val="nil"/>
              <w:right w:val="nil"/>
            </w:tcBorders>
            <w:shd w:val="clear" w:color="auto" w:fill="auto"/>
            <w:noWrap/>
            <w:vAlign w:val="bottom"/>
            <w:hideMark/>
          </w:tcPr>
          <w:p w14:paraId="121F72BE" w14:textId="77777777" w:rsidR="00DD33BD" w:rsidRPr="00685B80" w:rsidRDefault="00DD33BD" w:rsidP="00DD33BD">
            <w:pPr>
              <w:ind w:firstLineChars="100" w:firstLine="200"/>
              <w:rPr>
                <w:rFonts w:ascii="Arial" w:hAnsi="Arial" w:cs="Arial"/>
                <w:color w:val="000000"/>
                <w:lang w:val="es-MX" w:eastAsia="es-MX"/>
              </w:rPr>
            </w:pPr>
            <w:r w:rsidRPr="00685B80">
              <w:rPr>
                <w:rFonts w:ascii="Arial" w:hAnsi="Arial" w:cs="Arial"/>
                <w:color w:val="000000"/>
                <w:lang w:val="es-MX" w:eastAsia="es-MX"/>
              </w:rPr>
              <w:t>Guanajuato</w:t>
            </w:r>
          </w:p>
        </w:tc>
        <w:tc>
          <w:tcPr>
            <w:tcW w:w="611" w:type="dxa"/>
            <w:tcBorders>
              <w:top w:val="nil"/>
              <w:left w:val="single" w:sz="4" w:space="0" w:color="auto"/>
              <w:bottom w:val="nil"/>
              <w:right w:val="nil"/>
            </w:tcBorders>
            <w:shd w:val="clear" w:color="auto" w:fill="auto"/>
            <w:noWrap/>
            <w:vAlign w:val="bottom"/>
            <w:hideMark/>
          </w:tcPr>
          <w:p w14:paraId="5B81A449" w14:textId="77777777" w:rsidR="00DD33BD" w:rsidRPr="00685B80" w:rsidRDefault="00DD33BD" w:rsidP="00DD33BD">
            <w:pPr>
              <w:jc w:val="right"/>
              <w:rPr>
                <w:rFonts w:ascii="Arial" w:hAnsi="Arial" w:cs="Arial"/>
                <w:color w:val="000000"/>
                <w:lang w:val="es-MX" w:eastAsia="es-MX"/>
              </w:rPr>
            </w:pPr>
          </w:p>
        </w:tc>
        <w:tc>
          <w:tcPr>
            <w:tcW w:w="814" w:type="dxa"/>
            <w:tcBorders>
              <w:top w:val="nil"/>
              <w:left w:val="nil"/>
              <w:bottom w:val="nil"/>
              <w:right w:val="single" w:sz="4" w:space="0" w:color="auto"/>
            </w:tcBorders>
            <w:shd w:val="clear" w:color="auto" w:fill="auto"/>
            <w:noWrap/>
            <w:vAlign w:val="bottom"/>
            <w:hideMark/>
          </w:tcPr>
          <w:p w14:paraId="17886661" w14:textId="77777777" w:rsidR="00DD33BD" w:rsidRDefault="00DD33BD" w:rsidP="00DD33BD">
            <w:pPr>
              <w:jc w:val="center"/>
              <w:rPr>
                <w:rFonts w:ascii="Arial" w:hAnsi="Arial" w:cs="Arial"/>
                <w:color w:val="000000"/>
              </w:rPr>
            </w:pPr>
            <w:r>
              <w:rPr>
                <w:rFonts w:ascii="Arial" w:hAnsi="Arial" w:cs="Arial"/>
                <w:color w:val="000000"/>
              </w:rPr>
              <w:t>1.2</w:t>
            </w:r>
          </w:p>
        </w:tc>
        <w:tc>
          <w:tcPr>
            <w:tcW w:w="666" w:type="dxa"/>
            <w:tcBorders>
              <w:top w:val="nil"/>
              <w:left w:val="nil"/>
              <w:bottom w:val="nil"/>
              <w:right w:val="nil"/>
            </w:tcBorders>
            <w:shd w:val="clear" w:color="auto" w:fill="auto"/>
            <w:noWrap/>
            <w:vAlign w:val="bottom"/>
            <w:hideMark/>
          </w:tcPr>
          <w:p w14:paraId="66CC5341" w14:textId="77777777" w:rsidR="00DD33BD" w:rsidRPr="0048399B" w:rsidRDefault="00DD33BD" w:rsidP="00DD33BD">
            <w:pPr>
              <w:jc w:val="right"/>
              <w:rPr>
                <w:rFonts w:ascii="Arial" w:hAnsi="Arial" w:cs="Arial"/>
                <w:color w:val="000000"/>
                <w:lang w:val="es-MX" w:eastAsia="es-MX"/>
              </w:rPr>
            </w:pPr>
            <w:r w:rsidRPr="0048399B">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47A2D169" w14:textId="77777777" w:rsidR="00DD33BD" w:rsidRDefault="00DD33BD" w:rsidP="00DD33BD">
            <w:pPr>
              <w:jc w:val="center"/>
              <w:rPr>
                <w:rFonts w:ascii="Arial" w:hAnsi="Arial" w:cs="Arial"/>
                <w:color w:val="000000"/>
              </w:rPr>
            </w:pPr>
            <w:r>
              <w:rPr>
                <w:rFonts w:ascii="Arial" w:hAnsi="Arial" w:cs="Arial"/>
                <w:color w:val="000000"/>
              </w:rPr>
              <w:t>4.5</w:t>
            </w:r>
          </w:p>
        </w:tc>
        <w:tc>
          <w:tcPr>
            <w:tcW w:w="634" w:type="dxa"/>
            <w:tcBorders>
              <w:top w:val="nil"/>
              <w:left w:val="nil"/>
              <w:bottom w:val="nil"/>
              <w:right w:val="nil"/>
            </w:tcBorders>
            <w:shd w:val="clear" w:color="auto" w:fill="auto"/>
            <w:noWrap/>
            <w:vAlign w:val="bottom"/>
            <w:hideMark/>
          </w:tcPr>
          <w:p w14:paraId="4C487918" w14:textId="77777777" w:rsidR="00DD33BD" w:rsidRPr="0048399B" w:rsidRDefault="00DD33BD" w:rsidP="00DD33BD">
            <w:pPr>
              <w:jc w:val="right"/>
              <w:rPr>
                <w:rFonts w:ascii="Arial" w:hAnsi="Arial" w:cs="Arial"/>
                <w:color w:val="000000"/>
                <w:lang w:val="es-MX" w:eastAsia="es-MX"/>
              </w:rPr>
            </w:pPr>
            <w:r w:rsidRPr="0048399B">
              <w:rPr>
                <w:rFonts w:ascii="Arial" w:hAnsi="Arial" w:cs="Arial"/>
                <w:color w:val="000000"/>
                <w:lang w:val="es-MX" w:eastAsia="es-MX"/>
              </w:rPr>
              <w:t>(-)</w:t>
            </w:r>
          </w:p>
        </w:tc>
        <w:tc>
          <w:tcPr>
            <w:tcW w:w="814" w:type="dxa"/>
            <w:tcBorders>
              <w:top w:val="nil"/>
              <w:left w:val="nil"/>
              <w:bottom w:val="nil"/>
              <w:right w:val="single" w:sz="4" w:space="0" w:color="auto"/>
            </w:tcBorders>
            <w:shd w:val="clear" w:color="auto" w:fill="auto"/>
            <w:noWrap/>
            <w:vAlign w:val="bottom"/>
            <w:hideMark/>
          </w:tcPr>
          <w:p w14:paraId="135A604B" w14:textId="77777777" w:rsidR="00DD33BD" w:rsidRDefault="00DD33BD" w:rsidP="00DD33BD">
            <w:pPr>
              <w:jc w:val="center"/>
              <w:rPr>
                <w:rFonts w:ascii="Arial" w:hAnsi="Arial" w:cs="Arial"/>
                <w:color w:val="000000"/>
              </w:rPr>
            </w:pPr>
            <w:r>
              <w:rPr>
                <w:rFonts w:ascii="Arial" w:hAnsi="Arial" w:cs="Arial"/>
                <w:color w:val="000000"/>
              </w:rPr>
              <w:t>3.8</w:t>
            </w:r>
          </w:p>
        </w:tc>
        <w:tc>
          <w:tcPr>
            <w:tcW w:w="642" w:type="dxa"/>
            <w:tcBorders>
              <w:top w:val="nil"/>
              <w:left w:val="nil"/>
              <w:bottom w:val="nil"/>
              <w:right w:val="nil"/>
            </w:tcBorders>
            <w:shd w:val="clear" w:color="auto" w:fill="auto"/>
            <w:noWrap/>
            <w:vAlign w:val="bottom"/>
            <w:hideMark/>
          </w:tcPr>
          <w:p w14:paraId="0D2CD72B" w14:textId="77777777" w:rsidR="00DD33BD" w:rsidRPr="0048399B" w:rsidRDefault="00DD33BD" w:rsidP="00DD33BD">
            <w:pPr>
              <w:jc w:val="right"/>
              <w:rPr>
                <w:rFonts w:ascii="Arial" w:hAnsi="Arial" w:cs="Arial"/>
                <w:color w:val="000000"/>
                <w:lang w:val="es-MX" w:eastAsia="es-MX"/>
              </w:rPr>
            </w:pPr>
            <w:r w:rsidRPr="0048399B">
              <w:rPr>
                <w:rFonts w:ascii="Arial" w:hAnsi="Arial" w:cs="Arial"/>
                <w:color w:val="000000"/>
                <w:lang w:val="es-MX" w:eastAsia="es-MX"/>
              </w:rPr>
              <w:t> </w:t>
            </w:r>
          </w:p>
        </w:tc>
        <w:tc>
          <w:tcPr>
            <w:tcW w:w="703" w:type="dxa"/>
            <w:tcBorders>
              <w:top w:val="nil"/>
              <w:left w:val="nil"/>
              <w:bottom w:val="nil"/>
              <w:right w:val="single" w:sz="4" w:space="0" w:color="auto"/>
            </w:tcBorders>
            <w:shd w:val="clear" w:color="auto" w:fill="auto"/>
            <w:noWrap/>
            <w:vAlign w:val="bottom"/>
            <w:hideMark/>
          </w:tcPr>
          <w:p w14:paraId="0C474FC3" w14:textId="77777777" w:rsidR="00DD33BD" w:rsidRDefault="00DD33BD" w:rsidP="00DD33BD">
            <w:pPr>
              <w:rPr>
                <w:rFonts w:ascii="Arial" w:hAnsi="Arial" w:cs="Arial"/>
                <w:color w:val="000000"/>
              </w:rPr>
            </w:pPr>
            <w:r>
              <w:rPr>
                <w:rFonts w:ascii="Arial" w:hAnsi="Arial" w:cs="Arial"/>
                <w:color w:val="000000"/>
              </w:rPr>
              <w:t>4.1</w:t>
            </w:r>
          </w:p>
        </w:tc>
      </w:tr>
      <w:tr w:rsidR="00DD33BD" w:rsidRPr="00685B80" w14:paraId="39F1896E" w14:textId="77777777" w:rsidTr="00DD33BD">
        <w:trPr>
          <w:trHeight w:val="255"/>
        </w:trPr>
        <w:tc>
          <w:tcPr>
            <w:tcW w:w="3108" w:type="dxa"/>
            <w:tcBorders>
              <w:top w:val="nil"/>
              <w:left w:val="single" w:sz="4" w:space="0" w:color="auto"/>
              <w:bottom w:val="nil"/>
              <w:right w:val="nil"/>
            </w:tcBorders>
            <w:shd w:val="clear" w:color="auto" w:fill="auto"/>
            <w:noWrap/>
            <w:vAlign w:val="bottom"/>
            <w:hideMark/>
          </w:tcPr>
          <w:p w14:paraId="6B3BC8A6" w14:textId="77777777" w:rsidR="00DD33BD" w:rsidRPr="00685B80" w:rsidRDefault="00DD33BD" w:rsidP="00DD33BD">
            <w:pPr>
              <w:ind w:firstLineChars="100" w:firstLine="200"/>
              <w:rPr>
                <w:rFonts w:ascii="Arial" w:hAnsi="Arial" w:cs="Arial"/>
                <w:color w:val="000000"/>
                <w:lang w:val="es-MX" w:eastAsia="es-MX"/>
              </w:rPr>
            </w:pPr>
            <w:r w:rsidRPr="00685B80">
              <w:rPr>
                <w:rFonts w:ascii="Arial" w:hAnsi="Arial" w:cs="Arial"/>
                <w:color w:val="000000"/>
                <w:lang w:val="es-MX" w:eastAsia="es-MX"/>
              </w:rPr>
              <w:t>Guerrero</w:t>
            </w:r>
          </w:p>
        </w:tc>
        <w:tc>
          <w:tcPr>
            <w:tcW w:w="611" w:type="dxa"/>
            <w:tcBorders>
              <w:top w:val="nil"/>
              <w:left w:val="single" w:sz="4" w:space="0" w:color="auto"/>
              <w:bottom w:val="nil"/>
              <w:right w:val="nil"/>
            </w:tcBorders>
            <w:shd w:val="clear" w:color="auto" w:fill="auto"/>
            <w:noWrap/>
            <w:vAlign w:val="bottom"/>
            <w:hideMark/>
          </w:tcPr>
          <w:p w14:paraId="6F8D7E77" w14:textId="77777777" w:rsidR="00DD33BD" w:rsidRPr="00685B80" w:rsidRDefault="00DD33BD" w:rsidP="00DD33BD">
            <w:pPr>
              <w:jc w:val="right"/>
              <w:rPr>
                <w:rFonts w:ascii="Arial" w:hAnsi="Arial" w:cs="Arial"/>
                <w:color w:val="000000"/>
                <w:lang w:val="es-MX" w:eastAsia="es-MX"/>
              </w:rPr>
            </w:pPr>
            <w:r w:rsidRPr="00685B80">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2239864E" w14:textId="77777777" w:rsidR="00DD33BD" w:rsidRDefault="00DD33BD" w:rsidP="00DD33BD">
            <w:pPr>
              <w:jc w:val="center"/>
              <w:rPr>
                <w:rFonts w:ascii="Arial" w:hAnsi="Arial" w:cs="Arial"/>
                <w:color w:val="000000"/>
              </w:rPr>
            </w:pPr>
            <w:r>
              <w:rPr>
                <w:rFonts w:ascii="Arial" w:hAnsi="Arial" w:cs="Arial"/>
                <w:color w:val="000000"/>
              </w:rPr>
              <w:t>3.0</w:t>
            </w:r>
          </w:p>
        </w:tc>
        <w:tc>
          <w:tcPr>
            <w:tcW w:w="666" w:type="dxa"/>
            <w:tcBorders>
              <w:top w:val="nil"/>
              <w:left w:val="nil"/>
              <w:bottom w:val="nil"/>
              <w:right w:val="nil"/>
            </w:tcBorders>
            <w:shd w:val="clear" w:color="auto" w:fill="auto"/>
            <w:noWrap/>
            <w:vAlign w:val="bottom"/>
            <w:hideMark/>
          </w:tcPr>
          <w:p w14:paraId="13E2278B" w14:textId="77777777" w:rsidR="00DD33BD" w:rsidRPr="00685B80" w:rsidRDefault="00DD33BD" w:rsidP="00DD33BD">
            <w:pPr>
              <w:jc w:val="right"/>
              <w:rPr>
                <w:rFonts w:ascii="Arial" w:hAnsi="Arial" w:cs="Arial"/>
                <w:color w:val="000000"/>
                <w:lang w:val="es-MX" w:eastAsia="es-MX"/>
              </w:rPr>
            </w:pPr>
            <w:r w:rsidRPr="00685B80">
              <w:rPr>
                <w:rFonts w:ascii="Arial" w:hAnsi="Arial" w:cs="Arial"/>
                <w:color w:val="000000"/>
                <w:lang w:val="es-MX" w:eastAsia="es-MX"/>
              </w:rPr>
              <w:t>(-)</w:t>
            </w:r>
          </w:p>
        </w:tc>
        <w:tc>
          <w:tcPr>
            <w:tcW w:w="814" w:type="dxa"/>
            <w:tcBorders>
              <w:top w:val="nil"/>
              <w:left w:val="nil"/>
              <w:bottom w:val="nil"/>
              <w:right w:val="single" w:sz="4" w:space="0" w:color="auto"/>
            </w:tcBorders>
            <w:shd w:val="clear" w:color="auto" w:fill="auto"/>
            <w:noWrap/>
            <w:vAlign w:val="bottom"/>
            <w:hideMark/>
          </w:tcPr>
          <w:p w14:paraId="6613C4BA" w14:textId="77777777" w:rsidR="00DD33BD" w:rsidRDefault="00DD33BD" w:rsidP="00DD33BD">
            <w:pPr>
              <w:jc w:val="center"/>
              <w:rPr>
                <w:rFonts w:ascii="Arial" w:hAnsi="Arial" w:cs="Arial"/>
                <w:color w:val="000000"/>
              </w:rPr>
            </w:pPr>
            <w:r>
              <w:rPr>
                <w:rFonts w:ascii="Arial" w:hAnsi="Arial" w:cs="Arial"/>
                <w:color w:val="000000"/>
              </w:rPr>
              <w:t>0.7</w:t>
            </w:r>
          </w:p>
        </w:tc>
        <w:tc>
          <w:tcPr>
            <w:tcW w:w="634" w:type="dxa"/>
            <w:tcBorders>
              <w:top w:val="nil"/>
              <w:left w:val="nil"/>
              <w:bottom w:val="nil"/>
              <w:right w:val="nil"/>
            </w:tcBorders>
            <w:shd w:val="clear" w:color="auto" w:fill="auto"/>
            <w:noWrap/>
            <w:vAlign w:val="bottom"/>
            <w:hideMark/>
          </w:tcPr>
          <w:p w14:paraId="1F6F0D7B" w14:textId="77777777" w:rsidR="00DD33BD" w:rsidRPr="0048399B" w:rsidRDefault="00DD33BD" w:rsidP="00DD33BD">
            <w:pPr>
              <w:jc w:val="right"/>
              <w:rPr>
                <w:rFonts w:ascii="Arial" w:hAnsi="Arial" w:cs="Arial"/>
                <w:color w:val="000000"/>
                <w:lang w:val="es-MX" w:eastAsia="es-MX"/>
              </w:rPr>
            </w:pPr>
          </w:p>
        </w:tc>
        <w:tc>
          <w:tcPr>
            <w:tcW w:w="814" w:type="dxa"/>
            <w:tcBorders>
              <w:top w:val="nil"/>
              <w:left w:val="nil"/>
              <w:bottom w:val="nil"/>
              <w:right w:val="single" w:sz="4" w:space="0" w:color="auto"/>
            </w:tcBorders>
            <w:shd w:val="clear" w:color="auto" w:fill="auto"/>
            <w:noWrap/>
            <w:vAlign w:val="bottom"/>
            <w:hideMark/>
          </w:tcPr>
          <w:p w14:paraId="0264EF78" w14:textId="77777777" w:rsidR="00DD33BD" w:rsidRDefault="00DD33BD" w:rsidP="00DD33BD">
            <w:pPr>
              <w:jc w:val="center"/>
              <w:rPr>
                <w:rFonts w:ascii="Arial" w:hAnsi="Arial" w:cs="Arial"/>
                <w:color w:val="000000"/>
              </w:rPr>
            </w:pPr>
            <w:r>
              <w:rPr>
                <w:rFonts w:ascii="Arial" w:hAnsi="Arial" w:cs="Arial"/>
                <w:color w:val="000000"/>
              </w:rPr>
              <w:t>6.3</w:t>
            </w:r>
          </w:p>
        </w:tc>
        <w:tc>
          <w:tcPr>
            <w:tcW w:w="642" w:type="dxa"/>
            <w:tcBorders>
              <w:top w:val="nil"/>
              <w:left w:val="nil"/>
              <w:bottom w:val="nil"/>
              <w:right w:val="nil"/>
            </w:tcBorders>
            <w:shd w:val="clear" w:color="auto" w:fill="auto"/>
            <w:noWrap/>
            <w:vAlign w:val="bottom"/>
            <w:hideMark/>
          </w:tcPr>
          <w:p w14:paraId="75438284" w14:textId="77777777" w:rsidR="00DD33BD" w:rsidRPr="0048399B" w:rsidRDefault="00DD33BD" w:rsidP="00DD33BD">
            <w:pPr>
              <w:jc w:val="right"/>
              <w:rPr>
                <w:rFonts w:ascii="Arial" w:hAnsi="Arial" w:cs="Arial"/>
                <w:color w:val="000000"/>
                <w:lang w:val="es-MX" w:eastAsia="es-MX"/>
              </w:rPr>
            </w:pPr>
            <w:r w:rsidRPr="0048399B">
              <w:rPr>
                <w:rFonts w:ascii="Arial" w:hAnsi="Arial" w:cs="Arial"/>
                <w:color w:val="000000"/>
                <w:lang w:val="es-MX" w:eastAsia="es-MX"/>
              </w:rPr>
              <w:t> </w:t>
            </w:r>
          </w:p>
        </w:tc>
        <w:tc>
          <w:tcPr>
            <w:tcW w:w="703" w:type="dxa"/>
            <w:tcBorders>
              <w:top w:val="nil"/>
              <w:left w:val="nil"/>
              <w:bottom w:val="nil"/>
              <w:right w:val="single" w:sz="4" w:space="0" w:color="auto"/>
            </w:tcBorders>
            <w:shd w:val="clear" w:color="auto" w:fill="auto"/>
            <w:noWrap/>
            <w:vAlign w:val="bottom"/>
            <w:hideMark/>
          </w:tcPr>
          <w:p w14:paraId="39F2FD70" w14:textId="77777777" w:rsidR="00DD33BD" w:rsidRDefault="00DD33BD" w:rsidP="00DD33BD">
            <w:pPr>
              <w:rPr>
                <w:rFonts w:ascii="Arial" w:hAnsi="Arial" w:cs="Arial"/>
                <w:color w:val="000000"/>
              </w:rPr>
            </w:pPr>
            <w:r>
              <w:rPr>
                <w:rFonts w:ascii="Arial" w:hAnsi="Arial" w:cs="Arial"/>
                <w:color w:val="000000"/>
              </w:rPr>
              <w:t>2.5</w:t>
            </w:r>
          </w:p>
        </w:tc>
      </w:tr>
      <w:tr w:rsidR="00DD33BD" w:rsidRPr="00685B80" w14:paraId="7FD9C757" w14:textId="77777777" w:rsidTr="00DD33BD">
        <w:trPr>
          <w:trHeight w:val="255"/>
        </w:trPr>
        <w:tc>
          <w:tcPr>
            <w:tcW w:w="3108" w:type="dxa"/>
            <w:tcBorders>
              <w:top w:val="nil"/>
              <w:left w:val="single" w:sz="4" w:space="0" w:color="auto"/>
              <w:bottom w:val="nil"/>
              <w:right w:val="nil"/>
            </w:tcBorders>
            <w:shd w:val="clear" w:color="auto" w:fill="auto"/>
            <w:noWrap/>
            <w:vAlign w:val="bottom"/>
            <w:hideMark/>
          </w:tcPr>
          <w:p w14:paraId="02320F57" w14:textId="77777777" w:rsidR="00DD33BD" w:rsidRPr="00685B80" w:rsidRDefault="00DD33BD" w:rsidP="00DD33BD">
            <w:pPr>
              <w:ind w:firstLineChars="100" w:firstLine="200"/>
              <w:rPr>
                <w:rFonts w:ascii="Arial" w:hAnsi="Arial" w:cs="Arial"/>
                <w:color w:val="000000"/>
                <w:lang w:val="es-MX" w:eastAsia="es-MX"/>
              </w:rPr>
            </w:pPr>
            <w:r w:rsidRPr="00685B80">
              <w:rPr>
                <w:rFonts w:ascii="Arial" w:hAnsi="Arial" w:cs="Arial"/>
                <w:color w:val="000000"/>
                <w:lang w:val="es-MX" w:eastAsia="es-MX"/>
              </w:rPr>
              <w:t>Hidalgo</w:t>
            </w:r>
          </w:p>
        </w:tc>
        <w:tc>
          <w:tcPr>
            <w:tcW w:w="611" w:type="dxa"/>
            <w:tcBorders>
              <w:top w:val="nil"/>
              <w:left w:val="single" w:sz="4" w:space="0" w:color="auto"/>
              <w:bottom w:val="nil"/>
              <w:right w:val="nil"/>
            </w:tcBorders>
            <w:shd w:val="clear" w:color="auto" w:fill="auto"/>
            <w:noWrap/>
            <w:vAlign w:val="bottom"/>
            <w:hideMark/>
          </w:tcPr>
          <w:p w14:paraId="55832FEE" w14:textId="77777777" w:rsidR="00DD33BD" w:rsidRPr="00685B80" w:rsidRDefault="00DD33BD" w:rsidP="00DD33BD">
            <w:pPr>
              <w:jc w:val="right"/>
              <w:rPr>
                <w:rFonts w:ascii="Arial" w:hAnsi="Arial" w:cs="Arial"/>
                <w:color w:val="000000"/>
                <w:lang w:val="es-MX" w:eastAsia="es-MX"/>
              </w:rPr>
            </w:pPr>
            <w:r w:rsidRPr="00685B80">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24D2A790" w14:textId="77777777" w:rsidR="00DD33BD" w:rsidRDefault="00DD33BD" w:rsidP="00DD33BD">
            <w:pPr>
              <w:jc w:val="center"/>
              <w:rPr>
                <w:rFonts w:ascii="Arial" w:hAnsi="Arial" w:cs="Arial"/>
                <w:color w:val="000000"/>
              </w:rPr>
            </w:pPr>
            <w:r>
              <w:rPr>
                <w:rFonts w:ascii="Arial" w:hAnsi="Arial" w:cs="Arial"/>
                <w:color w:val="000000"/>
              </w:rPr>
              <w:t>3.2</w:t>
            </w:r>
          </w:p>
        </w:tc>
        <w:tc>
          <w:tcPr>
            <w:tcW w:w="666" w:type="dxa"/>
            <w:tcBorders>
              <w:top w:val="nil"/>
              <w:left w:val="nil"/>
              <w:bottom w:val="nil"/>
              <w:right w:val="nil"/>
            </w:tcBorders>
            <w:shd w:val="clear" w:color="auto" w:fill="auto"/>
            <w:noWrap/>
            <w:vAlign w:val="bottom"/>
            <w:hideMark/>
          </w:tcPr>
          <w:p w14:paraId="40731196" w14:textId="77777777" w:rsidR="00DD33BD" w:rsidRPr="00685B80" w:rsidRDefault="00DD33BD" w:rsidP="00DD33BD">
            <w:pPr>
              <w:jc w:val="right"/>
              <w:rPr>
                <w:rFonts w:ascii="Arial" w:hAnsi="Arial" w:cs="Arial"/>
                <w:color w:val="000000"/>
                <w:lang w:val="es-MX" w:eastAsia="es-MX"/>
              </w:rPr>
            </w:pPr>
            <w:r w:rsidRPr="00685B80">
              <w:rPr>
                <w:rFonts w:ascii="Arial" w:hAnsi="Arial" w:cs="Arial"/>
                <w:color w:val="000000"/>
                <w:lang w:val="es-MX" w:eastAsia="es-MX"/>
              </w:rPr>
              <w:t>(-)</w:t>
            </w:r>
          </w:p>
        </w:tc>
        <w:tc>
          <w:tcPr>
            <w:tcW w:w="814" w:type="dxa"/>
            <w:tcBorders>
              <w:top w:val="nil"/>
              <w:left w:val="nil"/>
              <w:bottom w:val="nil"/>
              <w:right w:val="single" w:sz="4" w:space="0" w:color="auto"/>
            </w:tcBorders>
            <w:shd w:val="clear" w:color="auto" w:fill="auto"/>
            <w:noWrap/>
            <w:vAlign w:val="bottom"/>
            <w:hideMark/>
          </w:tcPr>
          <w:p w14:paraId="19766BE8" w14:textId="77777777" w:rsidR="00DD33BD" w:rsidRDefault="00DD33BD" w:rsidP="00DD33BD">
            <w:pPr>
              <w:jc w:val="center"/>
              <w:rPr>
                <w:rFonts w:ascii="Arial" w:hAnsi="Arial" w:cs="Arial"/>
                <w:color w:val="000000"/>
              </w:rPr>
            </w:pPr>
            <w:r>
              <w:rPr>
                <w:rFonts w:ascii="Arial" w:hAnsi="Arial" w:cs="Arial"/>
                <w:color w:val="000000"/>
              </w:rPr>
              <w:t>0.7</w:t>
            </w:r>
          </w:p>
        </w:tc>
        <w:tc>
          <w:tcPr>
            <w:tcW w:w="634" w:type="dxa"/>
            <w:tcBorders>
              <w:top w:val="nil"/>
              <w:left w:val="nil"/>
              <w:bottom w:val="nil"/>
              <w:right w:val="nil"/>
            </w:tcBorders>
            <w:shd w:val="clear" w:color="auto" w:fill="auto"/>
            <w:noWrap/>
            <w:vAlign w:val="bottom"/>
            <w:hideMark/>
          </w:tcPr>
          <w:p w14:paraId="6F165089" w14:textId="77777777" w:rsidR="00DD33BD" w:rsidRPr="0048399B" w:rsidRDefault="00DD33BD" w:rsidP="00DD33BD">
            <w:pPr>
              <w:jc w:val="right"/>
              <w:rPr>
                <w:rFonts w:ascii="Arial" w:hAnsi="Arial" w:cs="Arial"/>
                <w:color w:val="000000"/>
                <w:lang w:val="es-MX" w:eastAsia="es-MX"/>
              </w:rPr>
            </w:pPr>
            <w:r w:rsidRPr="0048399B">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461C8CE2" w14:textId="77777777" w:rsidR="00DD33BD" w:rsidRDefault="00DD33BD" w:rsidP="00DD33BD">
            <w:pPr>
              <w:jc w:val="center"/>
              <w:rPr>
                <w:rFonts w:ascii="Arial" w:hAnsi="Arial" w:cs="Arial"/>
                <w:color w:val="000000"/>
              </w:rPr>
            </w:pPr>
            <w:r>
              <w:rPr>
                <w:rFonts w:ascii="Arial" w:hAnsi="Arial" w:cs="Arial"/>
                <w:color w:val="000000"/>
              </w:rPr>
              <w:t>1.8</w:t>
            </w:r>
          </w:p>
        </w:tc>
        <w:tc>
          <w:tcPr>
            <w:tcW w:w="642" w:type="dxa"/>
            <w:tcBorders>
              <w:top w:val="nil"/>
              <w:left w:val="nil"/>
              <w:bottom w:val="nil"/>
              <w:right w:val="nil"/>
            </w:tcBorders>
            <w:shd w:val="clear" w:color="auto" w:fill="auto"/>
            <w:noWrap/>
            <w:vAlign w:val="bottom"/>
            <w:hideMark/>
          </w:tcPr>
          <w:p w14:paraId="50559058" w14:textId="77777777" w:rsidR="00DD33BD" w:rsidRPr="0048399B" w:rsidRDefault="00DD33BD" w:rsidP="00DD33BD">
            <w:pPr>
              <w:jc w:val="right"/>
              <w:rPr>
                <w:rFonts w:ascii="Arial" w:hAnsi="Arial" w:cs="Arial"/>
                <w:color w:val="000000"/>
                <w:lang w:val="es-MX" w:eastAsia="es-MX"/>
              </w:rPr>
            </w:pPr>
            <w:r w:rsidRPr="0048399B">
              <w:rPr>
                <w:rFonts w:ascii="Arial" w:hAnsi="Arial" w:cs="Arial"/>
                <w:color w:val="000000"/>
                <w:lang w:val="es-MX" w:eastAsia="es-MX"/>
              </w:rPr>
              <w:t> </w:t>
            </w:r>
          </w:p>
        </w:tc>
        <w:tc>
          <w:tcPr>
            <w:tcW w:w="703" w:type="dxa"/>
            <w:tcBorders>
              <w:top w:val="nil"/>
              <w:left w:val="nil"/>
              <w:bottom w:val="nil"/>
              <w:right w:val="single" w:sz="4" w:space="0" w:color="auto"/>
            </w:tcBorders>
            <w:shd w:val="clear" w:color="auto" w:fill="auto"/>
            <w:noWrap/>
            <w:vAlign w:val="bottom"/>
            <w:hideMark/>
          </w:tcPr>
          <w:p w14:paraId="7D8F5C6D" w14:textId="77777777" w:rsidR="00DD33BD" w:rsidRDefault="00DD33BD" w:rsidP="00DD33BD">
            <w:pPr>
              <w:rPr>
                <w:rFonts w:ascii="Arial" w:hAnsi="Arial" w:cs="Arial"/>
                <w:color w:val="000000"/>
              </w:rPr>
            </w:pPr>
            <w:r>
              <w:rPr>
                <w:rFonts w:ascii="Arial" w:hAnsi="Arial" w:cs="Arial"/>
                <w:color w:val="000000"/>
              </w:rPr>
              <w:t>4.2</w:t>
            </w:r>
          </w:p>
        </w:tc>
      </w:tr>
      <w:tr w:rsidR="00DD33BD" w:rsidRPr="00685B80" w14:paraId="2DB1CBA6" w14:textId="77777777" w:rsidTr="00DD33BD">
        <w:trPr>
          <w:trHeight w:val="255"/>
        </w:trPr>
        <w:tc>
          <w:tcPr>
            <w:tcW w:w="3108" w:type="dxa"/>
            <w:tcBorders>
              <w:top w:val="nil"/>
              <w:left w:val="single" w:sz="4" w:space="0" w:color="auto"/>
              <w:bottom w:val="nil"/>
              <w:right w:val="nil"/>
            </w:tcBorders>
            <w:shd w:val="clear" w:color="auto" w:fill="auto"/>
            <w:noWrap/>
            <w:vAlign w:val="bottom"/>
            <w:hideMark/>
          </w:tcPr>
          <w:p w14:paraId="60C15DA6" w14:textId="77777777" w:rsidR="00DD33BD" w:rsidRPr="00685B80" w:rsidRDefault="00DD33BD" w:rsidP="00DD33BD">
            <w:pPr>
              <w:ind w:firstLineChars="100" w:firstLine="200"/>
              <w:rPr>
                <w:rFonts w:ascii="Arial" w:hAnsi="Arial" w:cs="Arial"/>
                <w:color w:val="000000"/>
                <w:lang w:val="es-MX" w:eastAsia="es-MX"/>
              </w:rPr>
            </w:pPr>
            <w:r w:rsidRPr="00685B80">
              <w:rPr>
                <w:rFonts w:ascii="Arial" w:hAnsi="Arial" w:cs="Arial"/>
                <w:color w:val="000000"/>
                <w:lang w:val="es-MX" w:eastAsia="es-MX"/>
              </w:rPr>
              <w:t>Jalisco</w:t>
            </w:r>
          </w:p>
        </w:tc>
        <w:tc>
          <w:tcPr>
            <w:tcW w:w="611" w:type="dxa"/>
            <w:tcBorders>
              <w:top w:val="nil"/>
              <w:left w:val="single" w:sz="4" w:space="0" w:color="auto"/>
              <w:bottom w:val="nil"/>
              <w:right w:val="nil"/>
            </w:tcBorders>
            <w:shd w:val="clear" w:color="auto" w:fill="auto"/>
            <w:noWrap/>
            <w:vAlign w:val="bottom"/>
            <w:hideMark/>
          </w:tcPr>
          <w:p w14:paraId="75328BAF" w14:textId="77777777" w:rsidR="00DD33BD" w:rsidRPr="00685B80" w:rsidRDefault="00DD33BD" w:rsidP="00DD33BD">
            <w:pPr>
              <w:jc w:val="right"/>
              <w:rPr>
                <w:rFonts w:ascii="Arial" w:hAnsi="Arial" w:cs="Arial"/>
                <w:color w:val="000000"/>
                <w:lang w:val="es-MX" w:eastAsia="es-MX"/>
              </w:rPr>
            </w:pPr>
            <w:r w:rsidRPr="00685B80">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2F25A55F" w14:textId="77777777" w:rsidR="00DD33BD" w:rsidRDefault="00DD33BD" w:rsidP="00DD33BD">
            <w:pPr>
              <w:jc w:val="center"/>
              <w:rPr>
                <w:rFonts w:ascii="Arial" w:hAnsi="Arial" w:cs="Arial"/>
                <w:color w:val="000000"/>
              </w:rPr>
            </w:pPr>
            <w:r>
              <w:rPr>
                <w:rFonts w:ascii="Arial" w:hAnsi="Arial" w:cs="Arial"/>
                <w:color w:val="000000"/>
              </w:rPr>
              <w:t>2.9</w:t>
            </w:r>
          </w:p>
        </w:tc>
        <w:tc>
          <w:tcPr>
            <w:tcW w:w="666" w:type="dxa"/>
            <w:tcBorders>
              <w:top w:val="nil"/>
              <w:left w:val="nil"/>
              <w:bottom w:val="nil"/>
              <w:right w:val="nil"/>
            </w:tcBorders>
            <w:shd w:val="clear" w:color="auto" w:fill="auto"/>
            <w:noWrap/>
            <w:vAlign w:val="bottom"/>
            <w:hideMark/>
          </w:tcPr>
          <w:p w14:paraId="5245FD76" w14:textId="77777777" w:rsidR="00DD33BD" w:rsidRPr="0048399B" w:rsidRDefault="00DD33BD" w:rsidP="00DD33BD">
            <w:pPr>
              <w:jc w:val="right"/>
              <w:rPr>
                <w:rFonts w:ascii="Arial" w:hAnsi="Arial" w:cs="Arial"/>
                <w:color w:val="000000"/>
                <w:lang w:val="es-MX" w:eastAsia="es-MX"/>
              </w:rPr>
            </w:pPr>
          </w:p>
        </w:tc>
        <w:tc>
          <w:tcPr>
            <w:tcW w:w="814" w:type="dxa"/>
            <w:tcBorders>
              <w:top w:val="nil"/>
              <w:left w:val="nil"/>
              <w:bottom w:val="nil"/>
              <w:right w:val="single" w:sz="4" w:space="0" w:color="auto"/>
            </w:tcBorders>
            <w:shd w:val="clear" w:color="auto" w:fill="auto"/>
            <w:noWrap/>
            <w:vAlign w:val="bottom"/>
            <w:hideMark/>
          </w:tcPr>
          <w:p w14:paraId="62196A70" w14:textId="77777777" w:rsidR="00DD33BD" w:rsidRDefault="00DD33BD" w:rsidP="00DD33BD">
            <w:pPr>
              <w:jc w:val="center"/>
              <w:rPr>
                <w:rFonts w:ascii="Arial" w:hAnsi="Arial" w:cs="Arial"/>
                <w:color w:val="000000"/>
              </w:rPr>
            </w:pPr>
            <w:r>
              <w:rPr>
                <w:rFonts w:ascii="Arial" w:hAnsi="Arial" w:cs="Arial"/>
                <w:color w:val="000000"/>
              </w:rPr>
              <w:t>3.6</w:t>
            </w:r>
          </w:p>
        </w:tc>
        <w:tc>
          <w:tcPr>
            <w:tcW w:w="634" w:type="dxa"/>
            <w:tcBorders>
              <w:top w:val="nil"/>
              <w:left w:val="nil"/>
              <w:bottom w:val="nil"/>
              <w:right w:val="nil"/>
            </w:tcBorders>
            <w:shd w:val="clear" w:color="auto" w:fill="auto"/>
            <w:noWrap/>
            <w:vAlign w:val="bottom"/>
            <w:hideMark/>
          </w:tcPr>
          <w:p w14:paraId="04152AF9" w14:textId="77777777" w:rsidR="00DD33BD" w:rsidRPr="0048399B" w:rsidRDefault="00DD33BD" w:rsidP="00DD33BD">
            <w:pPr>
              <w:jc w:val="right"/>
              <w:rPr>
                <w:rFonts w:ascii="Arial" w:hAnsi="Arial" w:cs="Arial"/>
                <w:color w:val="000000"/>
                <w:lang w:val="es-MX" w:eastAsia="es-MX"/>
              </w:rPr>
            </w:pPr>
            <w:r w:rsidRPr="0048399B">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3B1E5598" w14:textId="77777777" w:rsidR="00DD33BD" w:rsidRDefault="00DD33BD" w:rsidP="00DD33BD">
            <w:pPr>
              <w:jc w:val="center"/>
              <w:rPr>
                <w:rFonts w:ascii="Arial" w:hAnsi="Arial" w:cs="Arial"/>
                <w:color w:val="000000"/>
              </w:rPr>
            </w:pPr>
            <w:r>
              <w:rPr>
                <w:rFonts w:ascii="Arial" w:hAnsi="Arial" w:cs="Arial"/>
                <w:color w:val="000000"/>
              </w:rPr>
              <w:t>0.7</w:t>
            </w:r>
          </w:p>
        </w:tc>
        <w:tc>
          <w:tcPr>
            <w:tcW w:w="642" w:type="dxa"/>
            <w:tcBorders>
              <w:top w:val="nil"/>
              <w:left w:val="nil"/>
              <w:bottom w:val="nil"/>
              <w:right w:val="nil"/>
            </w:tcBorders>
            <w:shd w:val="clear" w:color="auto" w:fill="auto"/>
            <w:noWrap/>
            <w:vAlign w:val="bottom"/>
            <w:hideMark/>
          </w:tcPr>
          <w:p w14:paraId="15C67878" w14:textId="77777777" w:rsidR="00DD33BD" w:rsidRPr="0048399B" w:rsidRDefault="00DD33BD" w:rsidP="00DD33BD">
            <w:pPr>
              <w:jc w:val="right"/>
              <w:rPr>
                <w:rFonts w:ascii="Arial" w:hAnsi="Arial" w:cs="Arial"/>
                <w:color w:val="000000"/>
                <w:lang w:val="es-MX" w:eastAsia="es-MX"/>
              </w:rPr>
            </w:pPr>
            <w:r w:rsidRPr="0048399B">
              <w:rPr>
                <w:rFonts w:ascii="Arial" w:hAnsi="Arial" w:cs="Arial"/>
                <w:color w:val="000000"/>
                <w:lang w:val="es-MX" w:eastAsia="es-MX"/>
              </w:rPr>
              <w:t> </w:t>
            </w:r>
          </w:p>
        </w:tc>
        <w:tc>
          <w:tcPr>
            <w:tcW w:w="703" w:type="dxa"/>
            <w:tcBorders>
              <w:top w:val="nil"/>
              <w:left w:val="nil"/>
              <w:bottom w:val="nil"/>
              <w:right w:val="single" w:sz="4" w:space="0" w:color="auto"/>
            </w:tcBorders>
            <w:shd w:val="clear" w:color="auto" w:fill="auto"/>
            <w:noWrap/>
            <w:vAlign w:val="bottom"/>
            <w:hideMark/>
          </w:tcPr>
          <w:p w14:paraId="7A085BAC" w14:textId="77777777" w:rsidR="00DD33BD" w:rsidRDefault="00DD33BD" w:rsidP="00DD33BD">
            <w:pPr>
              <w:rPr>
                <w:rFonts w:ascii="Arial" w:hAnsi="Arial" w:cs="Arial"/>
                <w:color w:val="000000"/>
              </w:rPr>
            </w:pPr>
            <w:r>
              <w:rPr>
                <w:rFonts w:ascii="Arial" w:hAnsi="Arial" w:cs="Arial"/>
                <w:color w:val="000000"/>
              </w:rPr>
              <w:t>3.9</w:t>
            </w:r>
          </w:p>
        </w:tc>
      </w:tr>
      <w:tr w:rsidR="00DD33BD" w:rsidRPr="00685B80" w14:paraId="37E535AD" w14:textId="77777777" w:rsidTr="00DD33BD">
        <w:trPr>
          <w:trHeight w:val="255"/>
        </w:trPr>
        <w:tc>
          <w:tcPr>
            <w:tcW w:w="3108" w:type="dxa"/>
            <w:tcBorders>
              <w:top w:val="nil"/>
              <w:left w:val="single" w:sz="4" w:space="0" w:color="auto"/>
              <w:bottom w:val="nil"/>
              <w:right w:val="nil"/>
            </w:tcBorders>
            <w:shd w:val="clear" w:color="auto" w:fill="auto"/>
            <w:noWrap/>
            <w:vAlign w:val="bottom"/>
            <w:hideMark/>
          </w:tcPr>
          <w:p w14:paraId="18DE6404" w14:textId="77777777" w:rsidR="00DD33BD" w:rsidRPr="00685B80" w:rsidRDefault="00DD33BD" w:rsidP="00DD33BD">
            <w:pPr>
              <w:ind w:firstLineChars="100" w:firstLine="200"/>
              <w:rPr>
                <w:rFonts w:ascii="Arial" w:hAnsi="Arial" w:cs="Arial"/>
                <w:color w:val="000000"/>
                <w:lang w:val="es-MX" w:eastAsia="es-MX"/>
              </w:rPr>
            </w:pPr>
            <w:r>
              <w:rPr>
                <w:rFonts w:ascii="Arial" w:hAnsi="Arial" w:cs="Arial"/>
                <w:color w:val="000000"/>
                <w:lang w:val="es-MX" w:eastAsia="es-MX"/>
              </w:rPr>
              <w:t xml:space="preserve">Estado de </w:t>
            </w:r>
            <w:r w:rsidRPr="00685B80">
              <w:rPr>
                <w:rFonts w:ascii="Arial" w:hAnsi="Arial" w:cs="Arial"/>
                <w:color w:val="000000"/>
                <w:lang w:val="es-MX" w:eastAsia="es-MX"/>
              </w:rPr>
              <w:t>México</w:t>
            </w:r>
          </w:p>
        </w:tc>
        <w:tc>
          <w:tcPr>
            <w:tcW w:w="611" w:type="dxa"/>
            <w:tcBorders>
              <w:top w:val="nil"/>
              <w:left w:val="single" w:sz="4" w:space="0" w:color="auto"/>
              <w:bottom w:val="nil"/>
              <w:right w:val="nil"/>
            </w:tcBorders>
            <w:shd w:val="clear" w:color="auto" w:fill="auto"/>
            <w:noWrap/>
            <w:vAlign w:val="bottom"/>
            <w:hideMark/>
          </w:tcPr>
          <w:p w14:paraId="26AFB696" w14:textId="77777777" w:rsidR="00DD33BD" w:rsidRPr="00685B80" w:rsidRDefault="00DD33BD" w:rsidP="00DD33BD">
            <w:pPr>
              <w:jc w:val="right"/>
              <w:rPr>
                <w:rFonts w:ascii="Arial" w:hAnsi="Arial" w:cs="Arial"/>
                <w:color w:val="000000"/>
                <w:lang w:val="es-MX" w:eastAsia="es-MX"/>
              </w:rPr>
            </w:pPr>
            <w:r w:rsidRPr="00685B80">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3DFC56C2" w14:textId="77777777" w:rsidR="00DD33BD" w:rsidRDefault="00DD33BD" w:rsidP="00DD33BD">
            <w:pPr>
              <w:jc w:val="center"/>
              <w:rPr>
                <w:rFonts w:ascii="Arial" w:hAnsi="Arial" w:cs="Arial"/>
                <w:color w:val="000000"/>
              </w:rPr>
            </w:pPr>
            <w:r>
              <w:rPr>
                <w:rFonts w:ascii="Arial" w:hAnsi="Arial" w:cs="Arial"/>
                <w:color w:val="000000"/>
              </w:rPr>
              <w:t>2.7</w:t>
            </w:r>
          </w:p>
        </w:tc>
        <w:tc>
          <w:tcPr>
            <w:tcW w:w="666" w:type="dxa"/>
            <w:tcBorders>
              <w:top w:val="nil"/>
              <w:left w:val="nil"/>
              <w:bottom w:val="nil"/>
              <w:right w:val="nil"/>
            </w:tcBorders>
            <w:shd w:val="clear" w:color="auto" w:fill="auto"/>
            <w:noWrap/>
            <w:vAlign w:val="bottom"/>
            <w:hideMark/>
          </w:tcPr>
          <w:p w14:paraId="14992825" w14:textId="77777777" w:rsidR="00DD33BD" w:rsidRPr="00685B80" w:rsidRDefault="00DD33BD" w:rsidP="00DD33BD">
            <w:pPr>
              <w:jc w:val="right"/>
              <w:rPr>
                <w:rFonts w:ascii="Arial" w:hAnsi="Arial" w:cs="Arial"/>
                <w:color w:val="000000"/>
                <w:lang w:val="es-MX" w:eastAsia="es-MX"/>
              </w:rPr>
            </w:pPr>
            <w:r w:rsidRPr="00685B80">
              <w:rPr>
                <w:rFonts w:ascii="Arial" w:hAnsi="Arial" w:cs="Arial"/>
                <w:color w:val="000000"/>
                <w:lang w:val="es-MX" w:eastAsia="es-MX"/>
              </w:rPr>
              <w:t>(-)</w:t>
            </w:r>
          </w:p>
        </w:tc>
        <w:tc>
          <w:tcPr>
            <w:tcW w:w="814" w:type="dxa"/>
            <w:tcBorders>
              <w:top w:val="nil"/>
              <w:left w:val="nil"/>
              <w:bottom w:val="nil"/>
              <w:right w:val="single" w:sz="4" w:space="0" w:color="auto"/>
            </w:tcBorders>
            <w:shd w:val="clear" w:color="auto" w:fill="auto"/>
            <w:noWrap/>
            <w:vAlign w:val="bottom"/>
            <w:hideMark/>
          </w:tcPr>
          <w:p w14:paraId="52A5DAD9" w14:textId="77777777" w:rsidR="00DD33BD" w:rsidRDefault="00DD33BD" w:rsidP="00DD33BD">
            <w:pPr>
              <w:rPr>
                <w:rFonts w:ascii="Arial" w:hAnsi="Arial" w:cs="Arial"/>
                <w:color w:val="000000"/>
              </w:rPr>
            </w:pPr>
            <w:r>
              <w:rPr>
                <w:rFonts w:ascii="Arial" w:hAnsi="Arial" w:cs="Arial"/>
                <w:color w:val="000000"/>
              </w:rPr>
              <w:t xml:space="preserve">  11.0</w:t>
            </w:r>
          </w:p>
        </w:tc>
        <w:tc>
          <w:tcPr>
            <w:tcW w:w="634" w:type="dxa"/>
            <w:tcBorders>
              <w:top w:val="nil"/>
              <w:left w:val="nil"/>
              <w:bottom w:val="nil"/>
              <w:right w:val="nil"/>
            </w:tcBorders>
            <w:shd w:val="clear" w:color="auto" w:fill="auto"/>
            <w:noWrap/>
            <w:vAlign w:val="bottom"/>
            <w:hideMark/>
          </w:tcPr>
          <w:p w14:paraId="3FC994A5" w14:textId="77777777" w:rsidR="00DD33BD" w:rsidRPr="0048399B" w:rsidRDefault="00DD33BD" w:rsidP="00DD33BD">
            <w:pPr>
              <w:jc w:val="right"/>
              <w:rPr>
                <w:rFonts w:ascii="Arial" w:hAnsi="Arial" w:cs="Arial"/>
                <w:color w:val="000000"/>
                <w:lang w:val="es-MX" w:eastAsia="es-MX"/>
              </w:rPr>
            </w:pPr>
          </w:p>
        </w:tc>
        <w:tc>
          <w:tcPr>
            <w:tcW w:w="814" w:type="dxa"/>
            <w:tcBorders>
              <w:top w:val="nil"/>
              <w:left w:val="nil"/>
              <w:bottom w:val="nil"/>
              <w:right w:val="single" w:sz="4" w:space="0" w:color="auto"/>
            </w:tcBorders>
            <w:shd w:val="clear" w:color="auto" w:fill="auto"/>
            <w:noWrap/>
            <w:vAlign w:val="bottom"/>
            <w:hideMark/>
          </w:tcPr>
          <w:p w14:paraId="3358414E" w14:textId="77777777" w:rsidR="00DD33BD" w:rsidRDefault="00DD33BD" w:rsidP="00DD33BD">
            <w:pPr>
              <w:jc w:val="center"/>
              <w:rPr>
                <w:rFonts w:ascii="Arial" w:hAnsi="Arial" w:cs="Arial"/>
                <w:color w:val="000000"/>
              </w:rPr>
            </w:pPr>
            <w:r>
              <w:rPr>
                <w:rFonts w:ascii="Arial" w:hAnsi="Arial" w:cs="Arial"/>
                <w:color w:val="000000"/>
              </w:rPr>
              <w:t>1.9</w:t>
            </w:r>
          </w:p>
        </w:tc>
        <w:tc>
          <w:tcPr>
            <w:tcW w:w="642" w:type="dxa"/>
            <w:tcBorders>
              <w:top w:val="nil"/>
              <w:left w:val="nil"/>
              <w:bottom w:val="nil"/>
              <w:right w:val="nil"/>
            </w:tcBorders>
            <w:shd w:val="clear" w:color="auto" w:fill="auto"/>
            <w:noWrap/>
            <w:vAlign w:val="bottom"/>
            <w:hideMark/>
          </w:tcPr>
          <w:p w14:paraId="5BCE0C20" w14:textId="77777777" w:rsidR="00DD33BD" w:rsidRPr="0048399B" w:rsidRDefault="00DD33BD" w:rsidP="00DD33BD">
            <w:pPr>
              <w:jc w:val="right"/>
              <w:rPr>
                <w:rFonts w:ascii="Arial" w:hAnsi="Arial" w:cs="Arial"/>
                <w:color w:val="000000"/>
                <w:lang w:val="es-MX" w:eastAsia="es-MX"/>
              </w:rPr>
            </w:pPr>
            <w:r w:rsidRPr="0048399B">
              <w:rPr>
                <w:rFonts w:ascii="Arial" w:hAnsi="Arial" w:cs="Arial"/>
                <w:color w:val="000000"/>
                <w:lang w:val="es-MX" w:eastAsia="es-MX"/>
              </w:rPr>
              <w:t> </w:t>
            </w:r>
          </w:p>
        </w:tc>
        <w:tc>
          <w:tcPr>
            <w:tcW w:w="703" w:type="dxa"/>
            <w:tcBorders>
              <w:top w:val="nil"/>
              <w:left w:val="nil"/>
              <w:bottom w:val="nil"/>
              <w:right w:val="single" w:sz="4" w:space="0" w:color="auto"/>
            </w:tcBorders>
            <w:shd w:val="clear" w:color="auto" w:fill="auto"/>
            <w:noWrap/>
            <w:vAlign w:val="bottom"/>
            <w:hideMark/>
          </w:tcPr>
          <w:p w14:paraId="0AB409B6" w14:textId="77777777" w:rsidR="00DD33BD" w:rsidRDefault="00DD33BD" w:rsidP="00DD33BD">
            <w:pPr>
              <w:rPr>
                <w:rFonts w:ascii="Arial" w:hAnsi="Arial" w:cs="Arial"/>
                <w:color w:val="000000"/>
              </w:rPr>
            </w:pPr>
            <w:r>
              <w:rPr>
                <w:rFonts w:ascii="Arial" w:hAnsi="Arial" w:cs="Arial"/>
                <w:color w:val="000000"/>
              </w:rPr>
              <w:t>3.2</w:t>
            </w:r>
          </w:p>
        </w:tc>
      </w:tr>
      <w:tr w:rsidR="00DD33BD" w:rsidRPr="00685B80" w14:paraId="139AF90A" w14:textId="77777777" w:rsidTr="00DD33BD">
        <w:trPr>
          <w:trHeight w:val="255"/>
        </w:trPr>
        <w:tc>
          <w:tcPr>
            <w:tcW w:w="3108" w:type="dxa"/>
            <w:tcBorders>
              <w:top w:val="nil"/>
              <w:left w:val="single" w:sz="4" w:space="0" w:color="auto"/>
              <w:bottom w:val="nil"/>
              <w:right w:val="nil"/>
            </w:tcBorders>
            <w:shd w:val="clear" w:color="auto" w:fill="auto"/>
            <w:noWrap/>
            <w:vAlign w:val="bottom"/>
            <w:hideMark/>
          </w:tcPr>
          <w:p w14:paraId="6F490E47" w14:textId="77777777" w:rsidR="00DD33BD" w:rsidRPr="00685B80" w:rsidRDefault="00DD33BD" w:rsidP="00DD33BD">
            <w:pPr>
              <w:ind w:firstLineChars="100" w:firstLine="200"/>
              <w:rPr>
                <w:rFonts w:ascii="Arial" w:hAnsi="Arial" w:cs="Arial"/>
                <w:color w:val="000000"/>
                <w:lang w:val="es-MX" w:eastAsia="es-MX"/>
              </w:rPr>
            </w:pPr>
            <w:r w:rsidRPr="00685B80">
              <w:rPr>
                <w:rFonts w:ascii="Arial" w:hAnsi="Arial" w:cs="Arial"/>
                <w:color w:val="000000"/>
                <w:lang w:val="es-MX" w:eastAsia="es-MX"/>
              </w:rPr>
              <w:t>Michoacán de Ocampo</w:t>
            </w:r>
          </w:p>
        </w:tc>
        <w:tc>
          <w:tcPr>
            <w:tcW w:w="611" w:type="dxa"/>
            <w:tcBorders>
              <w:top w:val="nil"/>
              <w:left w:val="single" w:sz="4" w:space="0" w:color="auto"/>
              <w:bottom w:val="nil"/>
              <w:right w:val="nil"/>
            </w:tcBorders>
            <w:shd w:val="clear" w:color="auto" w:fill="auto"/>
            <w:noWrap/>
            <w:vAlign w:val="bottom"/>
            <w:hideMark/>
          </w:tcPr>
          <w:p w14:paraId="60B5B13A" w14:textId="77777777" w:rsidR="00DD33BD" w:rsidRPr="00685B80" w:rsidRDefault="00DD33BD" w:rsidP="00DD33BD">
            <w:pPr>
              <w:jc w:val="right"/>
              <w:rPr>
                <w:rFonts w:ascii="Arial" w:hAnsi="Arial" w:cs="Arial"/>
                <w:color w:val="000000"/>
                <w:lang w:val="es-MX" w:eastAsia="es-MX"/>
              </w:rPr>
            </w:pPr>
            <w:r w:rsidRPr="00685B80">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355CEC97" w14:textId="77777777" w:rsidR="00DD33BD" w:rsidRDefault="00DD33BD" w:rsidP="00DD33BD">
            <w:pPr>
              <w:jc w:val="center"/>
              <w:rPr>
                <w:rFonts w:ascii="Arial" w:hAnsi="Arial" w:cs="Arial"/>
                <w:color w:val="000000"/>
              </w:rPr>
            </w:pPr>
            <w:r>
              <w:rPr>
                <w:rFonts w:ascii="Arial" w:hAnsi="Arial" w:cs="Arial"/>
                <w:color w:val="000000"/>
              </w:rPr>
              <w:t>1.9</w:t>
            </w:r>
          </w:p>
        </w:tc>
        <w:tc>
          <w:tcPr>
            <w:tcW w:w="666" w:type="dxa"/>
            <w:tcBorders>
              <w:top w:val="nil"/>
              <w:left w:val="nil"/>
              <w:bottom w:val="nil"/>
              <w:right w:val="nil"/>
            </w:tcBorders>
            <w:shd w:val="clear" w:color="auto" w:fill="auto"/>
            <w:noWrap/>
            <w:vAlign w:val="bottom"/>
            <w:hideMark/>
          </w:tcPr>
          <w:p w14:paraId="48ED339F" w14:textId="77777777" w:rsidR="00DD33BD" w:rsidRPr="0048399B" w:rsidRDefault="00DD33BD" w:rsidP="00DD33BD">
            <w:pPr>
              <w:jc w:val="right"/>
              <w:rPr>
                <w:rFonts w:ascii="Arial" w:hAnsi="Arial" w:cs="Arial"/>
                <w:color w:val="000000"/>
                <w:lang w:val="es-MX" w:eastAsia="es-MX"/>
              </w:rPr>
            </w:pPr>
            <w:r w:rsidRPr="0048399B">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4EE241A3" w14:textId="77777777" w:rsidR="00DD33BD" w:rsidRDefault="00DD33BD" w:rsidP="00DD33BD">
            <w:pPr>
              <w:jc w:val="center"/>
              <w:rPr>
                <w:rFonts w:ascii="Arial" w:hAnsi="Arial" w:cs="Arial"/>
                <w:color w:val="000000"/>
              </w:rPr>
            </w:pPr>
            <w:r>
              <w:rPr>
                <w:rFonts w:ascii="Arial" w:hAnsi="Arial" w:cs="Arial"/>
                <w:color w:val="000000"/>
              </w:rPr>
              <w:t>4.1</w:t>
            </w:r>
          </w:p>
        </w:tc>
        <w:tc>
          <w:tcPr>
            <w:tcW w:w="634" w:type="dxa"/>
            <w:tcBorders>
              <w:top w:val="nil"/>
              <w:left w:val="nil"/>
              <w:bottom w:val="nil"/>
              <w:right w:val="nil"/>
            </w:tcBorders>
            <w:shd w:val="clear" w:color="auto" w:fill="auto"/>
            <w:noWrap/>
            <w:vAlign w:val="bottom"/>
            <w:hideMark/>
          </w:tcPr>
          <w:p w14:paraId="58FCF31D" w14:textId="77777777" w:rsidR="00DD33BD" w:rsidRPr="00685B80" w:rsidRDefault="00DD33BD" w:rsidP="00DD33BD">
            <w:pPr>
              <w:jc w:val="right"/>
              <w:rPr>
                <w:rFonts w:ascii="Arial" w:hAnsi="Arial" w:cs="Arial"/>
                <w:color w:val="000000"/>
                <w:lang w:val="es-MX" w:eastAsia="es-MX"/>
              </w:rPr>
            </w:pPr>
            <w:r w:rsidRPr="00685B80">
              <w:rPr>
                <w:rFonts w:ascii="Arial" w:hAnsi="Arial" w:cs="Arial"/>
                <w:color w:val="000000"/>
                <w:lang w:val="es-MX" w:eastAsia="es-MX"/>
              </w:rPr>
              <w:t>(-)</w:t>
            </w:r>
          </w:p>
        </w:tc>
        <w:tc>
          <w:tcPr>
            <w:tcW w:w="814" w:type="dxa"/>
            <w:tcBorders>
              <w:top w:val="nil"/>
              <w:left w:val="nil"/>
              <w:bottom w:val="nil"/>
              <w:right w:val="single" w:sz="4" w:space="0" w:color="auto"/>
            </w:tcBorders>
            <w:shd w:val="clear" w:color="auto" w:fill="auto"/>
            <w:noWrap/>
            <w:vAlign w:val="bottom"/>
            <w:hideMark/>
          </w:tcPr>
          <w:p w14:paraId="7B0784C3" w14:textId="77777777" w:rsidR="00DD33BD" w:rsidRDefault="00DD33BD" w:rsidP="00DD33BD">
            <w:pPr>
              <w:jc w:val="center"/>
              <w:rPr>
                <w:rFonts w:ascii="Arial" w:hAnsi="Arial" w:cs="Arial"/>
                <w:color w:val="000000"/>
              </w:rPr>
            </w:pPr>
            <w:r>
              <w:rPr>
                <w:rFonts w:ascii="Arial" w:hAnsi="Arial" w:cs="Arial"/>
                <w:color w:val="000000"/>
              </w:rPr>
              <w:t>1.1</w:t>
            </w:r>
          </w:p>
        </w:tc>
        <w:tc>
          <w:tcPr>
            <w:tcW w:w="642" w:type="dxa"/>
            <w:tcBorders>
              <w:top w:val="nil"/>
              <w:left w:val="nil"/>
              <w:bottom w:val="nil"/>
              <w:right w:val="nil"/>
            </w:tcBorders>
            <w:shd w:val="clear" w:color="auto" w:fill="auto"/>
            <w:noWrap/>
            <w:vAlign w:val="bottom"/>
            <w:hideMark/>
          </w:tcPr>
          <w:p w14:paraId="6A7D15E3" w14:textId="77777777" w:rsidR="00DD33BD" w:rsidRPr="0048399B" w:rsidRDefault="00DD33BD" w:rsidP="00DD33BD">
            <w:pPr>
              <w:jc w:val="right"/>
              <w:rPr>
                <w:rFonts w:ascii="Arial" w:hAnsi="Arial" w:cs="Arial"/>
                <w:color w:val="000000"/>
                <w:lang w:val="es-MX" w:eastAsia="es-MX"/>
              </w:rPr>
            </w:pPr>
            <w:r w:rsidRPr="0048399B">
              <w:rPr>
                <w:rFonts w:ascii="Arial" w:hAnsi="Arial" w:cs="Arial"/>
                <w:color w:val="000000"/>
                <w:lang w:val="es-MX" w:eastAsia="es-MX"/>
              </w:rPr>
              <w:t> </w:t>
            </w:r>
          </w:p>
        </w:tc>
        <w:tc>
          <w:tcPr>
            <w:tcW w:w="703" w:type="dxa"/>
            <w:tcBorders>
              <w:top w:val="nil"/>
              <w:left w:val="nil"/>
              <w:bottom w:val="nil"/>
              <w:right w:val="single" w:sz="4" w:space="0" w:color="auto"/>
            </w:tcBorders>
            <w:shd w:val="clear" w:color="auto" w:fill="auto"/>
            <w:noWrap/>
            <w:vAlign w:val="bottom"/>
            <w:hideMark/>
          </w:tcPr>
          <w:p w14:paraId="5BBD98C7" w14:textId="77777777" w:rsidR="00DD33BD" w:rsidRDefault="00DD33BD" w:rsidP="00DD33BD">
            <w:pPr>
              <w:rPr>
                <w:rFonts w:ascii="Arial" w:hAnsi="Arial" w:cs="Arial"/>
                <w:color w:val="000000"/>
              </w:rPr>
            </w:pPr>
            <w:r>
              <w:rPr>
                <w:rFonts w:ascii="Arial" w:hAnsi="Arial" w:cs="Arial"/>
                <w:color w:val="000000"/>
              </w:rPr>
              <w:t>2.3</w:t>
            </w:r>
          </w:p>
        </w:tc>
      </w:tr>
      <w:tr w:rsidR="00DD33BD" w:rsidRPr="00685B80" w14:paraId="004D608D" w14:textId="77777777" w:rsidTr="00DD33BD">
        <w:trPr>
          <w:trHeight w:val="255"/>
        </w:trPr>
        <w:tc>
          <w:tcPr>
            <w:tcW w:w="3108" w:type="dxa"/>
            <w:tcBorders>
              <w:top w:val="nil"/>
              <w:left w:val="single" w:sz="4" w:space="0" w:color="auto"/>
              <w:bottom w:val="nil"/>
              <w:right w:val="nil"/>
            </w:tcBorders>
            <w:shd w:val="clear" w:color="auto" w:fill="auto"/>
            <w:noWrap/>
            <w:vAlign w:val="bottom"/>
            <w:hideMark/>
          </w:tcPr>
          <w:p w14:paraId="3B50B9F1" w14:textId="77777777" w:rsidR="00DD33BD" w:rsidRPr="00685B80" w:rsidRDefault="00DD33BD" w:rsidP="00DD33BD">
            <w:pPr>
              <w:ind w:firstLineChars="100" w:firstLine="200"/>
              <w:rPr>
                <w:rFonts w:ascii="Arial" w:hAnsi="Arial" w:cs="Arial"/>
                <w:color w:val="000000"/>
                <w:lang w:val="es-MX" w:eastAsia="es-MX"/>
              </w:rPr>
            </w:pPr>
            <w:r w:rsidRPr="00685B80">
              <w:rPr>
                <w:rFonts w:ascii="Arial" w:hAnsi="Arial" w:cs="Arial"/>
                <w:color w:val="000000"/>
                <w:lang w:val="es-MX" w:eastAsia="es-MX"/>
              </w:rPr>
              <w:t>Morelos</w:t>
            </w:r>
          </w:p>
        </w:tc>
        <w:tc>
          <w:tcPr>
            <w:tcW w:w="611" w:type="dxa"/>
            <w:tcBorders>
              <w:top w:val="nil"/>
              <w:left w:val="single" w:sz="4" w:space="0" w:color="auto"/>
              <w:bottom w:val="nil"/>
              <w:right w:val="nil"/>
            </w:tcBorders>
            <w:shd w:val="clear" w:color="auto" w:fill="auto"/>
            <w:noWrap/>
            <w:vAlign w:val="bottom"/>
            <w:hideMark/>
          </w:tcPr>
          <w:p w14:paraId="22FA2D11" w14:textId="77777777" w:rsidR="00DD33BD" w:rsidRPr="00685B80" w:rsidRDefault="00DD33BD" w:rsidP="00DD33BD">
            <w:pPr>
              <w:jc w:val="right"/>
              <w:rPr>
                <w:rFonts w:ascii="Arial" w:hAnsi="Arial" w:cs="Arial"/>
                <w:color w:val="000000"/>
                <w:lang w:val="es-MX" w:eastAsia="es-MX"/>
              </w:rPr>
            </w:pPr>
            <w:r w:rsidRPr="00685B80">
              <w:rPr>
                <w:rFonts w:ascii="Arial" w:hAnsi="Arial" w:cs="Arial"/>
                <w:color w:val="000000"/>
                <w:lang w:val="es-MX" w:eastAsia="es-MX"/>
              </w:rPr>
              <w:t>(-)</w:t>
            </w:r>
          </w:p>
        </w:tc>
        <w:tc>
          <w:tcPr>
            <w:tcW w:w="814" w:type="dxa"/>
            <w:tcBorders>
              <w:top w:val="nil"/>
              <w:left w:val="nil"/>
              <w:bottom w:val="nil"/>
              <w:right w:val="single" w:sz="4" w:space="0" w:color="auto"/>
            </w:tcBorders>
            <w:shd w:val="clear" w:color="auto" w:fill="auto"/>
            <w:noWrap/>
            <w:vAlign w:val="bottom"/>
            <w:hideMark/>
          </w:tcPr>
          <w:p w14:paraId="729FA8D5" w14:textId="77777777" w:rsidR="00DD33BD" w:rsidRDefault="00DD33BD" w:rsidP="00DD33BD">
            <w:pPr>
              <w:jc w:val="center"/>
              <w:rPr>
                <w:rFonts w:ascii="Arial" w:hAnsi="Arial" w:cs="Arial"/>
                <w:color w:val="000000"/>
              </w:rPr>
            </w:pPr>
            <w:r>
              <w:rPr>
                <w:rFonts w:ascii="Arial" w:hAnsi="Arial" w:cs="Arial"/>
                <w:color w:val="000000"/>
              </w:rPr>
              <w:t>0.5</w:t>
            </w:r>
          </w:p>
        </w:tc>
        <w:tc>
          <w:tcPr>
            <w:tcW w:w="666" w:type="dxa"/>
            <w:tcBorders>
              <w:top w:val="nil"/>
              <w:left w:val="nil"/>
              <w:bottom w:val="nil"/>
              <w:right w:val="nil"/>
            </w:tcBorders>
            <w:shd w:val="clear" w:color="auto" w:fill="auto"/>
            <w:noWrap/>
            <w:vAlign w:val="bottom"/>
            <w:hideMark/>
          </w:tcPr>
          <w:p w14:paraId="721CF467" w14:textId="77777777" w:rsidR="00DD33BD" w:rsidRPr="0048399B" w:rsidRDefault="00DD33BD" w:rsidP="00DD33BD">
            <w:pPr>
              <w:jc w:val="right"/>
              <w:rPr>
                <w:rFonts w:ascii="Arial" w:hAnsi="Arial" w:cs="Arial"/>
                <w:color w:val="000000"/>
                <w:lang w:val="es-MX" w:eastAsia="es-MX"/>
              </w:rPr>
            </w:pPr>
            <w:r w:rsidRPr="0048399B">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5BD90B87" w14:textId="77777777" w:rsidR="00DD33BD" w:rsidRDefault="00DD33BD" w:rsidP="00DD33BD">
            <w:pPr>
              <w:jc w:val="center"/>
              <w:rPr>
                <w:rFonts w:ascii="Arial" w:hAnsi="Arial" w:cs="Arial"/>
                <w:color w:val="000000"/>
              </w:rPr>
            </w:pPr>
            <w:r>
              <w:rPr>
                <w:rFonts w:ascii="Arial" w:hAnsi="Arial" w:cs="Arial"/>
                <w:color w:val="000000"/>
              </w:rPr>
              <w:t>7.9</w:t>
            </w:r>
          </w:p>
        </w:tc>
        <w:tc>
          <w:tcPr>
            <w:tcW w:w="634" w:type="dxa"/>
            <w:tcBorders>
              <w:top w:val="nil"/>
              <w:left w:val="nil"/>
              <w:bottom w:val="nil"/>
              <w:right w:val="nil"/>
            </w:tcBorders>
            <w:shd w:val="clear" w:color="auto" w:fill="auto"/>
            <w:noWrap/>
            <w:vAlign w:val="bottom"/>
            <w:hideMark/>
          </w:tcPr>
          <w:p w14:paraId="309C1A7A" w14:textId="77777777" w:rsidR="00DD33BD" w:rsidRPr="0048399B" w:rsidRDefault="00DD33BD" w:rsidP="00DD33BD">
            <w:pPr>
              <w:jc w:val="right"/>
              <w:rPr>
                <w:rFonts w:ascii="Arial" w:hAnsi="Arial" w:cs="Arial"/>
                <w:color w:val="000000"/>
                <w:lang w:val="es-MX" w:eastAsia="es-MX"/>
              </w:rPr>
            </w:pPr>
            <w:r w:rsidRPr="0048399B">
              <w:rPr>
                <w:rFonts w:ascii="Arial" w:hAnsi="Arial" w:cs="Arial"/>
                <w:color w:val="000000"/>
                <w:lang w:val="es-MX" w:eastAsia="es-MX"/>
              </w:rPr>
              <w:t>(-)</w:t>
            </w:r>
          </w:p>
        </w:tc>
        <w:tc>
          <w:tcPr>
            <w:tcW w:w="814" w:type="dxa"/>
            <w:tcBorders>
              <w:top w:val="nil"/>
              <w:left w:val="nil"/>
              <w:bottom w:val="nil"/>
              <w:right w:val="single" w:sz="4" w:space="0" w:color="auto"/>
            </w:tcBorders>
            <w:shd w:val="clear" w:color="auto" w:fill="auto"/>
            <w:noWrap/>
            <w:vAlign w:val="bottom"/>
            <w:hideMark/>
          </w:tcPr>
          <w:p w14:paraId="6FB08B64" w14:textId="77777777" w:rsidR="00DD33BD" w:rsidRDefault="00DD33BD" w:rsidP="00DD33BD">
            <w:pPr>
              <w:jc w:val="center"/>
              <w:rPr>
                <w:rFonts w:ascii="Arial" w:hAnsi="Arial" w:cs="Arial"/>
                <w:color w:val="000000"/>
              </w:rPr>
            </w:pPr>
            <w:r>
              <w:rPr>
                <w:rFonts w:ascii="Arial" w:hAnsi="Arial" w:cs="Arial"/>
                <w:color w:val="000000"/>
              </w:rPr>
              <w:t>4.0</w:t>
            </w:r>
          </w:p>
        </w:tc>
        <w:tc>
          <w:tcPr>
            <w:tcW w:w="642" w:type="dxa"/>
            <w:tcBorders>
              <w:top w:val="nil"/>
              <w:left w:val="nil"/>
              <w:bottom w:val="nil"/>
              <w:right w:val="nil"/>
            </w:tcBorders>
            <w:shd w:val="clear" w:color="auto" w:fill="auto"/>
            <w:noWrap/>
            <w:vAlign w:val="bottom"/>
            <w:hideMark/>
          </w:tcPr>
          <w:p w14:paraId="62E069B2" w14:textId="77777777" w:rsidR="00DD33BD" w:rsidRPr="0048399B" w:rsidRDefault="00DD33BD" w:rsidP="00DD33BD">
            <w:pPr>
              <w:jc w:val="right"/>
              <w:rPr>
                <w:rFonts w:ascii="Arial" w:hAnsi="Arial" w:cs="Arial"/>
                <w:color w:val="000000"/>
                <w:lang w:val="es-MX" w:eastAsia="es-MX"/>
              </w:rPr>
            </w:pPr>
            <w:r w:rsidRPr="0048399B">
              <w:rPr>
                <w:rFonts w:ascii="Arial" w:hAnsi="Arial" w:cs="Arial"/>
                <w:color w:val="000000"/>
                <w:lang w:val="es-MX" w:eastAsia="es-MX"/>
              </w:rPr>
              <w:t> </w:t>
            </w:r>
          </w:p>
        </w:tc>
        <w:tc>
          <w:tcPr>
            <w:tcW w:w="703" w:type="dxa"/>
            <w:tcBorders>
              <w:top w:val="nil"/>
              <w:left w:val="nil"/>
              <w:bottom w:val="nil"/>
              <w:right w:val="single" w:sz="4" w:space="0" w:color="auto"/>
            </w:tcBorders>
            <w:shd w:val="clear" w:color="auto" w:fill="auto"/>
            <w:noWrap/>
            <w:vAlign w:val="bottom"/>
            <w:hideMark/>
          </w:tcPr>
          <w:p w14:paraId="5643C0EE" w14:textId="77777777" w:rsidR="00DD33BD" w:rsidRDefault="00DD33BD" w:rsidP="00DD33BD">
            <w:pPr>
              <w:rPr>
                <w:rFonts w:ascii="Arial" w:hAnsi="Arial" w:cs="Arial"/>
                <w:color w:val="000000"/>
              </w:rPr>
            </w:pPr>
            <w:r>
              <w:rPr>
                <w:rFonts w:ascii="Arial" w:hAnsi="Arial" w:cs="Arial"/>
                <w:color w:val="000000"/>
              </w:rPr>
              <w:t>0.8</w:t>
            </w:r>
          </w:p>
        </w:tc>
      </w:tr>
      <w:tr w:rsidR="00DD33BD" w:rsidRPr="00685B80" w14:paraId="250296EC" w14:textId="77777777" w:rsidTr="00DD33BD">
        <w:trPr>
          <w:trHeight w:val="255"/>
        </w:trPr>
        <w:tc>
          <w:tcPr>
            <w:tcW w:w="3108" w:type="dxa"/>
            <w:tcBorders>
              <w:top w:val="nil"/>
              <w:left w:val="single" w:sz="4" w:space="0" w:color="auto"/>
              <w:bottom w:val="nil"/>
              <w:right w:val="nil"/>
            </w:tcBorders>
            <w:shd w:val="clear" w:color="auto" w:fill="auto"/>
            <w:noWrap/>
            <w:vAlign w:val="bottom"/>
            <w:hideMark/>
          </w:tcPr>
          <w:p w14:paraId="337DBEE4" w14:textId="77777777" w:rsidR="00DD33BD" w:rsidRPr="00685B80" w:rsidRDefault="00DD33BD" w:rsidP="00DD33BD">
            <w:pPr>
              <w:ind w:firstLineChars="100" w:firstLine="200"/>
              <w:rPr>
                <w:rFonts w:ascii="Arial" w:hAnsi="Arial" w:cs="Arial"/>
                <w:color w:val="000000"/>
                <w:lang w:val="es-MX" w:eastAsia="es-MX"/>
              </w:rPr>
            </w:pPr>
            <w:r w:rsidRPr="00685B80">
              <w:rPr>
                <w:rFonts w:ascii="Arial" w:hAnsi="Arial" w:cs="Arial"/>
                <w:color w:val="000000"/>
                <w:lang w:val="es-MX" w:eastAsia="es-MX"/>
              </w:rPr>
              <w:t>Nayarit</w:t>
            </w:r>
          </w:p>
        </w:tc>
        <w:tc>
          <w:tcPr>
            <w:tcW w:w="611" w:type="dxa"/>
            <w:tcBorders>
              <w:top w:val="nil"/>
              <w:left w:val="single" w:sz="4" w:space="0" w:color="auto"/>
              <w:bottom w:val="nil"/>
              <w:right w:val="nil"/>
            </w:tcBorders>
            <w:shd w:val="clear" w:color="auto" w:fill="auto"/>
            <w:noWrap/>
            <w:vAlign w:val="bottom"/>
            <w:hideMark/>
          </w:tcPr>
          <w:p w14:paraId="7A10F71C" w14:textId="77777777" w:rsidR="00DD33BD" w:rsidRPr="00685B80" w:rsidRDefault="00DD33BD" w:rsidP="00DD33BD">
            <w:pPr>
              <w:jc w:val="right"/>
              <w:rPr>
                <w:rFonts w:ascii="Arial" w:hAnsi="Arial" w:cs="Arial"/>
                <w:color w:val="000000"/>
                <w:lang w:val="es-MX" w:eastAsia="es-MX"/>
              </w:rPr>
            </w:pPr>
            <w:r w:rsidRPr="00685B80">
              <w:rPr>
                <w:rFonts w:ascii="Arial" w:hAnsi="Arial" w:cs="Arial"/>
                <w:color w:val="000000"/>
                <w:lang w:val="es-MX" w:eastAsia="es-MX"/>
              </w:rPr>
              <w:t>(-)</w:t>
            </w:r>
          </w:p>
        </w:tc>
        <w:tc>
          <w:tcPr>
            <w:tcW w:w="814" w:type="dxa"/>
            <w:tcBorders>
              <w:top w:val="nil"/>
              <w:left w:val="nil"/>
              <w:bottom w:val="nil"/>
              <w:right w:val="single" w:sz="4" w:space="0" w:color="auto"/>
            </w:tcBorders>
            <w:shd w:val="clear" w:color="auto" w:fill="auto"/>
            <w:noWrap/>
            <w:vAlign w:val="bottom"/>
            <w:hideMark/>
          </w:tcPr>
          <w:p w14:paraId="77E4E3EE" w14:textId="77777777" w:rsidR="00DD33BD" w:rsidRDefault="00DD33BD" w:rsidP="00DD33BD">
            <w:pPr>
              <w:jc w:val="center"/>
              <w:rPr>
                <w:rFonts w:ascii="Arial" w:hAnsi="Arial" w:cs="Arial"/>
                <w:color w:val="000000"/>
              </w:rPr>
            </w:pPr>
            <w:r>
              <w:rPr>
                <w:rFonts w:ascii="Arial" w:hAnsi="Arial" w:cs="Arial"/>
                <w:color w:val="000000"/>
              </w:rPr>
              <w:t>1.0</w:t>
            </w:r>
          </w:p>
        </w:tc>
        <w:tc>
          <w:tcPr>
            <w:tcW w:w="666" w:type="dxa"/>
            <w:tcBorders>
              <w:top w:val="nil"/>
              <w:left w:val="nil"/>
              <w:bottom w:val="nil"/>
              <w:right w:val="nil"/>
            </w:tcBorders>
            <w:shd w:val="clear" w:color="auto" w:fill="auto"/>
            <w:noWrap/>
            <w:vAlign w:val="bottom"/>
            <w:hideMark/>
          </w:tcPr>
          <w:p w14:paraId="23091DEB" w14:textId="77777777" w:rsidR="00DD33BD" w:rsidRPr="0048399B" w:rsidRDefault="00DD33BD" w:rsidP="00DD33BD">
            <w:pPr>
              <w:jc w:val="right"/>
              <w:rPr>
                <w:rFonts w:ascii="Arial" w:hAnsi="Arial" w:cs="Arial"/>
                <w:color w:val="000000"/>
                <w:lang w:val="es-MX" w:eastAsia="es-MX"/>
              </w:rPr>
            </w:pPr>
            <w:r w:rsidRPr="0048399B">
              <w:rPr>
                <w:rFonts w:ascii="Arial" w:hAnsi="Arial" w:cs="Arial"/>
                <w:color w:val="000000"/>
                <w:lang w:val="es-MX" w:eastAsia="es-MX"/>
              </w:rPr>
              <w:t>(-)</w:t>
            </w:r>
          </w:p>
        </w:tc>
        <w:tc>
          <w:tcPr>
            <w:tcW w:w="814" w:type="dxa"/>
            <w:tcBorders>
              <w:top w:val="nil"/>
              <w:left w:val="nil"/>
              <w:bottom w:val="nil"/>
              <w:right w:val="single" w:sz="4" w:space="0" w:color="auto"/>
            </w:tcBorders>
            <w:shd w:val="clear" w:color="auto" w:fill="auto"/>
            <w:noWrap/>
            <w:vAlign w:val="bottom"/>
            <w:hideMark/>
          </w:tcPr>
          <w:p w14:paraId="2FCD8EF9" w14:textId="77777777" w:rsidR="00DD33BD" w:rsidRDefault="00DD33BD" w:rsidP="00DD33BD">
            <w:pPr>
              <w:jc w:val="center"/>
              <w:rPr>
                <w:rFonts w:ascii="Arial" w:hAnsi="Arial" w:cs="Arial"/>
                <w:color w:val="000000"/>
              </w:rPr>
            </w:pPr>
            <w:r>
              <w:rPr>
                <w:rFonts w:ascii="Arial" w:hAnsi="Arial" w:cs="Arial"/>
                <w:color w:val="000000"/>
              </w:rPr>
              <w:t>5.4</w:t>
            </w:r>
          </w:p>
        </w:tc>
        <w:tc>
          <w:tcPr>
            <w:tcW w:w="634" w:type="dxa"/>
            <w:tcBorders>
              <w:top w:val="nil"/>
              <w:left w:val="nil"/>
              <w:bottom w:val="nil"/>
              <w:right w:val="nil"/>
            </w:tcBorders>
            <w:shd w:val="clear" w:color="auto" w:fill="auto"/>
            <w:noWrap/>
            <w:vAlign w:val="bottom"/>
            <w:hideMark/>
          </w:tcPr>
          <w:p w14:paraId="7BF2AEAF" w14:textId="77777777" w:rsidR="00DD33BD" w:rsidRPr="00685B80" w:rsidRDefault="00DD33BD" w:rsidP="00DD33BD">
            <w:pPr>
              <w:jc w:val="right"/>
              <w:rPr>
                <w:rFonts w:ascii="Arial" w:hAnsi="Arial" w:cs="Arial"/>
                <w:color w:val="000000"/>
                <w:lang w:val="es-MX" w:eastAsia="es-MX"/>
              </w:rPr>
            </w:pPr>
            <w:r w:rsidRPr="00685B80">
              <w:rPr>
                <w:rFonts w:ascii="Arial" w:hAnsi="Arial" w:cs="Arial"/>
                <w:color w:val="000000"/>
                <w:lang w:val="es-MX" w:eastAsia="es-MX"/>
              </w:rPr>
              <w:t>(-)</w:t>
            </w:r>
          </w:p>
        </w:tc>
        <w:tc>
          <w:tcPr>
            <w:tcW w:w="814" w:type="dxa"/>
            <w:tcBorders>
              <w:top w:val="nil"/>
              <w:left w:val="nil"/>
              <w:bottom w:val="nil"/>
              <w:right w:val="single" w:sz="4" w:space="0" w:color="auto"/>
            </w:tcBorders>
            <w:shd w:val="clear" w:color="auto" w:fill="auto"/>
            <w:noWrap/>
            <w:vAlign w:val="bottom"/>
            <w:hideMark/>
          </w:tcPr>
          <w:p w14:paraId="282473AD" w14:textId="77777777" w:rsidR="00DD33BD" w:rsidRDefault="00DD33BD" w:rsidP="00DD33BD">
            <w:pPr>
              <w:jc w:val="center"/>
              <w:rPr>
                <w:rFonts w:ascii="Arial" w:hAnsi="Arial" w:cs="Arial"/>
                <w:color w:val="000000"/>
              </w:rPr>
            </w:pPr>
            <w:r>
              <w:rPr>
                <w:rFonts w:ascii="Arial" w:hAnsi="Arial" w:cs="Arial"/>
                <w:color w:val="000000"/>
              </w:rPr>
              <w:t>6.2</w:t>
            </w:r>
          </w:p>
        </w:tc>
        <w:tc>
          <w:tcPr>
            <w:tcW w:w="642" w:type="dxa"/>
            <w:tcBorders>
              <w:top w:val="nil"/>
              <w:left w:val="nil"/>
              <w:bottom w:val="nil"/>
              <w:right w:val="nil"/>
            </w:tcBorders>
            <w:shd w:val="clear" w:color="auto" w:fill="auto"/>
            <w:noWrap/>
            <w:vAlign w:val="bottom"/>
            <w:hideMark/>
          </w:tcPr>
          <w:p w14:paraId="19767051" w14:textId="77777777" w:rsidR="00DD33BD" w:rsidRPr="0048399B" w:rsidRDefault="00DD33BD" w:rsidP="00DD33BD">
            <w:pPr>
              <w:jc w:val="right"/>
              <w:rPr>
                <w:rFonts w:ascii="Arial" w:hAnsi="Arial" w:cs="Arial"/>
                <w:color w:val="000000"/>
                <w:lang w:val="es-MX" w:eastAsia="es-MX"/>
              </w:rPr>
            </w:pPr>
            <w:r w:rsidRPr="0048399B">
              <w:rPr>
                <w:rFonts w:ascii="Arial" w:hAnsi="Arial" w:cs="Arial"/>
                <w:color w:val="000000"/>
                <w:lang w:val="es-MX" w:eastAsia="es-MX"/>
              </w:rPr>
              <w:t> </w:t>
            </w:r>
          </w:p>
        </w:tc>
        <w:tc>
          <w:tcPr>
            <w:tcW w:w="703" w:type="dxa"/>
            <w:tcBorders>
              <w:top w:val="nil"/>
              <w:left w:val="nil"/>
              <w:bottom w:val="nil"/>
              <w:right w:val="single" w:sz="4" w:space="0" w:color="auto"/>
            </w:tcBorders>
            <w:shd w:val="clear" w:color="auto" w:fill="auto"/>
            <w:noWrap/>
            <w:vAlign w:val="bottom"/>
            <w:hideMark/>
          </w:tcPr>
          <w:p w14:paraId="6FBF9D4D" w14:textId="77777777" w:rsidR="00DD33BD" w:rsidRDefault="00DD33BD" w:rsidP="00DD33BD">
            <w:pPr>
              <w:rPr>
                <w:rFonts w:ascii="Arial" w:hAnsi="Arial" w:cs="Arial"/>
                <w:color w:val="000000"/>
              </w:rPr>
            </w:pPr>
            <w:r>
              <w:rPr>
                <w:rFonts w:ascii="Arial" w:hAnsi="Arial" w:cs="Arial"/>
                <w:color w:val="000000"/>
              </w:rPr>
              <w:t>0.8</w:t>
            </w:r>
          </w:p>
        </w:tc>
      </w:tr>
      <w:tr w:rsidR="00DD33BD" w:rsidRPr="00685B80" w14:paraId="56008E13" w14:textId="77777777" w:rsidTr="00DD33BD">
        <w:trPr>
          <w:trHeight w:val="255"/>
        </w:trPr>
        <w:tc>
          <w:tcPr>
            <w:tcW w:w="3108" w:type="dxa"/>
            <w:tcBorders>
              <w:top w:val="nil"/>
              <w:left w:val="single" w:sz="4" w:space="0" w:color="auto"/>
              <w:bottom w:val="nil"/>
              <w:right w:val="nil"/>
            </w:tcBorders>
            <w:shd w:val="clear" w:color="auto" w:fill="auto"/>
            <w:noWrap/>
            <w:vAlign w:val="bottom"/>
            <w:hideMark/>
          </w:tcPr>
          <w:p w14:paraId="6F64B0A0" w14:textId="77777777" w:rsidR="00DD33BD" w:rsidRPr="00685B80" w:rsidRDefault="00DD33BD" w:rsidP="00DD33BD">
            <w:pPr>
              <w:ind w:firstLineChars="100" w:firstLine="200"/>
              <w:rPr>
                <w:rFonts w:ascii="Arial" w:hAnsi="Arial" w:cs="Arial"/>
                <w:color w:val="000000"/>
                <w:lang w:val="es-MX" w:eastAsia="es-MX"/>
              </w:rPr>
            </w:pPr>
            <w:r w:rsidRPr="00685B80">
              <w:rPr>
                <w:rFonts w:ascii="Arial" w:hAnsi="Arial" w:cs="Arial"/>
                <w:color w:val="000000"/>
                <w:lang w:val="es-MX" w:eastAsia="es-MX"/>
              </w:rPr>
              <w:t>Nuevo León</w:t>
            </w:r>
          </w:p>
        </w:tc>
        <w:tc>
          <w:tcPr>
            <w:tcW w:w="611" w:type="dxa"/>
            <w:tcBorders>
              <w:top w:val="nil"/>
              <w:left w:val="single" w:sz="4" w:space="0" w:color="auto"/>
              <w:bottom w:val="nil"/>
              <w:right w:val="nil"/>
            </w:tcBorders>
            <w:shd w:val="clear" w:color="auto" w:fill="auto"/>
            <w:noWrap/>
            <w:vAlign w:val="bottom"/>
            <w:hideMark/>
          </w:tcPr>
          <w:p w14:paraId="04D8E29D" w14:textId="77777777" w:rsidR="00DD33BD" w:rsidRPr="00685B80" w:rsidRDefault="00DD33BD" w:rsidP="00DD33BD">
            <w:pPr>
              <w:jc w:val="right"/>
              <w:rPr>
                <w:rFonts w:ascii="Arial" w:hAnsi="Arial" w:cs="Arial"/>
                <w:color w:val="000000"/>
                <w:lang w:val="es-MX" w:eastAsia="es-MX"/>
              </w:rPr>
            </w:pPr>
          </w:p>
        </w:tc>
        <w:tc>
          <w:tcPr>
            <w:tcW w:w="814" w:type="dxa"/>
            <w:tcBorders>
              <w:top w:val="nil"/>
              <w:left w:val="nil"/>
              <w:bottom w:val="nil"/>
              <w:right w:val="single" w:sz="4" w:space="0" w:color="auto"/>
            </w:tcBorders>
            <w:shd w:val="clear" w:color="auto" w:fill="auto"/>
            <w:noWrap/>
            <w:vAlign w:val="bottom"/>
            <w:hideMark/>
          </w:tcPr>
          <w:p w14:paraId="0F7A5783" w14:textId="77777777" w:rsidR="00DD33BD" w:rsidRDefault="00DD33BD" w:rsidP="00DD33BD">
            <w:pPr>
              <w:jc w:val="center"/>
              <w:rPr>
                <w:rFonts w:ascii="Arial" w:hAnsi="Arial" w:cs="Arial"/>
                <w:color w:val="000000"/>
              </w:rPr>
            </w:pPr>
            <w:r>
              <w:rPr>
                <w:rFonts w:ascii="Arial" w:hAnsi="Arial" w:cs="Arial"/>
                <w:color w:val="000000"/>
              </w:rPr>
              <w:t>3.6</w:t>
            </w:r>
          </w:p>
        </w:tc>
        <w:tc>
          <w:tcPr>
            <w:tcW w:w="666" w:type="dxa"/>
            <w:tcBorders>
              <w:top w:val="nil"/>
              <w:left w:val="nil"/>
              <w:bottom w:val="nil"/>
              <w:right w:val="nil"/>
            </w:tcBorders>
            <w:shd w:val="clear" w:color="auto" w:fill="auto"/>
            <w:noWrap/>
            <w:vAlign w:val="bottom"/>
            <w:hideMark/>
          </w:tcPr>
          <w:p w14:paraId="637BF216" w14:textId="77777777" w:rsidR="00DD33BD" w:rsidRPr="0048399B" w:rsidRDefault="00DD33BD" w:rsidP="00DD33BD">
            <w:pPr>
              <w:jc w:val="right"/>
              <w:rPr>
                <w:rFonts w:ascii="Arial" w:hAnsi="Arial" w:cs="Arial"/>
                <w:color w:val="000000"/>
                <w:lang w:val="es-MX" w:eastAsia="es-MX"/>
              </w:rPr>
            </w:pPr>
            <w:r w:rsidRPr="0048399B">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25032A5C" w14:textId="77777777" w:rsidR="00DD33BD" w:rsidRDefault="00DD33BD" w:rsidP="00DD33BD">
            <w:pPr>
              <w:jc w:val="center"/>
              <w:rPr>
                <w:rFonts w:ascii="Arial" w:hAnsi="Arial" w:cs="Arial"/>
                <w:color w:val="000000"/>
              </w:rPr>
            </w:pPr>
            <w:r>
              <w:rPr>
                <w:rFonts w:ascii="Arial" w:hAnsi="Arial" w:cs="Arial"/>
                <w:color w:val="000000"/>
              </w:rPr>
              <w:t>0.6</w:t>
            </w:r>
          </w:p>
        </w:tc>
        <w:tc>
          <w:tcPr>
            <w:tcW w:w="634" w:type="dxa"/>
            <w:tcBorders>
              <w:top w:val="nil"/>
              <w:left w:val="nil"/>
              <w:bottom w:val="nil"/>
              <w:right w:val="nil"/>
            </w:tcBorders>
            <w:shd w:val="clear" w:color="auto" w:fill="auto"/>
            <w:noWrap/>
            <w:vAlign w:val="bottom"/>
            <w:hideMark/>
          </w:tcPr>
          <w:p w14:paraId="057CC246" w14:textId="77777777" w:rsidR="00DD33BD" w:rsidRPr="0048399B" w:rsidRDefault="00DD33BD" w:rsidP="00DD33BD">
            <w:pPr>
              <w:jc w:val="right"/>
              <w:rPr>
                <w:rFonts w:ascii="Arial" w:hAnsi="Arial" w:cs="Arial"/>
                <w:color w:val="000000"/>
                <w:lang w:val="es-MX" w:eastAsia="es-MX"/>
              </w:rPr>
            </w:pPr>
          </w:p>
        </w:tc>
        <w:tc>
          <w:tcPr>
            <w:tcW w:w="814" w:type="dxa"/>
            <w:tcBorders>
              <w:top w:val="nil"/>
              <w:left w:val="nil"/>
              <w:bottom w:val="nil"/>
              <w:right w:val="single" w:sz="4" w:space="0" w:color="auto"/>
            </w:tcBorders>
            <w:shd w:val="clear" w:color="auto" w:fill="auto"/>
            <w:noWrap/>
            <w:vAlign w:val="bottom"/>
            <w:hideMark/>
          </w:tcPr>
          <w:p w14:paraId="1E35A969" w14:textId="77777777" w:rsidR="00DD33BD" w:rsidRDefault="00DD33BD" w:rsidP="00DD33BD">
            <w:pPr>
              <w:jc w:val="center"/>
              <w:rPr>
                <w:rFonts w:ascii="Arial" w:hAnsi="Arial" w:cs="Arial"/>
                <w:color w:val="000000"/>
              </w:rPr>
            </w:pPr>
            <w:r>
              <w:rPr>
                <w:rFonts w:ascii="Arial" w:hAnsi="Arial" w:cs="Arial"/>
                <w:color w:val="000000"/>
              </w:rPr>
              <w:t>4.0</w:t>
            </w:r>
          </w:p>
        </w:tc>
        <w:tc>
          <w:tcPr>
            <w:tcW w:w="642" w:type="dxa"/>
            <w:tcBorders>
              <w:top w:val="nil"/>
              <w:left w:val="nil"/>
              <w:bottom w:val="nil"/>
              <w:right w:val="nil"/>
            </w:tcBorders>
            <w:shd w:val="clear" w:color="auto" w:fill="auto"/>
            <w:noWrap/>
            <w:vAlign w:val="bottom"/>
            <w:hideMark/>
          </w:tcPr>
          <w:p w14:paraId="0BB0DA8B" w14:textId="77777777" w:rsidR="00DD33BD" w:rsidRPr="0048399B" w:rsidRDefault="00DD33BD" w:rsidP="00DD33BD">
            <w:pPr>
              <w:jc w:val="right"/>
              <w:rPr>
                <w:rFonts w:ascii="Arial" w:hAnsi="Arial" w:cs="Arial"/>
                <w:color w:val="000000"/>
                <w:lang w:val="es-MX" w:eastAsia="es-MX"/>
              </w:rPr>
            </w:pPr>
            <w:r w:rsidRPr="0048399B">
              <w:rPr>
                <w:rFonts w:ascii="Arial" w:hAnsi="Arial" w:cs="Arial"/>
                <w:color w:val="000000"/>
                <w:lang w:val="es-MX" w:eastAsia="es-MX"/>
              </w:rPr>
              <w:t> </w:t>
            </w:r>
          </w:p>
        </w:tc>
        <w:tc>
          <w:tcPr>
            <w:tcW w:w="703" w:type="dxa"/>
            <w:tcBorders>
              <w:top w:val="nil"/>
              <w:left w:val="nil"/>
              <w:bottom w:val="nil"/>
              <w:right w:val="single" w:sz="4" w:space="0" w:color="auto"/>
            </w:tcBorders>
            <w:shd w:val="clear" w:color="auto" w:fill="auto"/>
            <w:noWrap/>
            <w:vAlign w:val="bottom"/>
            <w:hideMark/>
          </w:tcPr>
          <w:p w14:paraId="1ABCBF38" w14:textId="77777777" w:rsidR="00DD33BD" w:rsidRDefault="00DD33BD" w:rsidP="00DD33BD">
            <w:pPr>
              <w:rPr>
                <w:rFonts w:ascii="Arial" w:hAnsi="Arial" w:cs="Arial"/>
                <w:color w:val="000000"/>
              </w:rPr>
            </w:pPr>
            <w:r>
              <w:rPr>
                <w:rFonts w:ascii="Arial" w:hAnsi="Arial" w:cs="Arial"/>
                <w:color w:val="000000"/>
              </w:rPr>
              <w:t>3.4</w:t>
            </w:r>
          </w:p>
        </w:tc>
      </w:tr>
      <w:tr w:rsidR="00DD33BD" w:rsidRPr="00685B80" w14:paraId="12C6C0E6" w14:textId="77777777" w:rsidTr="00DD33BD">
        <w:trPr>
          <w:trHeight w:val="255"/>
        </w:trPr>
        <w:tc>
          <w:tcPr>
            <w:tcW w:w="3108" w:type="dxa"/>
            <w:tcBorders>
              <w:top w:val="nil"/>
              <w:left w:val="single" w:sz="4" w:space="0" w:color="auto"/>
              <w:bottom w:val="nil"/>
              <w:right w:val="nil"/>
            </w:tcBorders>
            <w:shd w:val="clear" w:color="auto" w:fill="auto"/>
            <w:noWrap/>
            <w:vAlign w:val="bottom"/>
            <w:hideMark/>
          </w:tcPr>
          <w:p w14:paraId="6E575AB9" w14:textId="77777777" w:rsidR="00DD33BD" w:rsidRPr="00685B80" w:rsidRDefault="00DD33BD" w:rsidP="00DD33BD">
            <w:pPr>
              <w:ind w:firstLineChars="100" w:firstLine="200"/>
              <w:rPr>
                <w:rFonts w:ascii="Arial" w:hAnsi="Arial" w:cs="Arial"/>
                <w:color w:val="000000"/>
                <w:lang w:val="es-MX" w:eastAsia="es-MX"/>
              </w:rPr>
            </w:pPr>
            <w:r w:rsidRPr="00685B80">
              <w:rPr>
                <w:rFonts w:ascii="Arial" w:hAnsi="Arial" w:cs="Arial"/>
                <w:color w:val="000000"/>
                <w:lang w:val="es-MX" w:eastAsia="es-MX"/>
              </w:rPr>
              <w:t>Oaxaca</w:t>
            </w:r>
          </w:p>
        </w:tc>
        <w:tc>
          <w:tcPr>
            <w:tcW w:w="611" w:type="dxa"/>
            <w:tcBorders>
              <w:top w:val="nil"/>
              <w:left w:val="single" w:sz="4" w:space="0" w:color="auto"/>
              <w:bottom w:val="nil"/>
              <w:right w:val="nil"/>
            </w:tcBorders>
            <w:shd w:val="clear" w:color="auto" w:fill="auto"/>
            <w:noWrap/>
            <w:vAlign w:val="bottom"/>
            <w:hideMark/>
          </w:tcPr>
          <w:p w14:paraId="284053A9" w14:textId="77777777" w:rsidR="00DD33BD" w:rsidRPr="00685B80" w:rsidRDefault="00DD33BD" w:rsidP="00DD33BD">
            <w:pPr>
              <w:jc w:val="right"/>
              <w:rPr>
                <w:rFonts w:ascii="Arial" w:hAnsi="Arial" w:cs="Arial"/>
                <w:color w:val="000000"/>
                <w:lang w:val="es-MX" w:eastAsia="es-MX"/>
              </w:rPr>
            </w:pPr>
            <w:r w:rsidRPr="00685B80">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46D635F6" w14:textId="77777777" w:rsidR="00DD33BD" w:rsidRDefault="00DD33BD" w:rsidP="00DD33BD">
            <w:pPr>
              <w:jc w:val="center"/>
              <w:rPr>
                <w:rFonts w:ascii="Arial" w:hAnsi="Arial" w:cs="Arial"/>
                <w:color w:val="000000"/>
              </w:rPr>
            </w:pPr>
            <w:r>
              <w:rPr>
                <w:rFonts w:ascii="Arial" w:hAnsi="Arial" w:cs="Arial"/>
                <w:color w:val="000000"/>
              </w:rPr>
              <w:t>4.7</w:t>
            </w:r>
          </w:p>
        </w:tc>
        <w:tc>
          <w:tcPr>
            <w:tcW w:w="666" w:type="dxa"/>
            <w:tcBorders>
              <w:top w:val="nil"/>
              <w:left w:val="nil"/>
              <w:bottom w:val="nil"/>
              <w:right w:val="nil"/>
            </w:tcBorders>
            <w:shd w:val="clear" w:color="auto" w:fill="auto"/>
            <w:noWrap/>
            <w:vAlign w:val="bottom"/>
            <w:hideMark/>
          </w:tcPr>
          <w:p w14:paraId="22E107B8" w14:textId="77777777" w:rsidR="00DD33BD" w:rsidRPr="0048399B" w:rsidRDefault="00DD33BD" w:rsidP="00DD33BD">
            <w:pPr>
              <w:jc w:val="right"/>
              <w:rPr>
                <w:rFonts w:ascii="Arial" w:hAnsi="Arial" w:cs="Arial"/>
                <w:color w:val="000000"/>
                <w:lang w:val="es-MX" w:eastAsia="es-MX"/>
              </w:rPr>
            </w:pPr>
            <w:r w:rsidRPr="0048399B">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2DF1E028" w14:textId="77777777" w:rsidR="00DD33BD" w:rsidRDefault="00DD33BD" w:rsidP="00DD33BD">
            <w:pPr>
              <w:jc w:val="center"/>
              <w:rPr>
                <w:rFonts w:ascii="Arial" w:hAnsi="Arial" w:cs="Arial"/>
                <w:color w:val="000000"/>
              </w:rPr>
            </w:pPr>
            <w:r>
              <w:rPr>
                <w:rFonts w:ascii="Arial" w:hAnsi="Arial" w:cs="Arial"/>
                <w:color w:val="000000"/>
              </w:rPr>
              <w:t>2.9</w:t>
            </w:r>
          </w:p>
        </w:tc>
        <w:tc>
          <w:tcPr>
            <w:tcW w:w="634" w:type="dxa"/>
            <w:tcBorders>
              <w:top w:val="nil"/>
              <w:left w:val="nil"/>
              <w:bottom w:val="nil"/>
              <w:right w:val="nil"/>
            </w:tcBorders>
            <w:shd w:val="clear" w:color="auto" w:fill="auto"/>
            <w:noWrap/>
            <w:vAlign w:val="bottom"/>
            <w:hideMark/>
          </w:tcPr>
          <w:p w14:paraId="33312EDB" w14:textId="77777777" w:rsidR="00DD33BD" w:rsidRPr="0048399B" w:rsidRDefault="00DD33BD" w:rsidP="00DD33BD">
            <w:pPr>
              <w:jc w:val="right"/>
              <w:rPr>
                <w:rFonts w:ascii="Arial" w:hAnsi="Arial" w:cs="Arial"/>
                <w:color w:val="000000"/>
                <w:lang w:val="es-MX" w:eastAsia="es-MX"/>
              </w:rPr>
            </w:pPr>
            <w:r w:rsidRPr="0048399B">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00DF569D" w14:textId="77777777" w:rsidR="00DD33BD" w:rsidRDefault="00DD33BD" w:rsidP="00DD33BD">
            <w:pPr>
              <w:jc w:val="both"/>
              <w:rPr>
                <w:rFonts w:ascii="Arial" w:hAnsi="Arial" w:cs="Arial"/>
                <w:color w:val="000000"/>
              </w:rPr>
            </w:pPr>
            <w:r>
              <w:rPr>
                <w:rFonts w:ascii="Arial" w:hAnsi="Arial" w:cs="Arial"/>
                <w:color w:val="000000"/>
              </w:rPr>
              <w:t xml:space="preserve">  11.9</w:t>
            </w:r>
          </w:p>
        </w:tc>
        <w:tc>
          <w:tcPr>
            <w:tcW w:w="642" w:type="dxa"/>
            <w:tcBorders>
              <w:top w:val="nil"/>
              <w:left w:val="nil"/>
              <w:bottom w:val="nil"/>
              <w:right w:val="nil"/>
            </w:tcBorders>
            <w:shd w:val="clear" w:color="auto" w:fill="auto"/>
            <w:noWrap/>
            <w:vAlign w:val="bottom"/>
            <w:hideMark/>
          </w:tcPr>
          <w:p w14:paraId="130A6A5A" w14:textId="77777777" w:rsidR="00DD33BD" w:rsidRPr="0048399B" w:rsidRDefault="00DD33BD" w:rsidP="00DD33BD">
            <w:pPr>
              <w:jc w:val="right"/>
              <w:rPr>
                <w:rFonts w:ascii="Arial" w:hAnsi="Arial" w:cs="Arial"/>
                <w:color w:val="000000"/>
                <w:lang w:val="es-MX" w:eastAsia="es-MX"/>
              </w:rPr>
            </w:pPr>
            <w:r w:rsidRPr="0048399B">
              <w:rPr>
                <w:rFonts w:ascii="Arial" w:hAnsi="Arial" w:cs="Arial"/>
                <w:color w:val="000000"/>
                <w:lang w:val="es-MX" w:eastAsia="es-MX"/>
              </w:rPr>
              <w:t> </w:t>
            </w:r>
          </w:p>
        </w:tc>
        <w:tc>
          <w:tcPr>
            <w:tcW w:w="703" w:type="dxa"/>
            <w:tcBorders>
              <w:top w:val="nil"/>
              <w:left w:val="nil"/>
              <w:bottom w:val="nil"/>
              <w:right w:val="single" w:sz="4" w:space="0" w:color="auto"/>
            </w:tcBorders>
            <w:shd w:val="clear" w:color="auto" w:fill="auto"/>
            <w:noWrap/>
            <w:vAlign w:val="bottom"/>
            <w:hideMark/>
          </w:tcPr>
          <w:p w14:paraId="119EC3B5" w14:textId="77777777" w:rsidR="00DD33BD" w:rsidRDefault="00DD33BD" w:rsidP="00DD33BD">
            <w:pPr>
              <w:rPr>
                <w:rFonts w:ascii="Arial" w:hAnsi="Arial" w:cs="Arial"/>
                <w:color w:val="000000"/>
              </w:rPr>
            </w:pPr>
            <w:r>
              <w:rPr>
                <w:rFonts w:ascii="Arial" w:hAnsi="Arial" w:cs="Arial"/>
                <w:color w:val="000000"/>
              </w:rPr>
              <w:t>2.6</w:t>
            </w:r>
          </w:p>
        </w:tc>
      </w:tr>
      <w:tr w:rsidR="00DD33BD" w:rsidRPr="00685B80" w14:paraId="1B71A0DC" w14:textId="77777777" w:rsidTr="00DD33BD">
        <w:trPr>
          <w:trHeight w:val="255"/>
        </w:trPr>
        <w:tc>
          <w:tcPr>
            <w:tcW w:w="3108" w:type="dxa"/>
            <w:tcBorders>
              <w:top w:val="nil"/>
              <w:left w:val="single" w:sz="4" w:space="0" w:color="auto"/>
              <w:bottom w:val="nil"/>
              <w:right w:val="nil"/>
            </w:tcBorders>
            <w:shd w:val="clear" w:color="auto" w:fill="auto"/>
            <w:noWrap/>
            <w:vAlign w:val="bottom"/>
            <w:hideMark/>
          </w:tcPr>
          <w:p w14:paraId="6DE2F3FB" w14:textId="77777777" w:rsidR="00DD33BD" w:rsidRPr="00685B80" w:rsidRDefault="00DD33BD" w:rsidP="00DD33BD">
            <w:pPr>
              <w:ind w:firstLineChars="100" w:firstLine="200"/>
              <w:rPr>
                <w:rFonts w:ascii="Arial" w:hAnsi="Arial" w:cs="Arial"/>
                <w:color w:val="000000"/>
                <w:lang w:val="es-MX" w:eastAsia="es-MX"/>
              </w:rPr>
            </w:pPr>
            <w:r w:rsidRPr="00685B80">
              <w:rPr>
                <w:rFonts w:ascii="Arial" w:hAnsi="Arial" w:cs="Arial"/>
                <w:color w:val="000000"/>
                <w:lang w:val="es-MX" w:eastAsia="es-MX"/>
              </w:rPr>
              <w:t>Puebla</w:t>
            </w:r>
          </w:p>
        </w:tc>
        <w:tc>
          <w:tcPr>
            <w:tcW w:w="611" w:type="dxa"/>
            <w:tcBorders>
              <w:top w:val="nil"/>
              <w:left w:val="single" w:sz="4" w:space="0" w:color="auto"/>
              <w:bottom w:val="nil"/>
              <w:right w:val="nil"/>
            </w:tcBorders>
            <w:shd w:val="clear" w:color="auto" w:fill="auto"/>
            <w:noWrap/>
            <w:vAlign w:val="bottom"/>
            <w:hideMark/>
          </w:tcPr>
          <w:p w14:paraId="36B6E420" w14:textId="77777777" w:rsidR="00DD33BD" w:rsidRPr="00685B80" w:rsidRDefault="00DD33BD" w:rsidP="00DD33BD">
            <w:pPr>
              <w:jc w:val="right"/>
              <w:rPr>
                <w:rFonts w:ascii="Arial" w:hAnsi="Arial" w:cs="Arial"/>
                <w:color w:val="000000"/>
                <w:lang w:val="es-MX" w:eastAsia="es-MX"/>
              </w:rPr>
            </w:pPr>
            <w:r w:rsidRPr="00685B80">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215A6C21" w14:textId="77777777" w:rsidR="00DD33BD" w:rsidRDefault="00DD33BD" w:rsidP="00DD33BD">
            <w:pPr>
              <w:jc w:val="center"/>
              <w:rPr>
                <w:rFonts w:ascii="Arial" w:hAnsi="Arial" w:cs="Arial"/>
                <w:color w:val="000000"/>
              </w:rPr>
            </w:pPr>
            <w:r>
              <w:rPr>
                <w:rFonts w:ascii="Arial" w:hAnsi="Arial" w:cs="Arial"/>
                <w:color w:val="000000"/>
              </w:rPr>
              <w:t>2.4</w:t>
            </w:r>
          </w:p>
        </w:tc>
        <w:tc>
          <w:tcPr>
            <w:tcW w:w="666" w:type="dxa"/>
            <w:tcBorders>
              <w:top w:val="nil"/>
              <w:left w:val="nil"/>
              <w:bottom w:val="nil"/>
              <w:right w:val="nil"/>
            </w:tcBorders>
            <w:shd w:val="clear" w:color="auto" w:fill="auto"/>
            <w:noWrap/>
            <w:vAlign w:val="bottom"/>
            <w:hideMark/>
          </w:tcPr>
          <w:p w14:paraId="24F2F2ED" w14:textId="77777777" w:rsidR="00DD33BD" w:rsidRPr="0048399B" w:rsidRDefault="00DD33BD" w:rsidP="00DD33BD">
            <w:pPr>
              <w:jc w:val="right"/>
              <w:rPr>
                <w:rFonts w:ascii="Arial" w:hAnsi="Arial" w:cs="Arial"/>
                <w:color w:val="000000"/>
                <w:lang w:val="es-MX" w:eastAsia="es-MX"/>
              </w:rPr>
            </w:pPr>
            <w:r w:rsidRPr="0048399B">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175E25C6" w14:textId="77777777" w:rsidR="00DD33BD" w:rsidRDefault="00DD33BD" w:rsidP="00DD33BD">
            <w:pPr>
              <w:jc w:val="center"/>
              <w:rPr>
                <w:rFonts w:ascii="Arial" w:hAnsi="Arial" w:cs="Arial"/>
                <w:color w:val="000000"/>
              </w:rPr>
            </w:pPr>
            <w:r>
              <w:rPr>
                <w:rFonts w:ascii="Arial" w:hAnsi="Arial" w:cs="Arial"/>
                <w:color w:val="000000"/>
              </w:rPr>
              <w:t>2.1</w:t>
            </w:r>
          </w:p>
        </w:tc>
        <w:tc>
          <w:tcPr>
            <w:tcW w:w="634" w:type="dxa"/>
            <w:tcBorders>
              <w:top w:val="nil"/>
              <w:left w:val="nil"/>
              <w:bottom w:val="nil"/>
              <w:right w:val="nil"/>
            </w:tcBorders>
            <w:shd w:val="clear" w:color="auto" w:fill="auto"/>
            <w:noWrap/>
            <w:vAlign w:val="bottom"/>
            <w:hideMark/>
          </w:tcPr>
          <w:p w14:paraId="11DBCED6" w14:textId="77777777" w:rsidR="00DD33BD" w:rsidRPr="0048399B" w:rsidRDefault="00DD33BD" w:rsidP="00DD33BD">
            <w:pPr>
              <w:jc w:val="right"/>
              <w:rPr>
                <w:rFonts w:ascii="Arial" w:hAnsi="Arial" w:cs="Arial"/>
                <w:color w:val="000000"/>
                <w:lang w:val="es-MX" w:eastAsia="es-MX"/>
              </w:rPr>
            </w:pPr>
            <w:r w:rsidRPr="0048399B">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389A9A2B" w14:textId="77777777" w:rsidR="00DD33BD" w:rsidRDefault="00DD33BD" w:rsidP="00DD33BD">
            <w:pPr>
              <w:jc w:val="center"/>
              <w:rPr>
                <w:rFonts w:ascii="Arial" w:hAnsi="Arial" w:cs="Arial"/>
                <w:color w:val="000000"/>
              </w:rPr>
            </w:pPr>
            <w:r>
              <w:rPr>
                <w:rFonts w:ascii="Arial" w:hAnsi="Arial" w:cs="Arial"/>
                <w:color w:val="000000"/>
              </w:rPr>
              <w:t>1.6</w:t>
            </w:r>
          </w:p>
        </w:tc>
        <w:tc>
          <w:tcPr>
            <w:tcW w:w="642" w:type="dxa"/>
            <w:tcBorders>
              <w:top w:val="nil"/>
              <w:left w:val="nil"/>
              <w:bottom w:val="nil"/>
              <w:right w:val="nil"/>
            </w:tcBorders>
            <w:shd w:val="clear" w:color="auto" w:fill="auto"/>
            <w:noWrap/>
            <w:vAlign w:val="bottom"/>
            <w:hideMark/>
          </w:tcPr>
          <w:p w14:paraId="1E1946D4" w14:textId="77777777" w:rsidR="00DD33BD" w:rsidRPr="0048399B" w:rsidRDefault="00DD33BD" w:rsidP="00DD33BD">
            <w:pPr>
              <w:jc w:val="right"/>
              <w:rPr>
                <w:rFonts w:ascii="Arial" w:hAnsi="Arial" w:cs="Arial"/>
                <w:color w:val="000000"/>
                <w:lang w:val="es-MX" w:eastAsia="es-MX"/>
              </w:rPr>
            </w:pPr>
            <w:r w:rsidRPr="0048399B">
              <w:rPr>
                <w:rFonts w:ascii="Arial" w:hAnsi="Arial" w:cs="Arial"/>
                <w:color w:val="000000"/>
                <w:lang w:val="es-MX" w:eastAsia="es-MX"/>
              </w:rPr>
              <w:t> </w:t>
            </w:r>
          </w:p>
        </w:tc>
        <w:tc>
          <w:tcPr>
            <w:tcW w:w="703" w:type="dxa"/>
            <w:tcBorders>
              <w:top w:val="nil"/>
              <w:left w:val="nil"/>
              <w:bottom w:val="nil"/>
              <w:right w:val="single" w:sz="4" w:space="0" w:color="auto"/>
            </w:tcBorders>
            <w:shd w:val="clear" w:color="auto" w:fill="auto"/>
            <w:noWrap/>
            <w:vAlign w:val="bottom"/>
            <w:hideMark/>
          </w:tcPr>
          <w:p w14:paraId="4ABEF95F" w14:textId="77777777" w:rsidR="00DD33BD" w:rsidRDefault="00DD33BD" w:rsidP="00DD33BD">
            <w:pPr>
              <w:rPr>
                <w:rFonts w:ascii="Arial" w:hAnsi="Arial" w:cs="Arial"/>
                <w:color w:val="000000"/>
              </w:rPr>
            </w:pPr>
            <w:r>
              <w:rPr>
                <w:rFonts w:ascii="Arial" w:hAnsi="Arial" w:cs="Arial"/>
                <w:color w:val="000000"/>
              </w:rPr>
              <w:t>2.8</w:t>
            </w:r>
          </w:p>
        </w:tc>
      </w:tr>
      <w:tr w:rsidR="00DD33BD" w:rsidRPr="00685B80" w14:paraId="6B7CA983" w14:textId="77777777" w:rsidTr="00DD33BD">
        <w:trPr>
          <w:trHeight w:val="255"/>
        </w:trPr>
        <w:tc>
          <w:tcPr>
            <w:tcW w:w="3108" w:type="dxa"/>
            <w:tcBorders>
              <w:top w:val="nil"/>
              <w:left w:val="single" w:sz="4" w:space="0" w:color="auto"/>
              <w:bottom w:val="nil"/>
              <w:right w:val="nil"/>
            </w:tcBorders>
            <w:shd w:val="clear" w:color="auto" w:fill="auto"/>
            <w:noWrap/>
            <w:vAlign w:val="bottom"/>
            <w:hideMark/>
          </w:tcPr>
          <w:p w14:paraId="7134C83F" w14:textId="77777777" w:rsidR="00DD33BD" w:rsidRPr="00685B80" w:rsidRDefault="00DD33BD" w:rsidP="00DD33BD">
            <w:pPr>
              <w:ind w:firstLineChars="100" w:firstLine="200"/>
              <w:rPr>
                <w:rFonts w:ascii="Arial" w:hAnsi="Arial" w:cs="Arial"/>
                <w:color w:val="000000"/>
                <w:lang w:val="es-MX" w:eastAsia="es-MX"/>
              </w:rPr>
            </w:pPr>
            <w:r w:rsidRPr="00685B80">
              <w:rPr>
                <w:rFonts w:ascii="Arial" w:hAnsi="Arial" w:cs="Arial"/>
                <w:color w:val="000000"/>
                <w:lang w:val="es-MX" w:eastAsia="es-MX"/>
              </w:rPr>
              <w:t>Querétaro</w:t>
            </w:r>
          </w:p>
        </w:tc>
        <w:tc>
          <w:tcPr>
            <w:tcW w:w="611" w:type="dxa"/>
            <w:tcBorders>
              <w:top w:val="nil"/>
              <w:left w:val="single" w:sz="4" w:space="0" w:color="auto"/>
              <w:bottom w:val="nil"/>
              <w:right w:val="nil"/>
            </w:tcBorders>
            <w:shd w:val="clear" w:color="auto" w:fill="auto"/>
            <w:noWrap/>
            <w:vAlign w:val="bottom"/>
            <w:hideMark/>
          </w:tcPr>
          <w:p w14:paraId="10F31F29" w14:textId="77777777" w:rsidR="00DD33BD" w:rsidRPr="00685B80" w:rsidRDefault="00DD33BD" w:rsidP="00DD33BD">
            <w:pPr>
              <w:jc w:val="right"/>
              <w:rPr>
                <w:rFonts w:ascii="Arial" w:hAnsi="Arial" w:cs="Arial"/>
                <w:color w:val="000000"/>
                <w:lang w:val="es-MX" w:eastAsia="es-MX"/>
              </w:rPr>
            </w:pPr>
            <w:r w:rsidRPr="00685B80">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59FF2E8D" w14:textId="77777777" w:rsidR="00DD33BD" w:rsidRDefault="00DD33BD" w:rsidP="00DD33BD">
            <w:pPr>
              <w:jc w:val="center"/>
              <w:rPr>
                <w:rFonts w:ascii="Arial" w:hAnsi="Arial" w:cs="Arial"/>
                <w:color w:val="000000"/>
              </w:rPr>
            </w:pPr>
            <w:r>
              <w:rPr>
                <w:rFonts w:ascii="Arial" w:hAnsi="Arial" w:cs="Arial"/>
                <w:color w:val="000000"/>
              </w:rPr>
              <w:t>3.0</w:t>
            </w:r>
          </w:p>
        </w:tc>
        <w:tc>
          <w:tcPr>
            <w:tcW w:w="666" w:type="dxa"/>
            <w:tcBorders>
              <w:top w:val="nil"/>
              <w:left w:val="nil"/>
              <w:bottom w:val="nil"/>
              <w:right w:val="nil"/>
            </w:tcBorders>
            <w:shd w:val="clear" w:color="auto" w:fill="auto"/>
            <w:noWrap/>
            <w:vAlign w:val="bottom"/>
            <w:hideMark/>
          </w:tcPr>
          <w:p w14:paraId="2DA9BC14" w14:textId="77777777" w:rsidR="00DD33BD" w:rsidRPr="0048399B" w:rsidRDefault="00DD33BD" w:rsidP="00DD33BD">
            <w:pPr>
              <w:jc w:val="right"/>
              <w:rPr>
                <w:rFonts w:ascii="Arial" w:hAnsi="Arial" w:cs="Arial"/>
                <w:color w:val="000000"/>
                <w:lang w:val="es-MX" w:eastAsia="es-MX"/>
              </w:rPr>
            </w:pPr>
            <w:r w:rsidRPr="0048399B">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63A11179" w14:textId="77777777" w:rsidR="00DD33BD" w:rsidRDefault="00DD33BD" w:rsidP="00DD33BD">
            <w:pPr>
              <w:jc w:val="center"/>
              <w:rPr>
                <w:rFonts w:ascii="Arial" w:hAnsi="Arial" w:cs="Arial"/>
                <w:color w:val="000000"/>
              </w:rPr>
            </w:pPr>
            <w:r>
              <w:rPr>
                <w:rFonts w:ascii="Arial" w:hAnsi="Arial" w:cs="Arial"/>
                <w:color w:val="000000"/>
              </w:rPr>
              <w:t>0.0</w:t>
            </w:r>
          </w:p>
        </w:tc>
        <w:tc>
          <w:tcPr>
            <w:tcW w:w="634" w:type="dxa"/>
            <w:tcBorders>
              <w:top w:val="nil"/>
              <w:left w:val="nil"/>
              <w:bottom w:val="nil"/>
              <w:right w:val="nil"/>
            </w:tcBorders>
            <w:shd w:val="clear" w:color="auto" w:fill="auto"/>
            <w:noWrap/>
            <w:vAlign w:val="bottom"/>
            <w:hideMark/>
          </w:tcPr>
          <w:p w14:paraId="3528305D" w14:textId="77777777" w:rsidR="00DD33BD" w:rsidRPr="0048399B" w:rsidRDefault="00DD33BD" w:rsidP="00DD33BD">
            <w:pPr>
              <w:jc w:val="right"/>
              <w:rPr>
                <w:rFonts w:ascii="Arial" w:hAnsi="Arial" w:cs="Arial"/>
                <w:color w:val="000000"/>
                <w:lang w:val="es-MX" w:eastAsia="es-MX"/>
              </w:rPr>
            </w:pPr>
          </w:p>
        </w:tc>
        <w:tc>
          <w:tcPr>
            <w:tcW w:w="814" w:type="dxa"/>
            <w:tcBorders>
              <w:top w:val="nil"/>
              <w:left w:val="nil"/>
              <w:bottom w:val="nil"/>
              <w:right w:val="single" w:sz="4" w:space="0" w:color="auto"/>
            </w:tcBorders>
            <w:shd w:val="clear" w:color="auto" w:fill="auto"/>
            <w:noWrap/>
            <w:vAlign w:val="bottom"/>
            <w:hideMark/>
          </w:tcPr>
          <w:p w14:paraId="61D43EB8" w14:textId="77777777" w:rsidR="00DD33BD" w:rsidRDefault="00DD33BD" w:rsidP="00DD33BD">
            <w:pPr>
              <w:jc w:val="center"/>
              <w:rPr>
                <w:rFonts w:ascii="Arial" w:hAnsi="Arial" w:cs="Arial"/>
                <w:color w:val="000000"/>
              </w:rPr>
            </w:pPr>
            <w:r>
              <w:rPr>
                <w:rFonts w:ascii="Arial" w:hAnsi="Arial" w:cs="Arial"/>
                <w:color w:val="000000"/>
              </w:rPr>
              <w:t>1.8</w:t>
            </w:r>
          </w:p>
        </w:tc>
        <w:tc>
          <w:tcPr>
            <w:tcW w:w="642" w:type="dxa"/>
            <w:tcBorders>
              <w:top w:val="nil"/>
              <w:left w:val="nil"/>
              <w:bottom w:val="nil"/>
              <w:right w:val="nil"/>
            </w:tcBorders>
            <w:shd w:val="clear" w:color="auto" w:fill="auto"/>
            <w:noWrap/>
            <w:vAlign w:val="bottom"/>
            <w:hideMark/>
          </w:tcPr>
          <w:p w14:paraId="2676F801" w14:textId="77777777" w:rsidR="00DD33BD" w:rsidRPr="0048399B" w:rsidRDefault="00DD33BD" w:rsidP="00DD33BD">
            <w:pPr>
              <w:jc w:val="right"/>
              <w:rPr>
                <w:rFonts w:ascii="Arial" w:hAnsi="Arial" w:cs="Arial"/>
                <w:color w:val="000000"/>
                <w:lang w:val="es-MX" w:eastAsia="es-MX"/>
              </w:rPr>
            </w:pPr>
            <w:r w:rsidRPr="0048399B">
              <w:rPr>
                <w:rFonts w:ascii="Arial" w:hAnsi="Arial" w:cs="Arial"/>
                <w:color w:val="000000"/>
                <w:lang w:val="es-MX" w:eastAsia="es-MX"/>
              </w:rPr>
              <w:t> </w:t>
            </w:r>
          </w:p>
        </w:tc>
        <w:tc>
          <w:tcPr>
            <w:tcW w:w="703" w:type="dxa"/>
            <w:tcBorders>
              <w:top w:val="nil"/>
              <w:left w:val="nil"/>
              <w:bottom w:val="nil"/>
              <w:right w:val="single" w:sz="4" w:space="0" w:color="auto"/>
            </w:tcBorders>
            <w:shd w:val="clear" w:color="auto" w:fill="auto"/>
            <w:noWrap/>
            <w:vAlign w:val="bottom"/>
            <w:hideMark/>
          </w:tcPr>
          <w:p w14:paraId="3D150C10" w14:textId="77777777" w:rsidR="00DD33BD" w:rsidRDefault="00DD33BD" w:rsidP="00DD33BD">
            <w:pPr>
              <w:rPr>
                <w:rFonts w:ascii="Arial" w:hAnsi="Arial" w:cs="Arial"/>
                <w:color w:val="000000"/>
              </w:rPr>
            </w:pPr>
            <w:r>
              <w:rPr>
                <w:rFonts w:ascii="Arial" w:hAnsi="Arial" w:cs="Arial"/>
                <w:color w:val="000000"/>
              </w:rPr>
              <w:t>3.9</w:t>
            </w:r>
          </w:p>
        </w:tc>
      </w:tr>
      <w:tr w:rsidR="00DD33BD" w:rsidRPr="00685B80" w14:paraId="731EDF44" w14:textId="77777777" w:rsidTr="00DD33BD">
        <w:trPr>
          <w:trHeight w:val="255"/>
        </w:trPr>
        <w:tc>
          <w:tcPr>
            <w:tcW w:w="3108" w:type="dxa"/>
            <w:tcBorders>
              <w:top w:val="nil"/>
              <w:left w:val="single" w:sz="4" w:space="0" w:color="auto"/>
              <w:bottom w:val="nil"/>
              <w:right w:val="nil"/>
            </w:tcBorders>
            <w:shd w:val="clear" w:color="auto" w:fill="auto"/>
            <w:noWrap/>
            <w:vAlign w:val="bottom"/>
            <w:hideMark/>
          </w:tcPr>
          <w:p w14:paraId="287FEF6B" w14:textId="77777777" w:rsidR="00DD33BD" w:rsidRPr="00685B80" w:rsidRDefault="00DD33BD" w:rsidP="00DD33BD">
            <w:pPr>
              <w:ind w:firstLineChars="100" w:firstLine="200"/>
              <w:rPr>
                <w:rFonts w:ascii="Arial" w:hAnsi="Arial" w:cs="Arial"/>
                <w:color w:val="000000"/>
                <w:lang w:val="es-MX" w:eastAsia="es-MX"/>
              </w:rPr>
            </w:pPr>
            <w:r w:rsidRPr="00685B80">
              <w:rPr>
                <w:rFonts w:ascii="Arial" w:hAnsi="Arial" w:cs="Arial"/>
                <w:color w:val="000000"/>
                <w:lang w:val="es-MX" w:eastAsia="es-MX"/>
              </w:rPr>
              <w:t>Quintana Roo</w:t>
            </w:r>
          </w:p>
        </w:tc>
        <w:tc>
          <w:tcPr>
            <w:tcW w:w="611" w:type="dxa"/>
            <w:tcBorders>
              <w:top w:val="nil"/>
              <w:left w:val="single" w:sz="4" w:space="0" w:color="auto"/>
              <w:bottom w:val="nil"/>
              <w:right w:val="nil"/>
            </w:tcBorders>
            <w:shd w:val="clear" w:color="auto" w:fill="auto"/>
            <w:noWrap/>
            <w:vAlign w:val="bottom"/>
            <w:hideMark/>
          </w:tcPr>
          <w:p w14:paraId="4F1093D8" w14:textId="77777777" w:rsidR="00DD33BD" w:rsidRPr="00685B80" w:rsidRDefault="00DD33BD" w:rsidP="00DD33BD">
            <w:pPr>
              <w:jc w:val="right"/>
              <w:rPr>
                <w:rFonts w:ascii="Arial" w:hAnsi="Arial" w:cs="Arial"/>
                <w:color w:val="000000"/>
                <w:lang w:val="es-MX" w:eastAsia="es-MX"/>
              </w:rPr>
            </w:pPr>
            <w:r w:rsidRPr="00685B80">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4A04933E" w14:textId="77777777" w:rsidR="00DD33BD" w:rsidRDefault="00DD33BD" w:rsidP="00DD33BD">
            <w:pPr>
              <w:jc w:val="center"/>
              <w:rPr>
                <w:rFonts w:ascii="Arial" w:hAnsi="Arial" w:cs="Arial"/>
                <w:color w:val="000000"/>
              </w:rPr>
            </w:pPr>
            <w:r>
              <w:rPr>
                <w:rFonts w:ascii="Arial" w:hAnsi="Arial" w:cs="Arial"/>
                <w:color w:val="000000"/>
              </w:rPr>
              <w:t>5.1</w:t>
            </w:r>
          </w:p>
        </w:tc>
        <w:tc>
          <w:tcPr>
            <w:tcW w:w="666" w:type="dxa"/>
            <w:tcBorders>
              <w:top w:val="nil"/>
              <w:left w:val="nil"/>
              <w:bottom w:val="nil"/>
              <w:right w:val="nil"/>
            </w:tcBorders>
            <w:shd w:val="clear" w:color="auto" w:fill="auto"/>
            <w:noWrap/>
            <w:vAlign w:val="bottom"/>
            <w:hideMark/>
          </w:tcPr>
          <w:p w14:paraId="2C91A032" w14:textId="77777777" w:rsidR="00DD33BD" w:rsidRPr="0048399B" w:rsidRDefault="00DD33BD" w:rsidP="00DD33BD">
            <w:pPr>
              <w:jc w:val="right"/>
              <w:rPr>
                <w:rFonts w:ascii="Arial" w:hAnsi="Arial" w:cs="Arial"/>
                <w:color w:val="000000"/>
                <w:lang w:val="es-MX" w:eastAsia="es-MX"/>
              </w:rPr>
            </w:pPr>
            <w:r w:rsidRPr="0048399B">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69BB5C81" w14:textId="77777777" w:rsidR="00DD33BD" w:rsidRDefault="00DD33BD" w:rsidP="00DD33BD">
            <w:pPr>
              <w:rPr>
                <w:rFonts w:ascii="Arial" w:hAnsi="Arial" w:cs="Arial"/>
                <w:color w:val="000000"/>
              </w:rPr>
            </w:pPr>
            <w:r>
              <w:rPr>
                <w:rFonts w:ascii="Arial" w:hAnsi="Arial" w:cs="Arial"/>
                <w:color w:val="000000"/>
              </w:rPr>
              <w:t xml:space="preserve">  14.3</w:t>
            </w:r>
          </w:p>
        </w:tc>
        <w:tc>
          <w:tcPr>
            <w:tcW w:w="634" w:type="dxa"/>
            <w:tcBorders>
              <w:top w:val="nil"/>
              <w:left w:val="nil"/>
              <w:bottom w:val="nil"/>
              <w:right w:val="nil"/>
            </w:tcBorders>
            <w:shd w:val="clear" w:color="auto" w:fill="auto"/>
            <w:noWrap/>
            <w:vAlign w:val="bottom"/>
            <w:hideMark/>
          </w:tcPr>
          <w:p w14:paraId="53D89F7F" w14:textId="77777777" w:rsidR="00DD33BD" w:rsidRPr="0048399B" w:rsidRDefault="00DD33BD" w:rsidP="00DD33BD">
            <w:pPr>
              <w:jc w:val="right"/>
              <w:rPr>
                <w:rFonts w:ascii="Arial" w:hAnsi="Arial" w:cs="Arial"/>
                <w:color w:val="000000"/>
                <w:lang w:val="es-MX" w:eastAsia="es-MX"/>
              </w:rPr>
            </w:pPr>
            <w:r w:rsidRPr="0048399B">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386BB4C9" w14:textId="77777777" w:rsidR="00DD33BD" w:rsidRDefault="00DD33BD" w:rsidP="00DD33BD">
            <w:pPr>
              <w:jc w:val="center"/>
              <w:rPr>
                <w:rFonts w:ascii="Arial" w:hAnsi="Arial" w:cs="Arial"/>
                <w:color w:val="000000"/>
              </w:rPr>
            </w:pPr>
            <w:r>
              <w:rPr>
                <w:rFonts w:ascii="Arial" w:hAnsi="Arial" w:cs="Arial"/>
                <w:color w:val="000000"/>
              </w:rPr>
              <w:t>5.9</w:t>
            </w:r>
          </w:p>
        </w:tc>
        <w:tc>
          <w:tcPr>
            <w:tcW w:w="642" w:type="dxa"/>
            <w:tcBorders>
              <w:top w:val="nil"/>
              <w:left w:val="nil"/>
              <w:bottom w:val="nil"/>
              <w:right w:val="nil"/>
            </w:tcBorders>
            <w:shd w:val="clear" w:color="auto" w:fill="auto"/>
            <w:noWrap/>
            <w:vAlign w:val="bottom"/>
            <w:hideMark/>
          </w:tcPr>
          <w:p w14:paraId="17036135" w14:textId="77777777" w:rsidR="00DD33BD" w:rsidRPr="0048399B" w:rsidRDefault="00DD33BD" w:rsidP="00DD33BD">
            <w:pPr>
              <w:jc w:val="right"/>
              <w:rPr>
                <w:rFonts w:ascii="Arial" w:hAnsi="Arial" w:cs="Arial"/>
                <w:color w:val="000000"/>
                <w:lang w:val="es-MX" w:eastAsia="es-MX"/>
              </w:rPr>
            </w:pPr>
            <w:r w:rsidRPr="0048399B">
              <w:rPr>
                <w:rFonts w:ascii="Arial" w:hAnsi="Arial" w:cs="Arial"/>
                <w:color w:val="000000"/>
                <w:lang w:val="es-MX" w:eastAsia="es-MX"/>
              </w:rPr>
              <w:t> </w:t>
            </w:r>
          </w:p>
        </w:tc>
        <w:tc>
          <w:tcPr>
            <w:tcW w:w="703" w:type="dxa"/>
            <w:tcBorders>
              <w:top w:val="nil"/>
              <w:left w:val="nil"/>
              <w:bottom w:val="nil"/>
              <w:right w:val="single" w:sz="4" w:space="0" w:color="auto"/>
            </w:tcBorders>
            <w:shd w:val="clear" w:color="auto" w:fill="auto"/>
            <w:noWrap/>
            <w:vAlign w:val="bottom"/>
            <w:hideMark/>
          </w:tcPr>
          <w:p w14:paraId="77B4EE17" w14:textId="77777777" w:rsidR="00DD33BD" w:rsidRDefault="00DD33BD" w:rsidP="00DD33BD">
            <w:pPr>
              <w:rPr>
                <w:rFonts w:ascii="Arial" w:hAnsi="Arial" w:cs="Arial"/>
                <w:color w:val="000000"/>
              </w:rPr>
            </w:pPr>
            <w:r>
              <w:rPr>
                <w:rFonts w:ascii="Arial" w:hAnsi="Arial" w:cs="Arial"/>
                <w:color w:val="000000"/>
              </w:rPr>
              <w:t>4.9</w:t>
            </w:r>
          </w:p>
        </w:tc>
      </w:tr>
      <w:tr w:rsidR="00DD33BD" w:rsidRPr="00685B80" w14:paraId="55AF727B" w14:textId="77777777" w:rsidTr="00DD33BD">
        <w:trPr>
          <w:trHeight w:val="255"/>
        </w:trPr>
        <w:tc>
          <w:tcPr>
            <w:tcW w:w="3108" w:type="dxa"/>
            <w:tcBorders>
              <w:top w:val="nil"/>
              <w:left w:val="single" w:sz="4" w:space="0" w:color="auto"/>
              <w:bottom w:val="nil"/>
              <w:right w:val="nil"/>
            </w:tcBorders>
            <w:shd w:val="clear" w:color="auto" w:fill="auto"/>
            <w:noWrap/>
            <w:vAlign w:val="bottom"/>
            <w:hideMark/>
          </w:tcPr>
          <w:p w14:paraId="026817BD" w14:textId="77777777" w:rsidR="00DD33BD" w:rsidRPr="00685B80" w:rsidRDefault="00DD33BD" w:rsidP="00DD33BD">
            <w:pPr>
              <w:ind w:firstLineChars="100" w:firstLine="200"/>
              <w:rPr>
                <w:rFonts w:ascii="Arial" w:hAnsi="Arial" w:cs="Arial"/>
                <w:color w:val="000000"/>
                <w:lang w:val="es-MX" w:eastAsia="es-MX"/>
              </w:rPr>
            </w:pPr>
            <w:r w:rsidRPr="00685B80">
              <w:rPr>
                <w:rFonts w:ascii="Arial" w:hAnsi="Arial" w:cs="Arial"/>
                <w:color w:val="000000"/>
                <w:lang w:val="es-MX" w:eastAsia="es-MX"/>
              </w:rPr>
              <w:t>San Luis Potosí</w:t>
            </w:r>
          </w:p>
        </w:tc>
        <w:tc>
          <w:tcPr>
            <w:tcW w:w="611" w:type="dxa"/>
            <w:tcBorders>
              <w:top w:val="nil"/>
              <w:left w:val="single" w:sz="4" w:space="0" w:color="auto"/>
              <w:bottom w:val="nil"/>
              <w:right w:val="nil"/>
            </w:tcBorders>
            <w:shd w:val="clear" w:color="auto" w:fill="auto"/>
            <w:noWrap/>
            <w:vAlign w:val="bottom"/>
            <w:hideMark/>
          </w:tcPr>
          <w:p w14:paraId="6E634DA7" w14:textId="77777777" w:rsidR="00DD33BD" w:rsidRPr="00685B80" w:rsidRDefault="00DD33BD" w:rsidP="00DD33BD">
            <w:pPr>
              <w:jc w:val="right"/>
              <w:rPr>
                <w:rFonts w:ascii="Arial" w:hAnsi="Arial" w:cs="Arial"/>
                <w:color w:val="000000"/>
                <w:lang w:val="es-MX" w:eastAsia="es-MX"/>
              </w:rPr>
            </w:pPr>
            <w:r w:rsidRPr="00685B80">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72A6EF03" w14:textId="77777777" w:rsidR="00DD33BD" w:rsidRDefault="00DD33BD" w:rsidP="00DD33BD">
            <w:pPr>
              <w:jc w:val="center"/>
              <w:rPr>
                <w:rFonts w:ascii="Arial" w:hAnsi="Arial" w:cs="Arial"/>
                <w:color w:val="000000"/>
              </w:rPr>
            </w:pPr>
            <w:r>
              <w:rPr>
                <w:rFonts w:ascii="Arial" w:hAnsi="Arial" w:cs="Arial"/>
                <w:color w:val="000000"/>
              </w:rPr>
              <w:t>4.2</w:t>
            </w:r>
          </w:p>
        </w:tc>
        <w:tc>
          <w:tcPr>
            <w:tcW w:w="666" w:type="dxa"/>
            <w:tcBorders>
              <w:top w:val="nil"/>
              <w:left w:val="nil"/>
              <w:bottom w:val="nil"/>
              <w:right w:val="nil"/>
            </w:tcBorders>
            <w:shd w:val="clear" w:color="auto" w:fill="auto"/>
            <w:noWrap/>
            <w:vAlign w:val="bottom"/>
            <w:hideMark/>
          </w:tcPr>
          <w:p w14:paraId="092C33DD" w14:textId="77777777" w:rsidR="00DD33BD" w:rsidRPr="0048399B" w:rsidRDefault="00DD33BD" w:rsidP="00DD33BD">
            <w:pPr>
              <w:jc w:val="right"/>
              <w:rPr>
                <w:rFonts w:ascii="Arial" w:hAnsi="Arial" w:cs="Arial"/>
                <w:color w:val="000000"/>
                <w:lang w:val="es-MX" w:eastAsia="es-MX"/>
              </w:rPr>
            </w:pPr>
          </w:p>
        </w:tc>
        <w:tc>
          <w:tcPr>
            <w:tcW w:w="814" w:type="dxa"/>
            <w:tcBorders>
              <w:top w:val="nil"/>
              <w:left w:val="nil"/>
              <w:bottom w:val="nil"/>
              <w:right w:val="single" w:sz="4" w:space="0" w:color="auto"/>
            </w:tcBorders>
            <w:shd w:val="clear" w:color="auto" w:fill="auto"/>
            <w:noWrap/>
            <w:vAlign w:val="bottom"/>
            <w:hideMark/>
          </w:tcPr>
          <w:p w14:paraId="7FCE5CCE" w14:textId="77777777" w:rsidR="00DD33BD" w:rsidRDefault="00DD33BD" w:rsidP="00DD33BD">
            <w:pPr>
              <w:jc w:val="center"/>
              <w:rPr>
                <w:rFonts w:ascii="Arial" w:hAnsi="Arial" w:cs="Arial"/>
                <w:color w:val="000000"/>
              </w:rPr>
            </w:pPr>
            <w:r>
              <w:rPr>
                <w:rFonts w:ascii="Arial" w:hAnsi="Arial" w:cs="Arial"/>
                <w:color w:val="000000"/>
              </w:rPr>
              <w:t>7.6</w:t>
            </w:r>
          </w:p>
        </w:tc>
        <w:tc>
          <w:tcPr>
            <w:tcW w:w="634" w:type="dxa"/>
            <w:tcBorders>
              <w:top w:val="nil"/>
              <w:left w:val="nil"/>
              <w:bottom w:val="nil"/>
              <w:right w:val="nil"/>
            </w:tcBorders>
            <w:shd w:val="clear" w:color="auto" w:fill="auto"/>
            <w:noWrap/>
            <w:vAlign w:val="bottom"/>
            <w:hideMark/>
          </w:tcPr>
          <w:p w14:paraId="2ACB3B88" w14:textId="77777777" w:rsidR="00DD33BD" w:rsidRPr="0048399B" w:rsidRDefault="00DD33BD" w:rsidP="00DD33BD">
            <w:pPr>
              <w:jc w:val="right"/>
              <w:rPr>
                <w:rFonts w:ascii="Arial" w:hAnsi="Arial" w:cs="Arial"/>
                <w:color w:val="000000"/>
                <w:lang w:val="es-MX" w:eastAsia="es-MX"/>
              </w:rPr>
            </w:pPr>
          </w:p>
        </w:tc>
        <w:tc>
          <w:tcPr>
            <w:tcW w:w="814" w:type="dxa"/>
            <w:tcBorders>
              <w:top w:val="nil"/>
              <w:left w:val="nil"/>
              <w:bottom w:val="nil"/>
              <w:right w:val="single" w:sz="4" w:space="0" w:color="auto"/>
            </w:tcBorders>
            <w:shd w:val="clear" w:color="auto" w:fill="auto"/>
            <w:noWrap/>
            <w:vAlign w:val="bottom"/>
            <w:hideMark/>
          </w:tcPr>
          <w:p w14:paraId="51B78B13" w14:textId="77777777" w:rsidR="00DD33BD" w:rsidRDefault="00DD33BD" w:rsidP="00DD33BD">
            <w:pPr>
              <w:jc w:val="center"/>
              <w:rPr>
                <w:rFonts w:ascii="Arial" w:hAnsi="Arial" w:cs="Arial"/>
                <w:color w:val="000000"/>
              </w:rPr>
            </w:pPr>
            <w:r>
              <w:rPr>
                <w:rFonts w:ascii="Arial" w:hAnsi="Arial" w:cs="Arial"/>
                <w:color w:val="000000"/>
              </w:rPr>
              <w:t>4.0</w:t>
            </w:r>
          </w:p>
        </w:tc>
        <w:tc>
          <w:tcPr>
            <w:tcW w:w="642" w:type="dxa"/>
            <w:tcBorders>
              <w:top w:val="nil"/>
              <w:left w:val="nil"/>
              <w:bottom w:val="nil"/>
              <w:right w:val="nil"/>
            </w:tcBorders>
            <w:shd w:val="clear" w:color="auto" w:fill="auto"/>
            <w:noWrap/>
            <w:vAlign w:val="bottom"/>
            <w:hideMark/>
          </w:tcPr>
          <w:p w14:paraId="095F3A5D" w14:textId="77777777" w:rsidR="00DD33BD" w:rsidRPr="0048399B" w:rsidRDefault="00DD33BD" w:rsidP="00DD33BD">
            <w:pPr>
              <w:jc w:val="right"/>
              <w:rPr>
                <w:rFonts w:ascii="Arial" w:hAnsi="Arial" w:cs="Arial"/>
                <w:color w:val="000000"/>
                <w:lang w:val="es-MX" w:eastAsia="es-MX"/>
              </w:rPr>
            </w:pPr>
            <w:r w:rsidRPr="0048399B">
              <w:rPr>
                <w:rFonts w:ascii="Arial" w:hAnsi="Arial" w:cs="Arial"/>
                <w:color w:val="000000"/>
                <w:lang w:val="es-MX" w:eastAsia="es-MX"/>
              </w:rPr>
              <w:t> </w:t>
            </w:r>
          </w:p>
        </w:tc>
        <w:tc>
          <w:tcPr>
            <w:tcW w:w="703" w:type="dxa"/>
            <w:tcBorders>
              <w:top w:val="nil"/>
              <w:left w:val="nil"/>
              <w:bottom w:val="nil"/>
              <w:right w:val="single" w:sz="4" w:space="0" w:color="auto"/>
            </w:tcBorders>
            <w:shd w:val="clear" w:color="auto" w:fill="auto"/>
            <w:noWrap/>
            <w:vAlign w:val="bottom"/>
            <w:hideMark/>
          </w:tcPr>
          <w:p w14:paraId="254EA8D3" w14:textId="77777777" w:rsidR="00DD33BD" w:rsidRDefault="00DD33BD" w:rsidP="00DD33BD">
            <w:pPr>
              <w:rPr>
                <w:rFonts w:ascii="Arial" w:hAnsi="Arial" w:cs="Arial"/>
                <w:color w:val="000000"/>
              </w:rPr>
            </w:pPr>
            <w:r>
              <w:rPr>
                <w:rFonts w:ascii="Arial" w:hAnsi="Arial" w:cs="Arial"/>
                <w:color w:val="000000"/>
              </w:rPr>
              <w:t>4.2</w:t>
            </w:r>
          </w:p>
        </w:tc>
      </w:tr>
      <w:tr w:rsidR="00DD33BD" w:rsidRPr="00685B80" w14:paraId="4DF95486" w14:textId="77777777" w:rsidTr="00DD33BD">
        <w:trPr>
          <w:trHeight w:val="255"/>
        </w:trPr>
        <w:tc>
          <w:tcPr>
            <w:tcW w:w="3108" w:type="dxa"/>
            <w:tcBorders>
              <w:top w:val="nil"/>
              <w:left w:val="single" w:sz="4" w:space="0" w:color="auto"/>
              <w:bottom w:val="nil"/>
              <w:right w:val="nil"/>
            </w:tcBorders>
            <w:shd w:val="clear" w:color="auto" w:fill="auto"/>
            <w:noWrap/>
            <w:vAlign w:val="bottom"/>
            <w:hideMark/>
          </w:tcPr>
          <w:p w14:paraId="46C7ABA1" w14:textId="77777777" w:rsidR="00DD33BD" w:rsidRPr="00685B80" w:rsidRDefault="00DD33BD" w:rsidP="00DD33BD">
            <w:pPr>
              <w:ind w:firstLineChars="100" w:firstLine="200"/>
              <w:rPr>
                <w:rFonts w:ascii="Arial" w:hAnsi="Arial" w:cs="Arial"/>
                <w:color w:val="000000"/>
                <w:lang w:val="es-MX" w:eastAsia="es-MX"/>
              </w:rPr>
            </w:pPr>
            <w:r w:rsidRPr="00685B80">
              <w:rPr>
                <w:rFonts w:ascii="Arial" w:hAnsi="Arial" w:cs="Arial"/>
                <w:color w:val="000000"/>
                <w:lang w:val="es-MX" w:eastAsia="es-MX"/>
              </w:rPr>
              <w:t>Sinaloa</w:t>
            </w:r>
          </w:p>
        </w:tc>
        <w:tc>
          <w:tcPr>
            <w:tcW w:w="611" w:type="dxa"/>
            <w:tcBorders>
              <w:top w:val="nil"/>
              <w:left w:val="single" w:sz="4" w:space="0" w:color="auto"/>
              <w:bottom w:val="nil"/>
              <w:right w:val="nil"/>
            </w:tcBorders>
            <w:shd w:val="clear" w:color="auto" w:fill="auto"/>
            <w:noWrap/>
            <w:vAlign w:val="bottom"/>
            <w:hideMark/>
          </w:tcPr>
          <w:p w14:paraId="75101C3F" w14:textId="77777777" w:rsidR="00DD33BD" w:rsidRPr="00685B80" w:rsidRDefault="00DD33BD" w:rsidP="00DD33BD">
            <w:pPr>
              <w:jc w:val="right"/>
              <w:rPr>
                <w:rFonts w:ascii="Arial" w:hAnsi="Arial" w:cs="Arial"/>
                <w:color w:val="000000"/>
                <w:lang w:val="es-MX" w:eastAsia="es-MX"/>
              </w:rPr>
            </w:pPr>
            <w:r w:rsidRPr="00685B80">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06189826" w14:textId="77777777" w:rsidR="00DD33BD" w:rsidRDefault="00DD33BD" w:rsidP="00DD33BD">
            <w:pPr>
              <w:jc w:val="center"/>
              <w:rPr>
                <w:rFonts w:ascii="Arial" w:hAnsi="Arial" w:cs="Arial"/>
                <w:color w:val="000000"/>
              </w:rPr>
            </w:pPr>
            <w:r>
              <w:rPr>
                <w:rFonts w:ascii="Arial" w:hAnsi="Arial" w:cs="Arial"/>
                <w:color w:val="000000"/>
              </w:rPr>
              <w:t>2.7</w:t>
            </w:r>
          </w:p>
        </w:tc>
        <w:tc>
          <w:tcPr>
            <w:tcW w:w="666" w:type="dxa"/>
            <w:tcBorders>
              <w:top w:val="nil"/>
              <w:left w:val="nil"/>
              <w:bottom w:val="nil"/>
              <w:right w:val="nil"/>
            </w:tcBorders>
            <w:shd w:val="clear" w:color="auto" w:fill="auto"/>
            <w:noWrap/>
            <w:vAlign w:val="bottom"/>
            <w:hideMark/>
          </w:tcPr>
          <w:p w14:paraId="789195A2" w14:textId="77777777" w:rsidR="00DD33BD" w:rsidRPr="0048399B" w:rsidRDefault="00DD33BD" w:rsidP="00DD33BD">
            <w:pPr>
              <w:jc w:val="right"/>
              <w:rPr>
                <w:rFonts w:ascii="Arial" w:hAnsi="Arial" w:cs="Arial"/>
                <w:color w:val="000000"/>
                <w:lang w:val="es-MX" w:eastAsia="es-MX"/>
              </w:rPr>
            </w:pPr>
            <w:r w:rsidRPr="0048399B">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04267206" w14:textId="77777777" w:rsidR="00DD33BD" w:rsidRDefault="00DD33BD" w:rsidP="00DD33BD">
            <w:pPr>
              <w:jc w:val="center"/>
              <w:rPr>
                <w:rFonts w:ascii="Arial" w:hAnsi="Arial" w:cs="Arial"/>
                <w:color w:val="000000"/>
              </w:rPr>
            </w:pPr>
            <w:r>
              <w:rPr>
                <w:rFonts w:ascii="Arial" w:hAnsi="Arial" w:cs="Arial"/>
                <w:color w:val="000000"/>
              </w:rPr>
              <w:t>6.5</w:t>
            </w:r>
          </w:p>
        </w:tc>
        <w:tc>
          <w:tcPr>
            <w:tcW w:w="634" w:type="dxa"/>
            <w:tcBorders>
              <w:top w:val="nil"/>
              <w:left w:val="nil"/>
              <w:bottom w:val="nil"/>
              <w:right w:val="nil"/>
            </w:tcBorders>
            <w:shd w:val="clear" w:color="auto" w:fill="auto"/>
            <w:noWrap/>
            <w:vAlign w:val="bottom"/>
            <w:hideMark/>
          </w:tcPr>
          <w:p w14:paraId="51F1018F" w14:textId="77777777" w:rsidR="00DD33BD" w:rsidRPr="0048399B" w:rsidRDefault="00DD33BD" w:rsidP="00DD33BD">
            <w:pPr>
              <w:jc w:val="right"/>
              <w:rPr>
                <w:rFonts w:ascii="Arial" w:hAnsi="Arial" w:cs="Arial"/>
                <w:color w:val="000000"/>
                <w:lang w:val="es-MX" w:eastAsia="es-MX"/>
              </w:rPr>
            </w:pPr>
          </w:p>
        </w:tc>
        <w:tc>
          <w:tcPr>
            <w:tcW w:w="814" w:type="dxa"/>
            <w:tcBorders>
              <w:top w:val="nil"/>
              <w:left w:val="nil"/>
              <w:bottom w:val="nil"/>
              <w:right w:val="single" w:sz="4" w:space="0" w:color="auto"/>
            </w:tcBorders>
            <w:shd w:val="clear" w:color="auto" w:fill="auto"/>
            <w:noWrap/>
            <w:vAlign w:val="bottom"/>
            <w:hideMark/>
          </w:tcPr>
          <w:p w14:paraId="25D59953" w14:textId="77777777" w:rsidR="00DD33BD" w:rsidRDefault="00DD33BD" w:rsidP="00DD33BD">
            <w:pPr>
              <w:jc w:val="center"/>
              <w:rPr>
                <w:rFonts w:ascii="Arial" w:hAnsi="Arial" w:cs="Arial"/>
                <w:color w:val="000000"/>
              </w:rPr>
            </w:pPr>
            <w:r>
              <w:rPr>
                <w:rFonts w:ascii="Arial" w:hAnsi="Arial" w:cs="Arial"/>
                <w:color w:val="000000"/>
              </w:rPr>
              <w:t>5.2</w:t>
            </w:r>
          </w:p>
        </w:tc>
        <w:tc>
          <w:tcPr>
            <w:tcW w:w="642" w:type="dxa"/>
            <w:tcBorders>
              <w:top w:val="nil"/>
              <w:left w:val="nil"/>
              <w:bottom w:val="nil"/>
              <w:right w:val="nil"/>
            </w:tcBorders>
            <w:shd w:val="clear" w:color="auto" w:fill="auto"/>
            <w:noWrap/>
            <w:vAlign w:val="bottom"/>
            <w:hideMark/>
          </w:tcPr>
          <w:p w14:paraId="0E67DED8" w14:textId="77777777" w:rsidR="00DD33BD" w:rsidRPr="0048399B" w:rsidRDefault="00DD33BD" w:rsidP="00DD33BD">
            <w:pPr>
              <w:jc w:val="right"/>
              <w:rPr>
                <w:rFonts w:ascii="Arial" w:hAnsi="Arial" w:cs="Arial"/>
                <w:color w:val="000000"/>
                <w:lang w:val="es-MX" w:eastAsia="es-MX"/>
              </w:rPr>
            </w:pPr>
            <w:r w:rsidRPr="0048399B">
              <w:rPr>
                <w:rFonts w:ascii="Arial" w:hAnsi="Arial" w:cs="Arial"/>
                <w:color w:val="000000"/>
                <w:lang w:val="es-MX" w:eastAsia="es-MX"/>
              </w:rPr>
              <w:t> </w:t>
            </w:r>
          </w:p>
        </w:tc>
        <w:tc>
          <w:tcPr>
            <w:tcW w:w="703" w:type="dxa"/>
            <w:tcBorders>
              <w:top w:val="nil"/>
              <w:left w:val="nil"/>
              <w:bottom w:val="nil"/>
              <w:right w:val="single" w:sz="4" w:space="0" w:color="auto"/>
            </w:tcBorders>
            <w:shd w:val="clear" w:color="auto" w:fill="auto"/>
            <w:noWrap/>
            <w:vAlign w:val="bottom"/>
            <w:hideMark/>
          </w:tcPr>
          <w:p w14:paraId="41DCC834" w14:textId="77777777" w:rsidR="00DD33BD" w:rsidRDefault="00DD33BD" w:rsidP="00DD33BD">
            <w:pPr>
              <w:rPr>
                <w:rFonts w:ascii="Arial" w:hAnsi="Arial" w:cs="Arial"/>
                <w:color w:val="000000"/>
              </w:rPr>
            </w:pPr>
            <w:r>
              <w:rPr>
                <w:rFonts w:ascii="Arial" w:hAnsi="Arial" w:cs="Arial"/>
                <w:color w:val="000000"/>
              </w:rPr>
              <w:t>1.4</w:t>
            </w:r>
          </w:p>
        </w:tc>
      </w:tr>
      <w:tr w:rsidR="00DD33BD" w:rsidRPr="00685B80" w14:paraId="6FAD1A18" w14:textId="77777777" w:rsidTr="00DD33BD">
        <w:trPr>
          <w:trHeight w:val="255"/>
        </w:trPr>
        <w:tc>
          <w:tcPr>
            <w:tcW w:w="3108" w:type="dxa"/>
            <w:tcBorders>
              <w:top w:val="nil"/>
              <w:left w:val="single" w:sz="4" w:space="0" w:color="auto"/>
              <w:bottom w:val="nil"/>
              <w:right w:val="nil"/>
            </w:tcBorders>
            <w:shd w:val="clear" w:color="auto" w:fill="auto"/>
            <w:noWrap/>
            <w:vAlign w:val="bottom"/>
            <w:hideMark/>
          </w:tcPr>
          <w:p w14:paraId="712C6627" w14:textId="77777777" w:rsidR="00DD33BD" w:rsidRPr="00685B80" w:rsidRDefault="00DD33BD" w:rsidP="00DD33BD">
            <w:pPr>
              <w:ind w:firstLineChars="100" w:firstLine="200"/>
              <w:rPr>
                <w:rFonts w:ascii="Arial" w:hAnsi="Arial" w:cs="Arial"/>
                <w:color w:val="000000"/>
                <w:lang w:val="es-MX" w:eastAsia="es-MX"/>
              </w:rPr>
            </w:pPr>
            <w:r w:rsidRPr="00685B80">
              <w:rPr>
                <w:rFonts w:ascii="Arial" w:hAnsi="Arial" w:cs="Arial"/>
                <w:color w:val="000000"/>
                <w:lang w:val="es-MX" w:eastAsia="es-MX"/>
              </w:rPr>
              <w:t>Sonora</w:t>
            </w:r>
          </w:p>
        </w:tc>
        <w:tc>
          <w:tcPr>
            <w:tcW w:w="611" w:type="dxa"/>
            <w:tcBorders>
              <w:top w:val="nil"/>
              <w:left w:val="single" w:sz="4" w:space="0" w:color="auto"/>
              <w:bottom w:val="nil"/>
              <w:right w:val="nil"/>
            </w:tcBorders>
            <w:shd w:val="clear" w:color="auto" w:fill="auto"/>
            <w:noWrap/>
            <w:vAlign w:val="bottom"/>
            <w:hideMark/>
          </w:tcPr>
          <w:p w14:paraId="4F57DF54" w14:textId="77777777" w:rsidR="00DD33BD" w:rsidRPr="00685B80" w:rsidRDefault="00DD33BD" w:rsidP="00DD33BD">
            <w:pPr>
              <w:jc w:val="right"/>
              <w:rPr>
                <w:rFonts w:ascii="Arial" w:hAnsi="Arial" w:cs="Arial"/>
                <w:color w:val="000000"/>
                <w:lang w:val="es-MX" w:eastAsia="es-MX"/>
              </w:rPr>
            </w:pPr>
          </w:p>
        </w:tc>
        <w:tc>
          <w:tcPr>
            <w:tcW w:w="814" w:type="dxa"/>
            <w:tcBorders>
              <w:top w:val="nil"/>
              <w:left w:val="nil"/>
              <w:bottom w:val="nil"/>
              <w:right w:val="single" w:sz="4" w:space="0" w:color="auto"/>
            </w:tcBorders>
            <w:shd w:val="clear" w:color="auto" w:fill="auto"/>
            <w:noWrap/>
            <w:vAlign w:val="bottom"/>
            <w:hideMark/>
          </w:tcPr>
          <w:p w14:paraId="791F6869" w14:textId="77777777" w:rsidR="00DD33BD" w:rsidRDefault="00DD33BD" w:rsidP="00DD33BD">
            <w:pPr>
              <w:jc w:val="center"/>
              <w:rPr>
                <w:rFonts w:ascii="Arial" w:hAnsi="Arial" w:cs="Arial"/>
                <w:color w:val="000000"/>
              </w:rPr>
            </w:pPr>
            <w:r>
              <w:rPr>
                <w:rFonts w:ascii="Arial" w:hAnsi="Arial" w:cs="Arial"/>
                <w:color w:val="000000"/>
              </w:rPr>
              <w:t>1.2</w:t>
            </w:r>
          </w:p>
        </w:tc>
        <w:tc>
          <w:tcPr>
            <w:tcW w:w="666" w:type="dxa"/>
            <w:tcBorders>
              <w:top w:val="nil"/>
              <w:left w:val="nil"/>
              <w:bottom w:val="nil"/>
              <w:right w:val="nil"/>
            </w:tcBorders>
            <w:shd w:val="clear" w:color="auto" w:fill="auto"/>
            <w:noWrap/>
            <w:vAlign w:val="bottom"/>
            <w:hideMark/>
          </w:tcPr>
          <w:p w14:paraId="44F58E9D" w14:textId="77777777" w:rsidR="00DD33BD" w:rsidRPr="0048399B" w:rsidRDefault="00DD33BD" w:rsidP="00DD33BD">
            <w:pPr>
              <w:jc w:val="right"/>
              <w:rPr>
                <w:rFonts w:ascii="Arial" w:hAnsi="Arial" w:cs="Arial"/>
                <w:color w:val="000000"/>
                <w:lang w:val="es-MX" w:eastAsia="es-MX"/>
              </w:rPr>
            </w:pPr>
            <w:r w:rsidRPr="0048399B">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1B6CEA4A" w14:textId="77777777" w:rsidR="00DD33BD" w:rsidRDefault="00DD33BD" w:rsidP="00DD33BD">
            <w:pPr>
              <w:jc w:val="center"/>
              <w:rPr>
                <w:rFonts w:ascii="Arial" w:hAnsi="Arial" w:cs="Arial"/>
                <w:color w:val="000000"/>
              </w:rPr>
            </w:pPr>
            <w:r>
              <w:rPr>
                <w:rFonts w:ascii="Arial" w:hAnsi="Arial" w:cs="Arial"/>
                <w:color w:val="000000"/>
              </w:rPr>
              <w:t>2.6</w:t>
            </w:r>
          </w:p>
        </w:tc>
        <w:tc>
          <w:tcPr>
            <w:tcW w:w="634" w:type="dxa"/>
            <w:tcBorders>
              <w:top w:val="nil"/>
              <w:left w:val="nil"/>
              <w:bottom w:val="nil"/>
              <w:right w:val="nil"/>
            </w:tcBorders>
            <w:shd w:val="clear" w:color="auto" w:fill="auto"/>
            <w:noWrap/>
            <w:vAlign w:val="bottom"/>
            <w:hideMark/>
          </w:tcPr>
          <w:p w14:paraId="3C64D6C6" w14:textId="77777777" w:rsidR="00DD33BD" w:rsidRPr="0048399B" w:rsidRDefault="00DD33BD" w:rsidP="00DD33BD">
            <w:pPr>
              <w:jc w:val="right"/>
              <w:rPr>
                <w:rFonts w:ascii="Arial" w:hAnsi="Arial" w:cs="Arial"/>
                <w:color w:val="000000"/>
                <w:lang w:val="es-MX" w:eastAsia="es-MX"/>
              </w:rPr>
            </w:pPr>
            <w:r w:rsidRPr="0048399B">
              <w:rPr>
                <w:rFonts w:ascii="Arial" w:hAnsi="Arial" w:cs="Arial"/>
                <w:color w:val="000000"/>
                <w:lang w:val="es-MX" w:eastAsia="es-MX"/>
              </w:rPr>
              <w:t>(-)</w:t>
            </w:r>
          </w:p>
        </w:tc>
        <w:tc>
          <w:tcPr>
            <w:tcW w:w="814" w:type="dxa"/>
            <w:tcBorders>
              <w:top w:val="nil"/>
              <w:left w:val="nil"/>
              <w:bottom w:val="nil"/>
              <w:right w:val="single" w:sz="4" w:space="0" w:color="auto"/>
            </w:tcBorders>
            <w:shd w:val="clear" w:color="auto" w:fill="auto"/>
            <w:noWrap/>
            <w:vAlign w:val="bottom"/>
            <w:hideMark/>
          </w:tcPr>
          <w:p w14:paraId="0390451F" w14:textId="77777777" w:rsidR="00DD33BD" w:rsidRDefault="00DD33BD" w:rsidP="00DD33BD">
            <w:pPr>
              <w:jc w:val="center"/>
              <w:rPr>
                <w:rFonts w:ascii="Arial" w:hAnsi="Arial" w:cs="Arial"/>
                <w:color w:val="000000"/>
              </w:rPr>
            </w:pPr>
            <w:r>
              <w:rPr>
                <w:rFonts w:ascii="Arial" w:hAnsi="Arial" w:cs="Arial"/>
                <w:color w:val="000000"/>
              </w:rPr>
              <w:t>0.5</w:t>
            </w:r>
          </w:p>
        </w:tc>
        <w:tc>
          <w:tcPr>
            <w:tcW w:w="642" w:type="dxa"/>
            <w:tcBorders>
              <w:top w:val="nil"/>
              <w:left w:val="nil"/>
              <w:bottom w:val="nil"/>
              <w:right w:val="nil"/>
            </w:tcBorders>
            <w:shd w:val="clear" w:color="auto" w:fill="auto"/>
            <w:noWrap/>
            <w:vAlign w:val="bottom"/>
            <w:hideMark/>
          </w:tcPr>
          <w:p w14:paraId="50B86BE9" w14:textId="77777777" w:rsidR="00DD33BD" w:rsidRPr="0048399B" w:rsidRDefault="00DD33BD" w:rsidP="00DD33BD">
            <w:pPr>
              <w:jc w:val="right"/>
              <w:rPr>
                <w:rFonts w:ascii="Arial" w:hAnsi="Arial" w:cs="Arial"/>
                <w:color w:val="000000"/>
                <w:lang w:val="es-MX" w:eastAsia="es-MX"/>
              </w:rPr>
            </w:pPr>
          </w:p>
        </w:tc>
        <w:tc>
          <w:tcPr>
            <w:tcW w:w="703" w:type="dxa"/>
            <w:tcBorders>
              <w:top w:val="nil"/>
              <w:left w:val="nil"/>
              <w:bottom w:val="nil"/>
              <w:right w:val="single" w:sz="4" w:space="0" w:color="auto"/>
            </w:tcBorders>
            <w:shd w:val="clear" w:color="auto" w:fill="auto"/>
            <w:noWrap/>
            <w:vAlign w:val="bottom"/>
            <w:hideMark/>
          </w:tcPr>
          <w:p w14:paraId="4E10A595" w14:textId="77777777" w:rsidR="00DD33BD" w:rsidRDefault="00DD33BD" w:rsidP="00DD33BD">
            <w:pPr>
              <w:rPr>
                <w:rFonts w:ascii="Arial" w:hAnsi="Arial" w:cs="Arial"/>
                <w:color w:val="000000"/>
              </w:rPr>
            </w:pPr>
            <w:r>
              <w:rPr>
                <w:rFonts w:ascii="Arial" w:hAnsi="Arial" w:cs="Arial"/>
                <w:color w:val="000000"/>
              </w:rPr>
              <w:t>2.6</w:t>
            </w:r>
          </w:p>
        </w:tc>
      </w:tr>
      <w:tr w:rsidR="00DD33BD" w:rsidRPr="00685B80" w14:paraId="4E9DB2F4" w14:textId="77777777" w:rsidTr="00DD33BD">
        <w:trPr>
          <w:trHeight w:val="255"/>
        </w:trPr>
        <w:tc>
          <w:tcPr>
            <w:tcW w:w="3108" w:type="dxa"/>
            <w:tcBorders>
              <w:top w:val="nil"/>
              <w:left w:val="single" w:sz="4" w:space="0" w:color="auto"/>
              <w:bottom w:val="nil"/>
              <w:right w:val="nil"/>
            </w:tcBorders>
            <w:shd w:val="clear" w:color="auto" w:fill="auto"/>
            <w:noWrap/>
            <w:vAlign w:val="bottom"/>
            <w:hideMark/>
          </w:tcPr>
          <w:p w14:paraId="5ECF0A2C" w14:textId="77777777" w:rsidR="00DD33BD" w:rsidRPr="00685B80" w:rsidRDefault="00DD33BD" w:rsidP="00DD33BD">
            <w:pPr>
              <w:ind w:firstLineChars="100" w:firstLine="200"/>
              <w:rPr>
                <w:rFonts w:ascii="Arial" w:hAnsi="Arial" w:cs="Arial"/>
                <w:color w:val="000000"/>
                <w:lang w:val="es-MX" w:eastAsia="es-MX"/>
              </w:rPr>
            </w:pPr>
            <w:r w:rsidRPr="00685B80">
              <w:rPr>
                <w:rFonts w:ascii="Arial" w:hAnsi="Arial" w:cs="Arial"/>
                <w:color w:val="000000"/>
                <w:lang w:val="es-MX" w:eastAsia="es-MX"/>
              </w:rPr>
              <w:t>Tabasco</w:t>
            </w:r>
          </w:p>
        </w:tc>
        <w:tc>
          <w:tcPr>
            <w:tcW w:w="611" w:type="dxa"/>
            <w:tcBorders>
              <w:top w:val="nil"/>
              <w:left w:val="single" w:sz="4" w:space="0" w:color="auto"/>
              <w:bottom w:val="nil"/>
              <w:right w:val="nil"/>
            </w:tcBorders>
            <w:shd w:val="clear" w:color="auto" w:fill="auto"/>
            <w:noWrap/>
            <w:vAlign w:val="bottom"/>
            <w:hideMark/>
          </w:tcPr>
          <w:p w14:paraId="47C612C6" w14:textId="77777777" w:rsidR="00DD33BD" w:rsidRPr="00685B80" w:rsidRDefault="00DD33BD" w:rsidP="00DD33BD">
            <w:pPr>
              <w:jc w:val="right"/>
              <w:rPr>
                <w:rFonts w:ascii="Arial" w:hAnsi="Arial" w:cs="Arial"/>
                <w:color w:val="000000"/>
                <w:lang w:val="es-MX" w:eastAsia="es-MX"/>
              </w:rPr>
            </w:pPr>
            <w:r w:rsidRPr="00685B80">
              <w:rPr>
                <w:rFonts w:ascii="Arial" w:hAnsi="Arial" w:cs="Arial"/>
                <w:color w:val="000000"/>
                <w:lang w:val="es-MX" w:eastAsia="es-MX"/>
              </w:rPr>
              <w:t>(-)</w:t>
            </w:r>
          </w:p>
        </w:tc>
        <w:tc>
          <w:tcPr>
            <w:tcW w:w="814" w:type="dxa"/>
            <w:tcBorders>
              <w:top w:val="nil"/>
              <w:left w:val="nil"/>
              <w:bottom w:val="nil"/>
              <w:right w:val="single" w:sz="4" w:space="0" w:color="auto"/>
            </w:tcBorders>
            <w:shd w:val="clear" w:color="auto" w:fill="auto"/>
            <w:noWrap/>
            <w:vAlign w:val="bottom"/>
            <w:hideMark/>
          </w:tcPr>
          <w:p w14:paraId="14CB1923" w14:textId="77777777" w:rsidR="00DD33BD" w:rsidRDefault="00DD33BD" w:rsidP="00DD33BD">
            <w:pPr>
              <w:jc w:val="center"/>
              <w:rPr>
                <w:rFonts w:ascii="Arial" w:hAnsi="Arial" w:cs="Arial"/>
                <w:color w:val="000000"/>
              </w:rPr>
            </w:pPr>
            <w:r>
              <w:rPr>
                <w:rFonts w:ascii="Arial" w:hAnsi="Arial" w:cs="Arial"/>
                <w:color w:val="000000"/>
              </w:rPr>
              <w:t>8.2</w:t>
            </w:r>
          </w:p>
        </w:tc>
        <w:tc>
          <w:tcPr>
            <w:tcW w:w="666" w:type="dxa"/>
            <w:tcBorders>
              <w:top w:val="nil"/>
              <w:left w:val="nil"/>
              <w:bottom w:val="nil"/>
              <w:right w:val="nil"/>
            </w:tcBorders>
            <w:shd w:val="clear" w:color="auto" w:fill="auto"/>
            <w:noWrap/>
            <w:vAlign w:val="bottom"/>
            <w:hideMark/>
          </w:tcPr>
          <w:p w14:paraId="4E901A12" w14:textId="77777777" w:rsidR="00DD33BD" w:rsidRPr="0048399B" w:rsidRDefault="00DD33BD" w:rsidP="00DD33BD">
            <w:pPr>
              <w:jc w:val="right"/>
              <w:rPr>
                <w:rFonts w:ascii="Arial" w:hAnsi="Arial" w:cs="Arial"/>
                <w:color w:val="000000"/>
                <w:lang w:val="es-MX" w:eastAsia="es-MX"/>
              </w:rPr>
            </w:pPr>
          </w:p>
        </w:tc>
        <w:tc>
          <w:tcPr>
            <w:tcW w:w="814" w:type="dxa"/>
            <w:tcBorders>
              <w:top w:val="nil"/>
              <w:left w:val="nil"/>
              <w:bottom w:val="nil"/>
              <w:right w:val="single" w:sz="4" w:space="0" w:color="auto"/>
            </w:tcBorders>
            <w:shd w:val="clear" w:color="auto" w:fill="auto"/>
            <w:noWrap/>
            <w:vAlign w:val="bottom"/>
            <w:hideMark/>
          </w:tcPr>
          <w:p w14:paraId="094513E3" w14:textId="77777777" w:rsidR="00DD33BD" w:rsidRDefault="00DD33BD" w:rsidP="00DD33BD">
            <w:pPr>
              <w:jc w:val="center"/>
              <w:rPr>
                <w:rFonts w:ascii="Arial" w:hAnsi="Arial" w:cs="Arial"/>
                <w:color w:val="000000"/>
              </w:rPr>
            </w:pPr>
            <w:r>
              <w:rPr>
                <w:rFonts w:ascii="Arial" w:hAnsi="Arial" w:cs="Arial"/>
                <w:color w:val="000000"/>
              </w:rPr>
              <w:t>2.9</w:t>
            </w:r>
          </w:p>
        </w:tc>
        <w:tc>
          <w:tcPr>
            <w:tcW w:w="634" w:type="dxa"/>
            <w:tcBorders>
              <w:top w:val="nil"/>
              <w:left w:val="nil"/>
              <w:bottom w:val="nil"/>
              <w:right w:val="nil"/>
            </w:tcBorders>
            <w:shd w:val="clear" w:color="auto" w:fill="auto"/>
            <w:noWrap/>
            <w:vAlign w:val="bottom"/>
            <w:hideMark/>
          </w:tcPr>
          <w:p w14:paraId="3A189BCB" w14:textId="77777777" w:rsidR="00DD33BD" w:rsidRPr="0048399B" w:rsidRDefault="00DD33BD" w:rsidP="00DD33BD">
            <w:pPr>
              <w:jc w:val="right"/>
              <w:rPr>
                <w:rFonts w:ascii="Arial" w:hAnsi="Arial" w:cs="Arial"/>
                <w:color w:val="000000"/>
                <w:lang w:val="es-MX" w:eastAsia="es-MX"/>
              </w:rPr>
            </w:pPr>
            <w:r w:rsidRPr="0048399B">
              <w:rPr>
                <w:rFonts w:ascii="Arial" w:hAnsi="Arial" w:cs="Arial"/>
                <w:color w:val="000000"/>
                <w:lang w:val="es-MX" w:eastAsia="es-MX"/>
              </w:rPr>
              <w:t>(-)</w:t>
            </w:r>
          </w:p>
        </w:tc>
        <w:tc>
          <w:tcPr>
            <w:tcW w:w="814" w:type="dxa"/>
            <w:tcBorders>
              <w:top w:val="nil"/>
              <w:left w:val="nil"/>
              <w:bottom w:val="nil"/>
              <w:right w:val="single" w:sz="4" w:space="0" w:color="auto"/>
            </w:tcBorders>
            <w:shd w:val="clear" w:color="auto" w:fill="auto"/>
            <w:noWrap/>
            <w:vAlign w:val="bottom"/>
            <w:hideMark/>
          </w:tcPr>
          <w:p w14:paraId="5D1D9AA7" w14:textId="77777777" w:rsidR="00DD33BD" w:rsidRDefault="00DD33BD" w:rsidP="00DD33BD">
            <w:pPr>
              <w:rPr>
                <w:rFonts w:ascii="Arial" w:hAnsi="Arial" w:cs="Arial"/>
                <w:color w:val="000000"/>
              </w:rPr>
            </w:pPr>
            <w:r>
              <w:rPr>
                <w:rFonts w:ascii="Arial" w:hAnsi="Arial" w:cs="Arial"/>
                <w:color w:val="000000"/>
              </w:rPr>
              <w:t xml:space="preserve">  12.8</w:t>
            </w:r>
          </w:p>
        </w:tc>
        <w:tc>
          <w:tcPr>
            <w:tcW w:w="642" w:type="dxa"/>
            <w:tcBorders>
              <w:top w:val="nil"/>
              <w:left w:val="nil"/>
              <w:bottom w:val="nil"/>
              <w:right w:val="nil"/>
            </w:tcBorders>
            <w:shd w:val="clear" w:color="auto" w:fill="auto"/>
            <w:noWrap/>
            <w:vAlign w:val="bottom"/>
            <w:hideMark/>
          </w:tcPr>
          <w:p w14:paraId="53C2E5B0" w14:textId="77777777" w:rsidR="00DD33BD" w:rsidRPr="0048399B" w:rsidRDefault="00DD33BD" w:rsidP="00DD33BD">
            <w:pPr>
              <w:jc w:val="right"/>
              <w:rPr>
                <w:rFonts w:ascii="Arial" w:hAnsi="Arial" w:cs="Arial"/>
                <w:color w:val="000000"/>
                <w:lang w:val="es-MX" w:eastAsia="es-MX"/>
              </w:rPr>
            </w:pPr>
            <w:r w:rsidRPr="0048399B">
              <w:rPr>
                <w:rFonts w:ascii="Arial" w:hAnsi="Arial" w:cs="Arial"/>
                <w:color w:val="000000"/>
                <w:lang w:val="es-MX" w:eastAsia="es-MX"/>
              </w:rPr>
              <w:t> </w:t>
            </w:r>
          </w:p>
        </w:tc>
        <w:tc>
          <w:tcPr>
            <w:tcW w:w="703" w:type="dxa"/>
            <w:tcBorders>
              <w:top w:val="nil"/>
              <w:left w:val="nil"/>
              <w:bottom w:val="nil"/>
              <w:right w:val="single" w:sz="4" w:space="0" w:color="auto"/>
            </w:tcBorders>
            <w:shd w:val="clear" w:color="auto" w:fill="auto"/>
            <w:noWrap/>
            <w:vAlign w:val="bottom"/>
            <w:hideMark/>
          </w:tcPr>
          <w:p w14:paraId="76F275CA" w14:textId="77777777" w:rsidR="00DD33BD" w:rsidRDefault="00DD33BD" w:rsidP="00DD33BD">
            <w:pPr>
              <w:rPr>
                <w:rFonts w:ascii="Arial" w:hAnsi="Arial" w:cs="Arial"/>
                <w:color w:val="000000"/>
              </w:rPr>
            </w:pPr>
            <w:r>
              <w:rPr>
                <w:rFonts w:ascii="Arial" w:hAnsi="Arial" w:cs="Arial"/>
                <w:color w:val="000000"/>
              </w:rPr>
              <w:t>0.1</w:t>
            </w:r>
          </w:p>
        </w:tc>
      </w:tr>
      <w:tr w:rsidR="00DD33BD" w:rsidRPr="00685B80" w14:paraId="2672C361" w14:textId="77777777" w:rsidTr="00DD33BD">
        <w:trPr>
          <w:trHeight w:val="255"/>
        </w:trPr>
        <w:tc>
          <w:tcPr>
            <w:tcW w:w="3108" w:type="dxa"/>
            <w:tcBorders>
              <w:top w:val="nil"/>
              <w:left w:val="single" w:sz="4" w:space="0" w:color="auto"/>
              <w:bottom w:val="nil"/>
              <w:right w:val="nil"/>
            </w:tcBorders>
            <w:shd w:val="clear" w:color="auto" w:fill="auto"/>
            <w:noWrap/>
            <w:vAlign w:val="bottom"/>
            <w:hideMark/>
          </w:tcPr>
          <w:p w14:paraId="12E71C20" w14:textId="77777777" w:rsidR="00DD33BD" w:rsidRPr="00685B80" w:rsidRDefault="00DD33BD" w:rsidP="00DD33BD">
            <w:pPr>
              <w:ind w:firstLineChars="100" w:firstLine="200"/>
              <w:rPr>
                <w:rFonts w:ascii="Arial" w:hAnsi="Arial" w:cs="Arial"/>
                <w:color w:val="000000"/>
                <w:lang w:val="es-MX" w:eastAsia="es-MX"/>
              </w:rPr>
            </w:pPr>
            <w:r w:rsidRPr="00685B80">
              <w:rPr>
                <w:rFonts w:ascii="Arial" w:hAnsi="Arial" w:cs="Arial"/>
                <w:color w:val="000000"/>
                <w:lang w:val="es-MX" w:eastAsia="es-MX"/>
              </w:rPr>
              <w:t>Tamaulipas</w:t>
            </w:r>
          </w:p>
        </w:tc>
        <w:tc>
          <w:tcPr>
            <w:tcW w:w="611" w:type="dxa"/>
            <w:tcBorders>
              <w:top w:val="nil"/>
              <w:left w:val="single" w:sz="4" w:space="0" w:color="auto"/>
              <w:bottom w:val="nil"/>
              <w:right w:val="nil"/>
            </w:tcBorders>
            <w:shd w:val="clear" w:color="auto" w:fill="auto"/>
            <w:noWrap/>
            <w:vAlign w:val="bottom"/>
            <w:hideMark/>
          </w:tcPr>
          <w:p w14:paraId="472EB72A" w14:textId="77777777" w:rsidR="00DD33BD" w:rsidRPr="00685B80" w:rsidRDefault="00DD33BD" w:rsidP="00DD33BD">
            <w:pPr>
              <w:jc w:val="right"/>
              <w:rPr>
                <w:rFonts w:ascii="Arial" w:hAnsi="Arial" w:cs="Arial"/>
                <w:color w:val="000000"/>
                <w:lang w:val="es-MX" w:eastAsia="es-MX"/>
              </w:rPr>
            </w:pPr>
          </w:p>
        </w:tc>
        <w:tc>
          <w:tcPr>
            <w:tcW w:w="814" w:type="dxa"/>
            <w:tcBorders>
              <w:top w:val="nil"/>
              <w:left w:val="nil"/>
              <w:bottom w:val="nil"/>
              <w:right w:val="single" w:sz="4" w:space="0" w:color="auto"/>
            </w:tcBorders>
            <w:shd w:val="clear" w:color="auto" w:fill="auto"/>
            <w:noWrap/>
            <w:vAlign w:val="bottom"/>
            <w:hideMark/>
          </w:tcPr>
          <w:p w14:paraId="6635A14B" w14:textId="77777777" w:rsidR="00DD33BD" w:rsidRDefault="00DD33BD" w:rsidP="00DD33BD">
            <w:pPr>
              <w:jc w:val="center"/>
              <w:rPr>
                <w:rFonts w:ascii="Arial" w:hAnsi="Arial" w:cs="Arial"/>
                <w:color w:val="000000"/>
              </w:rPr>
            </w:pPr>
            <w:r>
              <w:rPr>
                <w:rFonts w:ascii="Arial" w:hAnsi="Arial" w:cs="Arial"/>
                <w:color w:val="000000"/>
              </w:rPr>
              <w:t>2.2</w:t>
            </w:r>
          </w:p>
        </w:tc>
        <w:tc>
          <w:tcPr>
            <w:tcW w:w="666" w:type="dxa"/>
            <w:tcBorders>
              <w:top w:val="nil"/>
              <w:left w:val="nil"/>
              <w:bottom w:val="nil"/>
              <w:right w:val="nil"/>
            </w:tcBorders>
            <w:shd w:val="clear" w:color="auto" w:fill="auto"/>
            <w:noWrap/>
            <w:vAlign w:val="bottom"/>
            <w:hideMark/>
          </w:tcPr>
          <w:p w14:paraId="3279AEB0" w14:textId="77777777" w:rsidR="00DD33BD" w:rsidRPr="00685B80" w:rsidRDefault="00DD33BD" w:rsidP="00DD33BD">
            <w:pPr>
              <w:jc w:val="right"/>
              <w:rPr>
                <w:rFonts w:ascii="Arial" w:hAnsi="Arial" w:cs="Arial"/>
                <w:color w:val="000000"/>
                <w:lang w:val="es-MX" w:eastAsia="es-MX"/>
              </w:rPr>
            </w:pPr>
            <w:r w:rsidRPr="00685B80">
              <w:rPr>
                <w:rFonts w:ascii="Arial" w:hAnsi="Arial" w:cs="Arial"/>
                <w:color w:val="000000"/>
                <w:lang w:val="es-MX" w:eastAsia="es-MX"/>
              </w:rPr>
              <w:t>(-)</w:t>
            </w:r>
          </w:p>
        </w:tc>
        <w:tc>
          <w:tcPr>
            <w:tcW w:w="814" w:type="dxa"/>
            <w:tcBorders>
              <w:top w:val="nil"/>
              <w:left w:val="nil"/>
              <w:bottom w:val="nil"/>
              <w:right w:val="single" w:sz="4" w:space="0" w:color="auto"/>
            </w:tcBorders>
            <w:shd w:val="clear" w:color="auto" w:fill="auto"/>
            <w:noWrap/>
            <w:vAlign w:val="bottom"/>
            <w:hideMark/>
          </w:tcPr>
          <w:p w14:paraId="012F53C2" w14:textId="77777777" w:rsidR="00DD33BD" w:rsidRDefault="00DD33BD" w:rsidP="00DD33BD">
            <w:pPr>
              <w:jc w:val="center"/>
              <w:rPr>
                <w:rFonts w:ascii="Arial" w:hAnsi="Arial" w:cs="Arial"/>
                <w:color w:val="000000"/>
              </w:rPr>
            </w:pPr>
            <w:r>
              <w:rPr>
                <w:rFonts w:ascii="Arial" w:hAnsi="Arial" w:cs="Arial"/>
                <w:color w:val="000000"/>
              </w:rPr>
              <w:t>6.8</w:t>
            </w:r>
          </w:p>
        </w:tc>
        <w:tc>
          <w:tcPr>
            <w:tcW w:w="634" w:type="dxa"/>
            <w:tcBorders>
              <w:top w:val="nil"/>
              <w:left w:val="nil"/>
              <w:bottom w:val="nil"/>
              <w:right w:val="nil"/>
            </w:tcBorders>
            <w:shd w:val="clear" w:color="auto" w:fill="auto"/>
            <w:noWrap/>
            <w:vAlign w:val="bottom"/>
            <w:hideMark/>
          </w:tcPr>
          <w:p w14:paraId="0FACE756" w14:textId="77777777" w:rsidR="00DD33BD" w:rsidRPr="0048399B" w:rsidRDefault="00DD33BD" w:rsidP="00DD33BD">
            <w:pPr>
              <w:jc w:val="right"/>
              <w:rPr>
                <w:rFonts w:ascii="Arial" w:hAnsi="Arial" w:cs="Arial"/>
                <w:color w:val="000000"/>
                <w:lang w:val="es-MX" w:eastAsia="es-MX"/>
              </w:rPr>
            </w:pPr>
          </w:p>
        </w:tc>
        <w:tc>
          <w:tcPr>
            <w:tcW w:w="814" w:type="dxa"/>
            <w:tcBorders>
              <w:top w:val="nil"/>
              <w:left w:val="nil"/>
              <w:bottom w:val="nil"/>
              <w:right w:val="single" w:sz="4" w:space="0" w:color="auto"/>
            </w:tcBorders>
            <w:shd w:val="clear" w:color="auto" w:fill="auto"/>
            <w:noWrap/>
            <w:vAlign w:val="bottom"/>
            <w:hideMark/>
          </w:tcPr>
          <w:p w14:paraId="77338803" w14:textId="77777777" w:rsidR="00DD33BD" w:rsidRDefault="00DD33BD" w:rsidP="00DD33BD">
            <w:pPr>
              <w:jc w:val="center"/>
              <w:rPr>
                <w:rFonts w:ascii="Arial" w:hAnsi="Arial" w:cs="Arial"/>
                <w:color w:val="000000"/>
              </w:rPr>
            </w:pPr>
            <w:r>
              <w:rPr>
                <w:rFonts w:ascii="Arial" w:hAnsi="Arial" w:cs="Arial"/>
                <w:color w:val="000000"/>
              </w:rPr>
              <w:t>4.0</w:t>
            </w:r>
          </w:p>
        </w:tc>
        <w:tc>
          <w:tcPr>
            <w:tcW w:w="642" w:type="dxa"/>
            <w:tcBorders>
              <w:top w:val="nil"/>
              <w:left w:val="nil"/>
              <w:bottom w:val="nil"/>
              <w:right w:val="nil"/>
            </w:tcBorders>
            <w:shd w:val="clear" w:color="auto" w:fill="auto"/>
            <w:noWrap/>
            <w:vAlign w:val="bottom"/>
            <w:hideMark/>
          </w:tcPr>
          <w:p w14:paraId="0EF5C228" w14:textId="77777777" w:rsidR="00DD33BD" w:rsidRPr="0048399B" w:rsidRDefault="00DD33BD" w:rsidP="00DD33BD">
            <w:pPr>
              <w:jc w:val="right"/>
              <w:rPr>
                <w:rFonts w:ascii="Arial" w:hAnsi="Arial" w:cs="Arial"/>
                <w:color w:val="000000"/>
                <w:lang w:val="es-MX" w:eastAsia="es-MX"/>
              </w:rPr>
            </w:pPr>
            <w:r w:rsidRPr="0048399B">
              <w:rPr>
                <w:rFonts w:ascii="Arial" w:hAnsi="Arial" w:cs="Arial"/>
                <w:color w:val="000000"/>
                <w:lang w:val="es-MX" w:eastAsia="es-MX"/>
              </w:rPr>
              <w:t> </w:t>
            </w:r>
          </w:p>
        </w:tc>
        <w:tc>
          <w:tcPr>
            <w:tcW w:w="703" w:type="dxa"/>
            <w:tcBorders>
              <w:top w:val="nil"/>
              <w:left w:val="nil"/>
              <w:bottom w:val="nil"/>
              <w:right w:val="single" w:sz="4" w:space="0" w:color="auto"/>
            </w:tcBorders>
            <w:shd w:val="clear" w:color="auto" w:fill="auto"/>
            <w:noWrap/>
            <w:vAlign w:val="bottom"/>
            <w:hideMark/>
          </w:tcPr>
          <w:p w14:paraId="05263959" w14:textId="77777777" w:rsidR="00DD33BD" w:rsidRDefault="00DD33BD" w:rsidP="00DD33BD">
            <w:pPr>
              <w:rPr>
                <w:rFonts w:ascii="Arial" w:hAnsi="Arial" w:cs="Arial"/>
                <w:color w:val="000000"/>
              </w:rPr>
            </w:pPr>
            <w:r>
              <w:rPr>
                <w:rFonts w:ascii="Arial" w:hAnsi="Arial" w:cs="Arial"/>
                <w:color w:val="000000"/>
              </w:rPr>
              <w:t>1.7</w:t>
            </w:r>
          </w:p>
        </w:tc>
      </w:tr>
      <w:tr w:rsidR="00DD33BD" w:rsidRPr="00685B80" w14:paraId="72121A8A" w14:textId="77777777" w:rsidTr="00DD33BD">
        <w:trPr>
          <w:trHeight w:val="255"/>
        </w:trPr>
        <w:tc>
          <w:tcPr>
            <w:tcW w:w="3108" w:type="dxa"/>
            <w:tcBorders>
              <w:top w:val="nil"/>
              <w:left w:val="single" w:sz="4" w:space="0" w:color="auto"/>
              <w:bottom w:val="nil"/>
              <w:right w:val="nil"/>
            </w:tcBorders>
            <w:shd w:val="clear" w:color="auto" w:fill="auto"/>
            <w:noWrap/>
            <w:vAlign w:val="bottom"/>
            <w:hideMark/>
          </w:tcPr>
          <w:p w14:paraId="1BBE34FC" w14:textId="77777777" w:rsidR="00DD33BD" w:rsidRPr="00685B80" w:rsidRDefault="00DD33BD" w:rsidP="00DD33BD">
            <w:pPr>
              <w:ind w:firstLineChars="100" w:firstLine="200"/>
              <w:rPr>
                <w:rFonts w:ascii="Arial" w:hAnsi="Arial" w:cs="Arial"/>
                <w:color w:val="000000"/>
                <w:lang w:val="es-MX" w:eastAsia="es-MX"/>
              </w:rPr>
            </w:pPr>
            <w:r w:rsidRPr="00685B80">
              <w:rPr>
                <w:rFonts w:ascii="Arial" w:hAnsi="Arial" w:cs="Arial"/>
                <w:color w:val="000000"/>
                <w:lang w:val="es-MX" w:eastAsia="es-MX"/>
              </w:rPr>
              <w:t>Tlaxcala</w:t>
            </w:r>
          </w:p>
        </w:tc>
        <w:tc>
          <w:tcPr>
            <w:tcW w:w="611" w:type="dxa"/>
            <w:tcBorders>
              <w:top w:val="nil"/>
              <w:left w:val="single" w:sz="4" w:space="0" w:color="auto"/>
              <w:bottom w:val="nil"/>
              <w:right w:val="nil"/>
            </w:tcBorders>
            <w:shd w:val="clear" w:color="auto" w:fill="auto"/>
            <w:noWrap/>
            <w:vAlign w:val="bottom"/>
            <w:hideMark/>
          </w:tcPr>
          <w:p w14:paraId="6B036BBB" w14:textId="77777777" w:rsidR="00DD33BD" w:rsidRPr="00685B80" w:rsidRDefault="00DD33BD" w:rsidP="00DD33BD">
            <w:pPr>
              <w:jc w:val="right"/>
              <w:rPr>
                <w:rFonts w:ascii="Arial" w:hAnsi="Arial" w:cs="Arial"/>
                <w:color w:val="000000"/>
                <w:lang w:val="es-MX" w:eastAsia="es-MX"/>
              </w:rPr>
            </w:pPr>
          </w:p>
        </w:tc>
        <w:tc>
          <w:tcPr>
            <w:tcW w:w="814" w:type="dxa"/>
            <w:tcBorders>
              <w:top w:val="nil"/>
              <w:left w:val="nil"/>
              <w:bottom w:val="nil"/>
              <w:right w:val="single" w:sz="4" w:space="0" w:color="auto"/>
            </w:tcBorders>
            <w:shd w:val="clear" w:color="auto" w:fill="auto"/>
            <w:noWrap/>
            <w:vAlign w:val="bottom"/>
            <w:hideMark/>
          </w:tcPr>
          <w:p w14:paraId="7D48CA02" w14:textId="77777777" w:rsidR="00DD33BD" w:rsidRDefault="00DD33BD" w:rsidP="00DD33BD">
            <w:pPr>
              <w:jc w:val="center"/>
              <w:rPr>
                <w:rFonts w:ascii="Arial" w:hAnsi="Arial" w:cs="Arial"/>
                <w:color w:val="000000"/>
              </w:rPr>
            </w:pPr>
            <w:r>
              <w:rPr>
                <w:rFonts w:ascii="Arial" w:hAnsi="Arial" w:cs="Arial"/>
                <w:color w:val="000000"/>
              </w:rPr>
              <w:t>3.4</w:t>
            </w:r>
          </w:p>
        </w:tc>
        <w:tc>
          <w:tcPr>
            <w:tcW w:w="666" w:type="dxa"/>
            <w:tcBorders>
              <w:top w:val="nil"/>
              <w:left w:val="nil"/>
              <w:bottom w:val="nil"/>
              <w:right w:val="nil"/>
            </w:tcBorders>
            <w:shd w:val="clear" w:color="auto" w:fill="auto"/>
            <w:noWrap/>
            <w:vAlign w:val="bottom"/>
            <w:hideMark/>
          </w:tcPr>
          <w:p w14:paraId="6C7AB046" w14:textId="77777777" w:rsidR="00DD33BD" w:rsidRPr="0048399B" w:rsidRDefault="00DD33BD" w:rsidP="00DD33BD">
            <w:pPr>
              <w:jc w:val="right"/>
              <w:rPr>
                <w:rFonts w:ascii="Arial" w:hAnsi="Arial" w:cs="Arial"/>
                <w:color w:val="000000"/>
                <w:lang w:val="es-MX" w:eastAsia="es-MX"/>
              </w:rPr>
            </w:pPr>
            <w:r w:rsidRPr="0048399B">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39C96FE1" w14:textId="77777777" w:rsidR="00DD33BD" w:rsidRDefault="00DD33BD" w:rsidP="00DD33BD">
            <w:pPr>
              <w:jc w:val="center"/>
              <w:rPr>
                <w:rFonts w:ascii="Arial" w:hAnsi="Arial" w:cs="Arial"/>
                <w:color w:val="000000"/>
              </w:rPr>
            </w:pPr>
            <w:r>
              <w:rPr>
                <w:rFonts w:ascii="Arial" w:hAnsi="Arial" w:cs="Arial"/>
                <w:color w:val="000000"/>
              </w:rPr>
              <w:t>1.2</w:t>
            </w:r>
          </w:p>
        </w:tc>
        <w:tc>
          <w:tcPr>
            <w:tcW w:w="634" w:type="dxa"/>
            <w:tcBorders>
              <w:top w:val="nil"/>
              <w:left w:val="nil"/>
              <w:bottom w:val="nil"/>
              <w:right w:val="nil"/>
            </w:tcBorders>
            <w:shd w:val="clear" w:color="auto" w:fill="auto"/>
            <w:noWrap/>
            <w:vAlign w:val="bottom"/>
            <w:hideMark/>
          </w:tcPr>
          <w:p w14:paraId="7FD5EDB7" w14:textId="77777777" w:rsidR="00DD33BD" w:rsidRPr="0048399B" w:rsidRDefault="00DD33BD" w:rsidP="00DD33BD">
            <w:pPr>
              <w:jc w:val="right"/>
              <w:rPr>
                <w:rFonts w:ascii="Arial" w:hAnsi="Arial" w:cs="Arial"/>
                <w:color w:val="000000"/>
                <w:lang w:val="es-MX" w:eastAsia="es-MX"/>
              </w:rPr>
            </w:pPr>
          </w:p>
        </w:tc>
        <w:tc>
          <w:tcPr>
            <w:tcW w:w="814" w:type="dxa"/>
            <w:tcBorders>
              <w:top w:val="nil"/>
              <w:left w:val="nil"/>
              <w:bottom w:val="nil"/>
              <w:right w:val="single" w:sz="4" w:space="0" w:color="auto"/>
            </w:tcBorders>
            <w:shd w:val="clear" w:color="auto" w:fill="auto"/>
            <w:noWrap/>
            <w:vAlign w:val="bottom"/>
            <w:hideMark/>
          </w:tcPr>
          <w:p w14:paraId="4D0D83A9" w14:textId="77777777" w:rsidR="00DD33BD" w:rsidRDefault="00DD33BD" w:rsidP="00DD33BD">
            <w:pPr>
              <w:jc w:val="center"/>
              <w:rPr>
                <w:rFonts w:ascii="Arial" w:hAnsi="Arial" w:cs="Arial"/>
                <w:color w:val="000000"/>
              </w:rPr>
            </w:pPr>
            <w:r>
              <w:rPr>
                <w:rFonts w:ascii="Arial" w:hAnsi="Arial" w:cs="Arial"/>
                <w:color w:val="000000"/>
              </w:rPr>
              <w:t>7.8</w:t>
            </w:r>
          </w:p>
        </w:tc>
        <w:tc>
          <w:tcPr>
            <w:tcW w:w="642" w:type="dxa"/>
            <w:tcBorders>
              <w:top w:val="nil"/>
              <w:left w:val="nil"/>
              <w:bottom w:val="nil"/>
              <w:right w:val="nil"/>
            </w:tcBorders>
            <w:shd w:val="clear" w:color="auto" w:fill="auto"/>
            <w:noWrap/>
            <w:vAlign w:val="bottom"/>
            <w:hideMark/>
          </w:tcPr>
          <w:p w14:paraId="1A80BFBE" w14:textId="77777777" w:rsidR="00DD33BD" w:rsidRPr="0048399B" w:rsidRDefault="00DD33BD" w:rsidP="00DD33BD">
            <w:pPr>
              <w:jc w:val="right"/>
              <w:rPr>
                <w:rFonts w:ascii="Arial" w:hAnsi="Arial" w:cs="Arial"/>
                <w:color w:val="000000"/>
                <w:lang w:val="es-MX" w:eastAsia="es-MX"/>
              </w:rPr>
            </w:pPr>
            <w:r w:rsidRPr="0048399B">
              <w:rPr>
                <w:rFonts w:ascii="Arial" w:hAnsi="Arial" w:cs="Arial"/>
                <w:color w:val="000000"/>
                <w:lang w:val="es-MX" w:eastAsia="es-MX"/>
              </w:rPr>
              <w:t> </w:t>
            </w:r>
          </w:p>
        </w:tc>
        <w:tc>
          <w:tcPr>
            <w:tcW w:w="703" w:type="dxa"/>
            <w:tcBorders>
              <w:top w:val="nil"/>
              <w:left w:val="nil"/>
              <w:bottom w:val="nil"/>
              <w:right w:val="single" w:sz="4" w:space="0" w:color="auto"/>
            </w:tcBorders>
            <w:shd w:val="clear" w:color="auto" w:fill="auto"/>
            <w:noWrap/>
            <w:vAlign w:val="bottom"/>
            <w:hideMark/>
          </w:tcPr>
          <w:p w14:paraId="58488B3A" w14:textId="77777777" w:rsidR="00DD33BD" w:rsidRDefault="00DD33BD" w:rsidP="00DD33BD">
            <w:pPr>
              <w:rPr>
                <w:rFonts w:ascii="Arial" w:hAnsi="Arial" w:cs="Arial"/>
                <w:color w:val="000000"/>
              </w:rPr>
            </w:pPr>
            <w:r>
              <w:rPr>
                <w:rFonts w:ascii="Arial" w:hAnsi="Arial" w:cs="Arial"/>
                <w:color w:val="000000"/>
              </w:rPr>
              <w:t>1.3</w:t>
            </w:r>
          </w:p>
        </w:tc>
      </w:tr>
      <w:tr w:rsidR="00DD33BD" w:rsidRPr="00685B80" w14:paraId="3550B5C4" w14:textId="77777777" w:rsidTr="00DD33BD">
        <w:trPr>
          <w:trHeight w:val="255"/>
        </w:trPr>
        <w:tc>
          <w:tcPr>
            <w:tcW w:w="3108" w:type="dxa"/>
            <w:tcBorders>
              <w:top w:val="nil"/>
              <w:left w:val="single" w:sz="4" w:space="0" w:color="auto"/>
              <w:bottom w:val="nil"/>
              <w:right w:val="nil"/>
            </w:tcBorders>
            <w:shd w:val="clear" w:color="auto" w:fill="auto"/>
            <w:noWrap/>
            <w:vAlign w:val="bottom"/>
            <w:hideMark/>
          </w:tcPr>
          <w:p w14:paraId="3B91249B" w14:textId="77777777" w:rsidR="00DD33BD" w:rsidRPr="00685B80" w:rsidRDefault="00DD33BD" w:rsidP="00DD33BD">
            <w:pPr>
              <w:ind w:leftChars="100" w:left="202" w:hangingChars="1" w:hanging="2"/>
              <w:rPr>
                <w:rFonts w:ascii="Arial" w:hAnsi="Arial" w:cs="Arial"/>
                <w:color w:val="000000"/>
                <w:lang w:val="es-MX" w:eastAsia="es-MX"/>
              </w:rPr>
            </w:pPr>
            <w:r w:rsidRPr="00685B80">
              <w:rPr>
                <w:rFonts w:ascii="Arial" w:hAnsi="Arial" w:cs="Arial"/>
                <w:color w:val="000000"/>
                <w:lang w:val="es-MX" w:eastAsia="es-MX"/>
              </w:rPr>
              <w:t>Veracruz de Ignacio de la Llave</w:t>
            </w:r>
          </w:p>
        </w:tc>
        <w:tc>
          <w:tcPr>
            <w:tcW w:w="611" w:type="dxa"/>
            <w:tcBorders>
              <w:top w:val="nil"/>
              <w:left w:val="single" w:sz="4" w:space="0" w:color="auto"/>
              <w:bottom w:val="nil"/>
              <w:right w:val="nil"/>
            </w:tcBorders>
            <w:shd w:val="clear" w:color="auto" w:fill="auto"/>
            <w:noWrap/>
            <w:vAlign w:val="bottom"/>
            <w:hideMark/>
          </w:tcPr>
          <w:p w14:paraId="4A362D8B" w14:textId="77777777" w:rsidR="00DD33BD" w:rsidRPr="00685B80" w:rsidRDefault="00DD33BD" w:rsidP="00DD33BD">
            <w:pPr>
              <w:jc w:val="right"/>
              <w:rPr>
                <w:rFonts w:ascii="Arial" w:hAnsi="Arial" w:cs="Arial"/>
                <w:color w:val="000000"/>
                <w:lang w:val="es-MX" w:eastAsia="es-MX"/>
              </w:rPr>
            </w:pPr>
            <w:r w:rsidRPr="00685B80">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1B7E022B" w14:textId="77777777" w:rsidR="00DD33BD" w:rsidRDefault="00DD33BD" w:rsidP="00DD33BD">
            <w:pPr>
              <w:jc w:val="center"/>
              <w:rPr>
                <w:rFonts w:ascii="Arial" w:hAnsi="Arial" w:cs="Arial"/>
                <w:color w:val="000000"/>
              </w:rPr>
            </w:pPr>
            <w:r>
              <w:rPr>
                <w:rFonts w:ascii="Arial" w:hAnsi="Arial" w:cs="Arial"/>
                <w:color w:val="000000"/>
              </w:rPr>
              <w:t>2.3</w:t>
            </w:r>
          </w:p>
        </w:tc>
        <w:tc>
          <w:tcPr>
            <w:tcW w:w="666" w:type="dxa"/>
            <w:tcBorders>
              <w:top w:val="nil"/>
              <w:left w:val="nil"/>
              <w:bottom w:val="nil"/>
              <w:right w:val="nil"/>
            </w:tcBorders>
            <w:shd w:val="clear" w:color="auto" w:fill="auto"/>
            <w:noWrap/>
            <w:vAlign w:val="bottom"/>
            <w:hideMark/>
          </w:tcPr>
          <w:p w14:paraId="4C25E8D6" w14:textId="77777777" w:rsidR="00DD33BD" w:rsidRPr="0048399B" w:rsidRDefault="00DD33BD" w:rsidP="00DD33BD">
            <w:pPr>
              <w:jc w:val="right"/>
              <w:rPr>
                <w:rFonts w:ascii="Arial" w:hAnsi="Arial" w:cs="Arial"/>
                <w:color w:val="000000"/>
                <w:lang w:val="es-MX" w:eastAsia="es-MX"/>
              </w:rPr>
            </w:pPr>
          </w:p>
        </w:tc>
        <w:tc>
          <w:tcPr>
            <w:tcW w:w="814" w:type="dxa"/>
            <w:tcBorders>
              <w:top w:val="nil"/>
              <w:left w:val="nil"/>
              <w:bottom w:val="nil"/>
              <w:right w:val="single" w:sz="4" w:space="0" w:color="auto"/>
            </w:tcBorders>
            <w:shd w:val="clear" w:color="auto" w:fill="auto"/>
            <w:noWrap/>
            <w:vAlign w:val="bottom"/>
            <w:hideMark/>
          </w:tcPr>
          <w:p w14:paraId="656242F1" w14:textId="77777777" w:rsidR="00DD33BD" w:rsidRDefault="00DD33BD" w:rsidP="00DD33BD">
            <w:pPr>
              <w:jc w:val="center"/>
              <w:rPr>
                <w:rFonts w:ascii="Arial" w:hAnsi="Arial" w:cs="Arial"/>
                <w:color w:val="000000"/>
              </w:rPr>
            </w:pPr>
            <w:r>
              <w:rPr>
                <w:rFonts w:ascii="Arial" w:hAnsi="Arial" w:cs="Arial"/>
                <w:color w:val="000000"/>
              </w:rPr>
              <w:t>3.2</w:t>
            </w:r>
          </w:p>
        </w:tc>
        <w:tc>
          <w:tcPr>
            <w:tcW w:w="634" w:type="dxa"/>
            <w:tcBorders>
              <w:top w:val="nil"/>
              <w:left w:val="nil"/>
              <w:bottom w:val="nil"/>
              <w:right w:val="nil"/>
            </w:tcBorders>
            <w:shd w:val="clear" w:color="auto" w:fill="auto"/>
            <w:noWrap/>
            <w:vAlign w:val="bottom"/>
            <w:hideMark/>
          </w:tcPr>
          <w:p w14:paraId="05AEF24B" w14:textId="77777777" w:rsidR="00DD33BD" w:rsidRPr="0048399B" w:rsidRDefault="00DD33BD" w:rsidP="00DD33BD">
            <w:pPr>
              <w:jc w:val="right"/>
              <w:rPr>
                <w:rFonts w:ascii="Arial" w:hAnsi="Arial" w:cs="Arial"/>
                <w:color w:val="000000"/>
                <w:lang w:val="es-MX" w:eastAsia="es-MX"/>
              </w:rPr>
            </w:pPr>
            <w:r w:rsidRPr="0048399B">
              <w:rPr>
                <w:rFonts w:ascii="Arial" w:hAnsi="Arial" w:cs="Arial"/>
                <w:color w:val="000000"/>
                <w:lang w:val="es-MX" w:eastAsia="es-MX"/>
              </w:rPr>
              <w:t> </w:t>
            </w:r>
          </w:p>
        </w:tc>
        <w:tc>
          <w:tcPr>
            <w:tcW w:w="814" w:type="dxa"/>
            <w:tcBorders>
              <w:top w:val="nil"/>
              <w:left w:val="nil"/>
              <w:bottom w:val="nil"/>
              <w:right w:val="single" w:sz="4" w:space="0" w:color="auto"/>
            </w:tcBorders>
            <w:shd w:val="clear" w:color="auto" w:fill="auto"/>
            <w:noWrap/>
            <w:vAlign w:val="bottom"/>
            <w:hideMark/>
          </w:tcPr>
          <w:p w14:paraId="2391D973" w14:textId="77777777" w:rsidR="00DD33BD" w:rsidRDefault="00DD33BD" w:rsidP="00DD33BD">
            <w:pPr>
              <w:jc w:val="center"/>
              <w:rPr>
                <w:rFonts w:ascii="Arial" w:hAnsi="Arial" w:cs="Arial"/>
                <w:color w:val="000000"/>
              </w:rPr>
            </w:pPr>
            <w:r>
              <w:rPr>
                <w:rFonts w:ascii="Arial" w:hAnsi="Arial" w:cs="Arial"/>
                <w:color w:val="000000"/>
              </w:rPr>
              <w:t>3.4</w:t>
            </w:r>
          </w:p>
        </w:tc>
        <w:tc>
          <w:tcPr>
            <w:tcW w:w="642" w:type="dxa"/>
            <w:tcBorders>
              <w:top w:val="nil"/>
              <w:left w:val="nil"/>
              <w:bottom w:val="nil"/>
              <w:right w:val="nil"/>
            </w:tcBorders>
            <w:shd w:val="clear" w:color="auto" w:fill="auto"/>
            <w:noWrap/>
            <w:vAlign w:val="bottom"/>
            <w:hideMark/>
          </w:tcPr>
          <w:p w14:paraId="2D4FDF14" w14:textId="77777777" w:rsidR="00DD33BD" w:rsidRPr="0048399B" w:rsidRDefault="00DD33BD" w:rsidP="00DD33BD">
            <w:pPr>
              <w:jc w:val="right"/>
              <w:rPr>
                <w:rFonts w:ascii="Arial" w:hAnsi="Arial" w:cs="Arial"/>
                <w:color w:val="000000"/>
                <w:lang w:val="es-MX" w:eastAsia="es-MX"/>
              </w:rPr>
            </w:pPr>
            <w:r w:rsidRPr="0048399B">
              <w:rPr>
                <w:rFonts w:ascii="Arial" w:hAnsi="Arial" w:cs="Arial"/>
                <w:color w:val="000000"/>
                <w:lang w:val="es-MX" w:eastAsia="es-MX"/>
              </w:rPr>
              <w:t> </w:t>
            </w:r>
          </w:p>
        </w:tc>
        <w:tc>
          <w:tcPr>
            <w:tcW w:w="703" w:type="dxa"/>
            <w:tcBorders>
              <w:top w:val="nil"/>
              <w:left w:val="nil"/>
              <w:bottom w:val="nil"/>
              <w:right w:val="single" w:sz="4" w:space="0" w:color="auto"/>
            </w:tcBorders>
            <w:shd w:val="clear" w:color="auto" w:fill="auto"/>
            <w:noWrap/>
            <w:vAlign w:val="bottom"/>
            <w:hideMark/>
          </w:tcPr>
          <w:p w14:paraId="6C2DD4FC" w14:textId="77777777" w:rsidR="00DD33BD" w:rsidRDefault="00DD33BD" w:rsidP="00DD33BD">
            <w:pPr>
              <w:rPr>
                <w:rFonts w:ascii="Arial" w:hAnsi="Arial" w:cs="Arial"/>
                <w:color w:val="000000"/>
              </w:rPr>
            </w:pPr>
            <w:r>
              <w:rPr>
                <w:rFonts w:ascii="Arial" w:hAnsi="Arial" w:cs="Arial"/>
                <w:color w:val="000000"/>
              </w:rPr>
              <w:t>1.6</w:t>
            </w:r>
          </w:p>
        </w:tc>
      </w:tr>
      <w:tr w:rsidR="00DD33BD" w:rsidRPr="00685B80" w14:paraId="4D04B33F" w14:textId="77777777" w:rsidTr="00DD33BD">
        <w:trPr>
          <w:trHeight w:val="255"/>
        </w:trPr>
        <w:tc>
          <w:tcPr>
            <w:tcW w:w="3108" w:type="dxa"/>
            <w:tcBorders>
              <w:top w:val="nil"/>
              <w:left w:val="single" w:sz="4" w:space="0" w:color="auto"/>
              <w:bottom w:val="nil"/>
              <w:right w:val="nil"/>
            </w:tcBorders>
            <w:shd w:val="clear" w:color="auto" w:fill="auto"/>
            <w:noWrap/>
            <w:vAlign w:val="bottom"/>
            <w:hideMark/>
          </w:tcPr>
          <w:p w14:paraId="745A0188" w14:textId="77777777" w:rsidR="00DD33BD" w:rsidRPr="00685B80" w:rsidRDefault="00DD33BD" w:rsidP="00DD33BD">
            <w:pPr>
              <w:ind w:firstLineChars="100" w:firstLine="200"/>
              <w:rPr>
                <w:rFonts w:ascii="Arial" w:hAnsi="Arial" w:cs="Arial"/>
                <w:color w:val="000000"/>
                <w:lang w:val="es-MX" w:eastAsia="es-MX"/>
              </w:rPr>
            </w:pPr>
            <w:r w:rsidRPr="00685B80">
              <w:rPr>
                <w:rFonts w:ascii="Arial" w:hAnsi="Arial" w:cs="Arial"/>
                <w:color w:val="000000"/>
                <w:lang w:val="es-MX" w:eastAsia="es-MX"/>
              </w:rPr>
              <w:t>Yucatán</w:t>
            </w:r>
          </w:p>
        </w:tc>
        <w:tc>
          <w:tcPr>
            <w:tcW w:w="611" w:type="dxa"/>
            <w:tcBorders>
              <w:top w:val="nil"/>
              <w:left w:val="single" w:sz="4" w:space="0" w:color="auto"/>
              <w:bottom w:val="nil"/>
              <w:right w:val="nil"/>
            </w:tcBorders>
            <w:shd w:val="clear" w:color="auto" w:fill="auto"/>
            <w:noWrap/>
            <w:vAlign w:val="bottom"/>
            <w:hideMark/>
          </w:tcPr>
          <w:p w14:paraId="3BF9BCBC" w14:textId="77777777" w:rsidR="00DD33BD" w:rsidRPr="00685B80" w:rsidRDefault="00DD33BD" w:rsidP="00DD33BD">
            <w:pPr>
              <w:jc w:val="right"/>
              <w:rPr>
                <w:rFonts w:ascii="Arial" w:hAnsi="Arial" w:cs="Arial"/>
                <w:color w:val="000000"/>
                <w:lang w:val="es-MX" w:eastAsia="es-MX"/>
              </w:rPr>
            </w:pPr>
          </w:p>
        </w:tc>
        <w:tc>
          <w:tcPr>
            <w:tcW w:w="814" w:type="dxa"/>
            <w:tcBorders>
              <w:top w:val="nil"/>
              <w:left w:val="nil"/>
              <w:bottom w:val="nil"/>
              <w:right w:val="single" w:sz="4" w:space="0" w:color="auto"/>
            </w:tcBorders>
            <w:shd w:val="clear" w:color="auto" w:fill="auto"/>
            <w:noWrap/>
            <w:vAlign w:val="bottom"/>
            <w:hideMark/>
          </w:tcPr>
          <w:p w14:paraId="76CA5BB9" w14:textId="77777777" w:rsidR="00DD33BD" w:rsidRDefault="00DD33BD" w:rsidP="00DD33BD">
            <w:pPr>
              <w:jc w:val="center"/>
              <w:rPr>
                <w:rFonts w:ascii="Arial" w:hAnsi="Arial" w:cs="Arial"/>
                <w:color w:val="000000"/>
              </w:rPr>
            </w:pPr>
            <w:r>
              <w:rPr>
                <w:rFonts w:ascii="Arial" w:hAnsi="Arial" w:cs="Arial"/>
                <w:color w:val="000000"/>
              </w:rPr>
              <w:t>3.2</w:t>
            </w:r>
          </w:p>
        </w:tc>
        <w:tc>
          <w:tcPr>
            <w:tcW w:w="666" w:type="dxa"/>
            <w:tcBorders>
              <w:top w:val="nil"/>
              <w:left w:val="nil"/>
              <w:bottom w:val="nil"/>
              <w:right w:val="nil"/>
            </w:tcBorders>
            <w:shd w:val="clear" w:color="auto" w:fill="auto"/>
            <w:noWrap/>
            <w:vAlign w:val="bottom"/>
            <w:hideMark/>
          </w:tcPr>
          <w:p w14:paraId="4C2DC9D5" w14:textId="77777777" w:rsidR="00DD33BD" w:rsidRPr="0048399B" w:rsidRDefault="00DD33BD" w:rsidP="00DD33BD">
            <w:pPr>
              <w:jc w:val="right"/>
              <w:rPr>
                <w:rFonts w:ascii="Arial" w:hAnsi="Arial" w:cs="Arial"/>
                <w:color w:val="000000"/>
                <w:lang w:val="es-MX" w:eastAsia="es-MX"/>
              </w:rPr>
            </w:pPr>
          </w:p>
        </w:tc>
        <w:tc>
          <w:tcPr>
            <w:tcW w:w="814" w:type="dxa"/>
            <w:tcBorders>
              <w:top w:val="nil"/>
              <w:left w:val="nil"/>
              <w:bottom w:val="nil"/>
              <w:right w:val="single" w:sz="4" w:space="0" w:color="auto"/>
            </w:tcBorders>
            <w:shd w:val="clear" w:color="auto" w:fill="auto"/>
            <w:noWrap/>
            <w:vAlign w:val="bottom"/>
            <w:hideMark/>
          </w:tcPr>
          <w:p w14:paraId="13A4D383" w14:textId="77777777" w:rsidR="00DD33BD" w:rsidRDefault="00DD33BD" w:rsidP="00DD33BD">
            <w:pPr>
              <w:jc w:val="center"/>
              <w:rPr>
                <w:rFonts w:ascii="Arial" w:hAnsi="Arial" w:cs="Arial"/>
                <w:color w:val="000000"/>
              </w:rPr>
            </w:pPr>
            <w:r>
              <w:rPr>
                <w:rFonts w:ascii="Arial" w:hAnsi="Arial" w:cs="Arial"/>
                <w:color w:val="000000"/>
              </w:rPr>
              <w:t>5.3</w:t>
            </w:r>
          </w:p>
        </w:tc>
        <w:tc>
          <w:tcPr>
            <w:tcW w:w="634" w:type="dxa"/>
            <w:tcBorders>
              <w:top w:val="nil"/>
              <w:left w:val="nil"/>
              <w:bottom w:val="nil"/>
              <w:right w:val="nil"/>
            </w:tcBorders>
            <w:shd w:val="clear" w:color="auto" w:fill="auto"/>
            <w:noWrap/>
            <w:vAlign w:val="bottom"/>
            <w:hideMark/>
          </w:tcPr>
          <w:p w14:paraId="355307FB" w14:textId="77777777" w:rsidR="00DD33BD" w:rsidRPr="0048399B" w:rsidRDefault="00DD33BD" w:rsidP="00DD33BD">
            <w:pPr>
              <w:jc w:val="right"/>
              <w:rPr>
                <w:rFonts w:ascii="Arial" w:hAnsi="Arial" w:cs="Arial"/>
                <w:color w:val="000000"/>
                <w:lang w:val="es-MX" w:eastAsia="es-MX"/>
              </w:rPr>
            </w:pPr>
          </w:p>
        </w:tc>
        <w:tc>
          <w:tcPr>
            <w:tcW w:w="814" w:type="dxa"/>
            <w:tcBorders>
              <w:top w:val="nil"/>
              <w:left w:val="nil"/>
              <w:bottom w:val="nil"/>
              <w:right w:val="single" w:sz="4" w:space="0" w:color="auto"/>
            </w:tcBorders>
            <w:shd w:val="clear" w:color="auto" w:fill="auto"/>
            <w:noWrap/>
            <w:vAlign w:val="bottom"/>
            <w:hideMark/>
          </w:tcPr>
          <w:p w14:paraId="4D65F549" w14:textId="77777777" w:rsidR="00DD33BD" w:rsidRDefault="00DD33BD" w:rsidP="00DD33BD">
            <w:pPr>
              <w:jc w:val="center"/>
              <w:rPr>
                <w:rFonts w:ascii="Arial" w:hAnsi="Arial" w:cs="Arial"/>
                <w:color w:val="000000"/>
              </w:rPr>
            </w:pPr>
            <w:r>
              <w:rPr>
                <w:rFonts w:ascii="Arial" w:hAnsi="Arial" w:cs="Arial"/>
                <w:color w:val="000000"/>
              </w:rPr>
              <w:t>1.4</w:t>
            </w:r>
          </w:p>
        </w:tc>
        <w:tc>
          <w:tcPr>
            <w:tcW w:w="642" w:type="dxa"/>
            <w:tcBorders>
              <w:top w:val="nil"/>
              <w:left w:val="nil"/>
              <w:bottom w:val="nil"/>
              <w:right w:val="nil"/>
            </w:tcBorders>
            <w:shd w:val="clear" w:color="auto" w:fill="auto"/>
            <w:noWrap/>
            <w:vAlign w:val="bottom"/>
            <w:hideMark/>
          </w:tcPr>
          <w:p w14:paraId="5B7FC7D6" w14:textId="77777777" w:rsidR="00DD33BD" w:rsidRPr="0048399B" w:rsidRDefault="00DD33BD" w:rsidP="00DD33BD">
            <w:pPr>
              <w:jc w:val="right"/>
              <w:rPr>
                <w:rFonts w:ascii="Arial" w:hAnsi="Arial" w:cs="Arial"/>
                <w:color w:val="000000"/>
                <w:lang w:val="es-MX" w:eastAsia="es-MX"/>
              </w:rPr>
            </w:pPr>
            <w:r w:rsidRPr="0048399B">
              <w:rPr>
                <w:rFonts w:ascii="Arial" w:hAnsi="Arial" w:cs="Arial"/>
                <w:color w:val="000000"/>
                <w:lang w:val="es-MX" w:eastAsia="es-MX"/>
              </w:rPr>
              <w:t> </w:t>
            </w:r>
          </w:p>
        </w:tc>
        <w:tc>
          <w:tcPr>
            <w:tcW w:w="703" w:type="dxa"/>
            <w:tcBorders>
              <w:top w:val="nil"/>
              <w:left w:val="nil"/>
              <w:bottom w:val="nil"/>
              <w:right w:val="single" w:sz="4" w:space="0" w:color="auto"/>
            </w:tcBorders>
            <w:shd w:val="clear" w:color="auto" w:fill="auto"/>
            <w:noWrap/>
            <w:vAlign w:val="bottom"/>
            <w:hideMark/>
          </w:tcPr>
          <w:p w14:paraId="5022402C" w14:textId="77777777" w:rsidR="00DD33BD" w:rsidRDefault="00DD33BD" w:rsidP="00DD33BD">
            <w:pPr>
              <w:rPr>
                <w:rFonts w:ascii="Arial" w:hAnsi="Arial" w:cs="Arial"/>
                <w:color w:val="000000"/>
              </w:rPr>
            </w:pPr>
            <w:r>
              <w:rPr>
                <w:rFonts w:ascii="Arial" w:hAnsi="Arial" w:cs="Arial"/>
                <w:color w:val="000000"/>
              </w:rPr>
              <w:t>3.8</w:t>
            </w:r>
          </w:p>
        </w:tc>
      </w:tr>
      <w:tr w:rsidR="00DD33BD" w:rsidRPr="00685B80" w14:paraId="3B731E80" w14:textId="77777777" w:rsidTr="00DD33BD">
        <w:trPr>
          <w:trHeight w:val="255"/>
        </w:trPr>
        <w:tc>
          <w:tcPr>
            <w:tcW w:w="3108" w:type="dxa"/>
            <w:tcBorders>
              <w:top w:val="nil"/>
              <w:left w:val="single" w:sz="4" w:space="0" w:color="auto"/>
              <w:bottom w:val="single" w:sz="4" w:space="0" w:color="auto"/>
              <w:right w:val="nil"/>
            </w:tcBorders>
            <w:shd w:val="clear" w:color="auto" w:fill="auto"/>
            <w:noWrap/>
            <w:vAlign w:val="bottom"/>
            <w:hideMark/>
          </w:tcPr>
          <w:p w14:paraId="485D5ADE" w14:textId="77777777" w:rsidR="00DD33BD" w:rsidRPr="00685B80" w:rsidRDefault="00DD33BD" w:rsidP="00DD33BD">
            <w:pPr>
              <w:ind w:firstLineChars="100" w:firstLine="200"/>
              <w:rPr>
                <w:rFonts w:ascii="Arial" w:hAnsi="Arial" w:cs="Arial"/>
                <w:color w:val="000000"/>
                <w:lang w:val="es-MX" w:eastAsia="es-MX"/>
              </w:rPr>
            </w:pPr>
            <w:r w:rsidRPr="00685B80">
              <w:rPr>
                <w:rFonts w:ascii="Arial" w:hAnsi="Arial" w:cs="Arial"/>
                <w:color w:val="000000"/>
                <w:lang w:val="es-MX" w:eastAsia="es-MX"/>
              </w:rPr>
              <w:t>Zacatecas</w:t>
            </w:r>
          </w:p>
        </w:tc>
        <w:tc>
          <w:tcPr>
            <w:tcW w:w="611" w:type="dxa"/>
            <w:tcBorders>
              <w:top w:val="nil"/>
              <w:left w:val="single" w:sz="4" w:space="0" w:color="auto"/>
              <w:bottom w:val="single" w:sz="4" w:space="0" w:color="auto"/>
              <w:right w:val="nil"/>
            </w:tcBorders>
            <w:shd w:val="clear" w:color="auto" w:fill="auto"/>
            <w:noWrap/>
            <w:vAlign w:val="bottom"/>
            <w:hideMark/>
          </w:tcPr>
          <w:p w14:paraId="4073CE77" w14:textId="77777777" w:rsidR="00DD33BD" w:rsidRPr="00685B80" w:rsidRDefault="00DD33BD" w:rsidP="00DD33BD">
            <w:pPr>
              <w:jc w:val="right"/>
              <w:rPr>
                <w:rFonts w:ascii="Arial" w:hAnsi="Arial" w:cs="Arial"/>
                <w:color w:val="000000"/>
                <w:lang w:val="es-MX" w:eastAsia="es-MX"/>
              </w:rPr>
            </w:pPr>
            <w:r w:rsidRPr="0048399B">
              <w:rPr>
                <w:rFonts w:ascii="Arial" w:hAnsi="Arial" w:cs="Arial"/>
                <w:color w:val="000000"/>
                <w:lang w:val="es-MX" w:eastAsia="es-MX"/>
              </w:rPr>
              <w:t>(-)</w:t>
            </w:r>
          </w:p>
        </w:tc>
        <w:tc>
          <w:tcPr>
            <w:tcW w:w="814" w:type="dxa"/>
            <w:tcBorders>
              <w:top w:val="nil"/>
              <w:left w:val="nil"/>
              <w:bottom w:val="single" w:sz="4" w:space="0" w:color="auto"/>
              <w:right w:val="single" w:sz="4" w:space="0" w:color="auto"/>
            </w:tcBorders>
            <w:shd w:val="clear" w:color="auto" w:fill="auto"/>
            <w:noWrap/>
            <w:vAlign w:val="bottom"/>
            <w:hideMark/>
          </w:tcPr>
          <w:p w14:paraId="35C48093" w14:textId="77777777" w:rsidR="00DD33BD" w:rsidRDefault="00DD33BD" w:rsidP="00DD33BD">
            <w:pPr>
              <w:jc w:val="center"/>
              <w:rPr>
                <w:rFonts w:ascii="Arial" w:hAnsi="Arial" w:cs="Arial"/>
                <w:color w:val="000000"/>
              </w:rPr>
            </w:pPr>
            <w:r>
              <w:rPr>
                <w:rFonts w:ascii="Arial" w:hAnsi="Arial" w:cs="Arial"/>
                <w:color w:val="000000"/>
              </w:rPr>
              <w:t>0.1</w:t>
            </w:r>
          </w:p>
        </w:tc>
        <w:tc>
          <w:tcPr>
            <w:tcW w:w="666" w:type="dxa"/>
            <w:tcBorders>
              <w:top w:val="nil"/>
              <w:left w:val="nil"/>
              <w:bottom w:val="single" w:sz="4" w:space="0" w:color="auto"/>
              <w:right w:val="nil"/>
            </w:tcBorders>
            <w:shd w:val="clear" w:color="auto" w:fill="auto"/>
            <w:noWrap/>
            <w:vAlign w:val="bottom"/>
            <w:hideMark/>
          </w:tcPr>
          <w:p w14:paraId="4E855CF8" w14:textId="77777777" w:rsidR="00DD33BD" w:rsidRPr="0048399B" w:rsidRDefault="00DD33BD" w:rsidP="00DD33BD">
            <w:pPr>
              <w:jc w:val="right"/>
              <w:rPr>
                <w:rFonts w:ascii="Arial" w:hAnsi="Arial" w:cs="Arial"/>
                <w:color w:val="000000"/>
                <w:lang w:val="es-MX" w:eastAsia="es-MX"/>
              </w:rPr>
            </w:pPr>
          </w:p>
        </w:tc>
        <w:tc>
          <w:tcPr>
            <w:tcW w:w="814" w:type="dxa"/>
            <w:tcBorders>
              <w:top w:val="nil"/>
              <w:left w:val="nil"/>
              <w:bottom w:val="single" w:sz="4" w:space="0" w:color="auto"/>
              <w:right w:val="single" w:sz="4" w:space="0" w:color="auto"/>
            </w:tcBorders>
            <w:shd w:val="clear" w:color="auto" w:fill="auto"/>
            <w:noWrap/>
            <w:vAlign w:val="bottom"/>
            <w:hideMark/>
          </w:tcPr>
          <w:p w14:paraId="6D4C8090" w14:textId="77777777" w:rsidR="00DD33BD" w:rsidRDefault="00DD33BD" w:rsidP="00DD33BD">
            <w:pPr>
              <w:jc w:val="center"/>
              <w:rPr>
                <w:rFonts w:ascii="Arial" w:hAnsi="Arial" w:cs="Arial"/>
                <w:color w:val="000000"/>
              </w:rPr>
            </w:pPr>
            <w:r>
              <w:rPr>
                <w:rFonts w:ascii="Arial" w:hAnsi="Arial" w:cs="Arial"/>
                <w:color w:val="000000"/>
              </w:rPr>
              <w:t>3.2</w:t>
            </w:r>
          </w:p>
        </w:tc>
        <w:tc>
          <w:tcPr>
            <w:tcW w:w="634" w:type="dxa"/>
            <w:tcBorders>
              <w:top w:val="nil"/>
              <w:left w:val="nil"/>
              <w:bottom w:val="single" w:sz="4" w:space="0" w:color="auto"/>
              <w:right w:val="nil"/>
            </w:tcBorders>
            <w:shd w:val="clear" w:color="auto" w:fill="auto"/>
            <w:noWrap/>
            <w:vAlign w:val="bottom"/>
            <w:hideMark/>
          </w:tcPr>
          <w:p w14:paraId="2AED18CA" w14:textId="77777777" w:rsidR="00DD33BD" w:rsidRPr="0048399B" w:rsidRDefault="00DD33BD" w:rsidP="00DD33BD">
            <w:pPr>
              <w:jc w:val="right"/>
              <w:rPr>
                <w:rFonts w:ascii="Arial" w:hAnsi="Arial" w:cs="Arial"/>
                <w:color w:val="000000"/>
                <w:lang w:val="es-MX" w:eastAsia="es-MX"/>
              </w:rPr>
            </w:pPr>
            <w:r w:rsidRPr="0048399B">
              <w:rPr>
                <w:rFonts w:ascii="Arial" w:hAnsi="Arial" w:cs="Arial"/>
                <w:color w:val="000000"/>
                <w:lang w:val="es-MX" w:eastAsia="es-MX"/>
              </w:rPr>
              <w:t>(-)</w:t>
            </w:r>
          </w:p>
        </w:tc>
        <w:tc>
          <w:tcPr>
            <w:tcW w:w="814" w:type="dxa"/>
            <w:tcBorders>
              <w:top w:val="nil"/>
              <w:left w:val="nil"/>
              <w:bottom w:val="single" w:sz="4" w:space="0" w:color="auto"/>
              <w:right w:val="single" w:sz="4" w:space="0" w:color="auto"/>
            </w:tcBorders>
            <w:shd w:val="clear" w:color="auto" w:fill="auto"/>
            <w:noWrap/>
            <w:vAlign w:val="bottom"/>
            <w:hideMark/>
          </w:tcPr>
          <w:p w14:paraId="64DCB640" w14:textId="77777777" w:rsidR="00DD33BD" w:rsidRDefault="00DD33BD" w:rsidP="00DD33BD">
            <w:pPr>
              <w:jc w:val="center"/>
              <w:rPr>
                <w:rFonts w:ascii="Arial" w:hAnsi="Arial" w:cs="Arial"/>
                <w:color w:val="000000"/>
              </w:rPr>
            </w:pPr>
            <w:r>
              <w:rPr>
                <w:rFonts w:ascii="Arial" w:hAnsi="Arial" w:cs="Arial"/>
                <w:color w:val="000000"/>
              </w:rPr>
              <w:t>2.2</w:t>
            </w:r>
          </w:p>
        </w:tc>
        <w:tc>
          <w:tcPr>
            <w:tcW w:w="642" w:type="dxa"/>
            <w:tcBorders>
              <w:top w:val="nil"/>
              <w:left w:val="nil"/>
              <w:bottom w:val="single" w:sz="4" w:space="0" w:color="auto"/>
              <w:right w:val="nil"/>
            </w:tcBorders>
            <w:shd w:val="clear" w:color="auto" w:fill="auto"/>
            <w:noWrap/>
            <w:vAlign w:val="bottom"/>
            <w:hideMark/>
          </w:tcPr>
          <w:p w14:paraId="0248B049" w14:textId="77777777" w:rsidR="00DD33BD" w:rsidRPr="0048399B" w:rsidRDefault="00DD33BD" w:rsidP="00DD33BD">
            <w:pPr>
              <w:jc w:val="right"/>
              <w:rPr>
                <w:rFonts w:ascii="Arial" w:hAnsi="Arial" w:cs="Arial"/>
                <w:color w:val="000000"/>
                <w:lang w:val="es-MX" w:eastAsia="es-MX"/>
              </w:rPr>
            </w:pPr>
          </w:p>
        </w:tc>
        <w:tc>
          <w:tcPr>
            <w:tcW w:w="703" w:type="dxa"/>
            <w:tcBorders>
              <w:top w:val="nil"/>
              <w:left w:val="nil"/>
              <w:bottom w:val="single" w:sz="4" w:space="0" w:color="auto"/>
              <w:right w:val="single" w:sz="4" w:space="0" w:color="auto"/>
            </w:tcBorders>
            <w:shd w:val="clear" w:color="auto" w:fill="auto"/>
            <w:noWrap/>
            <w:vAlign w:val="bottom"/>
            <w:hideMark/>
          </w:tcPr>
          <w:p w14:paraId="399F9DBD" w14:textId="77777777" w:rsidR="00DD33BD" w:rsidRDefault="00DD33BD" w:rsidP="00DD33BD">
            <w:pPr>
              <w:rPr>
                <w:rFonts w:ascii="Arial" w:hAnsi="Arial" w:cs="Arial"/>
                <w:color w:val="000000"/>
              </w:rPr>
            </w:pPr>
            <w:r>
              <w:rPr>
                <w:rFonts w:ascii="Arial" w:hAnsi="Arial" w:cs="Arial"/>
                <w:color w:val="000000"/>
              </w:rPr>
              <w:t>0.6</w:t>
            </w:r>
          </w:p>
        </w:tc>
      </w:tr>
    </w:tbl>
    <w:p w14:paraId="4A65DFE1" w14:textId="77777777" w:rsidR="00100980" w:rsidRDefault="00C16B8B" w:rsidP="00833390">
      <w:pPr>
        <w:pStyle w:val="Textoindependiente2"/>
        <w:spacing w:before="0"/>
        <w:ind w:left="142"/>
        <w:rPr>
          <w:rFonts w:cs="Arial"/>
          <w:sz w:val="16"/>
          <w:szCs w:val="16"/>
        </w:rPr>
      </w:pPr>
      <w:r w:rsidRPr="00706D76">
        <w:rPr>
          <w:rFonts w:cs="Arial"/>
          <w:sz w:val="16"/>
          <w:szCs w:val="16"/>
        </w:rPr>
        <w:t>Fuente: INEGI.</w:t>
      </w:r>
    </w:p>
    <w:p w14:paraId="414A8A3D" w14:textId="77777777" w:rsidR="00100980" w:rsidRDefault="00100980">
      <w:pPr>
        <w:rPr>
          <w:rFonts w:ascii="Arial" w:hAnsi="Arial" w:cs="Arial"/>
          <w:color w:val="000000"/>
          <w:sz w:val="16"/>
          <w:szCs w:val="16"/>
        </w:rPr>
      </w:pPr>
      <w:r>
        <w:rPr>
          <w:rFonts w:cs="Arial"/>
          <w:sz w:val="16"/>
          <w:szCs w:val="16"/>
        </w:rPr>
        <w:br w:type="page"/>
      </w:r>
    </w:p>
    <w:p w14:paraId="63A61548" w14:textId="77777777" w:rsidR="00816C27" w:rsidRDefault="00816C27" w:rsidP="00BE2245">
      <w:pPr>
        <w:pStyle w:val="Textoindependiente2"/>
        <w:spacing w:before="1680"/>
        <w:rPr>
          <w:b/>
          <w:smallCaps/>
          <w:lang w:val="es-MX"/>
        </w:rPr>
      </w:pPr>
      <w:r w:rsidRPr="00CD31BE">
        <w:rPr>
          <w:b/>
          <w:smallCaps/>
          <w:lang w:val="es-MX"/>
        </w:rPr>
        <w:lastRenderedPageBreak/>
        <w:t>Aspectos Metodológicos</w:t>
      </w:r>
    </w:p>
    <w:p w14:paraId="758B642A" w14:textId="77777777" w:rsidR="00D35082" w:rsidRPr="00D35082" w:rsidRDefault="00D35082" w:rsidP="00D35082">
      <w:pPr>
        <w:pStyle w:val="Textoindependiente"/>
        <w:keepLines/>
        <w:spacing w:before="120"/>
      </w:pPr>
      <w:r w:rsidRPr="00D35082">
        <w:t>Los resultados del Producto Interno Bruto por Entidad Federativa (PIBE) parten de las cifras a nivel nacional por sectores económicos del Sistema de Cuentas Nacionales de México (SCNM), cuyo año base fue actualizado al año 2013 con el fin de garantizar la comparabilidad regional y nacional. Esto se logró mediante la utilización del SCIAN y la aplicación, en la medida en que la información estadística básica lo permitió, de las mismas metodologías de cálculo que se utilizan en el ámbito nacional para la medición de los agregados macroeconómicos.</w:t>
      </w:r>
    </w:p>
    <w:p w14:paraId="7F8E8681" w14:textId="77777777" w:rsidR="00D35082" w:rsidRPr="00D35082" w:rsidRDefault="00D35082" w:rsidP="00D35082">
      <w:pPr>
        <w:pStyle w:val="Textoindependiente"/>
        <w:spacing w:before="120"/>
      </w:pPr>
      <w:r w:rsidRPr="00D35082">
        <w:t xml:space="preserve">Al igual que el resto de productos derivados del SCNM, se incorporaron los conceptos en materia de contabilidad nacional, sugeridos por la Organización de las Naciones Unidas (ONU), la Organización para la Cooperación y el Desarrollo Económicos (OCDE), el Banco Mundial (BM), el Fondo Monetario Internacional (FMI), y la Oficina Estadística de la Unión Europea (EUROSTAT), que se encuentran plasmados en el manual del Sistema de Cuentas Nacionales 2008. </w:t>
      </w:r>
    </w:p>
    <w:p w14:paraId="19CB0EC2" w14:textId="77777777" w:rsidR="00D35082" w:rsidRPr="00D35082" w:rsidRDefault="00D35082" w:rsidP="00D35082">
      <w:pPr>
        <w:pStyle w:val="Textoindependiente"/>
        <w:spacing w:before="120"/>
      </w:pPr>
      <w:r w:rsidRPr="00D35082">
        <w:t>El ordenamiento de las actividades económicas se realizó de acuerdo con el Sistema de Clasificación Industrial de América del Norte (SCIAN) 2013, el cual fue adoptado por los socios firmantes del Tratado de Libre Comercio para América del Norte (TLCAN): Canadá, Estados Unidos y México, con la finalidad de coadyuvar en la comparabilidad de los indicadores económicos en la región. Además, se desarrolló una tabla de convergencia con la Clasificación Internacional Industrial Uniforme de todas las actividades económicas (CIIU), Serie M, Número 4, revisión 4, de la ONU, con la finalidad de facilitar la comparación internacional.</w:t>
      </w:r>
    </w:p>
    <w:p w14:paraId="1E01E0C0" w14:textId="77777777" w:rsidR="00D35082" w:rsidRPr="00D35082" w:rsidRDefault="00D35082" w:rsidP="00D35082">
      <w:pPr>
        <w:pStyle w:val="Textoindependiente"/>
        <w:spacing w:before="120"/>
      </w:pPr>
      <w:r w:rsidRPr="00D35082">
        <w:t>Los cálculos estatales que efectúa el SCNM tienen su base en agregaciones de la información estadística que proporcionan los Censos Económicos, las encuestas que implementa el INEGI, la información proporcionada por las diversas cámaras y asociaciones industriales, además de los registros administrativos de empresas públicas y privadas. Así, los resultados del PIB por Entidad Federativa se elaboran con base en un amplio acervo estadístico por sector y entidad.</w:t>
      </w:r>
    </w:p>
    <w:p w14:paraId="4917E909" w14:textId="77777777" w:rsidR="00D35082" w:rsidRPr="00D35082" w:rsidRDefault="00D35082" w:rsidP="00D35082">
      <w:pPr>
        <w:pStyle w:val="Textoindependiente"/>
        <w:spacing w:before="120"/>
      </w:pPr>
      <w:r w:rsidRPr="00D35082">
        <w:t xml:space="preserve">Entre la información obtenida de fuentes externas al Instituto, se </w:t>
      </w:r>
      <w:r w:rsidR="00227FA3">
        <w:t>destaca</w:t>
      </w:r>
      <w:r w:rsidRPr="00D35082">
        <w:t xml:space="preserve"> la que fue suministrada por la </w:t>
      </w:r>
      <w:r w:rsidR="00E235A4">
        <w:t xml:space="preserve">Secretaría de Agricultura, Ganadería, Desarrollo Rural, Pesca y Alimentación (SAGARPA) (ahora </w:t>
      </w:r>
      <w:r w:rsidR="00227FA3" w:rsidRPr="00227FA3">
        <w:t xml:space="preserve">Secretaría de Agricultura y Desarrollo Rural </w:t>
      </w:r>
      <w:r w:rsidR="00E235A4">
        <w:t xml:space="preserve">- </w:t>
      </w:r>
      <w:r w:rsidR="00227FA3" w:rsidRPr="00227FA3">
        <w:t>SADER)</w:t>
      </w:r>
      <w:r w:rsidRPr="00D35082">
        <w:t>, que a través del Servicio de Información Agroalimentaria y Pesquera (SIAP) proporcionó datos de los anuarios de la agricultura, ganadería, acuacultura y pesca. Por su parte, la Secretaría del Medio Ambiente y Recursos Naturales (SEMARNAT) facilitó información sobre el subsector forestal.</w:t>
      </w:r>
    </w:p>
    <w:p w14:paraId="3553DC75" w14:textId="77777777" w:rsidR="00D35082" w:rsidRPr="00D35082" w:rsidRDefault="00D35082" w:rsidP="00D35082">
      <w:pPr>
        <w:pStyle w:val="p0"/>
        <w:spacing w:before="120"/>
      </w:pPr>
      <w:r w:rsidRPr="00D35082">
        <w:t>La Secretaría de Economía, a través del Servicio Geológico Mexicano, suministró datos de la minería mexicana. Mención especial merece el cálculo de la extracción de petróleo crudo y gas natural, puesto que PEMEX suministró información de registros administrativos asociados con toda la industria petrolera para cada una</w:t>
      </w:r>
      <w:r w:rsidR="00CD3D52">
        <w:t xml:space="preserve"> de las actividades que realiza. </w:t>
      </w:r>
      <w:r w:rsidR="00B227F0">
        <w:t>É</w:t>
      </w:r>
      <w:r w:rsidR="00CD3D52">
        <w:t>sta se complementa con los datos de</w:t>
      </w:r>
      <w:r w:rsidRPr="00D35082">
        <w:t xml:space="preserve"> la Comisión Nacional de Hidrocarburos (CNH)</w:t>
      </w:r>
      <w:r w:rsidR="00CD3D52">
        <w:t xml:space="preserve">, tanto para la extracción de petróleo crudo y gas natural, como </w:t>
      </w:r>
      <w:r w:rsidR="00036296">
        <w:t xml:space="preserve">para </w:t>
      </w:r>
      <w:r w:rsidR="00CD3D52">
        <w:t>las actividades de prospección.</w:t>
      </w:r>
    </w:p>
    <w:p w14:paraId="6D3D3457" w14:textId="77777777" w:rsidR="00D35082" w:rsidRPr="00D35082" w:rsidRDefault="00D35082" w:rsidP="00D35082">
      <w:pPr>
        <w:pStyle w:val="p0"/>
        <w:spacing w:before="120"/>
      </w:pPr>
      <w:r w:rsidRPr="00D35082">
        <w:lastRenderedPageBreak/>
        <w:t>La Comisión Federal de Electricidad (CFE) y la Compañía de Luz y Fuerza del Centro (LFC) -hasta su extinción en el mes de octubre de 2009-, proporcionaron estadísticas de ventas de energía eléctrica</w:t>
      </w:r>
      <w:r w:rsidR="000D0574">
        <w:t>, e</w:t>
      </w:r>
      <w:r w:rsidR="000D0574" w:rsidRPr="000D0574">
        <w:t xml:space="preserve">l Centro Nacional de Control de Energía (CENACE) </w:t>
      </w:r>
      <w:r w:rsidR="000D0574">
        <w:t xml:space="preserve">que </w:t>
      </w:r>
      <w:r w:rsidR="000D0574" w:rsidRPr="000D0574">
        <w:t>proporcionó datos sobre la generación neta de electricidad, pública y privada, inyectada al Sistema Eléctrico Nacional</w:t>
      </w:r>
      <w:r w:rsidRPr="00D35082">
        <w:t xml:space="preserve">; también se contó con registros administrativos de la Comisión Reguladora de Energía (CRE), que facilitó los volúmenes de generación de electricidad emprendida por permisionarios privados. La Secretaría de Energía (SENER) </w:t>
      </w:r>
      <w:r w:rsidR="0031305D" w:rsidRPr="00D35082">
        <w:t>di</w:t>
      </w:r>
      <w:r w:rsidR="0031305D">
        <w:t>o</w:t>
      </w:r>
      <w:r w:rsidRPr="00D35082">
        <w:t xml:space="preserve"> información del suministro de gas por ductos al consumidor final y la Comisión Nacional del Agua (CONAGUA), sobre la recaudación de los organismos operadores de agua municipales. También se consultaron estadísticas de vivienda, proporcionadas por la Comisión Nacional de Vivienda (CONAVI). </w:t>
      </w:r>
    </w:p>
    <w:p w14:paraId="600DE484" w14:textId="77777777" w:rsidR="00D35082" w:rsidRPr="00D35082" w:rsidRDefault="00D35082" w:rsidP="00D35082">
      <w:pPr>
        <w:pStyle w:val="p0"/>
        <w:spacing w:before="120"/>
      </w:pPr>
      <w:r w:rsidRPr="00D35082">
        <w:t>El Instituto Mexicano del Seguro Social (IMSS) facilitó información de asegurados permanentes y eventuales, por fracción de actividad económica y entidad federativa. La Secretaría de Comunicaciones y Transportes (SCT) suministró datos detallados del transporte terrestre, aéreo y marítimo del país, así como información sobre las telecomunicaciones.</w:t>
      </w:r>
    </w:p>
    <w:p w14:paraId="10047FFC" w14:textId="77777777" w:rsidR="00D35082" w:rsidRPr="00D35082" w:rsidRDefault="00D35082" w:rsidP="00D35082">
      <w:pPr>
        <w:pStyle w:val="p0"/>
        <w:spacing w:before="120"/>
      </w:pPr>
      <w:r w:rsidRPr="00D35082">
        <w:t>Por su parte, el Banco de México, la Comisión Nacional Bancaria y de Valores (CNBV) y la Comisión Nacional de Seguros y Fianzas (CNSF), aportaron datos de la banca comercial y de las instituciones de seguros. La Secretaría de Educación Pública (SEP) hizo llegar datos asociados al sector educativo desde preescolar hasta posgrado; también se consultaron estadísticas de los servicios médicos proporcionadas por el Instituto Mexicano del Seguro Social (IMSS), el Instituto de Seguridad y Servicios Sociales de los Trabajadores del Estado (ISSSTE) y de diversos organismos de la seguridad social en los estados; de la Secretaría de Turismo (SECTUR) se consultaron estadísticas sobre hoteles y restaurantes.</w:t>
      </w:r>
    </w:p>
    <w:p w14:paraId="17AEACD5" w14:textId="77777777" w:rsidR="00D35082" w:rsidRPr="00D35082" w:rsidRDefault="00D35082" w:rsidP="00D35082">
      <w:pPr>
        <w:pStyle w:val="p0"/>
        <w:keepLines w:val="0"/>
        <w:spacing w:before="120"/>
      </w:pPr>
      <w:r w:rsidRPr="00D35082">
        <w:t>Para los cálculos del Sector Público se consultaron las Cuentas de la Hacienda Pública tanto del Gobierno Federal como las de los Gobiernos Locales (Estatales), de registros administrativos de los tres ámbitos de Gobierno: Federal, Estatal y Municipal, así como información de los estados financieros de Empresas Públicas, Organismos Descentralizados e Instituciones de Seguridad Social.</w:t>
      </w:r>
    </w:p>
    <w:p w14:paraId="23292965" w14:textId="77777777" w:rsidR="00D35082" w:rsidRPr="00D35082" w:rsidRDefault="00D35082" w:rsidP="00D35082">
      <w:pPr>
        <w:spacing w:before="120"/>
        <w:jc w:val="both"/>
        <w:rPr>
          <w:rFonts w:ascii="Arial" w:hAnsi="Arial"/>
          <w:sz w:val="24"/>
        </w:rPr>
      </w:pPr>
      <w:r w:rsidRPr="00D35082">
        <w:rPr>
          <w:rFonts w:ascii="Arial" w:hAnsi="Arial"/>
          <w:sz w:val="24"/>
        </w:rPr>
        <w:t xml:space="preserve">Es importante destacar que, en los cálculos del año base 2013, los Servicios de Intermediación Financiera Medidos Indirectamente (SIFMI) se </w:t>
      </w:r>
      <w:r w:rsidR="000D0574">
        <w:rPr>
          <w:rFonts w:ascii="Arial" w:hAnsi="Arial"/>
          <w:sz w:val="24"/>
        </w:rPr>
        <w:t>asignaron</w:t>
      </w:r>
      <w:r w:rsidRPr="00D35082">
        <w:rPr>
          <w:rFonts w:ascii="Arial" w:hAnsi="Arial"/>
          <w:sz w:val="24"/>
        </w:rPr>
        <w:t xml:space="preserve"> por actividad económica, siguiendo las recomendaciones del Manual del Sistema de Cuentas Nacionales 2008.</w:t>
      </w:r>
    </w:p>
    <w:p w14:paraId="7D25BC23" w14:textId="77777777" w:rsidR="00D35082" w:rsidRDefault="00D35082" w:rsidP="00D35082">
      <w:pPr>
        <w:pStyle w:val="p0"/>
        <w:keepLines w:val="0"/>
        <w:spacing w:before="120"/>
      </w:pPr>
      <w:r w:rsidRPr="00D35082">
        <w:t>Finalmente, la información contenida aquí representa sólo una muestra de este acervo informativo que puede ser consultado en la página del Instituto en Internet.</w:t>
      </w:r>
    </w:p>
    <w:p w14:paraId="2BAF909D" w14:textId="77777777" w:rsidR="00904AF7" w:rsidRDefault="000027EC" w:rsidP="00D26F51">
      <w:pPr>
        <w:autoSpaceDE w:val="0"/>
        <w:autoSpaceDN w:val="0"/>
        <w:rPr>
          <w:rStyle w:val="Hipervnculo"/>
          <w:rFonts w:ascii="Segoe UI" w:hAnsi="Segoe UI" w:cs="Segoe UI"/>
          <w:sz w:val="24"/>
        </w:rPr>
      </w:pPr>
      <w:hyperlink r:id="rId31" w:history="1"/>
    </w:p>
    <w:p w14:paraId="094BA14B" w14:textId="77777777" w:rsidR="00FB76FD" w:rsidRPr="00FB76FD" w:rsidRDefault="000027EC" w:rsidP="00FB76FD">
      <w:pPr>
        <w:rPr>
          <w:rFonts w:ascii="Arial" w:hAnsi="Arial" w:cs="Arial"/>
          <w:sz w:val="24"/>
          <w:lang w:val="es-MX" w:eastAsia="en-US"/>
        </w:rPr>
      </w:pPr>
      <w:hyperlink r:id="rId32" w:history="1">
        <w:r w:rsidR="00FB76FD" w:rsidRPr="00FB76FD">
          <w:rPr>
            <w:rStyle w:val="Hipervnculo"/>
            <w:rFonts w:ascii="Arial" w:hAnsi="Arial" w:cs="Arial"/>
            <w:sz w:val="24"/>
          </w:rPr>
          <w:t>https://www.inegi.org.mx/programas/pibent/2013/</w:t>
        </w:r>
      </w:hyperlink>
    </w:p>
    <w:p w14:paraId="35776DF3" w14:textId="77777777" w:rsidR="00FB76FD" w:rsidRPr="00D26F51" w:rsidRDefault="00FB76FD" w:rsidP="00D26F51">
      <w:pPr>
        <w:autoSpaceDE w:val="0"/>
        <w:autoSpaceDN w:val="0"/>
        <w:rPr>
          <w:lang w:val="es-MX" w:eastAsia="es-MX"/>
        </w:rPr>
      </w:pPr>
    </w:p>
    <w:sectPr w:rsidR="00FB76FD" w:rsidRPr="00D26F51" w:rsidSect="005F734C">
      <w:headerReference w:type="default" r:id="rId33"/>
      <w:pgSz w:w="12240" w:h="15840" w:code="1"/>
      <w:pgMar w:top="1021" w:right="1610" w:bottom="567" w:left="1701" w:header="425" w:footer="544"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8B6D1" w14:textId="77777777" w:rsidR="00B879F6" w:rsidRDefault="00B879F6">
      <w:r>
        <w:separator/>
      </w:r>
    </w:p>
  </w:endnote>
  <w:endnote w:type="continuationSeparator" w:id="0">
    <w:p w14:paraId="4760CBAA" w14:textId="77777777" w:rsidR="00B879F6" w:rsidRDefault="00B87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0BF84" w14:textId="77777777" w:rsidR="000027EC" w:rsidRDefault="000027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63487" w14:textId="77777777" w:rsidR="00BA5BA5" w:rsidRPr="00815A90" w:rsidRDefault="00BA5BA5" w:rsidP="00BA5BA5">
    <w:pPr>
      <w:pStyle w:val="Piedepgina"/>
      <w:contextualSpacing/>
      <w:jc w:val="center"/>
      <w:rPr>
        <w:rFonts w:ascii="Arial" w:hAnsi="Arial" w:cs="Arial"/>
        <w:color w:val="002060"/>
        <w:sz w:val="18"/>
        <w:szCs w:val="18"/>
      </w:rPr>
    </w:pPr>
    <w:r w:rsidRPr="00815A90">
      <w:rPr>
        <w:rFonts w:ascii="Arial" w:hAnsi="Arial" w:cs="Arial"/>
        <w:b/>
        <w:color w:val="002060"/>
        <w:sz w:val="18"/>
        <w:szCs w:val="18"/>
      </w:rPr>
      <w:t>COMUNICACIÓN SOCIAL</w:t>
    </w:r>
  </w:p>
  <w:p w14:paraId="073A0BB1" w14:textId="77777777" w:rsidR="00BA5BA5" w:rsidRPr="001F648F" w:rsidRDefault="00BA5BA5" w:rsidP="00BA5BA5">
    <w:pPr>
      <w:pStyle w:val="Piedepgina"/>
      <w:contextualSpacing/>
      <w:jc w:val="center"/>
      <w:rPr>
        <w:b/>
        <w:color w:val="00206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93121" w14:textId="77777777" w:rsidR="000027EC" w:rsidRDefault="000027E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DD5F58" w14:textId="77777777" w:rsidR="00B879F6" w:rsidRDefault="00B879F6">
      <w:r>
        <w:separator/>
      </w:r>
    </w:p>
  </w:footnote>
  <w:footnote w:type="continuationSeparator" w:id="0">
    <w:p w14:paraId="7BFF0288" w14:textId="77777777" w:rsidR="00B879F6" w:rsidRDefault="00B879F6">
      <w:r>
        <w:continuationSeparator/>
      </w:r>
    </w:p>
  </w:footnote>
  <w:footnote w:id="1">
    <w:p w14:paraId="309BE1CF" w14:textId="77777777" w:rsidR="00BA5BA5" w:rsidRPr="00816E39" w:rsidRDefault="00BA5BA5" w:rsidP="00F6506F">
      <w:pPr>
        <w:pStyle w:val="Textonotapie"/>
        <w:ind w:left="142" w:right="20" w:hanging="142"/>
        <w:jc w:val="both"/>
        <w:rPr>
          <w:rFonts w:ascii="Arial" w:hAnsi="Arial" w:cs="Arial"/>
          <w:b/>
          <w:lang w:val="es-MX"/>
        </w:rPr>
      </w:pPr>
      <w:r w:rsidRPr="00816E39">
        <w:rPr>
          <w:rStyle w:val="Refdenotaalpie"/>
          <w:rFonts w:ascii="Arial" w:hAnsi="Arial"/>
          <w:b w:val="0"/>
          <w:sz w:val="20"/>
        </w:rPr>
        <w:footnoteRef/>
      </w:r>
      <w:r>
        <w:rPr>
          <w:rFonts w:ascii="Arial" w:hAnsi="Arial" w:cs="Arial"/>
          <w:b/>
        </w:rPr>
        <w:t xml:space="preserve"> </w:t>
      </w:r>
      <w:r w:rsidRPr="00816E39">
        <w:rPr>
          <w:rFonts w:ascii="Arial" w:hAnsi="Arial" w:cs="Arial"/>
          <w:sz w:val="16"/>
          <w:szCs w:val="16"/>
        </w:rPr>
        <w:t>Al</w:t>
      </w:r>
      <w:r>
        <w:rPr>
          <w:rFonts w:ascii="Arial" w:hAnsi="Arial" w:cs="Arial"/>
          <w:sz w:val="16"/>
          <w:szCs w:val="16"/>
        </w:rPr>
        <w:t xml:space="preserve"> hacer referencia a la entidad México (número 15 en el catálogo oficial de entidades federativas) se utiliza el convencionalismo de “Estado de México” para fines </w:t>
      </w:r>
      <w:r w:rsidRPr="00B84ED5">
        <w:rPr>
          <w:rFonts w:ascii="Arial" w:hAnsi="Arial" w:cs="Arial"/>
          <w:sz w:val="16"/>
          <w:szCs w:val="16"/>
        </w:rPr>
        <w:t>expositivos</w:t>
      </w:r>
      <w:r>
        <w:rPr>
          <w:rFonts w:ascii="Arial" w:hAnsi="Arial" w:cs="Arial"/>
          <w:sz w:val="16"/>
          <w:szCs w:val="16"/>
        </w:rPr>
        <w:t>.</w:t>
      </w:r>
    </w:p>
  </w:footnote>
  <w:footnote w:id="2">
    <w:p w14:paraId="67328F13" w14:textId="77777777" w:rsidR="00BA5BA5" w:rsidRDefault="00BA5BA5" w:rsidP="00F6506F">
      <w:pPr>
        <w:pStyle w:val="Textonotapie"/>
        <w:ind w:left="142" w:right="20" w:hanging="142"/>
        <w:jc w:val="both"/>
        <w:rPr>
          <w:rFonts w:ascii="Arial" w:hAnsi="Arial" w:cs="Arial"/>
          <w:sz w:val="16"/>
          <w:szCs w:val="16"/>
        </w:rPr>
      </w:pPr>
      <w:r w:rsidRPr="005C4E65">
        <w:rPr>
          <w:rStyle w:val="Refdenotaalpie"/>
          <w:rFonts w:ascii="Arial" w:hAnsi="Arial"/>
          <w:b w:val="0"/>
          <w:sz w:val="20"/>
        </w:rPr>
        <w:footnoteRef/>
      </w:r>
      <w:r>
        <w:tab/>
      </w:r>
      <w:r w:rsidRPr="00B929EF">
        <w:rPr>
          <w:rFonts w:ascii="Arial" w:hAnsi="Arial" w:cs="Arial"/>
          <w:sz w:val="16"/>
          <w:szCs w:val="16"/>
        </w:rPr>
        <w:t>Son los precios de los bienes o servicios valorados en el establecimiento del productor. Se excluyen los gastos de transporte y los impuestos netos a los productos como el IVA.</w:t>
      </w:r>
    </w:p>
    <w:p w14:paraId="19A7B3AE" w14:textId="77777777" w:rsidR="00BA5BA5" w:rsidRPr="00B929EF" w:rsidRDefault="00BA5BA5" w:rsidP="0017331D">
      <w:pPr>
        <w:pStyle w:val="Textonotapie"/>
        <w:ind w:left="142" w:hanging="142"/>
        <w:jc w:val="both"/>
      </w:pPr>
    </w:p>
  </w:footnote>
  <w:footnote w:id="3">
    <w:p w14:paraId="0B20A295" w14:textId="77777777" w:rsidR="00BA5BA5" w:rsidRPr="00816E39" w:rsidRDefault="00BA5BA5" w:rsidP="00816E39">
      <w:pPr>
        <w:pStyle w:val="Textonotapie"/>
        <w:ind w:left="142" w:hanging="142"/>
        <w:jc w:val="both"/>
        <w:rPr>
          <w:rFonts w:ascii="Arial" w:hAnsi="Arial" w:cs="Arial"/>
          <w:b/>
          <w:lang w:val="es-MX"/>
        </w:rPr>
      </w:pPr>
      <w:r w:rsidRPr="00816E39">
        <w:rPr>
          <w:rStyle w:val="Refdenotaalpie"/>
          <w:rFonts w:ascii="Arial" w:hAnsi="Arial"/>
          <w:b w:val="0"/>
          <w:sz w:val="20"/>
        </w:rPr>
        <w:footnoteRef/>
      </w:r>
      <w:r>
        <w:rPr>
          <w:rFonts w:ascii="Arial" w:hAnsi="Arial" w:cs="Arial"/>
          <w:b/>
        </w:rPr>
        <w:t xml:space="preserve"> </w:t>
      </w:r>
      <w:r w:rsidRPr="00816E39">
        <w:rPr>
          <w:rFonts w:ascii="Arial" w:hAnsi="Arial" w:cs="Arial"/>
          <w:sz w:val="16"/>
          <w:szCs w:val="16"/>
        </w:rPr>
        <w:t>Al</w:t>
      </w:r>
      <w:r>
        <w:rPr>
          <w:rFonts w:ascii="Arial" w:hAnsi="Arial" w:cs="Arial"/>
          <w:sz w:val="16"/>
          <w:szCs w:val="16"/>
        </w:rPr>
        <w:t xml:space="preserve"> hacer referencia a la entidad México (número 15 en el catálogo oficial de entidades federativas) se utiliza el convencionalismo de “Estado de México” para fines </w:t>
      </w:r>
      <w:r w:rsidRPr="00B84ED5">
        <w:rPr>
          <w:rFonts w:ascii="Arial" w:hAnsi="Arial" w:cs="Arial"/>
          <w:sz w:val="16"/>
          <w:szCs w:val="16"/>
        </w:rPr>
        <w:t>expositivos</w:t>
      </w:r>
      <w:r>
        <w:rPr>
          <w:rFonts w:ascii="Arial" w:hAnsi="Arial" w:cs="Arial"/>
          <w:sz w:val="16"/>
          <w:szCs w:val="16"/>
        </w:rPr>
        <w:t>.</w:t>
      </w:r>
    </w:p>
  </w:footnote>
  <w:footnote w:id="4">
    <w:p w14:paraId="7E09E14D" w14:textId="77777777" w:rsidR="00BA5BA5" w:rsidRPr="00435777" w:rsidRDefault="00BA5BA5" w:rsidP="000746B1">
      <w:pPr>
        <w:pStyle w:val="Textonotapie"/>
        <w:ind w:left="142" w:hanging="142"/>
        <w:jc w:val="both"/>
      </w:pPr>
      <w:r w:rsidRPr="000D06BC">
        <w:rPr>
          <w:rStyle w:val="Refdenotaalpie"/>
          <w:rFonts w:ascii="Arial" w:hAnsi="Arial"/>
          <w:b w:val="0"/>
          <w:sz w:val="20"/>
        </w:rPr>
        <w:footnoteRef/>
      </w:r>
      <w:r>
        <w:tab/>
      </w:r>
      <w:r w:rsidRPr="00435777">
        <w:rPr>
          <w:rFonts w:ascii="Arial" w:hAnsi="Arial" w:cs="Arial"/>
          <w:sz w:val="16"/>
          <w:szCs w:val="16"/>
        </w:rPr>
        <w:t>Para Campeche</w:t>
      </w:r>
      <w:r>
        <w:rPr>
          <w:rFonts w:ascii="Arial" w:hAnsi="Arial" w:cs="Arial"/>
          <w:sz w:val="16"/>
          <w:szCs w:val="16"/>
        </w:rPr>
        <w:t xml:space="preserve"> la Extracción de petróleo y gas, y la Perforación de pozos petroleros y de gas, representaron el 91.7</w:t>
      </w:r>
      <w:r w:rsidRPr="00C366D8">
        <w:rPr>
          <w:rFonts w:ascii="Arial" w:hAnsi="Arial" w:cs="Arial"/>
          <w:sz w:val="16"/>
          <w:szCs w:val="16"/>
        </w:rPr>
        <w:t xml:space="preserve">% del total de las actividades secundarias; mientras que en Tabasco estas actividades aportaron el </w:t>
      </w:r>
      <w:r>
        <w:rPr>
          <w:rFonts w:ascii="Arial" w:hAnsi="Arial" w:cs="Arial"/>
          <w:sz w:val="16"/>
          <w:szCs w:val="16"/>
        </w:rPr>
        <w:t>80.5</w:t>
      </w:r>
      <w:r w:rsidRPr="00C366D8">
        <w:rPr>
          <w:rFonts w:ascii="Arial" w:hAnsi="Arial" w:cs="Arial"/>
          <w:sz w:val="16"/>
          <w:szCs w:val="16"/>
        </w:rPr>
        <w:t>% del total de su</w:t>
      </w:r>
      <w:r w:rsidRPr="00435777">
        <w:rPr>
          <w:rFonts w:ascii="Arial" w:hAnsi="Arial" w:cs="Arial"/>
          <w:sz w:val="16"/>
          <w:szCs w:val="16"/>
        </w:rPr>
        <w:t xml:space="preserve"> actividad secundaria.</w:t>
      </w:r>
    </w:p>
  </w:footnote>
  <w:footnote w:id="5">
    <w:p w14:paraId="5C15497F" w14:textId="77777777" w:rsidR="00BA5BA5" w:rsidRPr="00A07D6A" w:rsidRDefault="00BA5BA5" w:rsidP="00861E8E">
      <w:pPr>
        <w:pStyle w:val="Textonotapie"/>
        <w:tabs>
          <w:tab w:val="left" w:pos="142"/>
        </w:tabs>
        <w:jc w:val="both"/>
        <w:rPr>
          <w:lang w:val="es-MX"/>
        </w:rPr>
      </w:pPr>
      <w:r w:rsidRPr="00861E8E">
        <w:rPr>
          <w:rStyle w:val="Refdenotaalpie"/>
          <w:rFonts w:ascii="Arial" w:hAnsi="Arial"/>
          <w:b w:val="0"/>
          <w:sz w:val="20"/>
        </w:rPr>
        <w:footnoteRef/>
      </w:r>
      <w:r>
        <w:rPr>
          <w:b/>
        </w:rPr>
        <w:tab/>
      </w:r>
      <w:r w:rsidRPr="00A07D6A">
        <w:rPr>
          <w:rFonts w:ascii="Arial" w:hAnsi="Arial" w:cs="Arial"/>
          <w:sz w:val="16"/>
          <w:szCs w:val="16"/>
        </w:rPr>
        <w:t xml:space="preserve">La </w:t>
      </w:r>
      <w:r>
        <w:rPr>
          <w:rFonts w:ascii="Arial" w:hAnsi="Arial" w:cs="Arial"/>
          <w:sz w:val="16"/>
          <w:szCs w:val="16"/>
        </w:rPr>
        <w:t>m</w:t>
      </w:r>
      <w:r w:rsidRPr="00A07D6A">
        <w:rPr>
          <w:rFonts w:ascii="Arial" w:hAnsi="Arial" w:cs="Arial"/>
          <w:sz w:val="16"/>
          <w:szCs w:val="16"/>
        </w:rPr>
        <w:t xml:space="preserve">inería </w:t>
      </w:r>
      <w:r>
        <w:rPr>
          <w:rFonts w:ascii="Arial" w:hAnsi="Arial" w:cs="Arial"/>
          <w:sz w:val="16"/>
          <w:szCs w:val="16"/>
        </w:rPr>
        <w:t>p</w:t>
      </w:r>
      <w:r w:rsidRPr="00A07D6A">
        <w:rPr>
          <w:rFonts w:ascii="Arial" w:hAnsi="Arial" w:cs="Arial"/>
          <w:sz w:val="16"/>
          <w:szCs w:val="16"/>
        </w:rPr>
        <w:t xml:space="preserve">etrolera se conforma por la Extracción de petróleo y gas, y la Perforación de pozos petroleros y </w:t>
      </w:r>
      <w:r>
        <w:rPr>
          <w:rFonts w:ascii="Arial" w:hAnsi="Arial" w:cs="Arial"/>
          <w:sz w:val="16"/>
          <w:szCs w:val="16"/>
        </w:rPr>
        <w:t xml:space="preserve">de </w:t>
      </w:r>
      <w:r w:rsidRPr="00A07D6A">
        <w:rPr>
          <w:rFonts w:ascii="Arial" w:hAnsi="Arial" w:cs="Arial"/>
          <w:sz w:val="16"/>
          <w:szCs w:val="16"/>
        </w:rPr>
        <w:t>gas.</w:t>
      </w:r>
    </w:p>
  </w:footnote>
  <w:footnote w:id="6">
    <w:p w14:paraId="37B17729" w14:textId="77777777" w:rsidR="00BA5BA5" w:rsidRPr="009B6830" w:rsidRDefault="00BA5BA5" w:rsidP="00774F69">
      <w:pPr>
        <w:pStyle w:val="Textonotapie"/>
        <w:ind w:left="142" w:hanging="142"/>
        <w:jc w:val="both"/>
        <w:rPr>
          <w:lang w:val="es-MX"/>
        </w:rPr>
      </w:pPr>
      <w:r w:rsidRPr="00861E8E">
        <w:rPr>
          <w:rStyle w:val="Refdenotaalpie"/>
          <w:rFonts w:ascii="Arial" w:hAnsi="Arial"/>
          <w:b w:val="0"/>
          <w:sz w:val="20"/>
        </w:rPr>
        <w:footnoteRef/>
      </w:r>
      <w:r>
        <w:t xml:space="preserve"> </w:t>
      </w:r>
      <w:r>
        <w:tab/>
      </w:r>
      <w:r w:rsidRPr="00A4778B">
        <w:rPr>
          <w:rFonts w:ascii="Arial" w:hAnsi="Arial" w:cs="Arial"/>
          <w:sz w:val="16"/>
          <w:szCs w:val="16"/>
        </w:rPr>
        <w:t>Incluye</w:t>
      </w:r>
      <w:r>
        <w:rPr>
          <w:rFonts w:ascii="Arial" w:hAnsi="Arial" w:cs="Arial"/>
          <w:sz w:val="16"/>
          <w:szCs w:val="16"/>
        </w:rPr>
        <w:t>:</w:t>
      </w:r>
      <w:r w:rsidRPr="00A4778B">
        <w:rPr>
          <w:rFonts w:ascii="Arial" w:hAnsi="Arial" w:cs="Arial"/>
          <w:sz w:val="16"/>
          <w:szCs w:val="16"/>
        </w:rPr>
        <w:t xml:space="preserve"> </w:t>
      </w:r>
      <w:r>
        <w:rPr>
          <w:rFonts w:ascii="Arial" w:hAnsi="Arial" w:cs="Arial"/>
          <w:sz w:val="16"/>
          <w:szCs w:val="16"/>
        </w:rPr>
        <w:t xml:space="preserve">comercio; transportes, correos, y almacenamiento; información en medios masivos; </w:t>
      </w:r>
      <w:r w:rsidRPr="00A4778B">
        <w:rPr>
          <w:rFonts w:ascii="Arial" w:hAnsi="Arial" w:cs="Arial"/>
          <w:sz w:val="16"/>
          <w:szCs w:val="16"/>
        </w:rPr>
        <w:t>ser</w:t>
      </w:r>
      <w:r>
        <w:rPr>
          <w:rFonts w:ascii="Arial" w:hAnsi="Arial" w:cs="Arial"/>
          <w:sz w:val="16"/>
          <w:szCs w:val="16"/>
        </w:rPr>
        <w:t>vicios financieros y de seguros;</w:t>
      </w:r>
      <w:r w:rsidRPr="00A4778B">
        <w:rPr>
          <w:rFonts w:ascii="Arial" w:hAnsi="Arial" w:cs="Arial"/>
          <w:sz w:val="16"/>
          <w:szCs w:val="16"/>
        </w:rPr>
        <w:t xml:space="preserve"> servicios inmobiliarios y de alquiler de bienes muebles e intangibles</w:t>
      </w:r>
      <w:r>
        <w:rPr>
          <w:rFonts w:ascii="Arial" w:hAnsi="Arial" w:cs="Arial"/>
          <w:sz w:val="16"/>
          <w:szCs w:val="16"/>
        </w:rPr>
        <w:t>;</w:t>
      </w:r>
      <w:r w:rsidRPr="00A4778B">
        <w:rPr>
          <w:rFonts w:ascii="Arial" w:hAnsi="Arial" w:cs="Arial"/>
          <w:sz w:val="16"/>
          <w:szCs w:val="16"/>
        </w:rPr>
        <w:t xml:space="preserve"> servicios profesionales, científicos y técnicos</w:t>
      </w:r>
      <w:r>
        <w:rPr>
          <w:rFonts w:ascii="Arial" w:hAnsi="Arial" w:cs="Arial"/>
          <w:sz w:val="16"/>
          <w:szCs w:val="16"/>
        </w:rPr>
        <w:t>;</w:t>
      </w:r>
      <w:r w:rsidRPr="00A4778B">
        <w:rPr>
          <w:rFonts w:ascii="Arial" w:hAnsi="Arial" w:cs="Arial"/>
          <w:sz w:val="16"/>
          <w:szCs w:val="16"/>
        </w:rPr>
        <w:t xml:space="preserve"> </w:t>
      </w:r>
      <w:r>
        <w:rPr>
          <w:rFonts w:ascii="Arial" w:hAnsi="Arial" w:cs="Arial"/>
          <w:sz w:val="16"/>
          <w:szCs w:val="16"/>
        </w:rPr>
        <w:t>corporativos;</w:t>
      </w:r>
      <w:r w:rsidRPr="00A4778B">
        <w:rPr>
          <w:rFonts w:ascii="Arial" w:hAnsi="Arial" w:cs="Arial"/>
          <w:sz w:val="16"/>
          <w:szCs w:val="16"/>
        </w:rPr>
        <w:t xml:space="preserve"> servicios de apoyo a los negocios y manejo de desechos y servicios de remediación</w:t>
      </w:r>
      <w:r>
        <w:rPr>
          <w:rFonts w:ascii="Arial" w:hAnsi="Arial" w:cs="Arial"/>
          <w:sz w:val="16"/>
          <w:szCs w:val="16"/>
        </w:rPr>
        <w:t>;</w:t>
      </w:r>
      <w:r w:rsidRPr="00A4778B">
        <w:rPr>
          <w:rFonts w:ascii="Arial" w:hAnsi="Arial" w:cs="Arial"/>
          <w:sz w:val="16"/>
          <w:szCs w:val="16"/>
        </w:rPr>
        <w:t xml:space="preserve"> servicios educativos</w:t>
      </w:r>
      <w:r>
        <w:rPr>
          <w:rFonts w:ascii="Arial" w:hAnsi="Arial" w:cs="Arial"/>
          <w:sz w:val="16"/>
          <w:szCs w:val="16"/>
        </w:rPr>
        <w:t>;</w:t>
      </w:r>
      <w:r w:rsidRPr="00A4778B">
        <w:rPr>
          <w:rFonts w:ascii="Arial" w:hAnsi="Arial" w:cs="Arial"/>
          <w:sz w:val="16"/>
          <w:szCs w:val="16"/>
        </w:rPr>
        <w:t xml:space="preserve"> servicios de salud y de asistencia social</w:t>
      </w:r>
      <w:r>
        <w:rPr>
          <w:rFonts w:ascii="Arial" w:hAnsi="Arial" w:cs="Arial"/>
          <w:sz w:val="16"/>
          <w:szCs w:val="16"/>
        </w:rPr>
        <w:t>;</w:t>
      </w:r>
      <w:r w:rsidRPr="00A4778B">
        <w:rPr>
          <w:rFonts w:ascii="Arial" w:hAnsi="Arial" w:cs="Arial"/>
          <w:sz w:val="16"/>
          <w:szCs w:val="16"/>
        </w:rPr>
        <w:t xml:space="preserve"> servicios de esparcimiento</w:t>
      </w:r>
      <w:r>
        <w:rPr>
          <w:rFonts w:ascii="Arial" w:hAnsi="Arial" w:cs="Arial"/>
          <w:sz w:val="16"/>
          <w:szCs w:val="16"/>
        </w:rPr>
        <w:t>,</w:t>
      </w:r>
      <w:r w:rsidRPr="00A4778B">
        <w:rPr>
          <w:rFonts w:ascii="Arial" w:hAnsi="Arial" w:cs="Arial"/>
          <w:sz w:val="16"/>
          <w:szCs w:val="16"/>
        </w:rPr>
        <w:t xml:space="preserve"> culturales y deportivos</w:t>
      </w:r>
      <w:r>
        <w:rPr>
          <w:rFonts w:ascii="Arial" w:hAnsi="Arial" w:cs="Arial"/>
          <w:sz w:val="16"/>
          <w:szCs w:val="16"/>
        </w:rPr>
        <w:t>,</w:t>
      </w:r>
      <w:r w:rsidRPr="00A4778B">
        <w:rPr>
          <w:rFonts w:ascii="Arial" w:hAnsi="Arial" w:cs="Arial"/>
          <w:sz w:val="16"/>
          <w:szCs w:val="16"/>
        </w:rPr>
        <w:t xml:space="preserve"> y otros servicios recreativos</w:t>
      </w:r>
      <w:r>
        <w:rPr>
          <w:rFonts w:ascii="Arial" w:hAnsi="Arial" w:cs="Arial"/>
          <w:sz w:val="16"/>
          <w:szCs w:val="16"/>
        </w:rPr>
        <w:t>;</w:t>
      </w:r>
      <w:r w:rsidRPr="00A4778B">
        <w:rPr>
          <w:rFonts w:ascii="Arial" w:hAnsi="Arial" w:cs="Arial"/>
          <w:sz w:val="16"/>
          <w:szCs w:val="16"/>
        </w:rPr>
        <w:t xml:space="preserve"> servicios de alojamiento temporal y de preparación de alimentos y bebidas</w:t>
      </w:r>
      <w:r>
        <w:rPr>
          <w:rFonts w:ascii="Arial" w:hAnsi="Arial" w:cs="Arial"/>
          <w:sz w:val="16"/>
          <w:szCs w:val="16"/>
        </w:rPr>
        <w:t>;</w:t>
      </w:r>
      <w:r w:rsidRPr="00A4778B">
        <w:rPr>
          <w:rFonts w:ascii="Arial" w:hAnsi="Arial" w:cs="Arial"/>
          <w:sz w:val="16"/>
          <w:szCs w:val="16"/>
        </w:rPr>
        <w:t xml:space="preserve"> otros servicios excepto actividades del gobierno</w:t>
      </w:r>
      <w:r>
        <w:rPr>
          <w:rFonts w:ascii="Arial" w:hAnsi="Arial" w:cs="Arial"/>
          <w:sz w:val="16"/>
          <w:szCs w:val="16"/>
        </w:rPr>
        <w:t>,</w:t>
      </w:r>
      <w:r w:rsidRPr="00A4778B">
        <w:rPr>
          <w:rFonts w:ascii="Arial" w:hAnsi="Arial" w:cs="Arial"/>
          <w:sz w:val="16"/>
          <w:szCs w:val="16"/>
        </w:rPr>
        <w:t xml:space="preserve"> y actividades l</w:t>
      </w:r>
      <w:r>
        <w:rPr>
          <w:rFonts w:ascii="Arial" w:hAnsi="Arial" w:cs="Arial"/>
          <w:sz w:val="16"/>
          <w:szCs w:val="16"/>
        </w:rPr>
        <w:t>egislativas, gubernamentales, de impartición de justicia y de organismos internacionales y extraterritoriales.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1521D" w14:textId="77777777" w:rsidR="000027EC" w:rsidRDefault="000027E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4E3A4" w14:textId="1A17AF02" w:rsidR="00BA5BA5" w:rsidRPr="00815A90" w:rsidRDefault="00BA5BA5" w:rsidP="000027EC">
    <w:pPr>
      <w:pStyle w:val="Encabezado"/>
      <w:framePr w:w="5371" w:hSpace="141" w:wrap="auto" w:vAnchor="text" w:hAnchor="page" w:x="5724" w:y="35"/>
      <w:ind w:left="567" w:hanging="11"/>
      <w:jc w:val="right"/>
      <w:rPr>
        <w:rFonts w:ascii="Arial" w:hAnsi="Arial" w:cs="Arial"/>
        <w:b/>
        <w:color w:val="002060"/>
        <w:sz w:val="24"/>
        <w:szCs w:val="24"/>
      </w:rPr>
    </w:pPr>
    <w:bookmarkStart w:id="0" w:name="_GoBack"/>
    <w:r w:rsidRPr="00815A90">
      <w:rPr>
        <w:rFonts w:ascii="Arial" w:hAnsi="Arial" w:cs="Arial"/>
        <w:b/>
        <w:color w:val="002060"/>
        <w:sz w:val="24"/>
        <w:szCs w:val="24"/>
      </w:rPr>
      <w:t xml:space="preserve">COMUNICADO DE PRENSA NÚM. </w:t>
    </w:r>
    <w:r w:rsidR="000027EC">
      <w:rPr>
        <w:rFonts w:ascii="Arial" w:hAnsi="Arial" w:cs="Arial"/>
        <w:b/>
        <w:color w:val="002060"/>
        <w:sz w:val="24"/>
        <w:szCs w:val="24"/>
      </w:rPr>
      <w:t>694</w:t>
    </w:r>
    <w:r w:rsidRPr="00815A90">
      <w:rPr>
        <w:rFonts w:ascii="Arial" w:hAnsi="Arial" w:cs="Arial"/>
        <w:b/>
        <w:color w:val="002060"/>
        <w:sz w:val="24"/>
        <w:szCs w:val="24"/>
      </w:rPr>
      <w:t>/1</w:t>
    </w:r>
    <w:r>
      <w:rPr>
        <w:rFonts w:ascii="Arial" w:hAnsi="Arial" w:cs="Arial"/>
        <w:b/>
        <w:color w:val="002060"/>
        <w:sz w:val="24"/>
        <w:szCs w:val="24"/>
      </w:rPr>
      <w:t>9</w:t>
    </w:r>
  </w:p>
  <w:p w14:paraId="3DBDE4B8" w14:textId="77777777" w:rsidR="00BA5BA5" w:rsidRPr="00815A90" w:rsidRDefault="00BA5BA5" w:rsidP="000027EC">
    <w:pPr>
      <w:pStyle w:val="Encabezado"/>
      <w:framePr w:w="5371" w:hSpace="141" w:wrap="auto" w:vAnchor="text" w:hAnchor="page" w:x="5724" w:y="35"/>
      <w:ind w:left="567" w:hanging="11"/>
      <w:jc w:val="right"/>
      <w:rPr>
        <w:rFonts w:ascii="Arial" w:hAnsi="Arial" w:cs="Arial"/>
        <w:b/>
        <w:color w:val="002060"/>
        <w:sz w:val="24"/>
        <w:szCs w:val="24"/>
        <w:lang w:val="pt-BR"/>
      </w:rPr>
    </w:pPr>
    <w:r>
      <w:rPr>
        <w:rFonts w:ascii="Arial" w:hAnsi="Arial" w:cs="Arial"/>
        <w:b/>
        <w:color w:val="002060"/>
        <w:sz w:val="24"/>
        <w:szCs w:val="24"/>
        <w:lang w:val="pt-BR"/>
      </w:rPr>
      <w:t>16</w:t>
    </w:r>
    <w:r w:rsidRPr="00815A90">
      <w:rPr>
        <w:rFonts w:ascii="Arial" w:hAnsi="Arial" w:cs="Arial"/>
        <w:b/>
        <w:color w:val="002060"/>
        <w:sz w:val="24"/>
        <w:szCs w:val="24"/>
        <w:lang w:val="pt-BR"/>
      </w:rPr>
      <w:t xml:space="preserve"> DE DICIEMBRE DE 201</w:t>
    </w:r>
    <w:r>
      <w:rPr>
        <w:rFonts w:ascii="Arial" w:hAnsi="Arial" w:cs="Arial"/>
        <w:b/>
        <w:color w:val="002060"/>
        <w:sz w:val="24"/>
        <w:szCs w:val="24"/>
        <w:lang w:val="pt-BR"/>
      </w:rPr>
      <w:t>9</w:t>
    </w:r>
  </w:p>
  <w:p w14:paraId="38FC2E07" w14:textId="77777777" w:rsidR="00BA5BA5" w:rsidRPr="00815A90" w:rsidRDefault="00BA5BA5" w:rsidP="000027EC">
    <w:pPr>
      <w:pStyle w:val="Encabezado"/>
      <w:framePr w:w="5371" w:hSpace="141" w:wrap="auto" w:vAnchor="text" w:hAnchor="page" w:x="5724" w:y="35"/>
      <w:ind w:left="567" w:hanging="11"/>
      <w:jc w:val="right"/>
      <w:rPr>
        <w:rFonts w:ascii="Arial" w:hAnsi="Arial" w:cs="Arial"/>
        <w:b/>
        <w:color w:val="002060"/>
        <w:sz w:val="24"/>
        <w:szCs w:val="24"/>
        <w:lang w:val="pt-BR"/>
      </w:rPr>
    </w:pPr>
    <w:r w:rsidRPr="00815A90">
      <w:rPr>
        <w:rFonts w:ascii="Arial" w:hAnsi="Arial" w:cs="Arial"/>
        <w:b/>
        <w:color w:val="002060"/>
        <w:sz w:val="24"/>
        <w:szCs w:val="24"/>
        <w:lang w:val="pt-BR"/>
      </w:rPr>
      <w:t xml:space="preserve">PÁGINA </w:t>
    </w:r>
    <w:r w:rsidRPr="00815A90">
      <w:rPr>
        <w:rFonts w:ascii="Arial" w:hAnsi="Arial" w:cs="Arial"/>
        <w:b/>
        <w:color w:val="002060"/>
        <w:sz w:val="24"/>
        <w:szCs w:val="24"/>
      </w:rPr>
      <w:fldChar w:fldCharType="begin"/>
    </w:r>
    <w:r w:rsidRPr="00815A90">
      <w:rPr>
        <w:rFonts w:ascii="Arial" w:hAnsi="Arial" w:cs="Arial"/>
        <w:b/>
        <w:color w:val="002060"/>
        <w:sz w:val="24"/>
        <w:szCs w:val="24"/>
        <w:lang w:val="pt-BR"/>
      </w:rPr>
      <w:instrText xml:space="preserve">\PAGE </w:instrText>
    </w:r>
    <w:r w:rsidRPr="00815A90">
      <w:rPr>
        <w:rFonts w:ascii="Arial" w:hAnsi="Arial" w:cs="Arial"/>
        <w:color w:val="002060"/>
        <w:sz w:val="24"/>
        <w:szCs w:val="24"/>
      </w:rPr>
      <w:fldChar w:fldCharType="separate"/>
    </w:r>
    <w:r>
      <w:rPr>
        <w:rFonts w:ascii="Arial" w:hAnsi="Arial" w:cs="Arial"/>
        <w:b/>
        <w:noProof/>
        <w:color w:val="002060"/>
        <w:sz w:val="24"/>
        <w:szCs w:val="24"/>
        <w:lang w:val="pt-BR"/>
      </w:rPr>
      <w:t>3</w:t>
    </w:r>
    <w:r w:rsidRPr="00815A90">
      <w:rPr>
        <w:rFonts w:ascii="Arial" w:hAnsi="Arial" w:cs="Arial"/>
        <w:color w:val="002060"/>
        <w:sz w:val="24"/>
        <w:szCs w:val="24"/>
      </w:rPr>
      <w:fldChar w:fldCharType="end"/>
    </w:r>
    <w:r w:rsidRPr="00815A90">
      <w:rPr>
        <w:rFonts w:ascii="Arial" w:hAnsi="Arial" w:cs="Arial"/>
        <w:b/>
        <w:color w:val="002060"/>
        <w:sz w:val="24"/>
        <w:szCs w:val="24"/>
        <w:lang w:val="pt-BR"/>
      </w:rPr>
      <w:t>/3</w:t>
    </w:r>
  </w:p>
  <w:bookmarkEnd w:id="0"/>
  <w:p w14:paraId="3D7E8B73" w14:textId="77777777" w:rsidR="00BA5BA5" w:rsidRDefault="00BA5BA5" w:rsidP="00BA5BA5">
    <w:pPr>
      <w:pStyle w:val="Encabezado"/>
      <w:ind w:left="-993"/>
    </w:pPr>
    <w:r>
      <w:rPr>
        <w:noProof/>
      </w:rPr>
      <w:drawing>
        <wp:inline distT="0" distB="0" distL="0" distR="0" wp14:anchorId="08BFA2E1" wp14:editId="3AD84AE9">
          <wp:extent cx="927615" cy="963545"/>
          <wp:effectExtent l="0" t="0" r="6350" b="825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2AB1A" w14:textId="77777777" w:rsidR="000027EC" w:rsidRDefault="000027EC">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69111" w14:textId="77777777" w:rsidR="00BA5BA5" w:rsidRDefault="00BA5BA5" w:rsidP="002C1035">
    <w:pPr>
      <w:pStyle w:val="Encabezado"/>
      <w:tabs>
        <w:tab w:val="clear" w:pos="4252"/>
        <w:tab w:val="center" w:pos="4537"/>
      </w:tabs>
      <w:jc w:val="center"/>
      <w:rPr>
        <w:b/>
        <w:color w:val="000000"/>
        <w:spacing w:val="5"/>
        <w:sz w:val="24"/>
        <w:lang w:val="es-MX"/>
      </w:rPr>
    </w:pPr>
    <w:r w:rsidRPr="00F418AF">
      <w:rPr>
        <w:noProof/>
        <w:lang w:val="es-MX" w:eastAsia="es-MX"/>
      </w:rPr>
      <w:drawing>
        <wp:inline distT="0" distB="0" distL="0" distR="0" wp14:anchorId="2B24EB45" wp14:editId="426280EC">
          <wp:extent cx="933505" cy="9720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505" cy="972000"/>
                  </a:xfrm>
                  <a:prstGeom prst="rect">
                    <a:avLst/>
                  </a:prstGeom>
                  <a:noFill/>
                  <a:ln>
                    <a:noFill/>
                  </a:ln>
                </pic:spPr>
              </pic:pic>
            </a:graphicData>
          </a:graphic>
        </wp:inline>
      </w:drawing>
    </w:r>
  </w:p>
  <w:p w14:paraId="54180D52" w14:textId="77777777" w:rsidR="00BA5BA5" w:rsidRPr="00134E7A" w:rsidRDefault="00BA5BA5" w:rsidP="0092288C">
    <w:pPr>
      <w:pStyle w:val="Encabezado"/>
      <w:tabs>
        <w:tab w:val="clear" w:pos="4252"/>
        <w:tab w:val="center" w:pos="4537"/>
      </w:tabs>
      <w:rPr>
        <w:b/>
        <w:color w:val="000000"/>
        <w:spacing w:val="5"/>
        <w:sz w:val="24"/>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01201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2B7D1E"/>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abstractNum w:abstractNumId="3" w15:restartNumberingAfterBreak="0">
    <w:nsid w:val="101242C1"/>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abstractNum w:abstractNumId="4" w15:restartNumberingAfterBreak="0">
    <w:nsid w:val="16463DE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92C52AD"/>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abstractNum w:abstractNumId="6" w15:restartNumberingAfterBreak="0">
    <w:nsid w:val="1D40650A"/>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abstractNum w:abstractNumId="7" w15:restartNumberingAfterBreak="0">
    <w:nsid w:val="1D481B71"/>
    <w:multiLevelType w:val="singleLevel"/>
    <w:tmpl w:val="C6D685E8"/>
    <w:lvl w:ilvl="0">
      <w:start w:val="1"/>
      <w:numFmt w:val="bullet"/>
      <w:pStyle w:val="bullet"/>
      <w:lvlText w:val=""/>
      <w:lvlJc w:val="left"/>
      <w:pPr>
        <w:tabs>
          <w:tab w:val="num" w:pos="360"/>
        </w:tabs>
        <w:ind w:left="360" w:hanging="360"/>
      </w:pPr>
      <w:rPr>
        <w:rFonts w:ascii="Symbol" w:hAnsi="Symbol" w:hint="default"/>
      </w:rPr>
    </w:lvl>
  </w:abstractNum>
  <w:abstractNum w:abstractNumId="8" w15:restartNumberingAfterBreak="0">
    <w:nsid w:val="20E65550"/>
    <w:multiLevelType w:val="singleLevel"/>
    <w:tmpl w:val="DF74EEBA"/>
    <w:lvl w:ilvl="0">
      <w:start w:val="1"/>
      <w:numFmt w:val="upperLetter"/>
      <w:lvlText w:val="%1)"/>
      <w:lvlJc w:val="left"/>
      <w:pPr>
        <w:tabs>
          <w:tab w:val="num" w:pos="360"/>
        </w:tabs>
        <w:ind w:left="360" w:hanging="360"/>
      </w:pPr>
      <w:rPr>
        <w:rFonts w:hint="default"/>
      </w:rPr>
    </w:lvl>
  </w:abstractNum>
  <w:abstractNum w:abstractNumId="9" w15:restartNumberingAfterBreak="0">
    <w:nsid w:val="22FA101D"/>
    <w:multiLevelType w:val="singleLevel"/>
    <w:tmpl w:val="FFFFFFFF"/>
    <w:lvl w:ilvl="0">
      <w:numFmt w:val="decimal"/>
      <w:lvlText w:val="*"/>
      <w:lvlJc w:val="left"/>
    </w:lvl>
  </w:abstractNum>
  <w:abstractNum w:abstractNumId="10" w15:restartNumberingAfterBreak="0">
    <w:nsid w:val="2EFE759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F4A61C2"/>
    <w:multiLevelType w:val="singleLevel"/>
    <w:tmpl w:val="A56ED4DA"/>
    <w:lvl w:ilvl="0">
      <w:start w:val="5"/>
      <w:numFmt w:val="none"/>
      <w:lvlText w:val="3"/>
      <w:lvlJc w:val="left"/>
      <w:pPr>
        <w:tabs>
          <w:tab w:val="num" w:pos="360"/>
        </w:tabs>
        <w:ind w:left="360" w:hanging="360"/>
      </w:pPr>
    </w:lvl>
  </w:abstractNum>
  <w:abstractNum w:abstractNumId="12" w15:restartNumberingAfterBreak="0">
    <w:nsid w:val="307362A5"/>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abstractNum w:abstractNumId="13" w15:restartNumberingAfterBreak="0">
    <w:nsid w:val="31E718A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82931C1"/>
    <w:multiLevelType w:val="hybridMultilevel"/>
    <w:tmpl w:val="D04C7B3A"/>
    <w:lvl w:ilvl="0" w:tplc="FFFFFFFF">
      <w:start w:val="1"/>
      <w:numFmt w:val="bullet"/>
      <w:lvlText w:val=""/>
      <w:lvlJc w:val="left"/>
      <w:pPr>
        <w:tabs>
          <w:tab w:val="num" w:pos="1723"/>
        </w:tabs>
        <w:ind w:left="1723" w:hanging="360"/>
      </w:pPr>
      <w:rPr>
        <w:rFonts w:ascii="Symbol" w:hAnsi="Symbol" w:hint="default"/>
      </w:rPr>
    </w:lvl>
    <w:lvl w:ilvl="1" w:tplc="FFFFFFFF" w:tentative="1">
      <w:start w:val="1"/>
      <w:numFmt w:val="bullet"/>
      <w:lvlText w:val="o"/>
      <w:lvlJc w:val="left"/>
      <w:pPr>
        <w:tabs>
          <w:tab w:val="num" w:pos="2443"/>
        </w:tabs>
        <w:ind w:left="2443" w:hanging="360"/>
      </w:pPr>
      <w:rPr>
        <w:rFonts w:ascii="Courier New" w:hAnsi="Courier New" w:hint="default"/>
      </w:rPr>
    </w:lvl>
    <w:lvl w:ilvl="2" w:tplc="FFFFFFFF" w:tentative="1">
      <w:start w:val="1"/>
      <w:numFmt w:val="bullet"/>
      <w:lvlText w:val=""/>
      <w:lvlJc w:val="left"/>
      <w:pPr>
        <w:tabs>
          <w:tab w:val="num" w:pos="3163"/>
        </w:tabs>
        <w:ind w:left="3163" w:hanging="360"/>
      </w:pPr>
      <w:rPr>
        <w:rFonts w:ascii="Wingdings" w:hAnsi="Wingdings" w:hint="default"/>
      </w:rPr>
    </w:lvl>
    <w:lvl w:ilvl="3" w:tplc="FFFFFFFF" w:tentative="1">
      <w:start w:val="1"/>
      <w:numFmt w:val="bullet"/>
      <w:lvlText w:val=""/>
      <w:lvlJc w:val="left"/>
      <w:pPr>
        <w:tabs>
          <w:tab w:val="num" w:pos="3883"/>
        </w:tabs>
        <w:ind w:left="3883" w:hanging="360"/>
      </w:pPr>
      <w:rPr>
        <w:rFonts w:ascii="Symbol" w:hAnsi="Symbol" w:hint="default"/>
      </w:rPr>
    </w:lvl>
    <w:lvl w:ilvl="4" w:tplc="FFFFFFFF" w:tentative="1">
      <w:start w:val="1"/>
      <w:numFmt w:val="bullet"/>
      <w:lvlText w:val="o"/>
      <w:lvlJc w:val="left"/>
      <w:pPr>
        <w:tabs>
          <w:tab w:val="num" w:pos="4603"/>
        </w:tabs>
        <w:ind w:left="4603" w:hanging="360"/>
      </w:pPr>
      <w:rPr>
        <w:rFonts w:ascii="Courier New" w:hAnsi="Courier New" w:hint="default"/>
      </w:rPr>
    </w:lvl>
    <w:lvl w:ilvl="5" w:tplc="FFFFFFFF" w:tentative="1">
      <w:start w:val="1"/>
      <w:numFmt w:val="bullet"/>
      <w:lvlText w:val=""/>
      <w:lvlJc w:val="left"/>
      <w:pPr>
        <w:tabs>
          <w:tab w:val="num" w:pos="5323"/>
        </w:tabs>
        <w:ind w:left="5323" w:hanging="360"/>
      </w:pPr>
      <w:rPr>
        <w:rFonts w:ascii="Wingdings" w:hAnsi="Wingdings" w:hint="default"/>
      </w:rPr>
    </w:lvl>
    <w:lvl w:ilvl="6" w:tplc="FFFFFFFF" w:tentative="1">
      <w:start w:val="1"/>
      <w:numFmt w:val="bullet"/>
      <w:lvlText w:val=""/>
      <w:lvlJc w:val="left"/>
      <w:pPr>
        <w:tabs>
          <w:tab w:val="num" w:pos="6043"/>
        </w:tabs>
        <w:ind w:left="6043" w:hanging="360"/>
      </w:pPr>
      <w:rPr>
        <w:rFonts w:ascii="Symbol" w:hAnsi="Symbol" w:hint="default"/>
      </w:rPr>
    </w:lvl>
    <w:lvl w:ilvl="7" w:tplc="FFFFFFFF" w:tentative="1">
      <w:start w:val="1"/>
      <w:numFmt w:val="bullet"/>
      <w:lvlText w:val="o"/>
      <w:lvlJc w:val="left"/>
      <w:pPr>
        <w:tabs>
          <w:tab w:val="num" w:pos="6763"/>
        </w:tabs>
        <w:ind w:left="6763" w:hanging="360"/>
      </w:pPr>
      <w:rPr>
        <w:rFonts w:ascii="Courier New" w:hAnsi="Courier New" w:hint="default"/>
      </w:rPr>
    </w:lvl>
    <w:lvl w:ilvl="8" w:tplc="FFFFFFFF" w:tentative="1">
      <w:start w:val="1"/>
      <w:numFmt w:val="bullet"/>
      <w:lvlText w:val=""/>
      <w:lvlJc w:val="left"/>
      <w:pPr>
        <w:tabs>
          <w:tab w:val="num" w:pos="7483"/>
        </w:tabs>
        <w:ind w:left="7483" w:hanging="360"/>
      </w:pPr>
      <w:rPr>
        <w:rFonts w:ascii="Wingdings" w:hAnsi="Wingdings" w:hint="default"/>
      </w:rPr>
    </w:lvl>
  </w:abstractNum>
  <w:abstractNum w:abstractNumId="15" w15:restartNumberingAfterBreak="0">
    <w:nsid w:val="402F7D80"/>
    <w:multiLevelType w:val="hybridMultilevel"/>
    <w:tmpl w:val="C980D2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293383E"/>
    <w:multiLevelType w:val="hybridMultilevel"/>
    <w:tmpl w:val="C1F6A6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D8D6056"/>
    <w:multiLevelType w:val="singleLevel"/>
    <w:tmpl w:val="DF74EEBA"/>
    <w:lvl w:ilvl="0">
      <w:start w:val="1"/>
      <w:numFmt w:val="upperLetter"/>
      <w:lvlText w:val="%1)"/>
      <w:lvlJc w:val="left"/>
      <w:pPr>
        <w:tabs>
          <w:tab w:val="num" w:pos="360"/>
        </w:tabs>
        <w:ind w:left="360" w:hanging="360"/>
      </w:pPr>
      <w:rPr>
        <w:rFonts w:hint="default"/>
      </w:rPr>
    </w:lvl>
  </w:abstractNum>
  <w:abstractNum w:abstractNumId="18" w15:restartNumberingAfterBreak="0">
    <w:nsid w:val="51FB40AD"/>
    <w:multiLevelType w:val="singleLevel"/>
    <w:tmpl w:val="840EB14A"/>
    <w:lvl w:ilvl="0">
      <w:start w:val="1"/>
      <w:numFmt w:val="bullet"/>
      <w:lvlText w:val=""/>
      <w:lvlJc w:val="left"/>
      <w:pPr>
        <w:tabs>
          <w:tab w:val="num" w:pos="360"/>
        </w:tabs>
        <w:ind w:left="360" w:hanging="360"/>
      </w:pPr>
      <w:rPr>
        <w:rFonts w:ascii="Symbol" w:hAnsi="Symbol" w:hint="default"/>
        <w:lang w:val="es-ES"/>
      </w:rPr>
    </w:lvl>
  </w:abstractNum>
  <w:abstractNum w:abstractNumId="19" w15:restartNumberingAfterBreak="0">
    <w:nsid w:val="5B3C581C"/>
    <w:multiLevelType w:val="hybridMultilevel"/>
    <w:tmpl w:val="DE5E4304"/>
    <w:lvl w:ilvl="0" w:tplc="080A0001">
      <w:start w:val="1"/>
      <w:numFmt w:val="bullet"/>
      <w:lvlText w:val=""/>
      <w:lvlJc w:val="left"/>
      <w:pPr>
        <w:ind w:left="1778" w:hanging="360"/>
      </w:pPr>
      <w:rPr>
        <w:rFonts w:ascii="Symbol" w:hAnsi="Symbol" w:hint="default"/>
      </w:rPr>
    </w:lvl>
    <w:lvl w:ilvl="1" w:tplc="080A0003" w:tentative="1">
      <w:start w:val="1"/>
      <w:numFmt w:val="bullet"/>
      <w:lvlText w:val="o"/>
      <w:lvlJc w:val="left"/>
      <w:pPr>
        <w:ind w:left="2498" w:hanging="360"/>
      </w:pPr>
      <w:rPr>
        <w:rFonts w:ascii="Courier New" w:hAnsi="Courier New" w:cs="Courier New" w:hint="default"/>
      </w:rPr>
    </w:lvl>
    <w:lvl w:ilvl="2" w:tplc="080A0005" w:tentative="1">
      <w:start w:val="1"/>
      <w:numFmt w:val="bullet"/>
      <w:lvlText w:val=""/>
      <w:lvlJc w:val="left"/>
      <w:pPr>
        <w:ind w:left="3218" w:hanging="360"/>
      </w:pPr>
      <w:rPr>
        <w:rFonts w:ascii="Wingdings" w:hAnsi="Wingdings" w:hint="default"/>
      </w:rPr>
    </w:lvl>
    <w:lvl w:ilvl="3" w:tplc="080A0001" w:tentative="1">
      <w:start w:val="1"/>
      <w:numFmt w:val="bullet"/>
      <w:lvlText w:val=""/>
      <w:lvlJc w:val="left"/>
      <w:pPr>
        <w:ind w:left="3938" w:hanging="360"/>
      </w:pPr>
      <w:rPr>
        <w:rFonts w:ascii="Symbol" w:hAnsi="Symbol" w:hint="default"/>
      </w:rPr>
    </w:lvl>
    <w:lvl w:ilvl="4" w:tplc="080A0003" w:tentative="1">
      <w:start w:val="1"/>
      <w:numFmt w:val="bullet"/>
      <w:lvlText w:val="o"/>
      <w:lvlJc w:val="left"/>
      <w:pPr>
        <w:ind w:left="4658" w:hanging="360"/>
      </w:pPr>
      <w:rPr>
        <w:rFonts w:ascii="Courier New" w:hAnsi="Courier New" w:cs="Courier New" w:hint="default"/>
      </w:rPr>
    </w:lvl>
    <w:lvl w:ilvl="5" w:tplc="080A0005" w:tentative="1">
      <w:start w:val="1"/>
      <w:numFmt w:val="bullet"/>
      <w:lvlText w:val=""/>
      <w:lvlJc w:val="left"/>
      <w:pPr>
        <w:ind w:left="5378" w:hanging="360"/>
      </w:pPr>
      <w:rPr>
        <w:rFonts w:ascii="Wingdings" w:hAnsi="Wingdings" w:hint="default"/>
      </w:rPr>
    </w:lvl>
    <w:lvl w:ilvl="6" w:tplc="080A0001" w:tentative="1">
      <w:start w:val="1"/>
      <w:numFmt w:val="bullet"/>
      <w:lvlText w:val=""/>
      <w:lvlJc w:val="left"/>
      <w:pPr>
        <w:ind w:left="6098" w:hanging="360"/>
      </w:pPr>
      <w:rPr>
        <w:rFonts w:ascii="Symbol" w:hAnsi="Symbol" w:hint="default"/>
      </w:rPr>
    </w:lvl>
    <w:lvl w:ilvl="7" w:tplc="080A0003" w:tentative="1">
      <w:start w:val="1"/>
      <w:numFmt w:val="bullet"/>
      <w:lvlText w:val="o"/>
      <w:lvlJc w:val="left"/>
      <w:pPr>
        <w:ind w:left="6818" w:hanging="360"/>
      </w:pPr>
      <w:rPr>
        <w:rFonts w:ascii="Courier New" w:hAnsi="Courier New" w:cs="Courier New" w:hint="default"/>
      </w:rPr>
    </w:lvl>
    <w:lvl w:ilvl="8" w:tplc="080A0005" w:tentative="1">
      <w:start w:val="1"/>
      <w:numFmt w:val="bullet"/>
      <w:lvlText w:val=""/>
      <w:lvlJc w:val="left"/>
      <w:pPr>
        <w:ind w:left="7538" w:hanging="360"/>
      </w:pPr>
      <w:rPr>
        <w:rFonts w:ascii="Wingdings" w:hAnsi="Wingdings" w:hint="default"/>
      </w:rPr>
    </w:lvl>
  </w:abstractNum>
  <w:abstractNum w:abstractNumId="20" w15:restartNumberingAfterBreak="0">
    <w:nsid w:val="6A29766A"/>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abstractNum w:abstractNumId="21" w15:restartNumberingAfterBreak="0">
    <w:nsid w:val="6C1D7287"/>
    <w:multiLevelType w:val="singleLevel"/>
    <w:tmpl w:val="DF74EEBA"/>
    <w:lvl w:ilvl="0">
      <w:start w:val="1"/>
      <w:numFmt w:val="upperLetter"/>
      <w:lvlText w:val="%1)"/>
      <w:lvlJc w:val="left"/>
      <w:pPr>
        <w:tabs>
          <w:tab w:val="num" w:pos="360"/>
        </w:tabs>
        <w:ind w:left="360" w:hanging="360"/>
      </w:pPr>
      <w:rPr>
        <w:rFonts w:hint="default"/>
      </w:rPr>
    </w:lvl>
  </w:abstractNum>
  <w:abstractNum w:abstractNumId="22" w15:restartNumberingAfterBreak="0">
    <w:nsid w:val="6D3B4C1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7BA5A6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A6C5A19"/>
    <w:multiLevelType w:val="singleLevel"/>
    <w:tmpl w:val="F77E22AE"/>
    <w:lvl w:ilvl="0">
      <w:start w:val="1"/>
      <w:numFmt w:val="lowerRoman"/>
      <w:lvlText w:val="%1."/>
      <w:lvlJc w:val="left"/>
      <w:pPr>
        <w:tabs>
          <w:tab w:val="num" w:pos="720"/>
        </w:tabs>
        <w:ind w:left="720" w:hanging="720"/>
      </w:pPr>
      <w:rPr>
        <w:b w:val="0"/>
        <w:i/>
      </w:rPr>
    </w:lvl>
  </w:abstractNum>
  <w:abstractNum w:abstractNumId="25" w15:restartNumberingAfterBreak="0">
    <w:nsid w:val="7D713104"/>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num w:numId="1">
    <w:abstractNumId w:val="22"/>
  </w:num>
  <w:num w:numId="2">
    <w:abstractNumId w:val="1"/>
  </w:num>
  <w:num w:numId="3">
    <w:abstractNumId w:val="23"/>
  </w:num>
  <w:num w:numId="4">
    <w:abstractNumId w:val="4"/>
  </w:num>
  <w:num w:numId="5">
    <w:abstractNumId w:val="13"/>
  </w:num>
  <w:num w:numId="6">
    <w:abstractNumId w:val="10"/>
  </w:num>
  <w:num w:numId="7">
    <w:abstractNumId w:val="7"/>
  </w:num>
  <w:num w:numId="8">
    <w:abstractNumId w:val="20"/>
  </w:num>
  <w:num w:numId="9">
    <w:abstractNumId w:val="6"/>
  </w:num>
  <w:num w:numId="10">
    <w:abstractNumId w:val="25"/>
  </w:num>
  <w:num w:numId="11">
    <w:abstractNumId w:val="12"/>
  </w:num>
  <w:num w:numId="12">
    <w:abstractNumId w:val="5"/>
  </w:num>
  <w:num w:numId="13">
    <w:abstractNumId w:val="2"/>
  </w:num>
  <w:num w:numId="14">
    <w:abstractNumId w:val="3"/>
  </w:num>
  <w:num w:numId="15">
    <w:abstractNumId w:val="21"/>
  </w:num>
  <w:num w:numId="16">
    <w:abstractNumId w:val="8"/>
  </w:num>
  <w:num w:numId="17">
    <w:abstractNumId w:val="17"/>
  </w:num>
  <w:num w:numId="18">
    <w:abstractNumId w:val="24"/>
  </w:num>
  <w:num w:numId="19">
    <w:abstractNumId w:val="18"/>
  </w:num>
  <w:num w:numId="20">
    <w:abstractNumId w:val="14"/>
  </w:num>
  <w:num w:numId="21">
    <w:abstractNumId w:val="11"/>
  </w:num>
  <w:num w:numId="22">
    <w:abstractNumId w:val="15"/>
  </w:num>
  <w:num w:numId="23">
    <w:abstractNumId w:val="7"/>
  </w:num>
  <w:num w:numId="24">
    <w:abstractNumId w:val="7"/>
  </w:num>
  <w:num w:numId="25">
    <w:abstractNumId w:val="7"/>
  </w:num>
  <w:num w:numId="26">
    <w:abstractNumId w:val="7"/>
  </w:num>
  <w:num w:numId="27">
    <w:abstractNumId w:val="7"/>
  </w:num>
  <w:num w:numId="28">
    <w:abstractNumId w:val="0"/>
    <w:lvlOverride w:ilvl="0">
      <w:lvl w:ilvl="0">
        <w:start w:val="1"/>
        <w:numFmt w:val="bullet"/>
        <w:lvlText w:val=""/>
        <w:legacy w:legacy="1" w:legacySpace="0" w:legacyIndent="283"/>
        <w:lvlJc w:val="left"/>
        <w:pPr>
          <w:ind w:left="1701" w:hanging="283"/>
        </w:pPr>
        <w:rPr>
          <w:rFonts w:ascii="Symbol" w:hAnsi="Symbol" w:hint="default"/>
        </w:rPr>
      </w:lvl>
    </w:lvlOverride>
  </w:num>
  <w:num w:numId="2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30">
    <w:abstractNumId w:val="16"/>
  </w:num>
  <w:num w:numId="31">
    <w:abstractNumId w:val="9"/>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activeWritingStyle w:appName="MSWord" w:lang="es-MX" w:vendorID="9" w:dllVersion="512" w:checkStyle="1"/>
  <w:activeWritingStyle w:appName="MSWord" w:lang="es-ES_tradnl" w:vendorID="9" w:dllVersion="512" w:checkStyle="1"/>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10"/>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807"/>
    <w:rsid w:val="00000558"/>
    <w:rsid w:val="00000606"/>
    <w:rsid w:val="00000A8F"/>
    <w:rsid w:val="000016A5"/>
    <w:rsid w:val="00002311"/>
    <w:rsid w:val="000027EC"/>
    <w:rsid w:val="00002BB1"/>
    <w:rsid w:val="00002BC0"/>
    <w:rsid w:val="00003591"/>
    <w:rsid w:val="00003B51"/>
    <w:rsid w:val="00003C5C"/>
    <w:rsid w:val="0000462C"/>
    <w:rsid w:val="00004BB4"/>
    <w:rsid w:val="00005225"/>
    <w:rsid w:val="000057CA"/>
    <w:rsid w:val="0000697F"/>
    <w:rsid w:val="00006D71"/>
    <w:rsid w:val="00007270"/>
    <w:rsid w:val="00007AE8"/>
    <w:rsid w:val="000108BF"/>
    <w:rsid w:val="00011A39"/>
    <w:rsid w:val="00011F82"/>
    <w:rsid w:val="000121D7"/>
    <w:rsid w:val="00012B32"/>
    <w:rsid w:val="00012C3E"/>
    <w:rsid w:val="00012D17"/>
    <w:rsid w:val="00012D22"/>
    <w:rsid w:val="00013817"/>
    <w:rsid w:val="000142B1"/>
    <w:rsid w:val="000142E7"/>
    <w:rsid w:val="000151A0"/>
    <w:rsid w:val="000163D2"/>
    <w:rsid w:val="00016CC5"/>
    <w:rsid w:val="00017A23"/>
    <w:rsid w:val="00022186"/>
    <w:rsid w:val="00022B00"/>
    <w:rsid w:val="00023DB7"/>
    <w:rsid w:val="00024C2D"/>
    <w:rsid w:val="00024E34"/>
    <w:rsid w:val="00025039"/>
    <w:rsid w:val="00025053"/>
    <w:rsid w:val="000256CC"/>
    <w:rsid w:val="00025F03"/>
    <w:rsid w:val="00026075"/>
    <w:rsid w:val="0003064C"/>
    <w:rsid w:val="000311B7"/>
    <w:rsid w:val="000334D2"/>
    <w:rsid w:val="00033A64"/>
    <w:rsid w:val="00034132"/>
    <w:rsid w:val="00034C29"/>
    <w:rsid w:val="000351F0"/>
    <w:rsid w:val="000361BB"/>
    <w:rsid w:val="00036296"/>
    <w:rsid w:val="000362B9"/>
    <w:rsid w:val="0003639C"/>
    <w:rsid w:val="00036DEC"/>
    <w:rsid w:val="00036FDC"/>
    <w:rsid w:val="00037BD2"/>
    <w:rsid w:val="00037CEC"/>
    <w:rsid w:val="00040343"/>
    <w:rsid w:val="00040C15"/>
    <w:rsid w:val="00040CAA"/>
    <w:rsid w:val="00040DED"/>
    <w:rsid w:val="00040FC2"/>
    <w:rsid w:val="00041AA3"/>
    <w:rsid w:val="00041C48"/>
    <w:rsid w:val="00042025"/>
    <w:rsid w:val="00042B88"/>
    <w:rsid w:val="00042D2F"/>
    <w:rsid w:val="0004336F"/>
    <w:rsid w:val="00043A47"/>
    <w:rsid w:val="0004405A"/>
    <w:rsid w:val="000447A1"/>
    <w:rsid w:val="00044D51"/>
    <w:rsid w:val="00044D5B"/>
    <w:rsid w:val="00047315"/>
    <w:rsid w:val="0004793F"/>
    <w:rsid w:val="00047948"/>
    <w:rsid w:val="00050BF3"/>
    <w:rsid w:val="000514D5"/>
    <w:rsid w:val="00051556"/>
    <w:rsid w:val="000528D9"/>
    <w:rsid w:val="0005399F"/>
    <w:rsid w:val="00053F01"/>
    <w:rsid w:val="000543E5"/>
    <w:rsid w:val="00054495"/>
    <w:rsid w:val="00054689"/>
    <w:rsid w:val="00055709"/>
    <w:rsid w:val="0005628A"/>
    <w:rsid w:val="000562E1"/>
    <w:rsid w:val="000572AB"/>
    <w:rsid w:val="00057DE3"/>
    <w:rsid w:val="000603D1"/>
    <w:rsid w:val="00061C7C"/>
    <w:rsid w:val="000624CC"/>
    <w:rsid w:val="00062E32"/>
    <w:rsid w:val="00063C20"/>
    <w:rsid w:val="00065124"/>
    <w:rsid w:val="000651CA"/>
    <w:rsid w:val="0006559D"/>
    <w:rsid w:val="000658AD"/>
    <w:rsid w:val="00065D8C"/>
    <w:rsid w:val="00066CB6"/>
    <w:rsid w:val="000719BF"/>
    <w:rsid w:val="00072D2E"/>
    <w:rsid w:val="000746B1"/>
    <w:rsid w:val="00074D42"/>
    <w:rsid w:val="00075FBC"/>
    <w:rsid w:val="00077F6F"/>
    <w:rsid w:val="00080DF3"/>
    <w:rsid w:val="0008272A"/>
    <w:rsid w:val="00082B9C"/>
    <w:rsid w:val="00082BE7"/>
    <w:rsid w:val="0008301D"/>
    <w:rsid w:val="000845A6"/>
    <w:rsid w:val="000848D7"/>
    <w:rsid w:val="00084F52"/>
    <w:rsid w:val="00085B52"/>
    <w:rsid w:val="00086299"/>
    <w:rsid w:val="00086CB1"/>
    <w:rsid w:val="00087458"/>
    <w:rsid w:val="0008752A"/>
    <w:rsid w:val="00087593"/>
    <w:rsid w:val="00087AA0"/>
    <w:rsid w:val="00087F1E"/>
    <w:rsid w:val="000909AC"/>
    <w:rsid w:val="00090F1F"/>
    <w:rsid w:val="000910D5"/>
    <w:rsid w:val="000923B5"/>
    <w:rsid w:val="00092BEF"/>
    <w:rsid w:val="0009349E"/>
    <w:rsid w:val="00093832"/>
    <w:rsid w:val="0009480A"/>
    <w:rsid w:val="00094F9D"/>
    <w:rsid w:val="0009594D"/>
    <w:rsid w:val="00096F79"/>
    <w:rsid w:val="000A070E"/>
    <w:rsid w:val="000A1312"/>
    <w:rsid w:val="000A17BB"/>
    <w:rsid w:val="000A247F"/>
    <w:rsid w:val="000A2C4E"/>
    <w:rsid w:val="000A50B9"/>
    <w:rsid w:val="000A5195"/>
    <w:rsid w:val="000A5978"/>
    <w:rsid w:val="000A59AC"/>
    <w:rsid w:val="000A5C7F"/>
    <w:rsid w:val="000A675C"/>
    <w:rsid w:val="000A7382"/>
    <w:rsid w:val="000A7919"/>
    <w:rsid w:val="000B057B"/>
    <w:rsid w:val="000B09BB"/>
    <w:rsid w:val="000B184F"/>
    <w:rsid w:val="000B1893"/>
    <w:rsid w:val="000B21D6"/>
    <w:rsid w:val="000B2614"/>
    <w:rsid w:val="000B2741"/>
    <w:rsid w:val="000B2D6E"/>
    <w:rsid w:val="000B30B4"/>
    <w:rsid w:val="000B33CB"/>
    <w:rsid w:val="000B408B"/>
    <w:rsid w:val="000B4D02"/>
    <w:rsid w:val="000B5461"/>
    <w:rsid w:val="000B5662"/>
    <w:rsid w:val="000B5CC6"/>
    <w:rsid w:val="000B7ABB"/>
    <w:rsid w:val="000C0142"/>
    <w:rsid w:val="000C02F2"/>
    <w:rsid w:val="000C247C"/>
    <w:rsid w:val="000C3F54"/>
    <w:rsid w:val="000C4640"/>
    <w:rsid w:val="000C46EC"/>
    <w:rsid w:val="000C49F2"/>
    <w:rsid w:val="000C4D59"/>
    <w:rsid w:val="000C61DC"/>
    <w:rsid w:val="000C6251"/>
    <w:rsid w:val="000C6B5B"/>
    <w:rsid w:val="000C6EF1"/>
    <w:rsid w:val="000C709B"/>
    <w:rsid w:val="000C73BE"/>
    <w:rsid w:val="000C7B6F"/>
    <w:rsid w:val="000D0574"/>
    <w:rsid w:val="000D06BC"/>
    <w:rsid w:val="000D1D32"/>
    <w:rsid w:val="000D27EF"/>
    <w:rsid w:val="000D3D0D"/>
    <w:rsid w:val="000D4373"/>
    <w:rsid w:val="000D44EC"/>
    <w:rsid w:val="000D4572"/>
    <w:rsid w:val="000D5255"/>
    <w:rsid w:val="000D5A79"/>
    <w:rsid w:val="000D5D2C"/>
    <w:rsid w:val="000D6100"/>
    <w:rsid w:val="000D663E"/>
    <w:rsid w:val="000D7A5E"/>
    <w:rsid w:val="000D7CE4"/>
    <w:rsid w:val="000E1CFC"/>
    <w:rsid w:val="000E24D2"/>
    <w:rsid w:val="000E26BE"/>
    <w:rsid w:val="000E394C"/>
    <w:rsid w:val="000E4315"/>
    <w:rsid w:val="000E43E5"/>
    <w:rsid w:val="000E44D4"/>
    <w:rsid w:val="000E47D3"/>
    <w:rsid w:val="000E4CFE"/>
    <w:rsid w:val="000E558A"/>
    <w:rsid w:val="000E60AF"/>
    <w:rsid w:val="000E67C7"/>
    <w:rsid w:val="000F0371"/>
    <w:rsid w:val="000F0A0B"/>
    <w:rsid w:val="000F138A"/>
    <w:rsid w:val="000F1949"/>
    <w:rsid w:val="000F23D7"/>
    <w:rsid w:val="000F3CFB"/>
    <w:rsid w:val="000F3D9C"/>
    <w:rsid w:val="000F44CD"/>
    <w:rsid w:val="000F62CB"/>
    <w:rsid w:val="000F6D6A"/>
    <w:rsid w:val="000F7982"/>
    <w:rsid w:val="000F7AAB"/>
    <w:rsid w:val="00100980"/>
    <w:rsid w:val="001009A1"/>
    <w:rsid w:val="00101419"/>
    <w:rsid w:val="00101B85"/>
    <w:rsid w:val="0010404E"/>
    <w:rsid w:val="00106309"/>
    <w:rsid w:val="00106508"/>
    <w:rsid w:val="001067B9"/>
    <w:rsid w:val="00106D01"/>
    <w:rsid w:val="00107ADB"/>
    <w:rsid w:val="0011026F"/>
    <w:rsid w:val="0011093D"/>
    <w:rsid w:val="00111B16"/>
    <w:rsid w:val="00112B89"/>
    <w:rsid w:val="00112BE1"/>
    <w:rsid w:val="00114D01"/>
    <w:rsid w:val="00114F8A"/>
    <w:rsid w:val="00115439"/>
    <w:rsid w:val="00115832"/>
    <w:rsid w:val="00115BB2"/>
    <w:rsid w:val="00115F00"/>
    <w:rsid w:val="00120B1E"/>
    <w:rsid w:val="0012152D"/>
    <w:rsid w:val="00122105"/>
    <w:rsid w:val="00122E9F"/>
    <w:rsid w:val="00122FEF"/>
    <w:rsid w:val="00123B4B"/>
    <w:rsid w:val="0012404A"/>
    <w:rsid w:val="00124158"/>
    <w:rsid w:val="00124D13"/>
    <w:rsid w:val="0012524B"/>
    <w:rsid w:val="001253BC"/>
    <w:rsid w:val="00125517"/>
    <w:rsid w:val="001259A7"/>
    <w:rsid w:val="00125BE3"/>
    <w:rsid w:val="001266EA"/>
    <w:rsid w:val="00127E65"/>
    <w:rsid w:val="00130185"/>
    <w:rsid w:val="00130B28"/>
    <w:rsid w:val="00130C25"/>
    <w:rsid w:val="0013100B"/>
    <w:rsid w:val="001317DF"/>
    <w:rsid w:val="00131C24"/>
    <w:rsid w:val="001336E2"/>
    <w:rsid w:val="0013393B"/>
    <w:rsid w:val="00134E7A"/>
    <w:rsid w:val="00134F55"/>
    <w:rsid w:val="00135445"/>
    <w:rsid w:val="00135738"/>
    <w:rsid w:val="00135A4E"/>
    <w:rsid w:val="00135AF2"/>
    <w:rsid w:val="00137191"/>
    <w:rsid w:val="00140236"/>
    <w:rsid w:val="00140325"/>
    <w:rsid w:val="00141007"/>
    <w:rsid w:val="00141C00"/>
    <w:rsid w:val="00141E82"/>
    <w:rsid w:val="00142C81"/>
    <w:rsid w:val="00143B89"/>
    <w:rsid w:val="00143F55"/>
    <w:rsid w:val="0014402A"/>
    <w:rsid w:val="00144168"/>
    <w:rsid w:val="0014448A"/>
    <w:rsid w:val="001459B8"/>
    <w:rsid w:val="00146DBE"/>
    <w:rsid w:val="00147846"/>
    <w:rsid w:val="00150E65"/>
    <w:rsid w:val="00150F5C"/>
    <w:rsid w:val="00151B12"/>
    <w:rsid w:val="0015217C"/>
    <w:rsid w:val="001523AC"/>
    <w:rsid w:val="00152DC1"/>
    <w:rsid w:val="00152F11"/>
    <w:rsid w:val="001535C7"/>
    <w:rsid w:val="001549B6"/>
    <w:rsid w:val="00156D2E"/>
    <w:rsid w:val="00157F3D"/>
    <w:rsid w:val="00160423"/>
    <w:rsid w:val="001612A6"/>
    <w:rsid w:val="001617F2"/>
    <w:rsid w:val="0016341B"/>
    <w:rsid w:val="00163591"/>
    <w:rsid w:val="001635B8"/>
    <w:rsid w:val="00163657"/>
    <w:rsid w:val="00163AC4"/>
    <w:rsid w:val="001649CE"/>
    <w:rsid w:val="00164A34"/>
    <w:rsid w:val="00164BCF"/>
    <w:rsid w:val="00164BDA"/>
    <w:rsid w:val="00164D41"/>
    <w:rsid w:val="00164F94"/>
    <w:rsid w:val="00165729"/>
    <w:rsid w:val="00165AAF"/>
    <w:rsid w:val="00167372"/>
    <w:rsid w:val="00167441"/>
    <w:rsid w:val="00170190"/>
    <w:rsid w:val="00170218"/>
    <w:rsid w:val="001706A4"/>
    <w:rsid w:val="00170B67"/>
    <w:rsid w:val="00170CAE"/>
    <w:rsid w:val="00171FA2"/>
    <w:rsid w:val="00172312"/>
    <w:rsid w:val="0017331D"/>
    <w:rsid w:val="001740FE"/>
    <w:rsid w:val="00174604"/>
    <w:rsid w:val="001749F7"/>
    <w:rsid w:val="00174A5E"/>
    <w:rsid w:val="00174CB9"/>
    <w:rsid w:val="00175DC1"/>
    <w:rsid w:val="00176D0C"/>
    <w:rsid w:val="00177D11"/>
    <w:rsid w:val="001800D6"/>
    <w:rsid w:val="001801CB"/>
    <w:rsid w:val="00181935"/>
    <w:rsid w:val="00181DE1"/>
    <w:rsid w:val="001826F1"/>
    <w:rsid w:val="00182F4C"/>
    <w:rsid w:val="001831A0"/>
    <w:rsid w:val="0018387A"/>
    <w:rsid w:val="00183E63"/>
    <w:rsid w:val="001841E7"/>
    <w:rsid w:val="001841EE"/>
    <w:rsid w:val="00184237"/>
    <w:rsid w:val="001845B0"/>
    <w:rsid w:val="0018487C"/>
    <w:rsid w:val="00184F89"/>
    <w:rsid w:val="00184FA2"/>
    <w:rsid w:val="001853EC"/>
    <w:rsid w:val="00185C99"/>
    <w:rsid w:val="00185D84"/>
    <w:rsid w:val="001864DE"/>
    <w:rsid w:val="0018703B"/>
    <w:rsid w:val="0019197B"/>
    <w:rsid w:val="00191FE1"/>
    <w:rsid w:val="0019247A"/>
    <w:rsid w:val="00192872"/>
    <w:rsid w:val="00192DA9"/>
    <w:rsid w:val="00192EF0"/>
    <w:rsid w:val="00195166"/>
    <w:rsid w:val="00195E62"/>
    <w:rsid w:val="00196262"/>
    <w:rsid w:val="00197A01"/>
    <w:rsid w:val="00197BB7"/>
    <w:rsid w:val="00197DEE"/>
    <w:rsid w:val="001A0A70"/>
    <w:rsid w:val="001A14FB"/>
    <w:rsid w:val="001A32B9"/>
    <w:rsid w:val="001A33CC"/>
    <w:rsid w:val="001A3405"/>
    <w:rsid w:val="001A3433"/>
    <w:rsid w:val="001A3D3E"/>
    <w:rsid w:val="001A3D6D"/>
    <w:rsid w:val="001A3E53"/>
    <w:rsid w:val="001A4016"/>
    <w:rsid w:val="001A4BF0"/>
    <w:rsid w:val="001A577A"/>
    <w:rsid w:val="001A5798"/>
    <w:rsid w:val="001A61E9"/>
    <w:rsid w:val="001A63BF"/>
    <w:rsid w:val="001A689E"/>
    <w:rsid w:val="001A6A9F"/>
    <w:rsid w:val="001B035C"/>
    <w:rsid w:val="001B19EC"/>
    <w:rsid w:val="001B330F"/>
    <w:rsid w:val="001B3681"/>
    <w:rsid w:val="001B49EB"/>
    <w:rsid w:val="001B4C33"/>
    <w:rsid w:val="001B4EBA"/>
    <w:rsid w:val="001B51D0"/>
    <w:rsid w:val="001B5EBC"/>
    <w:rsid w:val="001B6035"/>
    <w:rsid w:val="001B71B5"/>
    <w:rsid w:val="001B743A"/>
    <w:rsid w:val="001B7BCA"/>
    <w:rsid w:val="001C0171"/>
    <w:rsid w:val="001C03AA"/>
    <w:rsid w:val="001C05D3"/>
    <w:rsid w:val="001C11C7"/>
    <w:rsid w:val="001C25BF"/>
    <w:rsid w:val="001C2DF2"/>
    <w:rsid w:val="001C3ABA"/>
    <w:rsid w:val="001C3AC4"/>
    <w:rsid w:val="001C3E74"/>
    <w:rsid w:val="001C3EB5"/>
    <w:rsid w:val="001C404B"/>
    <w:rsid w:val="001C4415"/>
    <w:rsid w:val="001C5414"/>
    <w:rsid w:val="001C57F9"/>
    <w:rsid w:val="001C58DD"/>
    <w:rsid w:val="001D02CF"/>
    <w:rsid w:val="001D08F4"/>
    <w:rsid w:val="001D0C66"/>
    <w:rsid w:val="001D0FB2"/>
    <w:rsid w:val="001D1599"/>
    <w:rsid w:val="001D1B04"/>
    <w:rsid w:val="001D2A8A"/>
    <w:rsid w:val="001D2E23"/>
    <w:rsid w:val="001D3E6D"/>
    <w:rsid w:val="001D682B"/>
    <w:rsid w:val="001D6917"/>
    <w:rsid w:val="001D691D"/>
    <w:rsid w:val="001D6965"/>
    <w:rsid w:val="001E095F"/>
    <w:rsid w:val="001E1B63"/>
    <w:rsid w:val="001E1E06"/>
    <w:rsid w:val="001E2607"/>
    <w:rsid w:val="001E2C3D"/>
    <w:rsid w:val="001E3284"/>
    <w:rsid w:val="001E422C"/>
    <w:rsid w:val="001E4F40"/>
    <w:rsid w:val="001E5054"/>
    <w:rsid w:val="001E5649"/>
    <w:rsid w:val="001E6104"/>
    <w:rsid w:val="001E7132"/>
    <w:rsid w:val="001E7187"/>
    <w:rsid w:val="001E7589"/>
    <w:rsid w:val="001E78EB"/>
    <w:rsid w:val="001E7D1F"/>
    <w:rsid w:val="001F04BD"/>
    <w:rsid w:val="001F0B54"/>
    <w:rsid w:val="001F0C6E"/>
    <w:rsid w:val="001F0CF6"/>
    <w:rsid w:val="001F1114"/>
    <w:rsid w:val="001F1181"/>
    <w:rsid w:val="001F1BAA"/>
    <w:rsid w:val="001F22C6"/>
    <w:rsid w:val="001F3120"/>
    <w:rsid w:val="001F369C"/>
    <w:rsid w:val="001F437E"/>
    <w:rsid w:val="001F4C2A"/>
    <w:rsid w:val="001F547B"/>
    <w:rsid w:val="001F54C8"/>
    <w:rsid w:val="001F63FC"/>
    <w:rsid w:val="001F6654"/>
    <w:rsid w:val="001F755F"/>
    <w:rsid w:val="001F7601"/>
    <w:rsid w:val="00200C06"/>
    <w:rsid w:val="002011FC"/>
    <w:rsid w:val="002029AD"/>
    <w:rsid w:val="00203C3E"/>
    <w:rsid w:val="00204435"/>
    <w:rsid w:val="00205FB5"/>
    <w:rsid w:val="002060DF"/>
    <w:rsid w:val="00206427"/>
    <w:rsid w:val="00206DB3"/>
    <w:rsid w:val="002076B2"/>
    <w:rsid w:val="00207F53"/>
    <w:rsid w:val="00210E55"/>
    <w:rsid w:val="00210F12"/>
    <w:rsid w:val="002110AE"/>
    <w:rsid w:val="0021195F"/>
    <w:rsid w:val="00212618"/>
    <w:rsid w:val="00213C44"/>
    <w:rsid w:val="0021408B"/>
    <w:rsid w:val="00214308"/>
    <w:rsid w:val="0021634C"/>
    <w:rsid w:val="0021653E"/>
    <w:rsid w:val="002165B1"/>
    <w:rsid w:val="0021738D"/>
    <w:rsid w:val="00217E28"/>
    <w:rsid w:val="00222B00"/>
    <w:rsid w:val="002230D3"/>
    <w:rsid w:val="002235D1"/>
    <w:rsid w:val="00223A51"/>
    <w:rsid w:val="00223B21"/>
    <w:rsid w:val="00223E99"/>
    <w:rsid w:val="0022403E"/>
    <w:rsid w:val="00224266"/>
    <w:rsid w:val="002250E2"/>
    <w:rsid w:val="002256A9"/>
    <w:rsid w:val="00227663"/>
    <w:rsid w:val="00227FA3"/>
    <w:rsid w:val="00230037"/>
    <w:rsid w:val="00230110"/>
    <w:rsid w:val="00231E29"/>
    <w:rsid w:val="00233221"/>
    <w:rsid w:val="00233316"/>
    <w:rsid w:val="00233AEE"/>
    <w:rsid w:val="00234027"/>
    <w:rsid w:val="00234469"/>
    <w:rsid w:val="00234F4B"/>
    <w:rsid w:val="00235D4A"/>
    <w:rsid w:val="0023619A"/>
    <w:rsid w:val="00236284"/>
    <w:rsid w:val="002366E7"/>
    <w:rsid w:val="00236D87"/>
    <w:rsid w:val="00236DFC"/>
    <w:rsid w:val="00240143"/>
    <w:rsid w:val="002401D5"/>
    <w:rsid w:val="00240921"/>
    <w:rsid w:val="00240A74"/>
    <w:rsid w:val="00240FFB"/>
    <w:rsid w:val="002415AD"/>
    <w:rsid w:val="00241CDD"/>
    <w:rsid w:val="00242BC7"/>
    <w:rsid w:val="0024303F"/>
    <w:rsid w:val="00243BEC"/>
    <w:rsid w:val="00244521"/>
    <w:rsid w:val="00244E26"/>
    <w:rsid w:val="00245213"/>
    <w:rsid w:val="00245E2B"/>
    <w:rsid w:val="002468BC"/>
    <w:rsid w:val="002473A7"/>
    <w:rsid w:val="002503D1"/>
    <w:rsid w:val="00250FAB"/>
    <w:rsid w:val="002516CD"/>
    <w:rsid w:val="00251E1E"/>
    <w:rsid w:val="00252FC6"/>
    <w:rsid w:val="002535AB"/>
    <w:rsid w:val="00253DA8"/>
    <w:rsid w:val="00255940"/>
    <w:rsid w:val="002560ED"/>
    <w:rsid w:val="00257399"/>
    <w:rsid w:val="0026028E"/>
    <w:rsid w:val="00260C92"/>
    <w:rsid w:val="00260EC6"/>
    <w:rsid w:val="00261026"/>
    <w:rsid w:val="00261824"/>
    <w:rsid w:val="00261897"/>
    <w:rsid w:val="00261B22"/>
    <w:rsid w:val="00262521"/>
    <w:rsid w:val="002628AA"/>
    <w:rsid w:val="0026296F"/>
    <w:rsid w:val="00262BEC"/>
    <w:rsid w:val="0026322F"/>
    <w:rsid w:val="00263FC0"/>
    <w:rsid w:val="00264F7A"/>
    <w:rsid w:val="002655A1"/>
    <w:rsid w:val="00265743"/>
    <w:rsid w:val="00265C6B"/>
    <w:rsid w:val="002668D3"/>
    <w:rsid w:val="00266B6C"/>
    <w:rsid w:val="002674F2"/>
    <w:rsid w:val="002677C5"/>
    <w:rsid w:val="00267E4B"/>
    <w:rsid w:val="00270064"/>
    <w:rsid w:val="00271760"/>
    <w:rsid w:val="002719C4"/>
    <w:rsid w:val="00272049"/>
    <w:rsid w:val="00272D94"/>
    <w:rsid w:val="00273B68"/>
    <w:rsid w:val="002744B4"/>
    <w:rsid w:val="00274975"/>
    <w:rsid w:val="002750E9"/>
    <w:rsid w:val="00275721"/>
    <w:rsid w:val="00275E89"/>
    <w:rsid w:val="002767F8"/>
    <w:rsid w:val="002770E8"/>
    <w:rsid w:val="00277213"/>
    <w:rsid w:val="00280544"/>
    <w:rsid w:val="0028076A"/>
    <w:rsid w:val="00280A58"/>
    <w:rsid w:val="00281245"/>
    <w:rsid w:val="002813FD"/>
    <w:rsid w:val="0028219E"/>
    <w:rsid w:val="00282A3B"/>
    <w:rsid w:val="0028360B"/>
    <w:rsid w:val="00283952"/>
    <w:rsid w:val="00283A94"/>
    <w:rsid w:val="002844C1"/>
    <w:rsid w:val="002860B3"/>
    <w:rsid w:val="00287C35"/>
    <w:rsid w:val="00287DBE"/>
    <w:rsid w:val="00287F25"/>
    <w:rsid w:val="0029016C"/>
    <w:rsid w:val="00291329"/>
    <w:rsid w:val="00292321"/>
    <w:rsid w:val="0029319F"/>
    <w:rsid w:val="00293421"/>
    <w:rsid w:val="00293882"/>
    <w:rsid w:val="0029388A"/>
    <w:rsid w:val="00294AB6"/>
    <w:rsid w:val="00294FCA"/>
    <w:rsid w:val="002950D5"/>
    <w:rsid w:val="002954A8"/>
    <w:rsid w:val="00295B47"/>
    <w:rsid w:val="00295DEB"/>
    <w:rsid w:val="00296C8F"/>
    <w:rsid w:val="002976AF"/>
    <w:rsid w:val="002A0283"/>
    <w:rsid w:val="002A0764"/>
    <w:rsid w:val="002A1952"/>
    <w:rsid w:val="002A1F07"/>
    <w:rsid w:val="002A1F57"/>
    <w:rsid w:val="002A26DD"/>
    <w:rsid w:val="002A29FD"/>
    <w:rsid w:val="002A2A94"/>
    <w:rsid w:val="002A3582"/>
    <w:rsid w:val="002A3642"/>
    <w:rsid w:val="002A3C20"/>
    <w:rsid w:val="002A4027"/>
    <w:rsid w:val="002A49BF"/>
    <w:rsid w:val="002A52C9"/>
    <w:rsid w:val="002A649D"/>
    <w:rsid w:val="002A67ED"/>
    <w:rsid w:val="002A6EF8"/>
    <w:rsid w:val="002A7B6F"/>
    <w:rsid w:val="002A7D97"/>
    <w:rsid w:val="002A7FD0"/>
    <w:rsid w:val="002B0651"/>
    <w:rsid w:val="002B14F0"/>
    <w:rsid w:val="002B1AB7"/>
    <w:rsid w:val="002B341F"/>
    <w:rsid w:val="002B3773"/>
    <w:rsid w:val="002B48C6"/>
    <w:rsid w:val="002B4A0E"/>
    <w:rsid w:val="002B4CF1"/>
    <w:rsid w:val="002B5308"/>
    <w:rsid w:val="002B66D0"/>
    <w:rsid w:val="002B6DA4"/>
    <w:rsid w:val="002B753D"/>
    <w:rsid w:val="002B77EC"/>
    <w:rsid w:val="002B788B"/>
    <w:rsid w:val="002C09A9"/>
    <w:rsid w:val="002C0F1C"/>
    <w:rsid w:val="002C1035"/>
    <w:rsid w:val="002C2315"/>
    <w:rsid w:val="002C2384"/>
    <w:rsid w:val="002C2737"/>
    <w:rsid w:val="002C3B19"/>
    <w:rsid w:val="002C417A"/>
    <w:rsid w:val="002C4707"/>
    <w:rsid w:val="002C4A4F"/>
    <w:rsid w:val="002C53F4"/>
    <w:rsid w:val="002C55C0"/>
    <w:rsid w:val="002C5735"/>
    <w:rsid w:val="002C62E8"/>
    <w:rsid w:val="002D003C"/>
    <w:rsid w:val="002D0D13"/>
    <w:rsid w:val="002D14CD"/>
    <w:rsid w:val="002D19B2"/>
    <w:rsid w:val="002D1BFA"/>
    <w:rsid w:val="002D1E1F"/>
    <w:rsid w:val="002D2619"/>
    <w:rsid w:val="002D29C8"/>
    <w:rsid w:val="002D4154"/>
    <w:rsid w:val="002D4E4E"/>
    <w:rsid w:val="002D58AE"/>
    <w:rsid w:val="002D666D"/>
    <w:rsid w:val="002D6B86"/>
    <w:rsid w:val="002D6ED6"/>
    <w:rsid w:val="002D789E"/>
    <w:rsid w:val="002D7E14"/>
    <w:rsid w:val="002E06DB"/>
    <w:rsid w:val="002E16B2"/>
    <w:rsid w:val="002E19B4"/>
    <w:rsid w:val="002E1A3E"/>
    <w:rsid w:val="002E2343"/>
    <w:rsid w:val="002E2EF5"/>
    <w:rsid w:val="002E33AA"/>
    <w:rsid w:val="002E444B"/>
    <w:rsid w:val="002E46D2"/>
    <w:rsid w:val="002E4DCC"/>
    <w:rsid w:val="002E55DD"/>
    <w:rsid w:val="002E58D8"/>
    <w:rsid w:val="002E5F1F"/>
    <w:rsid w:val="002E6C07"/>
    <w:rsid w:val="002E6C20"/>
    <w:rsid w:val="002E6CAE"/>
    <w:rsid w:val="002E7502"/>
    <w:rsid w:val="002E753F"/>
    <w:rsid w:val="002E7CFB"/>
    <w:rsid w:val="002F0753"/>
    <w:rsid w:val="002F0EF0"/>
    <w:rsid w:val="002F16EA"/>
    <w:rsid w:val="002F39AC"/>
    <w:rsid w:val="002F4894"/>
    <w:rsid w:val="002F48AF"/>
    <w:rsid w:val="002F48D7"/>
    <w:rsid w:val="002F522E"/>
    <w:rsid w:val="002F5378"/>
    <w:rsid w:val="002F6E8F"/>
    <w:rsid w:val="002F7122"/>
    <w:rsid w:val="002F7192"/>
    <w:rsid w:val="003009E8"/>
    <w:rsid w:val="00301358"/>
    <w:rsid w:val="00303238"/>
    <w:rsid w:val="003076A3"/>
    <w:rsid w:val="0031027F"/>
    <w:rsid w:val="00311042"/>
    <w:rsid w:val="003112C4"/>
    <w:rsid w:val="00312A25"/>
    <w:rsid w:val="00312CBD"/>
    <w:rsid w:val="0031305D"/>
    <w:rsid w:val="00313457"/>
    <w:rsid w:val="0031411D"/>
    <w:rsid w:val="003142BB"/>
    <w:rsid w:val="0031452D"/>
    <w:rsid w:val="00314A5F"/>
    <w:rsid w:val="003159C3"/>
    <w:rsid w:val="00315B41"/>
    <w:rsid w:val="00315ED9"/>
    <w:rsid w:val="00316C81"/>
    <w:rsid w:val="003171A4"/>
    <w:rsid w:val="00317405"/>
    <w:rsid w:val="00317647"/>
    <w:rsid w:val="0032105D"/>
    <w:rsid w:val="00323037"/>
    <w:rsid w:val="00323517"/>
    <w:rsid w:val="00323B7F"/>
    <w:rsid w:val="00323D5B"/>
    <w:rsid w:val="00323F7B"/>
    <w:rsid w:val="0032457E"/>
    <w:rsid w:val="00324C8D"/>
    <w:rsid w:val="00325599"/>
    <w:rsid w:val="00325692"/>
    <w:rsid w:val="003256F4"/>
    <w:rsid w:val="003268B5"/>
    <w:rsid w:val="00327326"/>
    <w:rsid w:val="00327770"/>
    <w:rsid w:val="003315CB"/>
    <w:rsid w:val="0033177B"/>
    <w:rsid w:val="00332B4C"/>
    <w:rsid w:val="00334261"/>
    <w:rsid w:val="00334512"/>
    <w:rsid w:val="00334BC9"/>
    <w:rsid w:val="00334F59"/>
    <w:rsid w:val="00335551"/>
    <w:rsid w:val="003357E3"/>
    <w:rsid w:val="0033588A"/>
    <w:rsid w:val="00336A0D"/>
    <w:rsid w:val="00336F7A"/>
    <w:rsid w:val="00337073"/>
    <w:rsid w:val="003373AC"/>
    <w:rsid w:val="003402EB"/>
    <w:rsid w:val="00340C37"/>
    <w:rsid w:val="0034104B"/>
    <w:rsid w:val="00341516"/>
    <w:rsid w:val="00341DC6"/>
    <w:rsid w:val="00342DD3"/>
    <w:rsid w:val="003433FF"/>
    <w:rsid w:val="0034412F"/>
    <w:rsid w:val="00344A10"/>
    <w:rsid w:val="00344F6B"/>
    <w:rsid w:val="00346CA1"/>
    <w:rsid w:val="003472E0"/>
    <w:rsid w:val="0035014F"/>
    <w:rsid w:val="00350CE2"/>
    <w:rsid w:val="00350E02"/>
    <w:rsid w:val="003520A8"/>
    <w:rsid w:val="00352947"/>
    <w:rsid w:val="00352C1B"/>
    <w:rsid w:val="003533D0"/>
    <w:rsid w:val="00353A0D"/>
    <w:rsid w:val="00353B67"/>
    <w:rsid w:val="00354241"/>
    <w:rsid w:val="003546D5"/>
    <w:rsid w:val="00354B21"/>
    <w:rsid w:val="00355F1C"/>
    <w:rsid w:val="00356B02"/>
    <w:rsid w:val="0035711A"/>
    <w:rsid w:val="00357767"/>
    <w:rsid w:val="00357940"/>
    <w:rsid w:val="00360F55"/>
    <w:rsid w:val="00361700"/>
    <w:rsid w:val="00362A27"/>
    <w:rsid w:val="00363B7B"/>
    <w:rsid w:val="00364438"/>
    <w:rsid w:val="00364BCA"/>
    <w:rsid w:val="003652CA"/>
    <w:rsid w:val="003658B5"/>
    <w:rsid w:val="00366946"/>
    <w:rsid w:val="00366D11"/>
    <w:rsid w:val="00367A9E"/>
    <w:rsid w:val="00370C43"/>
    <w:rsid w:val="00370FD9"/>
    <w:rsid w:val="00372562"/>
    <w:rsid w:val="00372AD5"/>
    <w:rsid w:val="0037335D"/>
    <w:rsid w:val="0037341E"/>
    <w:rsid w:val="003738C4"/>
    <w:rsid w:val="00373BB9"/>
    <w:rsid w:val="003751C7"/>
    <w:rsid w:val="00375592"/>
    <w:rsid w:val="003756BE"/>
    <w:rsid w:val="003765BD"/>
    <w:rsid w:val="00376F64"/>
    <w:rsid w:val="003775EC"/>
    <w:rsid w:val="0038064E"/>
    <w:rsid w:val="00380DE0"/>
    <w:rsid w:val="00380E1B"/>
    <w:rsid w:val="003811BB"/>
    <w:rsid w:val="00382175"/>
    <w:rsid w:val="003829AD"/>
    <w:rsid w:val="00382D54"/>
    <w:rsid w:val="003835D9"/>
    <w:rsid w:val="00383970"/>
    <w:rsid w:val="00385591"/>
    <w:rsid w:val="003864F7"/>
    <w:rsid w:val="0038715C"/>
    <w:rsid w:val="00390F53"/>
    <w:rsid w:val="0039117C"/>
    <w:rsid w:val="003914FE"/>
    <w:rsid w:val="0039300E"/>
    <w:rsid w:val="00393E86"/>
    <w:rsid w:val="0039479F"/>
    <w:rsid w:val="00394887"/>
    <w:rsid w:val="00395023"/>
    <w:rsid w:val="003960F0"/>
    <w:rsid w:val="00396C36"/>
    <w:rsid w:val="00397466"/>
    <w:rsid w:val="003A0B2E"/>
    <w:rsid w:val="003A0DDC"/>
    <w:rsid w:val="003A1132"/>
    <w:rsid w:val="003A1F18"/>
    <w:rsid w:val="003A26E5"/>
    <w:rsid w:val="003A43AD"/>
    <w:rsid w:val="003A4DBD"/>
    <w:rsid w:val="003A5C44"/>
    <w:rsid w:val="003A6B9C"/>
    <w:rsid w:val="003A770C"/>
    <w:rsid w:val="003A7CD1"/>
    <w:rsid w:val="003B0421"/>
    <w:rsid w:val="003B082A"/>
    <w:rsid w:val="003B0B9E"/>
    <w:rsid w:val="003B115E"/>
    <w:rsid w:val="003B1C32"/>
    <w:rsid w:val="003B3FE7"/>
    <w:rsid w:val="003B4ABA"/>
    <w:rsid w:val="003B4CA3"/>
    <w:rsid w:val="003B4F80"/>
    <w:rsid w:val="003B5A76"/>
    <w:rsid w:val="003B5C42"/>
    <w:rsid w:val="003B7B1B"/>
    <w:rsid w:val="003B7D77"/>
    <w:rsid w:val="003C0F4F"/>
    <w:rsid w:val="003C1F6B"/>
    <w:rsid w:val="003C2D87"/>
    <w:rsid w:val="003C3A2B"/>
    <w:rsid w:val="003C3B8F"/>
    <w:rsid w:val="003C401E"/>
    <w:rsid w:val="003C427E"/>
    <w:rsid w:val="003C477B"/>
    <w:rsid w:val="003C4C5C"/>
    <w:rsid w:val="003C4CC5"/>
    <w:rsid w:val="003C5071"/>
    <w:rsid w:val="003C53BF"/>
    <w:rsid w:val="003C5444"/>
    <w:rsid w:val="003C5713"/>
    <w:rsid w:val="003C6623"/>
    <w:rsid w:val="003D0779"/>
    <w:rsid w:val="003D07FD"/>
    <w:rsid w:val="003D0C65"/>
    <w:rsid w:val="003D0C96"/>
    <w:rsid w:val="003D2430"/>
    <w:rsid w:val="003D2952"/>
    <w:rsid w:val="003D2E01"/>
    <w:rsid w:val="003D3C68"/>
    <w:rsid w:val="003D6038"/>
    <w:rsid w:val="003D632A"/>
    <w:rsid w:val="003D6871"/>
    <w:rsid w:val="003D687E"/>
    <w:rsid w:val="003D7CA4"/>
    <w:rsid w:val="003E04AC"/>
    <w:rsid w:val="003E1A40"/>
    <w:rsid w:val="003E1B43"/>
    <w:rsid w:val="003E1DE7"/>
    <w:rsid w:val="003E1F87"/>
    <w:rsid w:val="003E33E9"/>
    <w:rsid w:val="003E4789"/>
    <w:rsid w:val="003E4985"/>
    <w:rsid w:val="003E4C63"/>
    <w:rsid w:val="003E53E2"/>
    <w:rsid w:val="003E5825"/>
    <w:rsid w:val="003E6EAB"/>
    <w:rsid w:val="003E7C17"/>
    <w:rsid w:val="003F0432"/>
    <w:rsid w:val="003F045B"/>
    <w:rsid w:val="003F060D"/>
    <w:rsid w:val="003F07D7"/>
    <w:rsid w:val="003F3082"/>
    <w:rsid w:val="003F3089"/>
    <w:rsid w:val="003F3AE4"/>
    <w:rsid w:val="003F47F8"/>
    <w:rsid w:val="003F5D9A"/>
    <w:rsid w:val="003F5F85"/>
    <w:rsid w:val="00400013"/>
    <w:rsid w:val="004003E1"/>
    <w:rsid w:val="004009FF"/>
    <w:rsid w:val="00403195"/>
    <w:rsid w:val="00403300"/>
    <w:rsid w:val="00403AFA"/>
    <w:rsid w:val="0040424D"/>
    <w:rsid w:val="00404541"/>
    <w:rsid w:val="00404611"/>
    <w:rsid w:val="00404C3D"/>
    <w:rsid w:val="00405C0F"/>
    <w:rsid w:val="004061F8"/>
    <w:rsid w:val="00406F2F"/>
    <w:rsid w:val="004070D1"/>
    <w:rsid w:val="00407F87"/>
    <w:rsid w:val="004101BA"/>
    <w:rsid w:val="00410602"/>
    <w:rsid w:val="00411860"/>
    <w:rsid w:val="004135AC"/>
    <w:rsid w:val="004137DE"/>
    <w:rsid w:val="00414191"/>
    <w:rsid w:val="004141E9"/>
    <w:rsid w:val="004143D6"/>
    <w:rsid w:val="00414745"/>
    <w:rsid w:val="0041476F"/>
    <w:rsid w:val="0041521B"/>
    <w:rsid w:val="00415E25"/>
    <w:rsid w:val="00416010"/>
    <w:rsid w:val="00416489"/>
    <w:rsid w:val="004166C0"/>
    <w:rsid w:val="004169BA"/>
    <w:rsid w:val="0041700F"/>
    <w:rsid w:val="004178A9"/>
    <w:rsid w:val="0041794D"/>
    <w:rsid w:val="00417C42"/>
    <w:rsid w:val="00420B05"/>
    <w:rsid w:val="004213BD"/>
    <w:rsid w:val="00421927"/>
    <w:rsid w:val="00422C26"/>
    <w:rsid w:val="00423196"/>
    <w:rsid w:val="004237C4"/>
    <w:rsid w:val="00424127"/>
    <w:rsid w:val="004245FD"/>
    <w:rsid w:val="0042479D"/>
    <w:rsid w:val="00424D1A"/>
    <w:rsid w:val="00425D01"/>
    <w:rsid w:val="00426DFA"/>
    <w:rsid w:val="00427A03"/>
    <w:rsid w:val="00427FDF"/>
    <w:rsid w:val="00430DA6"/>
    <w:rsid w:val="00431404"/>
    <w:rsid w:val="00431D55"/>
    <w:rsid w:val="0043237F"/>
    <w:rsid w:val="004327B1"/>
    <w:rsid w:val="00432818"/>
    <w:rsid w:val="00435777"/>
    <w:rsid w:val="00435826"/>
    <w:rsid w:val="004359BE"/>
    <w:rsid w:val="0043685E"/>
    <w:rsid w:val="00436A04"/>
    <w:rsid w:val="00437B0F"/>
    <w:rsid w:val="00437F30"/>
    <w:rsid w:val="00440918"/>
    <w:rsid w:val="0044126D"/>
    <w:rsid w:val="00441732"/>
    <w:rsid w:val="00441821"/>
    <w:rsid w:val="00441F83"/>
    <w:rsid w:val="0044235C"/>
    <w:rsid w:val="00442DE7"/>
    <w:rsid w:val="004435BB"/>
    <w:rsid w:val="004441B9"/>
    <w:rsid w:val="00444DD8"/>
    <w:rsid w:val="00445417"/>
    <w:rsid w:val="004455C8"/>
    <w:rsid w:val="00447ACC"/>
    <w:rsid w:val="00451276"/>
    <w:rsid w:val="00451C2B"/>
    <w:rsid w:val="00452FFE"/>
    <w:rsid w:val="00453572"/>
    <w:rsid w:val="004537BA"/>
    <w:rsid w:val="00453C45"/>
    <w:rsid w:val="004541F7"/>
    <w:rsid w:val="00455E77"/>
    <w:rsid w:val="004573BE"/>
    <w:rsid w:val="00460031"/>
    <w:rsid w:val="00460A40"/>
    <w:rsid w:val="00462DDF"/>
    <w:rsid w:val="00462FBE"/>
    <w:rsid w:val="004663BC"/>
    <w:rsid w:val="00466DA9"/>
    <w:rsid w:val="00470714"/>
    <w:rsid w:val="00470E1E"/>
    <w:rsid w:val="00471544"/>
    <w:rsid w:val="0047178B"/>
    <w:rsid w:val="0047188A"/>
    <w:rsid w:val="0047216F"/>
    <w:rsid w:val="0047372C"/>
    <w:rsid w:val="00474001"/>
    <w:rsid w:val="00474478"/>
    <w:rsid w:val="004744B2"/>
    <w:rsid w:val="00474E46"/>
    <w:rsid w:val="00475FC0"/>
    <w:rsid w:val="00476107"/>
    <w:rsid w:val="004761C4"/>
    <w:rsid w:val="00476F6B"/>
    <w:rsid w:val="00477C77"/>
    <w:rsid w:val="00480391"/>
    <w:rsid w:val="00480475"/>
    <w:rsid w:val="004811AB"/>
    <w:rsid w:val="004815F5"/>
    <w:rsid w:val="00481D77"/>
    <w:rsid w:val="00482126"/>
    <w:rsid w:val="004823E8"/>
    <w:rsid w:val="00482616"/>
    <w:rsid w:val="0048302F"/>
    <w:rsid w:val="00483CD1"/>
    <w:rsid w:val="00484C7D"/>
    <w:rsid w:val="00484C9B"/>
    <w:rsid w:val="0048605D"/>
    <w:rsid w:val="00486A06"/>
    <w:rsid w:val="00490E68"/>
    <w:rsid w:val="00491532"/>
    <w:rsid w:val="00491C08"/>
    <w:rsid w:val="00493A59"/>
    <w:rsid w:val="00493C99"/>
    <w:rsid w:val="00493D80"/>
    <w:rsid w:val="00494703"/>
    <w:rsid w:val="0049552B"/>
    <w:rsid w:val="00495EFE"/>
    <w:rsid w:val="00495F35"/>
    <w:rsid w:val="004977BB"/>
    <w:rsid w:val="00497905"/>
    <w:rsid w:val="004A00AB"/>
    <w:rsid w:val="004A075F"/>
    <w:rsid w:val="004A096D"/>
    <w:rsid w:val="004A21ED"/>
    <w:rsid w:val="004A2D36"/>
    <w:rsid w:val="004A3757"/>
    <w:rsid w:val="004A3CFF"/>
    <w:rsid w:val="004A6259"/>
    <w:rsid w:val="004A6DED"/>
    <w:rsid w:val="004A7DEE"/>
    <w:rsid w:val="004B07C7"/>
    <w:rsid w:val="004B11ED"/>
    <w:rsid w:val="004B1663"/>
    <w:rsid w:val="004B169B"/>
    <w:rsid w:val="004B2122"/>
    <w:rsid w:val="004B2F19"/>
    <w:rsid w:val="004B3623"/>
    <w:rsid w:val="004B3FE9"/>
    <w:rsid w:val="004B42D6"/>
    <w:rsid w:val="004B4AD1"/>
    <w:rsid w:val="004B4D9F"/>
    <w:rsid w:val="004B5088"/>
    <w:rsid w:val="004B70FD"/>
    <w:rsid w:val="004B72E0"/>
    <w:rsid w:val="004B7EBF"/>
    <w:rsid w:val="004C0DDE"/>
    <w:rsid w:val="004C10A9"/>
    <w:rsid w:val="004C24C9"/>
    <w:rsid w:val="004C2886"/>
    <w:rsid w:val="004C313A"/>
    <w:rsid w:val="004C40AA"/>
    <w:rsid w:val="004C5283"/>
    <w:rsid w:val="004C7AF6"/>
    <w:rsid w:val="004D000E"/>
    <w:rsid w:val="004D021D"/>
    <w:rsid w:val="004D06E1"/>
    <w:rsid w:val="004D0793"/>
    <w:rsid w:val="004D14A6"/>
    <w:rsid w:val="004D1AAE"/>
    <w:rsid w:val="004D3515"/>
    <w:rsid w:val="004D3B91"/>
    <w:rsid w:val="004D3BD7"/>
    <w:rsid w:val="004D4D41"/>
    <w:rsid w:val="004D4F7A"/>
    <w:rsid w:val="004D5FF2"/>
    <w:rsid w:val="004D62AA"/>
    <w:rsid w:val="004D63D7"/>
    <w:rsid w:val="004D7247"/>
    <w:rsid w:val="004D78F5"/>
    <w:rsid w:val="004D7E30"/>
    <w:rsid w:val="004E1422"/>
    <w:rsid w:val="004E1589"/>
    <w:rsid w:val="004E17BF"/>
    <w:rsid w:val="004E1E73"/>
    <w:rsid w:val="004E2D4F"/>
    <w:rsid w:val="004E2EDD"/>
    <w:rsid w:val="004E35CD"/>
    <w:rsid w:val="004E43F6"/>
    <w:rsid w:val="004E4E12"/>
    <w:rsid w:val="004E5BBA"/>
    <w:rsid w:val="004E605A"/>
    <w:rsid w:val="004E6AAF"/>
    <w:rsid w:val="004F007C"/>
    <w:rsid w:val="004F207E"/>
    <w:rsid w:val="004F2A8D"/>
    <w:rsid w:val="004F36B9"/>
    <w:rsid w:val="004F42D1"/>
    <w:rsid w:val="004F4854"/>
    <w:rsid w:val="004F6767"/>
    <w:rsid w:val="004F68D6"/>
    <w:rsid w:val="004F7CB4"/>
    <w:rsid w:val="005000FF"/>
    <w:rsid w:val="005014F1"/>
    <w:rsid w:val="005015F9"/>
    <w:rsid w:val="00501D2E"/>
    <w:rsid w:val="0050324A"/>
    <w:rsid w:val="00503D88"/>
    <w:rsid w:val="00504D5B"/>
    <w:rsid w:val="00505B42"/>
    <w:rsid w:val="00506E4E"/>
    <w:rsid w:val="00506F0A"/>
    <w:rsid w:val="00506FFD"/>
    <w:rsid w:val="00510FC4"/>
    <w:rsid w:val="005111A7"/>
    <w:rsid w:val="0051156E"/>
    <w:rsid w:val="0051217F"/>
    <w:rsid w:val="005124B5"/>
    <w:rsid w:val="005135CA"/>
    <w:rsid w:val="00513640"/>
    <w:rsid w:val="005136AB"/>
    <w:rsid w:val="00513A52"/>
    <w:rsid w:val="00513E37"/>
    <w:rsid w:val="00513EFC"/>
    <w:rsid w:val="005154D1"/>
    <w:rsid w:val="00515F3F"/>
    <w:rsid w:val="00516605"/>
    <w:rsid w:val="00516915"/>
    <w:rsid w:val="00516AF6"/>
    <w:rsid w:val="005177B2"/>
    <w:rsid w:val="00520099"/>
    <w:rsid w:val="00522097"/>
    <w:rsid w:val="005223B7"/>
    <w:rsid w:val="00522A72"/>
    <w:rsid w:val="0052326B"/>
    <w:rsid w:val="005234F5"/>
    <w:rsid w:val="0052393D"/>
    <w:rsid w:val="005256F8"/>
    <w:rsid w:val="0052581D"/>
    <w:rsid w:val="005266C7"/>
    <w:rsid w:val="00530008"/>
    <w:rsid w:val="005301D6"/>
    <w:rsid w:val="00530F14"/>
    <w:rsid w:val="00531882"/>
    <w:rsid w:val="00531A4E"/>
    <w:rsid w:val="00531AD7"/>
    <w:rsid w:val="00531CD9"/>
    <w:rsid w:val="00533DCB"/>
    <w:rsid w:val="00534233"/>
    <w:rsid w:val="005342BD"/>
    <w:rsid w:val="00534447"/>
    <w:rsid w:val="00535A5C"/>
    <w:rsid w:val="00536218"/>
    <w:rsid w:val="00536F2E"/>
    <w:rsid w:val="0053783E"/>
    <w:rsid w:val="00537C4F"/>
    <w:rsid w:val="00537F37"/>
    <w:rsid w:val="0054046B"/>
    <w:rsid w:val="005406AB"/>
    <w:rsid w:val="005408BC"/>
    <w:rsid w:val="00540A77"/>
    <w:rsid w:val="00540DBA"/>
    <w:rsid w:val="0054102B"/>
    <w:rsid w:val="00541535"/>
    <w:rsid w:val="00542408"/>
    <w:rsid w:val="00543019"/>
    <w:rsid w:val="00543864"/>
    <w:rsid w:val="00543D7B"/>
    <w:rsid w:val="005442CC"/>
    <w:rsid w:val="00544CDD"/>
    <w:rsid w:val="00544EF0"/>
    <w:rsid w:val="00545633"/>
    <w:rsid w:val="00545792"/>
    <w:rsid w:val="00546A98"/>
    <w:rsid w:val="005505C9"/>
    <w:rsid w:val="00550B9E"/>
    <w:rsid w:val="005516A8"/>
    <w:rsid w:val="00551B0D"/>
    <w:rsid w:val="00552E81"/>
    <w:rsid w:val="0055350B"/>
    <w:rsid w:val="00553E51"/>
    <w:rsid w:val="00554381"/>
    <w:rsid w:val="0055458F"/>
    <w:rsid w:val="00554E93"/>
    <w:rsid w:val="00556720"/>
    <w:rsid w:val="00556C23"/>
    <w:rsid w:val="00561207"/>
    <w:rsid w:val="005612D8"/>
    <w:rsid w:val="0056147B"/>
    <w:rsid w:val="0056199A"/>
    <w:rsid w:val="00561AA5"/>
    <w:rsid w:val="00562684"/>
    <w:rsid w:val="00562DC7"/>
    <w:rsid w:val="00563DD3"/>
    <w:rsid w:val="00564CCA"/>
    <w:rsid w:val="00564DF7"/>
    <w:rsid w:val="00566267"/>
    <w:rsid w:val="005664BF"/>
    <w:rsid w:val="00566CBB"/>
    <w:rsid w:val="00566E07"/>
    <w:rsid w:val="00566E55"/>
    <w:rsid w:val="00566EF8"/>
    <w:rsid w:val="0056757A"/>
    <w:rsid w:val="00567E9A"/>
    <w:rsid w:val="005703E7"/>
    <w:rsid w:val="00571974"/>
    <w:rsid w:val="00574701"/>
    <w:rsid w:val="00575703"/>
    <w:rsid w:val="005758BF"/>
    <w:rsid w:val="005758D3"/>
    <w:rsid w:val="0057679D"/>
    <w:rsid w:val="0057709F"/>
    <w:rsid w:val="005773CA"/>
    <w:rsid w:val="005800D7"/>
    <w:rsid w:val="0058052C"/>
    <w:rsid w:val="0058092A"/>
    <w:rsid w:val="005812AD"/>
    <w:rsid w:val="00581321"/>
    <w:rsid w:val="0058153E"/>
    <w:rsid w:val="00581A06"/>
    <w:rsid w:val="0058222C"/>
    <w:rsid w:val="00582405"/>
    <w:rsid w:val="005831ED"/>
    <w:rsid w:val="00583606"/>
    <w:rsid w:val="00583849"/>
    <w:rsid w:val="0058386C"/>
    <w:rsid w:val="00584A68"/>
    <w:rsid w:val="0058516B"/>
    <w:rsid w:val="00585DBF"/>
    <w:rsid w:val="00586314"/>
    <w:rsid w:val="00586D8B"/>
    <w:rsid w:val="005879D3"/>
    <w:rsid w:val="00587D55"/>
    <w:rsid w:val="00591E94"/>
    <w:rsid w:val="00593AEF"/>
    <w:rsid w:val="00593B25"/>
    <w:rsid w:val="005944C7"/>
    <w:rsid w:val="00594840"/>
    <w:rsid w:val="00595A72"/>
    <w:rsid w:val="00595F33"/>
    <w:rsid w:val="00596616"/>
    <w:rsid w:val="005968E8"/>
    <w:rsid w:val="00596B05"/>
    <w:rsid w:val="00596B42"/>
    <w:rsid w:val="00597E78"/>
    <w:rsid w:val="005A1289"/>
    <w:rsid w:val="005A1876"/>
    <w:rsid w:val="005A2497"/>
    <w:rsid w:val="005A3495"/>
    <w:rsid w:val="005A3C8C"/>
    <w:rsid w:val="005A3D19"/>
    <w:rsid w:val="005A6081"/>
    <w:rsid w:val="005A6634"/>
    <w:rsid w:val="005A6AE7"/>
    <w:rsid w:val="005A6B64"/>
    <w:rsid w:val="005A70BF"/>
    <w:rsid w:val="005A7DC6"/>
    <w:rsid w:val="005B2969"/>
    <w:rsid w:val="005B2EE3"/>
    <w:rsid w:val="005B3964"/>
    <w:rsid w:val="005B4542"/>
    <w:rsid w:val="005B4674"/>
    <w:rsid w:val="005B46E9"/>
    <w:rsid w:val="005B4B06"/>
    <w:rsid w:val="005B5175"/>
    <w:rsid w:val="005B51DA"/>
    <w:rsid w:val="005B5440"/>
    <w:rsid w:val="005B594E"/>
    <w:rsid w:val="005B5E23"/>
    <w:rsid w:val="005B623E"/>
    <w:rsid w:val="005B631E"/>
    <w:rsid w:val="005B696E"/>
    <w:rsid w:val="005B6E97"/>
    <w:rsid w:val="005B71D1"/>
    <w:rsid w:val="005B730B"/>
    <w:rsid w:val="005B7917"/>
    <w:rsid w:val="005B7E46"/>
    <w:rsid w:val="005C0107"/>
    <w:rsid w:val="005C018C"/>
    <w:rsid w:val="005C02DD"/>
    <w:rsid w:val="005C040D"/>
    <w:rsid w:val="005C0A2A"/>
    <w:rsid w:val="005C0D30"/>
    <w:rsid w:val="005C0F07"/>
    <w:rsid w:val="005C11F0"/>
    <w:rsid w:val="005C172F"/>
    <w:rsid w:val="005C1ED5"/>
    <w:rsid w:val="005C2601"/>
    <w:rsid w:val="005C2995"/>
    <w:rsid w:val="005C3E90"/>
    <w:rsid w:val="005C3F57"/>
    <w:rsid w:val="005C4A06"/>
    <w:rsid w:val="005C4E65"/>
    <w:rsid w:val="005C569A"/>
    <w:rsid w:val="005C58AD"/>
    <w:rsid w:val="005C604E"/>
    <w:rsid w:val="005C6224"/>
    <w:rsid w:val="005C682F"/>
    <w:rsid w:val="005C697F"/>
    <w:rsid w:val="005C7195"/>
    <w:rsid w:val="005C7270"/>
    <w:rsid w:val="005C77B2"/>
    <w:rsid w:val="005C7A8E"/>
    <w:rsid w:val="005C7D6A"/>
    <w:rsid w:val="005D09C2"/>
    <w:rsid w:val="005D175D"/>
    <w:rsid w:val="005D2B91"/>
    <w:rsid w:val="005D3A8F"/>
    <w:rsid w:val="005D3BFD"/>
    <w:rsid w:val="005D528E"/>
    <w:rsid w:val="005D656D"/>
    <w:rsid w:val="005E0077"/>
    <w:rsid w:val="005E0128"/>
    <w:rsid w:val="005E16A2"/>
    <w:rsid w:val="005E3522"/>
    <w:rsid w:val="005E3B45"/>
    <w:rsid w:val="005E4146"/>
    <w:rsid w:val="005E4CBB"/>
    <w:rsid w:val="005E5CEA"/>
    <w:rsid w:val="005E6B20"/>
    <w:rsid w:val="005E70A4"/>
    <w:rsid w:val="005F08BB"/>
    <w:rsid w:val="005F0CEB"/>
    <w:rsid w:val="005F15C5"/>
    <w:rsid w:val="005F1600"/>
    <w:rsid w:val="005F1D3A"/>
    <w:rsid w:val="005F2D24"/>
    <w:rsid w:val="005F361A"/>
    <w:rsid w:val="005F3D1A"/>
    <w:rsid w:val="005F43D3"/>
    <w:rsid w:val="005F4549"/>
    <w:rsid w:val="005F4746"/>
    <w:rsid w:val="005F504F"/>
    <w:rsid w:val="005F56C0"/>
    <w:rsid w:val="005F6A8C"/>
    <w:rsid w:val="005F6DCD"/>
    <w:rsid w:val="005F6F4D"/>
    <w:rsid w:val="005F713F"/>
    <w:rsid w:val="005F734C"/>
    <w:rsid w:val="005F7A19"/>
    <w:rsid w:val="005F7E05"/>
    <w:rsid w:val="006004AF"/>
    <w:rsid w:val="0060057E"/>
    <w:rsid w:val="00602029"/>
    <w:rsid w:val="006021A6"/>
    <w:rsid w:val="00602584"/>
    <w:rsid w:val="00602F4B"/>
    <w:rsid w:val="00604AD2"/>
    <w:rsid w:val="006053C0"/>
    <w:rsid w:val="00605A7E"/>
    <w:rsid w:val="00605C29"/>
    <w:rsid w:val="00606360"/>
    <w:rsid w:val="006063C2"/>
    <w:rsid w:val="0060654C"/>
    <w:rsid w:val="00606561"/>
    <w:rsid w:val="00606566"/>
    <w:rsid w:val="0060661B"/>
    <w:rsid w:val="00606C16"/>
    <w:rsid w:val="00606E5F"/>
    <w:rsid w:val="006075AE"/>
    <w:rsid w:val="00610039"/>
    <w:rsid w:val="0061147F"/>
    <w:rsid w:val="00611936"/>
    <w:rsid w:val="00611DD3"/>
    <w:rsid w:val="0061203A"/>
    <w:rsid w:val="006121BA"/>
    <w:rsid w:val="00612368"/>
    <w:rsid w:val="00612863"/>
    <w:rsid w:val="00612FBB"/>
    <w:rsid w:val="006143AC"/>
    <w:rsid w:val="00614AAF"/>
    <w:rsid w:val="0061535F"/>
    <w:rsid w:val="00615CF4"/>
    <w:rsid w:val="00615CF5"/>
    <w:rsid w:val="006165C8"/>
    <w:rsid w:val="006168AF"/>
    <w:rsid w:val="0061758E"/>
    <w:rsid w:val="006175D9"/>
    <w:rsid w:val="0061777E"/>
    <w:rsid w:val="006200DE"/>
    <w:rsid w:val="006204A9"/>
    <w:rsid w:val="00622053"/>
    <w:rsid w:val="00622D58"/>
    <w:rsid w:val="00623107"/>
    <w:rsid w:val="00623769"/>
    <w:rsid w:val="00624BC0"/>
    <w:rsid w:val="0062511C"/>
    <w:rsid w:val="00625628"/>
    <w:rsid w:val="00625761"/>
    <w:rsid w:val="006266CC"/>
    <w:rsid w:val="006266EB"/>
    <w:rsid w:val="0062673A"/>
    <w:rsid w:val="00627099"/>
    <w:rsid w:val="00631BFA"/>
    <w:rsid w:val="00633AFA"/>
    <w:rsid w:val="00633C70"/>
    <w:rsid w:val="00633E4F"/>
    <w:rsid w:val="006340E9"/>
    <w:rsid w:val="0063433E"/>
    <w:rsid w:val="006344E0"/>
    <w:rsid w:val="00634880"/>
    <w:rsid w:val="00634EFB"/>
    <w:rsid w:val="0063525D"/>
    <w:rsid w:val="00635D72"/>
    <w:rsid w:val="0063607B"/>
    <w:rsid w:val="006404C4"/>
    <w:rsid w:val="006411A6"/>
    <w:rsid w:val="00641239"/>
    <w:rsid w:val="0064220E"/>
    <w:rsid w:val="00642282"/>
    <w:rsid w:val="006428CF"/>
    <w:rsid w:val="00642A88"/>
    <w:rsid w:val="00642ABA"/>
    <w:rsid w:val="00642BCD"/>
    <w:rsid w:val="00642C74"/>
    <w:rsid w:val="00645AC0"/>
    <w:rsid w:val="00646170"/>
    <w:rsid w:val="0064641B"/>
    <w:rsid w:val="00650683"/>
    <w:rsid w:val="00650874"/>
    <w:rsid w:val="00651AFA"/>
    <w:rsid w:val="00651F5A"/>
    <w:rsid w:val="00652483"/>
    <w:rsid w:val="00652D4A"/>
    <w:rsid w:val="00652FAD"/>
    <w:rsid w:val="00653277"/>
    <w:rsid w:val="006536FE"/>
    <w:rsid w:val="006539EC"/>
    <w:rsid w:val="00654099"/>
    <w:rsid w:val="006546E5"/>
    <w:rsid w:val="0065484D"/>
    <w:rsid w:val="006549C6"/>
    <w:rsid w:val="0065560C"/>
    <w:rsid w:val="00655C01"/>
    <w:rsid w:val="00657098"/>
    <w:rsid w:val="00657759"/>
    <w:rsid w:val="0066223C"/>
    <w:rsid w:val="00664440"/>
    <w:rsid w:val="00664BA4"/>
    <w:rsid w:val="00664C32"/>
    <w:rsid w:val="00664D8F"/>
    <w:rsid w:val="0066511B"/>
    <w:rsid w:val="0066593D"/>
    <w:rsid w:val="00665EB5"/>
    <w:rsid w:val="00666055"/>
    <w:rsid w:val="0066682C"/>
    <w:rsid w:val="0066693F"/>
    <w:rsid w:val="00667355"/>
    <w:rsid w:val="006711DF"/>
    <w:rsid w:val="00671D6D"/>
    <w:rsid w:val="00673305"/>
    <w:rsid w:val="006750BC"/>
    <w:rsid w:val="00675BA6"/>
    <w:rsid w:val="0067764F"/>
    <w:rsid w:val="00680143"/>
    <w:rsid w:val="0068045E"/>
    <w:rsid w:val="006806B5"/>
    <w:rsid w:val="00680F5B"/>
    <w:rsid w:val="00681572"/>
    <w:rsid w:val="006827E6"/>
    <w:rsid w:val="00683832"/>
    <w:rsid w:val="00683CE1"/>
    <w:rsid w:val="00684726"/>
    <w:rsid w:val="00684811"/>
    <w:rsid w:val="006848EB"/>
    <w:rsid w:val="00684D0D"/>
    <w:rsid w:val="00684D5A"/>
    <w:rsid w:val="00685505"/>
    <w:rsid w:val="00690109"/>
    <w:rsid w:val="00690ACB"/>
    <w:rsid w:val="00690F87"/>
    <w:rsid w:val="006922C7"/>
    <w:rsid w:val="00692815"/>
    <w:rsid w:val="006937FF"/>
    <w:rsid w:val="0069424B"/>
    <w:rsid w:val="0069496C"/>
    <w:rsid w:val="00694DF7"/>
    <w:rsid w:val="0069526B"/>
    <w:rsid w:val="0069642D"/>
    <w:rsid w:val="00696DE7"/>
    <w:rsid w:val="00697886"/>
    <w:rsid w:val="00697D72"/>
    <w:rsid w:val="006A01D1"/>
    <w:rsid w:val="006A09AF"/>
    <w:rsid w:val="006A0C40"/>
    <w:rsid w:val="006A0C75"/>
    <w:rsid w:val="006A15AA"/>
    <w:rsid w:val="006A163F"/>
    <w:rsid w:val="006A21D6"/>
    <w:rsid w:val="006A25FE"/>
    <w:rsid w:val="006A2633"/>
    <w:rsid w:val="006A2875"/>
    <w:rsid w:val="006A2B66"/>
    <w:rsid w:val="006A2FD0"/>
    <w:rsid w:val="006A4395"/>
    <w:rsid w:val="006A44FC"/>
    <w:rsid w:val="006A4A73"/>
    <w:rsid w:val="006A53C2"/>
    <w:rsid w:val="006A596C"/>
    <w:rsid w:val="006A6560"/>
    <w:rsid w:val="006A6D36"/>
    <w:rsid w:val="006A70DA"/>
    <w:rsid w:val="006A754E"/>
    <w:rsid w:val="006A7ACD"/>
    <w:rsid w:val="006B0F9B"/>
    <w:rsid w:val="006B190F"/>
    <w:rsid w:val="006B2149"/>
    <w:rsid w:val="006B233B"/>
    <w:rsid w:val="006B2697"/>
    <w:rsid w:val="006B2919"/>
    <w:rsid w:val="006B2F2F"/>
    <w:rsid w:val="006B3707"/>
    <w:rsid w:val="006B3948"/>
    <w:rsid w:val="006B43AC"/>
    <w:rsid w:val="006B4A80"/>
    <w:rsid w:val="006B69E9"/>
    <w:rsid w:val="006B6E57"/>
    <w:rsid w:val="006B6EF0"/>
    <w:rsid w:val="006B7BC6"/>
    <w:rsid w:val="006B7C4A"/>
    <w:rsid w:val="006C0F10"/>
    <w:rsid w:val="006C1228"/>
    <w:rsid w:val="006C148D"/>
    <w:rsid w:val="006C1E19"/>
    <w:rsid w:val="006C32B5"/>
    <w:rsid w:val="006C3FFB"/>
    <w:rsid w:val="006C4086"/>
    <w:rsid w:val="006C4C32"/>
    <w:rsid w:val="006C5064"/>
    <w:rsid w:val="006C738E"/>
    <w:rsid w:val="006D06C6"/>
    <w:rsid w:val="006D086D"/>
    <w:rsid w:val="006D0972"/>
    <w:rsid w:val="006D1122"/>
    <w:rsid w:val="006D1459"/>
    <w:rsid w:val="006D27E1"/>
    <w:rsid w:val="006D2E13"/>
    <w:rsid w:val="006D3833"/>
    <w:rsid w:val="006D4966"/>
    <w:rsid w:val="006D5A12"/>
    <w:rsid w:val="006D6021"/>
    <w:rsid w:val="006D608B"/>
    <w:rsid w:val="006D6100"/>
    <w:rsid w:val="006D63BE"/>
    <w:rsid w:val="006D68C5"/>
    <w:rsid w:val="006D6A54"/>
    <w:rsid w:val="006D6AD9"/>
    <w:rsid w:val="006D6BE4"/>
    <w:rsid w:val="006D7235"/>
    <w:rsid w:val="006D769B"/>
    <w:rsid w:val="006D7A4E"/>
    <w:rsid w:val="006D7AD5"/>
    <w:rsid w:val="006E07B4"/>
    <w:rsid w:val="006E147D"/>
    <w:rsid w:val="006E1549"/>
    <w:rsid w:val="006E1B89"/>
    <w:rsid w:val="006E3BB4"/>
    <w:rsid w:val="006E483C"/>
    <w:rsid w:val="006E48BF"/>
    <w:rsid w:val="006E7B8F"/>
    <w:rsid w:val="006E7C46"/>
    <w:rsid w:val="006E7C91"/>
    <w:rsid w:val="006F0A30"/>
    <w:rsid w:val="006F1A6F"/>
    <w:rsid w:val="006F20F7"/>
    <w:rsid w:val="006F2D3F"/>
    <w:rsid w:val="006F3FB5"/>
    <w:rsid w:val="006F465D"/>
    <w:rsid w:val="006F4C05"/>
    <w:rsid w:val="006F4C5A"/>
    <w:rsid w:val="006F560E"/>
    <w:rsid w:val="006F6112"/>
    <w:rsid w:val="006F6627"/>
    <w:rsid w:val="006F67E2"/>
    <w:rsid w:val="006F6BA0"/>
    <w:rsid w:val="006F6CEA"/>
    <w:rsid w:val="006F7DBA"/>
    <w:rsid w:val="0070005E"/>
    <w:rsid w:val="007001F8"/>
    <w:rsid w:val="0070046E"/>
    <w:rsid w:val="00700482"/>
    <w:rsid w:val="007015E6"/>
    <w:rsid w:val="007030F4"/>
    <w:rsid w:val="0070331D"/>
    <w:rsid w:val="00703D5C"/>
    <w:rsid w:val="007049EC"/>
    <w:rsid w:val="007051AB"/>
    <w:rsid w:val="0070586A"/>
    <w:rsid w:val="00705CD2"/>
    <w:rsid w:val="00706738"/>
    <w:rsid w:val="00706981"/>
    <w:rsid w:val="00706D76"/>
    <w:rsid w:val="00707139"/>
    <w:rsid w:val="007101C1"/>
    <w:rsid w:val="00710B14"/>
    <w:rsid w:val="007114EE"/>
    <w:rsid w:val="00711D69"/>
    <w:rsid w:val="00712173"/>
    <w:rsid w:val="0071237E"/>
    <w:rsid w:val="00712716"/>
    <w:rsid w:val="00713034"/>
    <w:rsid w:val="00713E5A"/>
    <w:rsid w:val="00713F2C"/>
    <w:rsid w:val="0071550B"/>
    <w:rsid w:val="0071628E"/>
    <w:rsid w:val="00716C0A"/>
    <w:rsid w:val="0071703B"/>
    <w:rsid w:val="0071706F"/>
    <w:rsid w:val="007170F7"/>
    <w:rsid w:val="00717E4C"/>
    <w:rsid w:val="007205F6"/>
    <w:rsid w:val="007216E1"/>
    <w:rsid w:val="007218E2"/>
    <w:rsid w:val="00721DC4"/>
    <w:rsid w:val="0072205D"/>
    <w:rsid w:val="00722060"/>
    <w:rsid w:val="00724DB6"/>
    <w:rsid w:val="007254DE"/>
    <w:rsid w:val="007259B0"/>
    <w:rsid w:val="00725F70"/>
    <w:rsid w:val="007264DD"/>
    <w:rsid w:val="007305C5"/>
    <w:rsid w:val="007307F0"/>
    <w:rsid w:val="00731199"/>
    <w:rsid w:val="00731469"/>
    <w:rsid w:val="007318F9"/>
    <w:rsid w:val="0073299D"/>
    <w:rsid w:val="00733051"/>
    <w:rsid w:val="00733D1D"/>
    <w:rsid w:val="0073491D"/>
    <w:rsid w:val="00734E11"/>
    <w:rsid w:val="00735BD0"/>
    <w:rsid w:val="00735FAD"/>
    <w:rsid w:val="0073771A"/>
    <w:rsid w:val="00740380"/>
    <w:rsid w:val="00740D5F"/>
    <w:rsid w:val="007422CC"/>
    <w:rsid w:val="0074358A"/>
    <w:rsid w:val="007440F8"/>
    <w:rsid w:val="00744E6B"/>
    <w:rsid w:val="007452BB"/>
    <w:rsid w:val="007453EB"/>
    <w:rsid w:val="007455FC"/>
    <w:rsid w:val="0074579A"/>
    <w:rsid w:val="00746341"/>
    <w:rsid w:val="00746795"/>
    <w:rsid w:val="00747491"/>
    <w:rsid w:val="007502E7"/>
    <w:rsid w:val="00750BA8"/>
    <w:rsid w:val="00751C19"/>
    <w:rsid w:val="00751DEE"/>
    <w:rsid w:val="007521CA"/>
    <w:rsid w:val="007527E3"/>
    <w:rsid w:val="0075330F"/>
    <w:rsid w:val="00753ABB"/>
    <w:rsid w:val="007543E2"/>
    <w:rsid w:val="00754E47"/>
    <w:rsid w:val="007564DF"/>
    <w:rsid w:val="0075667F"/>
    <w:rsid w:val="00756EF6"/>
    <w:rsid w:val="0075750E"/>
    <w:rsid w:val="007610BD"/>
    <w:rsid w:val="00761B68"/>
    <w:rsid w:val="00762550"/>
    <w:rsid w:val="00765417"/>
    <w:rsid w:val="007656E7"/>
    <w:rsid w:val="00766112"/>
    <w:rsid w:val="00766D07"/>
    <w:rsid w:val="007676CE"/>
    <w:rsid w:val="007677F3"/>
    <w:rsid w:val="0077034F"/>
    <w:rsid w:val="007709AF"/>
    <w:rsid w:val="00770D53"/>
    <w:rsid w:val="007713CF"/>
    <w:rsid w:val="007714D5"/>
    <w:rsid w:val="0077159C"/>
    <w:rsid w:val="00771B87"/>
    <w:rsid w:val="00771E04"/>
    <w:rsid w:val="007720E9"/>
    <w:rsid w:val="00773370"/>
    <w:rsid w:val="00773539"/>
    <w:rsid w:val="00774273"/>
    <w:rsid w:val="00774F69"/>
    <w:rsid w:val="007759FB"/>
    <w:rsid w:val="00776C6B"/>
    <w:rsid w:val="00776FB7"/>
    <w:rsid w:val="0077713A"/>
    <w:rsid w:val="0077791F"/>
    <w:rsid w:val="00777AAB"/>
    <w:rsid w:val="00781795"/>
    <w:rsid w:val="0078213B"/>
    <w:rsid w:val="00782455"/>
    <w:rsid w:val="00782AF4"/>
    <w:rsid w:val="007839BC"/>
    <w:rsid w:val="00783B45"/>
    <w:rsid w:val="00783DEF"/>
    <w:rsid w:val="00783FF4"/>
    <w:rsid w:val="00784084"/>
    <w:rsid w:val="00784AD9"/>
    <w:rsid w:val="00785D54"/>
    <w:rsid w:val="00786991"/>
    <w:rsid w:val="00786B87"/>
    <w:rsid w:val="00787332"/>
    <w:rsid w:val="007908FD"/>
    <w:rsid w:val="00790BF1"/>
    <w:rsid w:val="0079177C"/>
    <w:rsid w:val="00791AB0"/>
    <w:rsid w:val="00792D05"/>
    <w:rsid w:val="007935E2"/>
    <w:rsid w:val="0079386D"/>
    <w:rsid w:val="00794868"/>
    <w:rsid w:val="00795E33"/>
    <w:rsid w:val="00796B9C"/>
    <w:rsid w:val="00796E92"/>
    <w:rsid w:val="007971DF"/>
    <w:rsid w:val="00797B96"/>
    <w:rsid w:val="007A01DC"/>
    <w:rsid w:val="007A1297"/>
    <w:rsid w:val="007A1567"/>
    <w:rsid w:val="007A19B7"/>
    <w:rsid w:val="007A225C"/>
    <w:rsid w:val="007A2BF8"/>
    <w:rsid w:val="007A4996"/>
    <w:rsid w:val="007A4FB0"/>
    <w:rsid w:val="007A60E4"/>
    <w:rsid w:val="007A74B4"/>
    <w:rsid w:val="007B0878"/>
    <w:rsid w:val="007B1458"/>
    <w:rsid w:val="007B1EEE"/>
    <w:rsid w:val="007B1FB2"/>
    <w:rsid w:val="007B2BE2"/>
    <w:rsid w:val="007B450D"/>
    <w:rsid w:val="007B4CA8"/>
    <w:rsid w:val="007B55C4"/>
    <w:rsid w:val="007B56FB"/>
    <w:rsid w:val="007B6BDB"/>
    <w:rsid w:val="007C004B"/>
    <w:rsid w:val="007C02EA"/>
    <w:rsid w:val="007C1BFF"/>
    <w:rsid w:val="007C241E"/>
    <w:rsid w:val="007C24EE"/>
    <w:rsid w:val="007C2DB4"/>
    <w:rsid w:val="007C3450"/>
    <w:rsid w:val="007C369B"/>
    <w:rsid w:val="007C3997"/>
    <w:rsid w:val="007C538F"/>
    <w:rsid w:val="007C5C93"/>
    <w:rsid w:val="007C5CE5"/>
    <w:rsid w:val="007C5E69"/>
    <w:rsid w:val="007C60A4"/>
    <w:rsid w:val="007C6471"/>
    <w:rsid w:val="007C666A"/>
    <w:rsid w:val="007C7613"/>
    <w:rsid w:val="007C7AA6"/>
    <w:rsid w:val="007C7C89"/>
    <w:rsid w:val="007D0135"/>
    <w:rsid w:val="007D025B"/>
    <w:rsid w:val="007D082A"/>
    <w:rsid w:val="007D08D6"/>
    <w:rsid w:val="007D09A2"/>
    <w:rsid w:val="007D2C4D"/>
    <w:rsid w:val="007D3687"/>
    <w:rsid w:val="007D44EB"/>
    <w:rsid w:val="007D469B"/>
    <w:rsid w:val="007D4E17"/>
    <w:rsid w:val="007D60ED"/>
    <w:rsid w:val="007D73EE"/>
    <w:rsid w:val="007D7452"/>
    <w:rsid w:val="007D74B2"/>
    <w:rsid w:val="007D7C10"/>
    <w:rsid w:val="007E152D"/>
    <w:rsid w:val="007E17E3"/>
    <w:rsid w:val="007E18F8"/>
    <w:rsid w:val="007E2BF6"/>
    <w:rsid w:val="007E39E0"/>
    <w:rsid w:val="007E3ACE"/>
    <w:rsid w:val="007E3EF3"/>
    <w:rsid w:val="007E51CE"/>
    <w:rsid w:val="007E5E33"/>
    <w:rsid w:val="007E5F33"/>
    <w:rsid w:val="007E6221"/>
    <w:rsid w:val="007E674F"/>
    <w:rsid w:val="007E7188"/>
    <w:rsid w:val="007E71AD"/>
    <w:rsid w:val="007E7684"/>
    <w:rsid w:val="007E7F33"/>
    <w:rsid w:val="007F077B"/>
    <w:rsid w:val="007F0A40"/>
    <w:rsid w:val="007F1826"/>
    <w:rsid w:val="007F1AEE"/>
    <w:rsid w:val="007F1F85"/>
    <w:rsid w:val="007F2366"/>
    <w:rsid w:val="007F2C4A"/>
    <w:rsid w:val="007F34C7"/>
    <w:rsid w:val="007F3E54"/>
    <w:rsid w:val="007F6C54"/>
    <w:rsid w:val="007F6FCB"/>
    <w:rsid w:val="007F79A9"/>
    <w:rsid w:val="008031CF"/>
    <w:rsid w:val="00803FD9"/>
    <w:rsid w:val="008071CE"/>
    <w:rsid w:val="0080744D"/>
    <w:rsid w:val="00807842"/>
    <w:rsid w:val="00810AB4"/>
    <w:rsid w:val="00810B58"/>
    <w:rsid w:val="00810D10"/>
    <w:rsid w:val="00810E38"/>
    <w:rsid w:val="00811756"/>
    <w:rsid w:val="00811878"/>
    <w:rsid w:val="00811C1F"/>
    <w:rsid w:val="00811FA6"/>
    <w:rsid w:val="00812CB4"/>
    <w:rsid w:val="0081448D"/>
    <w:rsid w:val="008145CB"/>
    <w:rsid w:val="008147A8"/>
    <w:rsid w:val="00815495"/>
    <w:rsid w:val="008157D2"/>
    <w:rsid w:val="00815F77"/>
    <w:rsid w:val="00816138"/>
    <w:rsid w:val="00816626"/>
    <w:rsid w:val="008169D3"/>
    <w:rsid w:val="00816C27"/>
    <w:rsid w:val="00816E39"/>
    <w:rsid w:val="00816FB3"/>
    <w:rsid w:val="00817CC8"/>
    <w:rsid w:val="00820AB4"/>
    <w:rsid w:val="008219D5"/>
    <w:rsid w:val="00821CD8"/>
    <w:rsid w:val="0082211A"/>
    <w:rsid w:val="0082378F"/>
    <w:rsid w:val="00824B7E"/>
    <w:rsid w:val="008261F9"/>
    <w:rsid w:val="00827334"/>
    <w:rsid w:val="00827385"/>
    <w:rsid w:val="00832FD1"/>
    <w:rsid w:val="00833390"/>
    <w:rsid w:val="00833893"/>
    <w:rsid w:val="00833F9E"/>
    <w:rsid w:val="00834575"/>
    <w:rsid w:val="00834D7F"/>
    <w:rsid w:val="00836AF5"/>
    <w:rsid w:val="00836DCD"/>
    <w:rsid w:val="00837902"/>
    <w:rsid w:val="00837C93"/>
    <w:rsid w:val="00840952"/>
    <w:rsid w:val="0084107E"/>
    <w:rsid w:val="0084217F"/>
    <w:rsid w:val="00842196"/>
    <w:rsid w:val="00842EAC"/>
    <w:rsid w:val="008433E4"/>
    <w:rsid w:val="00843A2B"/>
    <w:rsid w:val="00844199"/>
    <w:rsid w:val="0084439B"/>
    <w:rsid w:val="008451C6"/>
    <w:rsid w:val="008452DA"/>
    <w:rsid w:val="00845D6E"/>
    <w:rsid w:val="008464C5"/>
    <w:rsid w:val="00846986"/>
    <w:rsid w:val="00846AF9"/>
    <w:rsid w:val="0084761C"/>
    <w:rsid w:val="00847BDE"/>
    <w:rsid w:val="00847F3D"/>
    <w:rsid w:val="00850A44"/>
    <w:rsid w:val="00851200"/>
    <w:rsid w:val="00851B0F"/>
    <w:rsid w:val="008526E3"/>
    <w:rsid w:val="00852AB6"/>
    <w:rsid w:val="00854A1A"/>
    <w:rsid w:val="0085551D"/>
    <w:rsid w:val="008570ED"/>
    <w:rsid w:val="0085710A"/>
    <w:rsid w:val="00857809"/>
    <w:rsid w:val="00857BBC"/>
    <w:rsid w:val="0086155D"/>
    <w:rsid w:val="00861E8E"/>
    <w:rsid w:val="008620CD"/>
    <w:rsid w:val="00862885"/>
    <w:rsid w:val="00862933"/>
    <w:rsid w:val="00865244"/>
    <w:rsid w:val="008663FC"/>
    <w:rsid w:val="00866E17"/>
    <w:rsid w:val="00867076"/>
    <w:rsid w:val="00870B8F"/>
    <w:rsid w:val="008713E2"/>
    <w:rsid w:val="0087174D"/>
    <w:rsid w:val="0087188A"/>
    <w:rsid w:val="00871CCA"/>
    <w:rsid w:val="00872F01"/>
    <w:rsid w:val="00872FED"/>
    <w:rsid w:val="0087393D"/>
    <w:rsid w:val="00874DD8"/>
    <w:rsid w:val="00874E5A"/>
    <w:rsid w:val="00875830"/>
    <w:rsid w:val="00875EEB"/>
    <w:rsid w:val="00876155"/>
    <w:rsid w:val="00876666"/>
    <w:rsid w:val="00876DD4"/>
    <w:rsid w:val="00877439"/>
    <w:rsid w:val="00877750"/>
    <w:rsid w:val="00877771"/>
    <w:rsid w:val="0088221A"/>
    <w:rsid w:val="00882840"/>
    <w:rsid w:val="00882BC6"/>
    <w:rsid w:val="00882F0A"/>
    <w:rsid w:val="0088306D"/>
    <w:rsid w:val="00883297"/>
    <w:rsid w:val="008839FA"/>
    <w:rsid w:val="0088411F"/>
    <w:rsid w:val="008854A1"/>
    <w:rsid w:val="00885D22"/>
    <w:rsid w:val="00885F1C"/>
    <w:rsid w:val="00887AA9"/>
    <w:rsid w:val="00890265"/>
    <w:rsid w:val="008908D7"/>
    <w:rsid w:val="00891294"/>
    <w:rsid w:val="00891338"/>
    <w:rsid w:val="00891648"/>
    <w:rsid w:val="00891FE2"/>
    <w:rsid w:val="0089243B"/>
    <w:rsid w:val="00892867"/>
    <w:rsid w:val="00894BDF"/>
    <w:rsid w:val="008954F5"/>
    <w:rsid w:val="00896234"/>
    <w:rsid w:val="00896939"/>
    <w:rsid w:val="00896CD9"/>
    <w:rsid w:val="008975CD"/>
    <w:rsid w:val="008A0D56"/>
    <w:rsid w:val="008A159E"/>
    <w:rsid w:val="008A1823"/>
    <w:rsid w:val="008A19B2"/>
    <w:rsid w:val="008A2AA1"/>
    <w:rsid w:val="008A3B71"/>
    <w:rsid w:val="008A3C8B"/>
    <w:rsid w:val="008A4492"/>
    <w:rsid w:val="008A4F3B"/>
    <w:rsid w:val="008A633E"/>
    <w:rsid w:val="008A69DA"/>
    <w:rsid w:val="008B11D5"/>
    <w:rsid w:val="008B15FE"/>
    <w:rsid w:val="008B22B3"/>
    <w:rsid w:val="008B26FB"/>
    <w:rsid w:val="008B3C31"/>
    <w:rsid w:val="008B455F"/>
    <w:rsid w:val="008B52F9"/>
    <w:rsid w:val="008B6819"/>
    <w:rsid w:val="008B684D"/>
    <w:rsid w:val="008B7193"/>
    <w:rsid w:val="008B76B6"/>
    <w:rsid w:val="008B76F2"/>
    <w:rsid w:val="008C0586"/>
    <w:rsid w:val="008C0CA8"/>
    <w:rsid w:val="008C1136"/>
    <w:rsid w:val="008C137B"/>
    <w:rsid w:val="008C1F38"/>
    <w:rsid w:val="008C204C"/>
    <w:rsid w:val="008C28A3"/>
    <w:rsid w:val="008C28B1"/>
    <w:rsid w:val="008C37C4"/>
    <w:rsid w:val="008C39B3"/>
    <w:rsid w:val="008C45D0"/>
    <w:rsid w:val="008C4834"/>
    <w:rsid w:val="008C4DCA"/>
    <w:rsid w:val="008C52FC"/>
    <w:rsid w:val="008C5C0D"/>
    <w:rsid w:val="008C5E62"/>
    <w:rsid w:val="008C63C4"/>
    <w:rsid w:val="008C7284"/>
    <w:rsid w:val="008D02FE"/>
    <w:rsid w:val="008D0CE3"/>
    <w:rsid w:val="008D4228"/>
    <w:rsid w:val="008D4786"/>
    <w:rsid w:val="008D4E1D"/>
    <w:rsid w:val="008D5283"/>
    <w:rsid w:val="008D6364"/>
    <w:rsid w:val="008D65BF"/>
    <w:rsid w:val="008D65E9"/>
    <w:rsid w:val="008D67F8"/>
    <w:rsid w:val="008D70B3"/>
    <w:rsid w:val="008D7AE1"/>
    <w:rsid w:val="008D7B0F"/>
    <w:rsid w:val="008E0293"/>
    <w:rsid w:val="008E0983"/>
    <w:rsid w:val="008E2549"/>
    <w:rsid w:val="008E2EA1"/>
    <w:rsid w:val="008E4B4C"/>
    <w:rsid w:val="008E4C07"/>
    <w:rsid w:val="008E5BBE"/>
    <w:rsid w:val="008E60E0"/>
    <w:rsid w:val="008E6EAC"/>
    <w:rsid w:val="008E7B8C"/>
    <w:rsid w:val="008F11B8"/>
    <w:rsid w:val="008F1D59"/>
    <w:rsid w:val="008F2C79"/>
    <w:rsid w:val="008F3943"/>
    <w:rsid w:val="008F441B"/>
    <w:rsid w:val="008F4C6F"/>
    <w:rsid w:val="008F53BF"/>
    <w:rsid w:val="008F53F0"/>
    <w:rsid w:val="008F55D9"/>
    <w:rsid w:val="008F578E"/>
    <w:rsid w:val="008F612E"/>
    <w:rsid w:val="008F69C0"/>
    <w:rsid w:val="009003A3"/>
    <w:rsid w:val="00900B8D"/>
    <w:rsid w:val="009017B5"/>
    <w:rsid w:val="00901D2B"/>
    <w:rsid w:val="00902748"/>
    <w:rsid w:val="00902997"/>
    <w:rsid w:val="009029BD"/>
    <w:rsid w:val="009031FC"/>
    <w:rsid w:val="00903829"/>
    <w:rsid w:val="009042E6"/>
    <w:rsid w:val="00904AF7"/>
    <w:rsid w:val="00905759"/>
    <w:rsid w:val="00905B92"/>
    <w:rsid w:val="009062CA"/>
    <w:rsid w:val="00906AEB"/>
    <w:rsid w:val="00906BD8"/>
    <w:rsid w:val="00906F6C"/>
    <w:rsid w:val="0090711F"/>
    <w:rsid w:val="0090786C"/>
    <w:rsid w:val="0091125B"/>
    <w:rsid w:val="00911852"/>
    <w:rsid w:val="00911EA8"/>
    <w:rsid w:val="00911F1E"/>
    <w:rsid w:val="0091375F"/>
    <w:rsid w:val="00913799"/>
    <w:rsid w:val="00914F66"/>
    <w:rsid w:val="0091622F"/>
    <w:rsid w:val="00920769"/>
    <w:rsid w:val="00920927"/>
    <w:rsid w:val="009216C4"/>
    <w:rsid w:val="00921A84"/>
    <w:rsid w:val="0092288C"/>
    <w:rsid w:val="009233DC"/>
    <w:rsid w:val="0092343D"/>
    <w:rsid w:val="009234B3"/>
    <w:rsid w:val="009240D1"/>
    <w:rsid w:val="00924C0A"/>
    <w:rsid w:val="0092557D"/>
    <w:rsid w:val="009260CD"/>
    <w:rsid w:val="0092621A"/>
    <w:rsid w:val="00926C18"/>
    <w:rsid w:val="00926EC6"/>
    <w:rsid w:val="0092740A"/>
    <w:rsid w:val="00927442"/>
    <w:rsid w:val="00927713"/>
    <w:rsid w:val="0093035E"/>
    <w:rsid w:val="00930988"/>
    <w:rsid w:val="00930DF3"/>
    <w:rsid w:val="00931C51"/>
    <w:rsid w:val="00932CEF"/>
    <w:rsid w:val="00933257"/>
    <w:rsid w:val="0093331C"/>
    <w:rsid w:val="0093392F"/>
    <w:rsid w:val="009344F2"/>
    <w:rsid w:val="009348EF"/>
    <w:rsid w:val="009377D7"/>
    <w:rsid w:val="009401BF"/>
    <w:rsid w:val="009406DF"/>
    <w:rsid w:val="0094089E"/>
    <w:rsid w:val="00941A30"/>
    <w:rsid w:val="00943E81"/>
    <w:rsid w:val="00944175"/>
    <w:rsid w:val="00944233"/>
    <w:rsid w:val="00944656"/>
    <w:rsid w:val="009448AB"/>
    <w:rsid w:val="00945320"/>
    <w:rsid w:val="00946062"/>
    <w:rsid w:val="00946729"/>
    <w:rsid w:val="00946DD6"/>
    <w:rsid w:val="00950375"/>
    <w:rsid w:val="00950F3B"/>
    <w:rsid w:val="00954D20"/>
    <w:rsid w:val="00955076"/>
    <w:rsid w:val="00956380"/>
    <w:rsid w:val="009569B4"/>
    <w:rsid w:val="00956F1E"/>
    <w:rsid w:val="0096183D"/>
    <w:rsid w:val="009619A9"/>
    <w:rsid w:val="00961A17"/>
    <w:rsid w:val="00961CE6"/>
    <w:rsid w:val="00962FCC"/>
    <w:rsid w:val="0096339C"/>
    <w:rsid w:val="0096381D"/>
    <w:rsid w:val="00964125"/>
    <w:rsid w:val="009643DD"/>
    <w:rsid w:val="00965651"/>
    <w:rsid w:val="0096743D"/>
    <w:rsid w:val="00967EA6"/>
    <w:rsid w:val="00970022"/>
    <w:rsid w:val="0097118E"/>
    <w:rsid w:val="00971312"/>
    <w:rsid w:val="00971D0F"/>
    <w:rsid w:val="00972327"/>
    <w:rsid w:val="0097258A"/>
    <w:rsid w:val="00972C8D"/>
    <w:rsid w:val="00972CE9"/>
    <w:rsid w:val="00973452"/>
    <w:rsid w:val="009735CD"/>
    <w:rsid w:val="00973885"/>
    <w:rsid w:val="00973BE3"/>
    <w:rsid w:val="00973DD3"/>
    <w:rsid w:val="0097496A"/>
    <w:rsid w:val="00974DCF"/>
    <w:rsid w:val="00974E38"/>
    <w:rsid w:val="009754E4"/>
    <w:rsid w:val="00976252"/>
    <w:rsid w:val="009775EF"/>
    <w:rsid w:val="00981CBD"/>
    <w:rsid w:val="00983283"/>
    <w:rsid w:val="00983351"/>
    <w:rsid w:val="00983ADA"/>
    <w:rsid w:val="00983F9C"/>
    <w:rsid w:val="00983FFB"/>
    <w:rsid w:val="009841FC"/>
    <w:rsid w:val="00984BE8"/>
    <w:rsid w:val="009863B2"/>
    <w:rsid w:val="00986FAE"/>
    <w:rsid w:val="00987AA2"/>
    <w:rsid w:val="009913F4"/>
    <w:rsid w:val="0099196F"/>
    <w:rsid w:val="00993786"/>
    <w:rsid w:val="00994458"/>
    <w:rsid w:val="009947FA"/>
    <w:rsid w:val="00994C3D"/>
    <w:rsid w:val="00994C84"/>
    <w:rsid w:val="009950AB"/>
    <w:rsid w:val="009955A9"/>
    <w:rsid w:val="009962F1"/>
    <w:rsid w:val="00997344"/>
    <w:rsid w:val="00997383"/>
    <w:rsid w:val="0099756D"/>
    <w:rsid w:val="00997B8C"/>
    <w:rsid w:val="009A0BCC"/>
    <w:rsid w:val="009A0C47"/>
    <w:rsid w:val="009A0D15"/>
    <w:rsid w:val="009A23F5"/>
    <w:rsid w:val="009A2A1E"/>
    <w:rsid w:val="009A3DA0"/>
    <w:rsid w:val="009A3DE0"/>
    <w:rsid w:val="009A3E1B"/>
    <w:rsid w:val="009A520F"/>
    <w:rsid w:val="009A5401"/>
    <w:rsid w:val="009A65E9"/>
    <w:rsid w:val="009A68A4"/>
    <w:rsid w:val="009A6F0D"/>
    <w:rsid w:val="009A76C5"/>
    <w:rsid w:val="009B06AB"/>
    <w:rsid w:val="009B08C5"/>
    <w:rsid w:val="009B0DC3"/>
    <w:rsid w:val="009B3996"/>
    <w:rsid w:val="009B3B86"/>
    <w:rsid w:val="009B3F08"/>
    <w:rsid w:val="009B46F2"/>
    <w:rsid w:val="009B5069"/>
    <w:rsid w:val="009B5B4D"/>
    <w:rsid w:val="009B5E79"/>
    <w:rsid w:val="009B6830"/>
    <w:rsid w:val="009B7750"/>
    <w:rsid w:val="009B7997"/>
    <w:rsid w:val="009B7CE1"/>
    <w:rsid w:val="009C0C72"/>
    <w:rsid w:val="009C1AF3"/>
    <w:rsid w:val="009C29A1"/>
    <w:rsid w:val="009C3B1F"/>
    <w:rsid w:val="009C3D0F"/>
    <w:rsid w:val="009C3D3A"/>
    <w:rsid w:val="009C48AD"/>
    <w:rsid w:val="009C541C"/>
    <w:rsid w:val="009C724E"/>
    <w:rsid w:val="009C7424"/>
    <w:rsid w:val="009C77C4"/>
    <w:rsid w:val="009C7819"/>
    <w:rsid w:val="009C7EE3"/>
    <w:rsid w:val="009D0345"/>
    <w:rsid w:val="009D03C7"/>
    <w:rsid w:val="009D0E34"/>
    <w:rsid w:val="009D1194"/>
    <w:rsid w:val="009D154A"/>
    <w:rsid w:val="009D1A07"/>
    <w:rsid w:val="009D2162"/>
    <w:rsid w:val="009D2534"/>
    <w:rsid w:val="009D3207"/>
    <w:rsid w:val="009D4929"/>
    <w:rsid w:val="009D4B6A"/>
    <w:rsid w:val="009D52BC"/>
    <w:rsid w:val="009D5315"/>
    <w:rsid w:val="009E022D"/>
    <w:rsid w:val="009E0467"/>
    <w:rsid w:val="009E0759"/>
    <w:rsid w:val="009E0B2B"/>
    <w:rsid w:val="009E139A"/>
    <w:rsid w:val="009E1620"/>
    <w:rsid w:val="009E17A3"/>
    <w:rsid w:val="009E2BC6"/>
    <w:rsid w:val="009E2F63"/>
    <w:rsid w:val="009E3B73"/>
    <w:rsid w:val="009E4A2C"/>
    <w:rsid w:val="009E4F98"/>
    <w:rsid w:val="009E53D4"/>
    <w:rsid w:val="009E56C8"/>
    <w:rsid w:val="009E5770"/>
    <w:rsid w:val="009E5EF1"/>
    <w:rsid w:val="009E61EC"/>
    <w:rsid w:val="009E64AC"/>
    <w:rsid w:val="009E6543"/>
    <w:rsid w:val="009E682D"/>
    <w:rsid w:val="009E7552"/>
    <w:rsid w:val="009E7584"/>
    <w:rsid w:val="009E77FB"/>
    <w:rsid w:val="009E7C40"/>
    <w:rsid w:val="009F0BFB"/>
    <w:rsid w:val="009F0D10"/>
    <w:rsid w:val="009F123A"/>
    <w:rsid w:val="009F1A41"/>
    <w:rsid w:val="009F2181"/>
    <w:rsid w:val="009F2458"/>
    <w:rsid w:val="009F367D"/>
    <w:rsid w:val="009F3B24"/>
    <w:rsid w:val="009F3BC1"/>
    <w:rsid w:val="009F408E"/>
    <w:rsid w:val="009F4622"/>
    <w:rsid w:val="009F4662"/>
    <w:rsid w:val="009F5986"/>
    <w:rsid w:val="009F6457"/>
    <w:rsid w:val="009F694C"/>
    <w:rsid w:val="009F744A"/>
    <w:rsid w:val="009F7762"/>
    <w:rsid w:val="009F7827"/>
    <w:rsid w:val="00A008E6"/>
    <w:rsid w:val="00A0097F"/>
    <w:rsid w:val="00A00C9C"/>
    <w:rsid w:val="00A01150"/>
    <w:rsid w:val="00A01574"/>
    <w:rsid w:val="00A016D5"/>
    <w:rsid w:val="00A01778"/>
    <w:rsid w:val="00A038A9"/>
    <w:rsid w:val="00A03C84"/>
    <w:rsid w:val="00A04015"/>
    <w:rsid w:val="00A04764"/>
    <w:rsid w:val="00A04BD5"/>
    <w:rsid w:val="00A04F26"/>
    <w:rsid w:val="00A063E8"/>
    <w:rsid w:val="00A06B16"/>
    <w:rsid w:val="00A070C3"/>
    <w:rsid w:val="00A073D2"/>
    <w:rsid w:val="00A07417"/>
    <w:rsid w:val="00A07780"/>
    <w:rsid w:val="00A07D6A"/>
    <w:rsid w:val="00A10B09"/>
    <w:rsid w:val="00A1201F"/>
    <w:rsid w:val="00A1346D"/>
    <w:rsid w:val="00A13797"/>
    <w:rsid w:val="00A13EB3"/>
    <w:rsid w:val="00A14294"/>
    <w:rsid w:val="00A15198"/>
    <w:rsid w:val="00A1626F"/>
    <w:rsid w:val="00A2070E"/>
    <w:rsid w:val="00A207F7"/>
    <w:rsid w:val="00A20AFD"/>
    <w:rsid w:val="00A21204"/>
    <w:rsid w:val="00A2127E"/>
    <w:rsid w:val="00A2170D"/>
    <w:rsid w:val="00A22FF7"/>
    <w:rsid w:val="00A244AE"/>
    <w:rsid w:val="00A253F3"/>
    <w:rsid w:val="00A26534"/>
    <w:rsid w:val="00A26A76"/>
    <w:rsid w:val="00A27549"/>
    <w:rsid w:val="00A30921"/>
    <w:rsid w:val="00A30963"/>
    <w:rsid w:val="00A30C5C"/>
    <w:rsid w:val="00A31176"/>
    <w:rsid w:val="00A32C92"/>
    <w:rsid w:val="00A33578"/>
    <w:rsid w:val="00A33A12"/>
    <w:rsid w:val="00A34449"/>
    <w:rsid w:val="00A356C1"/>
    <w:rsid w:val="00A3599A"/>
    <w:rsid w:val="00A35CB3"/>
    <w:rsid w:val="00A3622F"/>
    <w:rsid w:val="00A36E67"/>
    <w:rsid w:val="00A37640"/>
    <w:rsid w:val="00A37C04"/>
    <w:rsid w:val="00A37D08"/>
    <w:rsid w:val="00A4097D"/>
    <w:rsid w:val="00A42B25"/>
    <w:rsid w:val="00A431D7"/>
    <w:rsid w:val="00A437CF"/>
    <w:rsid w:val="00A43AA8"/>
    <w:rsid w:val="00A4537D"/>
    <w:rsid w:val="00A46F6C"/>
    <w:rsid w:val="00A476D9"/>
    <w:rsid w:val="00A4778B"/>
    <w:rsid w:val="00A478F6"/>
    <w:rsid w:val="00A50941"/>
    <w:rsid w:val="00A50E51"/>
    <w:rsid w:val="00A51F7B"/>
    <w:rsid w:val="00A5278A"/>
    <w:rsid w:val="00A5289A"/>
    <w:rsid w:val="00A52C01"/>
    <w:rsid w:val="00A52E3A"/>
    <w:rsid w:val="00A534E7"/>
    <w:rsid w:val="00A53DE7"/>
    <w:rsid w:val="00A54B6D"/>
    <w:rsid w:val="00A55664"/>
    <w:rsid w:val="00A558DA"/>
    <w:rsid w:val="00A558EB"/>
    <w:rsid w:val="00A55C8E"/>
    <w:rsid w:val="00A56B31"/>
    <w:rsid w:val="00A57874"/>
    <w:rsid w:val="00A57F3A"/>
    <w:rsid w:val="00A601D7"/>
    <w:rsid w:val="00A60949"/>
    <w:rsid w:val="00A61D4D"/>
    <w:rsid w:val="00A62E83"/>
    <w:rsid w:val="00A63AF1"/>
    <w:rsid w:val="00A64116"/>
    <w:rsid w:val="00A64299"/>
    <w:rsid w:val="00A64C79"/>
    <w:rsid w:val="00A6546B"/>
    <w:rsid w:val="00A66319"/>
    <w:rsid w:val="00A667B6"/>
    <w:rsid w:val="00A677B6"/>
    <w:rsid w:val="00A7072D"/>
    <w:rsid w:val="00A71DB4"/>
    <w:rsid w:val="00A72330"/>
    <w:rsid w:val="00A729D1"/>
    <w:rsid w:val="00A73B9A"/>
    <w:rsid w:val="00A7416B"/>
    <w:rsid w:val="00A74AC8"/>
    <w:rsid w:val="00A74BE3"/>
    <w:rsid w:val="00A74D2C"/>
    <w:rsid w:val="00A76901"/>
    <w:rsid w:val="00A77244"/>
    <w:rsid w:val="00A80421"/>
    <w:rsid w:val="00A8057F"/>
    <w:rsid w:val="00A80DC4"/>
    <w:rsid w:val="00A8114F"/>
    <w:rsid w:val="00A81823"/>
    <w:rsid w:val="00A81AFD"/>
    <w:rsid w:val="00A82599"/>
    <w:rsid w:val="00A82838"/>
    <w:rsid w:val="00A82BE7"/>
    <w:rsid w:val="00A839EA"/>
    <w:rsid w:val="00A84018"/>
    <w:rsid w:val="00A86AD6"/>
    <w:rsid w:val="00A87D68"/>
    <w:rsid w:val="00A91413"/>
    <w:rsid w:val="00A9286F"/>
    <w:rsid w:val="00A933CC"/>
    <w:rsid w:val="00A94246"/>
    <w:rsid w:val="00A945BC"/>
    <w:rsid w:val="00A953F2"/>
    <w:rsid w:val="00A954E5"/>
    <w:rsid w:val="00A958F2"/>
    <w:rsid w:val="00A975CE"/>
    <w:rsid w:val="00A9775A"/>
    <w:rsid w:val="00A97F72"/>
    <w:rsid w:val="00AA0492"/>
    <w:rsid w:val="00AA0731"/>
    <w:rsid w:val="00AA0A05"/>
    <w:rsid w:val="00AA0F93"/>
    <w:rsid w:val="00AA1E37"/>
    <w:rsid w:val="00AA2235"/>
    <w:rsid w:val="00AA26B1"/>
    <w:rsid w:val="00AA327C"/>
    <w:rsid w:val="00AA37EF"/>
    <w:rsid w:val="00AA4478"/>
    <w:rsid w:val="00AA50A3"/>
    <w:rsid w:val="00AA52EC"/>
    <w:rsid w:val="00AA601D"/>
    <w:rsid w:val="00AA674A"/>
    <w:rsid w:val="00AA67E7"/>
    <w:rsid w:val="00AA6DEB"/>
    <w:rsid w:val="00AA6EBE"/>
    <w:rsid w:val="00AA7209"/>
    <w:rsid w:val="00AA75A1"/>
    <w:rsid w:val="00AA7796"/>
    <w:rsid w:val="00AA7A1F"/>
    <w:rsid w:val="00AA7F83"/>
    <w:rsid w:val="00AB071B"/>
    <w:rsid w:val="00AB0ABB"/>
    <w:rsid w:val="00AB0C80"/>
    <w:rsid w:val="00AB0CB6"/>
    <w:rsid w:val="00AB0D72"/>
    <w:rsid w:val="00AB111C"/>
    <w:rsid w:val="00AB1309"/>
    <w:rsid w:val="00AB1719"/>
    <w:rsid w:val="00AB284E"/>
    <w:rsid w:val="00AB3141"/>
    <w:rsid w:val="00AB3B84"/>
    <w:rsid w:val="00AB50E7"/>
    <w:rsid w:val="00AB5791"/>
    <w:rsid w:val="00AB6205"/>
    <w:rsid w:val="00AC0622"/>
    <w:rsid w:val="00AC22DC"/>
    <w:rsid w:val="00AC2ECE"/>
    <w:rsid w:val="00AC32FB"/>
    <w:rsid w:val="00AC3BF4"/>
    <w:rsid w:val="00AC3E9E"/>
    <w:rsid w:val="00AC4798"/>
    <w:rsid w:val="00AC481E"/>
    <w:rsid w:val="00AC49CF"/>
    <w:rsid w:val="00AC5D03"/>
    <w:rsid w:val="00AC5DAF"/>
    <w:rsid w:val="00AC647C"/>
    <w:rsid w:val="00AC649D"/>
    <w:rsid w:val="00AC7A3A"/>
    <w:rsid w:val="00AC7B04"/>
    <w:rsid w:val="00AC7BCC"/>
    <w:rsid w:val="00AC7FE3"/>
    <w:rsid w:val="00AD03CB"/>
    <w:rsid w:val="00AD0B57"/>
    <w:rsid w:val="00AD0E1B"/>
    <w:rsid w:val="00AD144A"/>
    <w:rsid w:val="00AD1B69"/>
    <w:rsid w:val="00AD1B78"/>
    <w:rsid w:val="00AD1CDF"/>
    <w:rsid w:val="00AD3565"/>
    <w:rsid w:val="00AD35FC"/>
    <w:rsid w:val="00AD388A"/>
    <w:rsid w:val="00AD4399"/>
    <w:rsid w:val="00AD481E"/>
    <w:rsid w:val="00AD4FBA"/>
    <w:rsid w:val="00AD6FEA"/>
    <w:rsid w:val="00AD7498"/>
    <w:rsid w:val="00AD7646"/>
    <w:rsid w:val="00AE0359"/>
    <w:rsid w:val="00AE0A1E"/>
    <w:rsid w:val="00AE2548"/>
    <w:rsid w:val="00AE3D07"/>
    <w:rsid w:val="00AE4780"/>
    <w:rsid w:val="00AE4B59"/>
    <w:rsid w:val="00AE5772"/>
    <w:rsid w:val="00AE5FB6"/>
    <w:rsid w:val="00AE6016"/>
    <w:rsid w:val="00AE6802"/>
    <w:rsid w:val="00AE71D0"/>
    <w:rsid w:val="00AE7D97"/>
    <w:rsid w:val="00AF207B"/>
    <w:rsid w:val="00AF216D"/>
    <w:rsid w:val="00AF253E"/>
    <w:rsid w:val="00AF2719"/>
    <w:rsid w:val="00AF291A"/>
    <w:rsid w:val="00AF3470"/>
    <w:rsid w:val="00AF59CA"/>
    <w:rsid w:val="00AF5AFA"/>
    <w:rsid w:val="00AF712E"/>
    <w:rsid w:val="00B00221"/>
    <w:rsid w:val="00B02817"/>
    <w:rsid w:val="00B03748"/>
    <w:rsid w:val="00B040C9"/>
    <w:rsid w:val="00B04120"/>
    <w:rsid w:val="00B04D92"/>
    <w:rsid w:val="00B06512"/>
    <w:rsid w:val="00B06651"/>
    <w:rsid w:val="00B07F08"/>
    <w:rsid w:val="00B10645"/>
    <w:rsid w:val="00B10F21"/>
    <w:rsid w:val="00B10FCE"/>
    <w:rsid w:val="00B11597"/>
    <w:rsid w:val="00B11745"/>
    <w:rsid w:val="00B133B5"/>
    <w:rsid w:val="00B13BA6"/>
    <w:rsid w:val="00B13FC5"/>
    <w:rsid w:val="00B14AA6"/>
    <w:rsid w:val="00B15322"/>
    <w:rsid w:val="00B16B49"/>
    <w:rsid w:val="00B16F48"/>
    <w:rsid w:val="00B17059"/>
    <w:rsid w:val="00B20002"/>
    <w:rsid w:val="00B207B5"/>
    <w:rsid w:val="00B2187A"/>
    <w:rsid w:val="00B21CFA"/>
    <w:rsid w:val="00B21F0B"/>
    <w:rsid w:val="00B220D2"/>
    <w:rsid w:val="00B224F2"/>
    <w:rsid w:val="00B2258D"/>
    <w:rsid w:val="00B227CB"/>
    <w:rsid w:val="00B227F0"/>
    <w:rsid w:val="00B22DCD"/>
    <w:rsid w:val="00B241CC"/>
    <w:rsid w:val="00B254CC"/>
    <w:rsid w:val="00B2572C"/>
    <w:rsid w:val="00B26370"/>
    <w:rsid w:val="00B26E2C"/>
    <w:rsid w:val="00B27A7D"/>
    <w:rsid w:val="00B27EE4"/>
    <w:rsid w:val="00B30561"/>
    <w:rsid w:val="00B30940"/>
    <w:rsid w:val="00B31FCB"/>
    <w:rsid w:val="00B32125"/>
    <w:rsid w:val="00B32AEC"/>
    <w:rsid w:val="00B3305E"/>
    <w:rsid w:val="00B34AB3"/>
    <w:rsid w:val="00B34DCF"/>
    <w:rsid w:val="00B352AE"/>
    <w:rsid w:val="00B357F8"/>
    <w:rsid w:val="00B369AF"/>
    <w:rsid w:val="00B36B1C"/>
    <w:rsid w:val="00B36DA9"/>
    <w:rsid w:val="00B36F0A"/>
    <w:rsid w:val="00B372ED"/>
    <w:rsid w:val="00B37444"/>
    <w:rsid w:val="00B375DB"/>
    <w:rsid w:val="00B400A8"/>
    <w:rsid w:val="00B42592"/>
    <w:rsid w:val="00B43943"/>
    <w:rsid w:val="00B43A8E"/>
    <w:rsid w:val="00B44647"/>
    <w:rsid w:val="00B44EBE"/>
    <w:rsid w:val="00B451B6"/>
    <w:rsid w:val="00B456A0"/>
    <w:rsid w:val="00B45718"/>
    <w:rsid w:val="00B45AED"/>
    <w:rsid w:val="00B45C2C"/>
    <w:rsid w:val="00B460A3"/>
    <w:rsid w:val="00B466CA"/>
    <w:rsid w:val="00B4751B"/>
    <w:rsid w:val="00B4766A"/>
    <w:rsid w:val="00B476A1"/>
    <w:rsid w:val="00B477D6"/>
    <w:rsid w:val="00B47F35"/>
    <w:rsid w:val="00B50668"/>
    <w:rsid w:val="00B50E35"/>
    <w:rsid w:val="00B50EA8"/>
    <w:rsid w:val="00B513D6"/>
    <w:rsid w:val="00B5193D"/>
    <w:rsid w:val="00B52AF3"/>
    <w:rsid w:val="00B52AF4"/>
    <w:rsid w:val="00B52C31"/>
    <w:rsid w:val="00B52C55"/>
    <w:rsid w:val="00B531D5"/>
    <w:rsid w:val="00B55230"/>
    <w:rsid w:val="00B55A64"/>
    <w:rsid w:val="00B55DA2"/>
    <w:rsid w:val="00B566A9"/>
    <w:rsid w:val="00B57E0F"/>
    <w:rsid w:val="00B57E53"/>
    <w:rsid w:val="00B605AE"/>
    <w:rsid w:val="00B61116"/>
    <w:rsid w:val="00B61674"/>
    <w:rsid w:val="00B619F4"/>
    <w:rsid w:val="00B61FF6"/>
    <w:rsid w:val="00B62142"/>
    <w:rsid w:val="00B6284D"/>
    <w:rsid w:val="00B632C2"/>
    <w:rsid w:val="00B63D80"/>
    <w:rsid w:val="00B64A1F"/>
    <w:rsid w:val="00B65509"/>
    <w:rsid w:val="00B6560E"/>
    <w:rsid w:val="00B65B1E"/>
    <w:rsid w:val="00B677A4"/>
    <w:rsid w:val="00B67DDB"/>
    <w:rsid w:val="00B703EE"/>
    <w:rsid w:val="00B71792"/>
    <w:rsid w:val="00B747DE"/>
    <w:rsid w:val="00B7544C"/>
    <w:rsid w:val="00B75DFC"/>
    <w:rsid w:val="00B75EB8"/>
    <w:rsid w:val="00B76535"/>
    <w:rsid w:val="00B77181"/>
    <w:rsid w:val="00B828A7"/>
    <w:rsid w:val="00B82D33"/>
    <w:rsid w:val="00B846F1"/>
    <w:rsid w:val="00B848B1"/>
    <w:rsid w:val="00B84C6F"/>
    <w:rsid w:val="00B84ED5"/>
    <w:rsid w:val="00B854C9"/>
    <w:rsid w:val="00B870CF"/>
    <w:rsid w:val="00B8771A"/>
    <w:rsid w:val="00B8791C"/>
    <w:rsid w:val="00B879F6"/>
    <w:rsid w:val="00B9200E"/>
    <w:rsid w:val="00B929EF"/>
    <w:rsid w:val="00B929FA"/>
    <w:rsid w:val="00B92E45"/>
    <w:rsid w:val="00B93667"/>
    <w:rsid w:val="00B936F2"/>
    <w:rsid w:val="00B94212"/>
    <w:rsid w:val="00B9501C"/>
    <w:rsid w:val="00B95C47"/>
    <w:rsid w:val="00B95CC0"/>
    <w:rsid w:val="00BA096A"/>
    <w:rsid w:val="00BA1AC4"/>
    <w:rsid w:val="00BA3FD7"/>
    <w:rsid w:val="00BA41F9"/>
    <w:rsid w:val="00BA5433"/>
    <w:rsid w:val="00BA5BA5"/>
    <w:rsid w:val="00BA5F4D"/>
    <w:rsid w:val="00BA61BC"/>
    <w:rsid w:val="00BA680F"/>
    <w:rsid w:val="00BA6D26"/>
    <w:rsid w:val="00BA6F8F"/>
    <w:rsid w:val="00BB01FC"/>
    <w:rsid w:val="00BB0DB1"/>
    <w:rsid w:val="00BB1963"/>
    <w:rsid w:val="00BB19FB"/>
    <w:rsid w:val="00BB1FDD"/>
    <w:rsid w:val="00BB321A"/>
    <w:rsid w:val="00BB35AA"/>
    <w:rsid w:val="00BB5883"/>
    <w:rsid w:val="00BB5A6F"/>
    <w:rsid w:val="00BB638F"/>
    <w:rsid w:val="00BB7653"/>
    <w:rsid w:val="00BB7825"/>
    <w:rsid w:val="00BC064B"/>
    <w:rsid w:val="00BC09D7"/>
    <w:rsid w:val="00BC1144"/>
    <w:rsid w:val="00BC16D8"/>
    <w:rsid w:val="00BC1EE0"/>
    <w:rsid w:val="00BC2E11"/>
    <w:rsid w:val="00BC31CF"/>
    <w:rsid w:val="00BC347E"/>
    <w:rsid w:val="00BC3EBC"/>
    <w:rsid w:val="00BC50A6"/>
    <w:rsid w:val="00BC510B"/>
    <w:rsid w:val="00BC58CB"/>
    <w:rsid w:val="00BC6690"/>
    <w:rsid w:val="00BC6982"/>
    <w:rsid w:val="00BC6AEC"/>
    <w:rsid w:val="00BC771B"/>
    <w:rsid w:val="00BC7D1A"/>
    <w:rsid w:val="00BC7EA0"/>
    <w:rsid w:val="00BD004A"/>
    <w:rsid w:val="00BD089D"/>
    <w:rsid w:val="00BD11B2"/>
    <w:rsid w:val="00BD190D"/>
    <w:rsid w:val="00BD2016"/>
    <w:rsid w:val="00BD207D"/>
    <w:rsid w:val="00BD20A8"/>
    <w:rsid w:val="00BD3566"/>
    <w:rsid w:val="00BD36E0"/>
    <w:rsid w:val="00BD374A"/>
    <w:rsid w:val="00BD3F88"/>
    <w:rsid w:val="00BD558C"/>
    <w:rsid w:val="00BD5809"/>
    <w:rsid w:val="00BD62EE"/>
    <w:rsid w:val="00BD698B"/>
    <w:rsid w:val="00BD703D"/>
    <w:rsid w:val="00BD72C4"/>
    <w:rsid w:val="00BD7731"/>
    <w:rsid w:val="00BD7A69"/>
    <w:rsid w:val="00BD7B59"/>
    <w:rsid w:val="00BD7D6D"/>
    <w:rsid w:val="00BD7E7D"/>
    <w:rsid w:val="00BD7FDF"/>
    <w:rsid w:val="00BE0CBD"/>
    <w:rsid w:val="00BE0D91"/>
    <w:rsid w:val="00BE18E7"/>
    <w:rsid w:val="00BE1C37"/>
    <w:rsid w:val="00BE2245"/>
    <w:rsid w:val="00BE27E7"/>
    <w:rsid w:val="00BE2A03"/>
    <w:rsid w:val="00BE3247"/>
    <w:rsid w:val="00BE4C1A"/>
    <w:rsid w:val="00BE58AC"/>
    <w:rsid w:val="00BE63F8"/>
    <w:rsid w:val="00BE6A2F"/>
    <w:rsid w:val="00BE6EFC"/>
    <w:rsid w:val="00BE70C0"/>
    <w:rsid w:val="00BE7594"/>
    <w:rsid w:val="00BE7B9E"/>
    <w:rsid w:val="00BF0C62"/>
    <w:rsid w:val="00BF0E6F"/>
    <w:rsid w:val="00BF196B"/>
    <w:rsid w:val="00BF2894"/>
    <w:rsid w:val="00BF2F30"/>
    <w:rsid w:val="00BF340F"/>
    <w:rsid w:val="00BF400F"/>
    <w:rsid w:val="00BF54E7"/>
    <w:rsid w:val="00BF55E0"/>
    <w:rsid w:val="00BF5644"/>
    <w:rsid w:val="00BF6387"/>
    <w:rsid w:val="00BF6A22"/>
    <w:rsid w:val="00BF6F6F"/>
    <w:rsid w:val="00BF727E"/>
    <w:rsid w:val="00BF772F"/>
    <w:rsid w:val="00BF7747"/>
    <w:rsid w:val="00C00774"/>
    <w:rsid w:val="00C00AD7"/>
    <w:rsid w:val="00C01BA7"/>
    <w:rsid w:val="00C02791"/>
    <w:rsid w:val="00C033AF"/>
    <w:rsid w:val="00C03EF0"/>
    <w:rsid w:val="00C04A09"/>
    <w:rsid w:val="00C04FE0"/>
    <w:rsid w:val="00C0560E"/>
    <w:rsid w:val="00C061CE"/>
    <w:rsid w:val="00C0656B"/>
    <w:rsid w:val="00C07C7B"/>
    <w:rsid w:val="00C10147"/>
    <w:rsid w:val="00C10D4C"/>
    <w:rsid w:val="00C11140"/>
    <w:rsid w:val="00C11A4E"/>
    <w:rsid w:val="00C141F6"/>
    <w:rsid w:val="00C15974"/>
    <w:rsid w:val="00C15D8B"/>
    <w:rsid w:val="00C169EB"/>
    <w:rsid w:val="00C16B8B"/>
    <w:rsid w:val="00C1792E"/>
    <w:rsid w:val="00C17AD7"/>
    <w:rsid w:val="00C17BEC"/>
    <w:rsid w:val="00C17FEE"/>
    <w:rsid w:val="00C2067B"/>
    <w:rsid w:val="00C211BA"/>
    <w:rsid w:val="00C21481"/>
    <w:rsid w:val="00C218C8"/>
    <w:rsid w:val="00C22282"/>
    <w:rsid w:val="00C22408"/>
    <w:rsid w:val="00C2274A"/>
    <w:rsid w:val="00C22D0F"/>
    <w:rsid w:val="00C24925"/>
    <w:rsid w:val="00C25DA7"/>
    <w:rsid w:val="00C262DD"/>
    <w:rsid w:val="00C26560"/>
    <w:rsid w:val="00C27ACB"/>
    <w:rsid w:val="00C339EA"/>
    <w:rsid w:val="00C34E46"/>
    <w:rsid w:val="00C34F40"/>
    <w:rsid w:val="00C35503"/>
    <w:rsid w:val="00C35EB8"/>
    <w:rsid w:val="00C366D8"/>
    <w:rsid w:val="00C37DBD"/>
    <w:rsid w:val="00C406BE"/>
    <w:rsid w:val="00C41063"/>
    <w:rsid w:val="00C416E9"/>
    <w:rsid w:val="00C42732"/>
    <w:rsid w:val="00C435E9"/>
    <w:rsid w:val="00C44053"/>
    <w:rsid w:val="00C44A19"/>
    <w:rsid w:val="00C44B8A"/>
    <w:rsid w:val="00C450AF"/>
    <w:rsid w:val="00C454ED"/>
    <w:rsid w:val="00C45F02"/>
    <w:rsid w:val="00C463D2"/>
    <w:rsid w:val="00C50272"/>
    <w:rsid w:val="00C506E2"/>
    <w:rsid w:val="00C50B06"/>
    <w:rsid w:val="00C51107"/>
    <w:rsid w:val="00C51233"/>
    <w:rsid w:val="00C51AB5"/>
    <w:rsid w:val="00C51DCE"/>
    <w:rsid w:val="00C52EC5"/>
    <w:rsid w:val="00C53705"/>
    <w:rsid w:val="00C54B83"/>
    <w:rsid w:val="00C551E0"/>
    <w:rsid w:val="00C552E6"/>
    <w:rsid w:val="00C55A1B"/>
    <w:rsid w:val="00C55A97"/>
    <w:rsid w:val="00C56CF0"/>
    <w:rsid w:val="00C607E1"/>
    <w:rsid w:val="00C6109D"/>
    <w:rsid w:val="00C61C48"/>
    <w:rsid w:val="00C63096"/>
    <w:rsid w:val="00C64BBA"/>
    <w:rsid w:val="00C64F10"/>
    <w:rsid w:val="00C65975"/>
    <w:rsid w:val="00C66332"/>
    <w:rsid w:val="00C66925"/>
    <w:rsid w:val="00C66BB3"/>
    <w:rsid w:val="00C671C2"/>
    <w:rsid w:val="00C674C2"/>
    <w:rsid w:val="00C67B90"/>
    <w:rsid w:val="00C70F64"/>
    <w:rsid w:val="00C713EC"/>
    <w:rsid w:val="00C71F8E"/>
    <w:rsid w:val="00C7401F"/>
    <w:rsid w:val="00C746FF"/>
    <w:rsid w:val="00C74AD1"/>
    <w:rsid w:val="00C74CC7"/>
    <w:rsid w:val="00C74DFF"/>
    <w:rsid w:val="00C762C3"/>
    <w:rsid w:val="00C76762"/>
    <w:rsid w:val="00C76D1D"/>
    <w:rsid w:val="00C76D82"/>
    <w:rsid w:val="00C80144"/>
    <w:rsid w:val="00C80452"/>
    <w:rsid w:val="00C8141B"/>
    <w:rsid w:val="00C81D92"/>
    <w:rsid w:val="00C826F7"/>
    <w:rsid w:val="00C83026"/>
    <w:rsid w:val="00C83070"/>
    <w:rsid w:val="00C833EE"/>
    <w:rsid w:val="00C83469"/>
    <w:rsid w:val="00C846E9"/>
    <w:rsid w:val="00C84725"/>
    <w:rsid w:val="00C857CE"/>
    <w:rsid w:val="00C85A86"/>
    <w:rsid w:val="00C85DF8"/>
    <w:rsid w:val="00C86409"/>
    <w:rsid w:val="00C86421"/>
    <w:rsid w:val="00C864B8"/>
    <w:rsid w:val="00C8684A"/>
    <w:rsid w:val="00C86850"/>
    <w:rsid w:val="00C86904"/>
    <w:rsid w:val="00C8739B"/>
    <w:rsid w:val="00C87E72"/>
    <w:rsid w:val="00C905DF"/>
    <w:rsid w:val="00C90A02"/>
    <w:rsid w:val="00C91557"/>
    <w:rsid w:val="00C91768"/>
    <w:rsid w:val="00C93BEB"/>
    <w:rsid w:val="00C94099"/>
    <w:rsid w:val="00C94466"/>
    <w:rsid w:val="00C95435"/>
    <w:rsid w:val="00C958C4"/>
    <w:rsid w:val="00C95A6D"/>
    <w:rsid w:val="00C95F1A"/>
    <w:rsid w:val="00C9687C"/>
    <w:rsid w:val="00C9760A"/>
    <w:rsid w:val="00CA014C"/>
    <w:rsid w:val="00CA0662"/>
    <w:rsid w:val="00CA0932"/>
    <w:rsid w:val="00CA0AFB"/>
    <w:rsid w:val="00CA1269"/>
    <w:rsid w:val="00CA1343"/>
    <w:rsid w:val="00CA144F"/>
    <w:rsid w:val="00CA14DC"/>
    <w:rsid w:val="00CA180F"/>
    <w:rsid w:val="00CA1C42"/>
    <w:rsid w:val="00CA2051"/>
    <w:rsid w:val="00CA26AD"/>
    <w:rsid w:val="00CA2FFE"/>
    <w:rsid w:val="00CA3937"/>
    <w:rsid w:val="00CA41FD"/>
    <w:rsid w:val="00CA5441"/>
    <w:rsid w:val="00CA5466"/>
    <w:rsid w:val="00CA5ACC"/>
    <w:rsid w:val="00CA5E36"/>
    <w:rsid w:val="00CA62CC"/>
    <w:rsid w:val="00CA65CD"/>
    <w:rsid w:val="00CA6DB5"/>
    <w:rsid w:val="00CA70ED"/>
    <w:rsid w:val="00CA732A"/>
    <w:rsid w:val="00CA7953"/>
    <w:rsid w:val="00CA7A59"/>
    <w:rsid w:val="00CB0A36"/>
    <w:rsid w:val="00CB0A37"/>
    <w:rsid w:val="00CB16CB"/>
    <w:rsid w:val="00CB1C95"/>
    <w:rsid w:val="00CB21F4"/>
    <w:rsid w:val="00CB29D9"/>
    <w:rsid w:val="00CB4395"/>
    <w:rsid w:val="00CB4405"/>
    <w:rsid w:val="00CB5FF6"/>
    <w:rsid w:val="00CB676D"/>
    <w:rsid w:val="00CB68D3"/>
    <w:rsid w:val="00CB7147"/>
    <w:rsid w:val="00CB7186"/>
    <w:rsid w:val="00CB76E1"/>
    <w:rsid w:val="00CB7A03"/>
    <w:rsid w:val="00CB7A2B"/>
    <w:rsid w:val="00CC061E"/>
    <w:rsid w:val="00CC0B12"/>
    <w:rsid w:val="00CC0F72"/>
    <w:rsid w:val="00CC20A1"/>
    <w:rsid w:val="00CC2322"/>
    <w:rsid w:val="00CC2448"/>
    <w:rsid w:val="00CC3761"/>
    <w:rsid w:val="00CC3821"/>
    <w:rsid w:val="00CC3B7A"/>
    <w:rsid w:val="00CC4602"/>
    <w:rsid w:val="00CC4946"/>
    <w:rsid w:val="00CC6739"/>
    <w:rsid w:val="00CC6D5C"/>
    <w:rsid w:val="00CC7A35"/>
    <w:rsid w:val="00CC7DF0"/>
    <w:rsid w:val="00CD0480"/>
    <w:rsid w:val="00CD0F88"/>
    <w:rsid w:val="00CD1504"/>
    <w:rsid w:val="00CD2525"/>
    <w:rsid w:val="00CD2623"/>
    <w:rsid w:val="00CD2963"/>
    <w:rsid w:val="00CD2BC2"/>
    <w:rsid w:val="00CD31BE"/>
    <w:rsid w:val="00CD35E0"/>
    <w:rsid w:val="00CD37A7"/>
    <w:rsid w:val="00CD3D52"/>
    <w:rsid w:val="00CD4295"/>
    <w:rsid w:val="00CD624B"/>
    <w:rsid w:val="00CD63D5"/>
    <w:rsid w:val="00CD6504"/>
    <w:rsid w:val="00CD6642"/>
    <w:rsid w:val="00CD7049"/>
    <w:rsid w:val="00CD78AB"/>
    <w:rsid w:val="00CD7B20"/>
    <w:rsid w:val="00CE0759"/>
    <w:rsid w:val="00CE0F53"/>
    <w:rsid w:val="00CE219C"/>
    <w:rsid w:val="00CE2CB4"/>
    <w:rsid w:val="00CE3187"/>
    <w:rsid w:val="00CE31B5"/>
    <w:rsid w:val="00CE3C90"/>
    <w:rsid w:val="00CE3E0E"/>
    <w:rsid w:val="00CE4233"/>
    <w:rsid w:val="00CE432B"/>
    <w:rsid w:val="00CE5FF1"/>
    <w:rsid w:val="00CE60EB"/>
    <w:rsid w:val="00CE64BC"/>
    <w:rsid w:val="00CE7715"/>
    <w:rsid w:val="00CF0A50"/>
    <w:rsid w:val="00CF3E44"/>
    <w:rsid w:val="00CF445C"/>
    <w:rsid w:val="00CF551C"/>
    <w:rsid w:val="00CF5EDE"/>
    <w:rsid w:val="00CF5F59"/>
    <w:rsid w:val="00CF6DF7"/>
    <w:rsid w:val="00CF7221"/>
    <w:rsid w:val="00D0015C"/>
    <w:rsid w:val="00D001F0"/>
    <w:rsid w:val="00D00E58"/>
    <w:rsid w:val="00D01A51"/>
    <w:rsid w:val="00D02B76"/>
    <w:rsid w:val="00D02B89"/>
    <w:rsid w:val="00D030EA"/>
    <w:rsid w:val="00D03C6C"/>
    <w:rsid w:val="00D04A07"/>
    <w:rsid w:val="00D05365"/>
    <w:rsid w:val="00D06E6A"/>
    <w:rsid w:val="00D07675"/>
    <w:rsid w:val="00D07FF5"/>
    <w:rsid w:val="00D10BA2"/>
    <w:rsid w:val="00D12D51"/>
    <w:rsid w:val="00D130A8"/>
    <w:rsid w:val="00D1310B"/>
    <w:rsid w:val="00D131DB"/>
    <w:rsid w:val="00D13B90"/>
    <w:rsid w:val="00D1402F"/>
    <w:rsid w:val="00D147B5"/>
    <w:rsid w:val="00D161D1"/>
    <w:rsid w:val="00D16309"/>
    <w:rsid w:val="00D17B7B"/>
    <w:rsid w:val="00D17DAA"/>
    <w:rsid w:val="00D2058C"/>
    <w:rsid w:val="00D22FE0"/>
    <w:rsid w:val="00D23374"/>
    <w:rsid w:val="00D23619"/>
    <w:rsid w:val="00D23B4E"/>
    <w:rsid w:val="00D259D8"/>
    <w:rsid w:val="00D25C33"/>
    <w:rsid w:val="00D26252"/>
    <w:rsid w:val="00D268C5"/>
    <w:rsid w:val="00D26F51"/>
    <w:rsid w:val="00D2770C"/>
    <w:rsid w:val="00D30018"/>
    <w:rsid w:val="00D3032B"/>
    <w:rsid w:val="00D30E7C"/>
    <w:rsid w:val="00D3287D"/>
    <w:rsid w:val="00D332B9"/>
    <w:rsid w:val="00D33D41"/>
    <w:rsid w:val="00D35082"/>
    <w:rsid w:val="00D360DB"/>
    <w:rsid w:val="00D36A0E"/>
    <w:rsid w:val="00D36A83"/>
    <w:rsid w:val="00D36FF0"/>
    <w:rsid w:val="00D37995"/>
    <w:rsid w:val="00D37BA1"/>
    <w:rsid w:val="00D37E5C"/>
    <w:rsid w:val="00D37FCE"/>
    <w:rsid w:val="00D403A1"/>
    <w:rsid w:val="00D40A90"/>
    <w:rsid w:val="00D41543"/>
    <w:rsid w:val="00D41AC9"/>
    <w:rsid w:val="00D421F7"/>
    <w:rsid w:val="00D43324"/>
    <w:rsid w:val="00D43786"/>
    <w:rsid w:val="00D4397B"/>
    <w:rsid w:val="00D43E09"/>
    <w:rsid w:val="00D44612"/>
    <w:rsid w:val="00D44B9E"/>
    <w:rsid w:val="00D4612F"/>
    <w:rsid w:val="00D469B3"/>
    <w:rsid w:val="00D46DBE"/>
    <w:rsid w:val="00D471F5"/>
    <w:rsid w:val="00D47410"/>
    <w:rsid w:val="00D4798D"/>
    <w:rsid w:val="00D50707"/>
    <w:rsid w:val="00D50D21"/>
    <w:rsid w:val="00D55807"/>
    <w:rsid w:val="00D55E6D"/>
    <w:rsid w:val="00D56071"/>
    <w:rsid w:val="00D5629C"/>
    <w:rsid w:val="00D56D2B"/>
    <w:rsid w:val="00D5755B"/>
    <w:rsid w:val="00D60D50"/>
    <w:rsid w:val="00D614CB"/>
    <w:rsid w:val="00D618A4"/>
    <w:rsid w:val="00D61EF7"/>
    <w:rsid w:val="00D61FFD"/>
    <w:rsid w:val="00D62842"/>
    <w:rsid w:val="00D62AFE"/>
    <w:rsid w:val="00D62B76"/>
    <w:rsid w:val="00D6300B"/>
    <w:rsid w:val="00D6356B"/>
    <w:rsid w:val="00D63967"/>
    <w:rsid w:val="00D63ABF"/>
    <w:rsid w:val="00D63E46"/>
    <w:rsid w:val="00D655E6"/>
    <w:rsid w:val="00D65D0A"/>
    <w:rsid w:val="00D6755E"/>
    <w:rsid w:val="00D67C4C"/>
    <w:rsid w:val="00D706E8"/>
    <w:rsid w:val="00D71732"/>
    <w:rsid w:val="00D722C7"/>
    <w:rsid w:val="00D72411"/>
    <w:rsid w:val="00D72D9F"/>
    <w:rsid w:val="00D74149"/>
    <w:rsid w:val="00D75290"/>
    <w:rsid w:val="00D76033"/>
    <w:rsid w:val="00D76627"/>
    <w:rsid w:val="00D76831"/>
    <w:rsid w:val="00D76853"/>
    <w:rsid w:val="00D76F7D"/>
    <w:rsid w:val="00D77465"/>
    <w:rsid w:val="00D804F8"/>
    <w:rsid w:val="00D81D24"/>
    <w:rsid w:val="00D81D4C"/>
    <w:rsid w:val="00D81F3B"/>
    <w:rsid w:val="00D82009"/>
    <w:rsid w:val="00D82FB8"/>
    <w:rsid w:val="00D83001"/>
    <w:rsid w:val="00D8337F"/>
    <w:rsid w:val="00D83426"/>
    <w:rsid w:val="00D83580"/>
    <w:rsid w:val="00D8372E"/>
    <w:rsid w:val="00D84767"/>
    <w:rsid w:val="00D84869"/>
    <w:rsid w:val="00D84AC9"/>
    <w:rsid w:val="00D85057"/>
    <w:rsid w:val="00D853F4"/>
    <w:rsid w:val="00D856CC"/>
    <w:rsid w:val="00D85DBF"/>
    <w:rsid w:val="00D86069"/>
    <w:rsid w:val="00D86589"/>
    <w:rsid w:val="00D86AA0"/>
    <w:rsid w:val="00D87896"/>
    <w:rsid w:val="00D90458"/>
    <w:rsid w:val="00D92064"/>
    <w:rsid w:val="00D925E6"/>
    <w:rsid w:val="00D92C44"/>
    <w:rsid w:val="00D946AA"/>
    <w:rsid w:val="00D94C90"/>
    <w:rsid w:val="00D950E5"/>
    <w:rsid w:val="00D96AD0"/>
    <w:rsid w:val="00D96EEE"/>
    <w:rsid w:val="00D9761E"/>
    <w:rsid w:val="00DA02BB"/>
    <w:rsid w:val="00DA03C6"/>
    <w:rsid w:val="00DA1B67"/>
    <w:rsid w:val="00DA1B7D"/>
    <w:rsid w:val="00DA1D50"/>
    <w:rsid w:val="00DA2901"/>
    <w:rsid w:val="00DA3557"/>
    <w:rsid w:val="00DA3F38"/>
    <w:rsid w:val="00DA4691"/>
    <w:rsid w:val="00DA4A93"/>
    <w:rsid w:val="00DA5AEB"/>
    <w:rsid w:val="00DA5B40"/>
    <w:rsid w:val="00DA7CEC"/>
    <w:rsid w:val="00DB33B1"/>
    <w:rsid w:val="00DB3770"/>
    <w:rsid w:val="00DB45DA"/>
    <w:rsid w:val="00DB4B91"/>
    <w:rsid w:val="00DB4C74"/>
    <w:rsid w:val="00DB5DB8"/>
    <w:rsid w:val="00DB5E16"/>
    <w:rsid w:val="00DB6EE5"/>
    <w:rsid w:val="00DB782F"/>
    <w:rsid w:val="00DB795B"/>
    <w:rsid w:val="00DC07F2"/>
    <w:rsid w:val="00DC0B55"/>
    <w:rsid w:val="00DC3364"/>
    <w:rsid w:val="00DC46CE"/>
    <w:rsid w:val="00DC4C6E"/>
    <w:rsid w:val="00DC5F96"/>
    <w:rsid w:val="00DC6499"/>
    <w:rsid w:val="00DC71CE"/>
    <w:rsid w:val="00DD071D"/>
    <w:rsid w:val="00DD10B7"/>
    <w:rsid w:val="00DD2C64"/>
    <w:rsid w:val="00DD33BD"/>
    <w:rsid w:val="00DD3C76"/>
    <w:rsid w:val="00DD4746"/>
    <w:rsid w:val="00DD5FA5"/>
    <w:rsid w:val="00DD639D"/>
    <w:rsid w:val="00DD791C"/>
    <w:rsid w:val="00DD7DCB"/>
    <w:rsid w:val="00DE0267"/>
    <w:rsid w:val="00DE044A"/>
    <w:rsid w:val="00DE059E"/>
    <w:rsid w:val="00DE0BBF"/>
    <w:rsid w:val="00DE265C"/>
    <w:rsid w:val="00DE295E"/>
    <w:rsid w:val="00DE2968"/>
    <w:rsid w:val="00DE503F"/>
    <w:rsid w:val="00DE6822"/>
    <w:rsid w:val="00DE6C18"/>
    <w:rsid w:val="00DE6F9A"/>
    <w:rsid w:val="00DE738C"/>
    <w:rsid w:val="00DF0A80"/>
    <w:rsid w:val="00DF17C1"/>
    <w:rsid w:val="00DF1DB4"/>
    <w:rsid w:val="00DF2230"/>
    <w:rsid w:val="00DF24A2"/>
    <w:rsid w:val="00DF4156"/>
    <w:rsid w:val="00DF4265"/>
    <w:rsid w:val="00DF44FD"/>
    <w:rsid w:val="00DF470A"/>
    <w:rsid w:val="00DF5D34"/>
    <w:rsid w:val="00DF663D"/>
    <w:rsid w:val="00DF66AA"/>
    <w:rsid w:val="00DF7529"/>
    <w:rsid w:val="00E0063D"/>
    <w:rsid w:val="00E00C3D"/>
    <w:rsid w:val="00E0155A"/>
    <w:rsid w:val="00E015AA"/>
    <w:rsid w:val="00E05A37"/>
    <w:rsid w:val="00E07EB7"/>
    <w:rsid w:val="00E10632"/>
    <w:rsid w:val="00E10A56"/>
    <w:rsid w:val="00E111CA"/>
    <w:rsid w:val="00E11C9F"/>
    <w:rsid w:val="00E120A8"/>
    <w:rsid w:val="00E123C8"/>
    <w:rsid w:val="00E12FCD"/>
    <w:rsid w:val="00E14F39"/>
    <w:rsid w:val="00E15894"/>
    <w:rsid w:val="00E204B2"/>
    <w:rsid w:val="00E20C90"/>
    <w:rsid w:val="00E20D1F"/>
    <w:rsid w:val="00E20FF5"/>
    <w:rsid w:val="00E21FE1"/>
    <w:rsid w:val="00E2210A"/>
    <w:rsid w:val="00E22205"/>
    <w:rsid w:val="00E2278E"/>
    <w:rsid w:val="00E22DF8"/>
    <w:rsid w:val="00E235A4"/>
    <w:rsid w:val="00E23D88"/>
    <w:rsid w:val="00E2527B"/>
    <w:rsid w:val="00E25BB3"/>
    <w:rsid w:val="00E26D02"/>
    <w:rsid w:val="00E3070F"/>
    <w:rsid w:val="00E30DDD"/>
    <w:rsid w:val="00E32150"/>
    <w:rsid w:val="00E321BD"/>
    <w:rsid w:val="00E32362"/>
    <w:rsid w:val="00E33D5C"/>
    <w:rsid w:val="00E340AA"/>
    <w:rsid w:val="00E34268"/>
    <w:rsid w:val="00E34B06"/>
    <w:rsid w:val="00E34B3D"/>
    <w:rsid w:val="00E35F27"/>
    <w:rsid w:val="00E365A2"/>
    <w:rsid w:val="00E37B14"/>
    <w:rsid w:val="00E37C6F"/>
    <w:rsid w:val="00E40928"/>
    <w:rsid w:val="00E41AC3"/>
    <w:rsid w:val="00E4298E"/>
    <w:rsid w:val="00E4299E"/>
    <w:rsid w:val="00E42AA2"/>
    <w:rsid w:val="00E42D3C"/>
    <w:rsid w:val="00E42EB8"/>
    <w:rsid w:val="00E42F5D"/>
    <w:rsid w:val="00E435B4"/>
    <w:rsid w:val="00E43F56"/>
    <w:rsid w:val="00E44726"/>
    <w:rsid w:val="00E44C79"/>
    <w:rsid w:val="00E44C89"/>
    <w:rsid w:val="00E44D02"/>
    <w:rsid w:val="00E45388"/>
    <w:rsid w:val="00E45BEA"/>
    <w:rsid w:val="00E47CA6"/>
    <w:rsid w:val="00E47EC5"/>
    <w:rsid w:val="00E50112"/>
    <w:rsid w:val="00E509E8"/>
    <w:rsid w:val="00E51466"/>
    <w:rsid w:val="00E539C5"/>
    <w:rsid w:val="00E540C5"/>
    <w:rsid w:val="00E55199"/>
    <w:rsid w:val="00E55E19"/>
    <w:rsid w:val="00E564E5"/>
    <w:rsid w:val="00E573A0"/>
    <w:rsid w:val="00E57ED7"/>
    <w:rsid w:val="00E621EF"/>
    <w:rsid w:val="00E6263A"/>
    <w:rsid w:val="00E628A1"/>
    <w:rsid w:val="00E62AC3"/>
    <w:rsid w:val="00E6338F"/>
    <w:rsid w:val="00E65FBA"/>
    <w:rsid w:val="00E666C3"/>
    <w:rsid w:val="00E66BB7"/>
    <w:rsid w:val="00E67BAD"/>
    <w:rsid w:val="00E70A81"/>
    <w:rsid w:val="00E70C15"/>
    <w:rsid w:val="00E70C4A"/>
    <w:rsid w:val="00E71CD6"/>
    <w:rsid w:val="00E71DF6"/>
    <w:rsid w:val="00E71F9F"/>
    <w:rsid w:val="00E7209C"/>
    <w:rsid w:val="00E72992"/>
    <w:rsid w:val="00E72B0A"/>
    <w:rsid w:val="00E735EA"/>
    <w:rsid w:val="00E736B7"/>
    <w:rsid w:val="00E73CC1"/>
    <w:rsid w:val="00E7409F"/>
    <w:rsid w:val="00E7476E"/>
    <w:rsid w:val="00E747A6"/>
    <w:rsid w:val="00E75566"/>
    <w:rsid w:val="00E76747"/>
    <w:rsid w:val="00E76946"/>
    <w:rsid w:val="00E76F4D"/>
    <w:rsid w:val="00E776A3"/>
    <w:rsid w:val="00E77798"/>
    <w:rsid w:val="00E77905"/>
    <w:rsid w:val="00E802DE"/>
    <w:rsid w:val="00E807C6"/>
    <w:rsid w:val="00E80C38"/>
    <w:rsid w:val="00E80CD3"/>
    <w:rsid w:val="00E80EC2"/>
    <w:rsid w:val="00E8100F"/>
    <w:rsid w:val="00E812D2"/>
    <w:rsid w:val="00E81437"/>
    <w:rsid w:val="00E818E0"/>
    <w:rsid w:val="00E81B8A"/>
    <w:rsid w:val="00E820A3"/>
    <w:rsid w:val="00E826AA"/>
    <w:rsid w:val="00E8289C"/>
    <w:rsid w:val="00E83605"/>
    <w:rsid w:val="00E83813"/>
    <w:rsid w:val="00E857F2"/>
    <w:rsid w:val="00E85821"/>
    <w:rsid w:val="00E86780"/>
    <w:rsid w:val="00E87093"/>
    <w:rsid w:val="00E877B8"/>
    <w:rsid w:val="00E87D57"/>
    <w:rsid w:val="00E87E8C"/>
    <w:rsid w:val="00E9010C"/>
    <w:rsid w:val="00E90947"/>
    <w:rsid w:val="00E91142"/>
    <w:rsid w:val="00E912EE"/>
    <w:rsid w:val="00E91609"/>
    <w:rsid w:val="00E918DE"/>
    <w:rsid w:val="00E91AE1"/>
    <w:rsid w:val="00E938D2"/>
    <w:rsid w:val="00E939DB"/>
    <w:rsid w:val="00E94205"/>
    <w:rsid w:val="00E9513D"/>
    <w:rsid w:val="00E968C7"/>
    <w:rsid w:val="00E97478"/>
    <w:rsid w:val="00EA0554"/>
    <w:rsid w:val="00EA1141"/>
    <w:rsid w:val="00EA159D"/>
    <w:rsid w:val="00EA2184"/>
    <w:rsid w:val="00EA2948"/>
    <w:rsid w:val="00EA3E8F"/>
    <w:rsid w:val="00EA4238"/>
    <w:rsid w:val="00EA5AFC"/>
    <w:rsid w:val="00EA5C76"/>
    <w:rsid w:val="00EA6C61"/>
    <w:rsid w:val="00EA6EC6"/>
    <w:rsid w:val="00EA770C"/>
    <w:rsid w:val="00EB02FD"/>
    <w:rsid w:val="00EB07E2"/>
    <w:rsid w:val="00EB0975"/>
    <w:rsid w:val="00EB09AA"/>
    <w:rsid w:val="00EB2446"/>
    <w:rsid w:val="00EB2639"/>
    <w:rsid w:val="00EB2A63"/>
    <w:rsid w:val="00EB2C26"/>
    <w:rsid w:val="00EB3EC8"/>
    <w:rsid w:val="00EB4323"/>
    <w:rsid w:val="00EB599F"/>
    <w:rsid w:val="00EB60D9"/>
    <w:rsid w:val="00EB65A8"/>
    <w:rsid w:val="00EB6627"/>
    <w:rsid w:val="00EC024E"/>
    <w:rsid w:val="00EC0306"/>
    <w:rsid w:val="00EC0DDD"/>
    <w:rsid w:val="00EC137F"/>
    <w:rsid w:val="00EC1629"/>
    <w:rsid w:val="00EC25F0"/>
    <w:rsid w:val="00EC293C"/>
    <w:rsid w:val="00EC3270"/>
    <w:rsid w:val="00EC34AB"/>
    <w:rsid w:val="00EC41DA"/>
    <w:rsid w:val="00EC4988"/>
    <w:rsid w:val="00EC5A34"/>
    <w:rsid w:val="00EC6952"/>
    <w:rsid w:val="00EC73BB"/>
    <w:rsid w:val="00EC79AA"/>
    <w:rsid w:val="00ED0C84"/>
    <w:rsid w:val="00ED16ED"/>
    <w:rsid w:val="00ED17F6"/>
    <w:rsid w:val="00ED1E8F"/>
    <w:rsid w:val="00ED2218"/>
    <w:rsid w:val="00ED2C0A"/>
    <w:rsid w:val="00ED3964"/>
    <w:rsid w:val="00ED3F3D"/>
    <w:rsid w:val="00ED4851"/>
    <w:rsid w:val="00ED50D9"/>
    <w:rsid w:val="00ED5F8C"/>
    <w:rsid w:val="00ED6091"/>
    <w:rsid w:val="00ED6217"/>
    <w:rsid w:val="00ED6AFF"/>
    <w:rsid w:val="00ED73F1"/>
    <w:rsid w:val="00ED7D13"/>
    <w:rsid w:val="00EE0D06"/>
    <w:rsid w:val="00EE122A"/>
    <w:rsid w:val="00EE13E7"/>
    <w:rsid w:val="00EE175F"/>
    <w:rsid w:val="00EE2E7B"/>
    <w:rsid w:val="00EE3A05"/>
    <w:rsid w:val="00EE487F"/>
    <w:rsid w:val="00EE5465"/>
    <w:rsid w:val="00EE5DD8"/>
    <w:rsid w:val="00EE6795"/>
    <w:rsid w:val="00EE7018"/>
    <w:rsid w:val="00EE7020"/>
    <w:rsid w:val="00EF1C73"/>
    <w:rsid w:val="00EF2061"/>
    <w:rsid w:val="00EF2D9C"/>
    <w:rsid w:val="00EF3181"/>
    <w:rsid w:val="00EF3C04"/>
    <w:rsid w:val="00EF3CDB"/>
    <w:rsid w:val="00EF3EB6"/>
    <w:rsid w:val="00EF411A"/>
    <w:rsid w:val="00EF4261"/>
    <w:rsid w:val="00EF42AB"/>
    <w:rsid w:val="00EF5285"/>
    <w:rsid w:val="00EF5CAC"/>
    <w:rsid w:val="00EF6295"/>
    <w:rsid w:val="00EF775E"/>
    <w:rsid w:val="00F00C3E"/>
    <w:rsid w:val="00F0200E"/>
    <w:rsid w:val="00F020DC"/>
    <w:rsid w:val="00F03A48"/>
    <w:rsid w:val="00F03BE7"/>
    <w:rsid w:val="00F04C9B"/>
    <w:rsid w:val="00F04F2C"/>
    <w:rsid w:val="00F06A4D"/>
    <w:rsid w:val="00F07BA1"/>
    <w:rsid w:val="00F07E3F"/>
    <w:rsid w:val="00F10D4D"/>
    <w:rsid w:val="00F11E97"/>
    <w:rsid w:val="00F11F4C"/>
    <w:rsid w:val="00F126E8"/>
    <w:rsid w:val="00F130EE"/>
    <w:rsid w:val="00F13597"/>
    <w:rsid w:val="00F152F8"/>
    <w:rsid w:val="00F158DE"/>
    <w:rsid w:val="00F16445"/>
    <w:rsid w:val="00F17A3C"/>
    <w:rsid w:val="00F201A3"/>
    <w:rsid w:val="00F21174"/>
    <w:rsid w:val="00F2136E"/>
    <w:rsid w:val="00F229B8"/>
    <w:rsid w:val="00F23DF8"/>
    <w:rsid w:val="00F243D5"/>
    <w:rsid w:val="00F24D46"/>
    <w:rsid w:val="00F252DD"/>
    <w:rsid w:val="00F2585A"/>
    <w:rsid w:val="00F261C0"/>
    <w:rsid w:val="00F267EE"/>
    <w:rsid w:val="00F2684E"/>
    <w:rsid w:val="00F26CDE"/>
    <w:rsid w:val="00F31B21"/>
    <w:rsid w:val="00F32C11"/>
    <w:rsid w:val="00F33A0E"/>
    <w:rsid w:val="00F345CD"/>
    <w:rsid w:val="00F34C94"/>
    <w:rsid w:val="00F35B0A"/>
    <w:rsid w:val="00F36325"/>
    <w:rsid w:val="00F36888"/>
    <w:rsid w:val="00F3748F"/>
    <w:rsid w:val="00F3797D"/>
    <w:rsid w:val="00F4071A"/>
    <w:rsid w:val="00F410B1"/>
    <w:rsid w:val="00F4146B"/>
    <w:rsid w:val="00F41704"/>
    <w:rsid w:val="00F420AF"/>
    <w:rsid w:val="00F42561"/>
    <w:rsid w:val="00F42EFD"/>
    <w:rsid w:val="00F42F51"/>
    <w:rsid w:val="00F434E9"/>
    <w:rsid w:val="00F43810"/>
    <w:rsid w:val="00F43B96"/>
    <w:rsid w:val="00F43F90"/>
    <w:rsid w:val="00F4412D"/>
    <w:rsid w:val="00F45AE2"/>
    <w:rsid w:val="00F45B3B"/>
    <w:rsid w:val="00F45FAB"/>
    <w:rsid w:val="00F467DF"/>
    <w:rsid w:val="00F46AE4"/>
    <w:rsid w:val="00F47520"/>
    <w:rsid w:val="00F47FFD"/>
    <w:rsid w:val="00F50CCE"/>
    <w:rsid w:val="00F51D18"/>
    <w:rsid w:val="00F524BE"/>
    <w:rsid w:val="00F53579"/>
    <w:rsid w:val="00F53E9F"/>
    <w:rsid w:val="00F54438"/>
    <w:rsid w:val="00F555FB"/>
    <w:rsid w:val="00F56840"/>
    <w:rsid w:val="00F56F78"/>
    <w:rsid w:val="00F575AB"/>
    <w:rsid w:val="00F57F0B"/>
    <w:rsid w:val="00F60B55"/>
    <w:rsid w:val="00F61AFB"/>
    <w:rsid w:val="00F61DE5"/>
    <w:rsid w:val="00F62727"/>
    <w:rsid w:val="00F628E4"/>
    <w:rsid w:val="00F62AFD"/>
    <w:rsid w:val="00F63087"/>
    <w:rsid w:val="00F63C9A"/>
    <w:rsid w:val="00F641B2"/>
    <w:rsid w:val="00F6506F"/>
    <w:rsid w:val="00F6572C"/>
    <w:rsid w:val="00F65E29"/>
    <w:rsid w:val="00F666AB"/>
    <w:rsid w:val="00F70091"/>
    <w:rsid w:val="00F71334"/>
    <w:rsid w:val="00F71C2D"/>
    <w:rsid w:val="00F7221A"/>
    <w:rsid w:val="00F7268C"/>
    <w:rsid w:val="00F73737"/>
    <w:rsid w:val="00F7392B"/>
    <w:rsid w:val="00F7544D"/>
    <w:rsid w:val="00F75708"/>
    <w:rsid w:val="00F75D11"/>
    <w:rsid w:val="00F7774C"/>
    <w:rsid w:val="00F80675"/>
    <w:rsid w:val="00F8076E"/>
    <w:rsid w:val="00F8189C"/>
    <w:rsid w:val="00F81B5A"/>
    <w:rsid w:val="00F81CC0"/>
    <w:rsid w:val="00F81CC6"/>
    <w:rsid w:val="00F82C19"/>
    <w:rsid w:val="00F83E2A"/>
    <w:rsid w:val="00F84A6D"/>
    <w:rsid w:val="00F84BA8"/>
    <w:rsid w:val="00F856BE"/>
    <w:rsid w:val="00F85D2A"/>
    <w:rsid w:val="00F86ABC"/>
    <w:rsid w:val="00F90F9A"/>
    <w:rsid w:val="00F910F8"/>
    <w:rsid w:val="00F9134B"/>
    <w:rsid w:val="00F919FE"/>
    <w:rsid w:val="00F91A73"/>
    <w:rsid w:val="00F91DA3"/>
    <w:rsid w:val="00F92092"/>
    <w:rsid w:val="00F92416"/>
    <w:rsid w:val="00F92635"/>
    <w:rsid w:val="00F92638"/>
    <w:rsid w:val="00F92B5F"/>
    <w:rsid w:val="00F92CB6"/>
    <w:rsid w:val="00F93247"/>
    <w:rsid w:val="00F9408C"/>
    <w:rsid w:val="00F94B22"/>
    <w:rsid w:val="00F9617D"/>
    <w:rsid w:val="00F9643A"/>
    <w:rsid w:val="00F96F4F"/>
    <w:rsid w:val="00F9769B"/>
    <w:rsid w:val="00F97BC1"/>
    <w:rsid w:val="00FA05D4"/>
    <w:rsid w:val="00FA0939"/>
    <w:rsid w:val="00FA2B7A"/>
    <w:rsid w:val="00FA3C4B"/>
    <w:rsid w:val="00FA3C54"/>
    <w:rsid w:val="00FA3D83"/>
    <w:rsid w:val="00FA3E6B"/>
    <w:rsid w:val="00FA4EDB"/>
    <w:rsid w:val="00FA5108"/>
    <w:rsid w:val="00FA5393"/>
    <w:rsid w:val="00FA59D5"/>
    <w:rsid w:val="00FA60F3"/>
    <w:rsid w:val="00FA6624"/>
    <w:rsid w:val="00FA672F"/>
    <w:rsid w:val="00FA7B4E"/>
    <w:rsid w:val="00FA7C67"/>
    <w:rsid w:val="00FB154B"/>
    <w:rsid w:val="00FB2299"/>
    <w:rsid w:val="00FB2906"/>
    <w:rsid w:val="00FB2E97"/>
    <w:rsid w:val="00FB2F32"/>
    <w:rsid w:val="00FB35DA"/>
    <w:rsid w:val="00FB4237"/>
    <w:rsid w:val="00FB65E9"/>
    <w:rsid w:val="00FB6D64"/>
    <w:rsid w:val="00FB70FC"/>
    <w:rsid w:val="00FB76FD"/>
    <w:rsid w:val="00FC03C5"/>
    <w:rsid w:val="00FC0C78"/>
    <w:rsid w:val="00FC111F"/>
    <w:rsid w:val="00FC14C9"/>
    <w:rsid w:val="00FC2072"/>
    <w:rsid w:val="00FC2436"/>
    <w:rsid w:val="00FC352E"/>
    <w:rsid w:val="00FC43F5"/>
    <w:rsid w:val="00FC448E"/>
    <w:rsid w:val="00FC63D1"/>
    <w:rsid w:val="00FC6C33"/>
    <w:rsid w:val="00FC6D0C"/>
    <w:rsid w:val="00FC7DF1"/>
    <w:rsid w:val="00FD0921"/>
    <w:rsid w:val="00FD0C33"/>
    <w:rsid w:val="00FD367D"/>
    <w:rsid w:val="00FD3B10"/>
    <w:rsid w:val="00FD3C6D"/>
    <w:rsid w:val="00FD4103"/>
    <w:rsid w:val="00FD50F6"/>
    <w:rsid w:val="00FD587A"/>
    <w:rsid w:val="00FD5C5B"/>
    <w:rsid w:val="00FD5FBF"/>
    <w:rsid w:val="00FD6CCF"/>
    <w:rsid w:val="00FD7230"/>
    <w:rsid w:val="00FD7D51"/>
    <w:rsid w:val="00FE1B2B"/>
    <w:rsid w:val="00FE2BBB"/>
    <w:rsid w:val="00FE2E15"/>
    <w:rsid w:val="00FE325E"/>
    <w:rsid w:val="00FE3E23"/>
    <w:rsid w:val="00FE3EE0"/>
    <w:rsid w:val="00FE47BA"/>
    <w:rsid w:val="00FE4810"/>
    <w:rsid w:val="00FE4C2D"/>
    <w:rsid w:val="00FE4F89"/>
    <w:rsid w:val="00FE52BA"/>
    <w:rsid w:val="00FE7343"/>
    <w:rsid w:val="00FF0355"/>
    <w:rsid w:val="00FF0B25"/>
    <w:rsid w:val="00FF12E1"/>
    <w:rsid w:val="00FF1E5B"/>
    <w:rsid w:val="00FF3E45"/>
    <w:rsid w:val="00FF4337"/>
    <w:rsid w:val="00FF4368"/>
    <w:rsid w:val="00FF5EBF"/>
    <w:rsid w:val="00FF6606"/>
    <w:rsid w:val="00FF7397"/>
    <w:rsid w:val="00FF7596"/>
    <w:rsid w:val="00FF76D9"/>
    <w:rsid w:val="00FF783D"/>
    <w:rsid w:val="00FF7E49"/>
    <w:rsid w:val="00FF7F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893A47"/>
  <w15:chartTrackingRefBased/>
  <w15:docId w15:val="{AFAE0F6C-FCF9-48E6-AAC6-9D2EE2E6C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58DD"/>
    <w:rPr>
      <w:lang w:val="es-ES_tradnl" w:eastAsia="es-ES"/>
    </w:rPr>
  </w:style>
  <w:style w:type="paragraph" w:styleId="Ttulo1">
    <w:name w:val="heading 1"/>
    <w:basedOn w:val="Normal"/>
    <w:next w:val="Normal"/>
    <w:qFormat/>
    <w:rsid w:val="005F6A8C"/>
    <w:pPr>
      <w:keepNext/>
      <w:jc w:val="center"/>
      <w:outlineLvl w:val="0"/>
    </w:pPr>
    <w:rPr>
      <w:rFonts w:ascii="Arial" w:hAnsi="Arial" w:cs="Arial"/>
      <w:b/>
      <w:bCs/>
      <w:sz w:val="22"/>
      <w:szCs w:val="24"/>
      <w:lang w:val="es-MX"/>
    </w:rPr>
  </w:style>
  <w:style w:type="paragraph" w:styleId="Ttulo6">
    <w:name w:val="heading 6"/>
    <w:basedOn w:val="Normal"/>
    <w:next w:val="Normal"/>
    <w:link w:val="Ttulo6Car"/>
    <w:semiHidden/>
    <w:unhideWhenUsed/>
    <w:qFormat/>
    <w:rsid w:val="00871CCA"/>
    <w:pPr>
      <w:keepNext/>
      <w:keepLines/>
      <w:spacing w:before="200"/>
      <w:outlineLvl w:val="5"/>
    </w:pPr>
    <w:rPr>
      <w:rFonts w:ascii="Cambria" w:hAnsi="Cambria"/>
      <w:i/>
      <w:iCs/>
      <w:color w:val="243F60"/>
      <w:lang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58DD"/>
    <w:pPr>
      <w:tabs>
        <w:tab w:val="center" w:pos="4252"/>
        <w:tab w:val="right" w:pos="8504"/>
      </w:tabs>
    </w:pPr>
    <w:rPr>
      <w:lang w:eastAsia="x-none"/>
    </w:rPr>
  </w:style>
  <w:style w:type="paragraph" w:styleId="Encabezado">
    <w:name w:val="header"/>
    <w:basedOn w:val="Normal"/>
    <w:link w:val="EncabezadoCar"/>
    <w:rsid w:val="001C58DD"/>
    <w:pPr>
      <w:tabs>
        <w:tab w:val="center" w:pos="4252"/>
        <w:tab w:val="right" w:pos="8504"/>
      </w:tabs>
    </w:pPr>
  </w:style>
  <w:style w:type="paragraph" w:customStyle="1" w:styleId="p0">
    <w:name w:val="p0"/>
    <w:basedOn w:val="Normal"/>
    <w:rsid w:val="001C58DD"/>
    <w:pPr>
      <w:keepLines/>
      <w:spacing w:before="240"/>
      <w:jc w:val="both"/>
    </w:pPr>
    <w:rPr>
      <w:rFonts w:ascii="Arial" w:hAnsi="Arial"/>
      <w:sz w:val="24"/>
    </w:rPr>
  </w:style>
  <w:style w:type="paragraph" w:customStyle="1" w:styleId="n0">
    <w:name w:val="n0"/>
    <w:basedOn w:val="Normal"/>
    <w:rsid w:val="001C58DD"/>
    <w:pPr>
      <w:keepLines/>
      <w:spacing w:before="240"/>
      <w:ind w:left="907" w:right="-351" w:hanging="907"/>
      <w:jc w:val="both"/>
    </w:pPr>
    <w:rPr>
      <w:rFonts w:ascii="Arial" w:hAnsi="Arial"/>
      <w:color w:val="800080"/>
      <w:sz w:val="24"/>
    </w:rPr>
  </w:style>
  <w:style w:type="paragraph" w:styleId="Textoindependiente">
    <w:name w:val="Body Text"/>
    <w:basedOn w:val="Normal"/>
    <w:rsid w:val="001C58DD"/>
    <w:pPr>
      <w:tabs>
        <w:tab w:val="center" w:pos="3348"/>
      </w:tabs>
      <w:spacing w:before="240"/>
      <w:jc w:val="both"/>
    </w:pPr>
    <w:rPr>
      <w:rFonts w:ascii="Arial" w:hAnsi="Arial"/>
      <w:sz w:val="24"/>
    </w:rPr>
  </w:style>
  <w:style w:type="paragraph" w:customStyle="1" w:styleId="Profesin">
    <w:name w:val="Profesión"/>
    <w:basedOn w:val="Normal"/>
    <w:rsid w:val="001C58DD"/>
    <w:pPr>
      <w:jc w:val="center"/>
    </w:pPr>
    <w:rPr>
      <w:rFonts w:ascii="Arial" w:hAnsi="Arial"/>
      <w:b/>
      <w:caps/>
      <w:spacing w:val="25"/>
      <w:sz w:val="28"/>
    </w:rPr>
  </w:style>
  <w:style w:type="paragraph" w:styleId="Textodebloque">
    <w:name w:val="Block Text"/>
    <w:basedOn w:val="Normal"/>
    <w:rsid w:val="001C58DD"/>
    <w:pPr>
      <w:tabs>
        <w:tab w:val="left" w:pos="7939"/>
      </w:tabs>
      <w:spacing w:before="240"/>
      <w:ind w:left="1701" w:right="1752" w:hanging="284"/>
      <w:jc w:val="both"/>
    </w:pPr>
    <w:rPr>
      <w:rFonts w:ascii="Arial" w:hAnsi="Arial"/>
      <w:b/>
      <w:color w:val="0000FF"/>
      <w:sz w:val="22"/>
    </w:rPr>
  </w:style>
  <w:style w:type="paragraph" w:styleId="Mapadeldocumento">
    <w:name w:val="Document Map"/>
    <w:basedOn w:val="Normal"/>
    <w:semiHidden/>
    <w:rsid w:val="001C58DD"/>
    <w:pPr>
      <w:shd w:val="clear" w:color="auto" w:fill="000080"/>
    </w:pPr>
    <w:rPr>
      <w:rFonts w:ascii="Tahoma" w:hAnsi="Tahoma"/>
    </w:rPr>
  </w:style>
  <w:style w:type="paragraph" w:customStyle="1" w:styleId="parra-nota">
    <w:name w:val="parra-nota"/>
    <w:basedOn w:val="Normal"/>
    <w:rsid w:val="001C58DD"/>
    <w:pPr>
      <w:keepLines/>
      <w:widowControl w:val="0"/>
      <w:tabs>
        <w:tab w:val="left" w:pos="567"/>
      </w:tabs>
      <w:spacing w:before="600"/>
      <w:ind w:left="567" w:right="-6" w:hanging="567"/>
      <w:jc w:val="both"/>
    </w:pPr>
    <w:rPr>
      <w:rFonts w:ascii="Arial" w:hAnsi="Arial"/>
      <w:snapToGrid w:val="0"/>
      <w:color w:val="800080"/>
      <w:sz w:val="24"/>
    </w:rPr>
  </w:style>
  <w:style w:type="paragraph" w:styleId="Textoindependiente2">
    <w:name w:val="Body Text 2"/>
    <w:basedOn w:val="Normal"/>
    <w:rsid w:val="001C58DD"/>
    <w:pPr>
      <w:spacing w:before="360"/>
      <w:jc w:val="both"/>
    </w:pPr>
    <w:rPr>
      <w:rFonts w:ascii="Arial" w:hAnsi="Arial"/>
      <w:color w:val="000000"/>
      <w:sz w:val="24"/>
    </w:rPr>
  </w:style>
  <w:style w:type="paragraph" w:customStyle="1" w:styleId="bullet">
    <w:name w:val="bullet"/>
    <w:basedOn w:val="Normal"/>
    <w:rsid w:val="005E4146"/>
    <w:pPr>
      <w:numPr>
        <w:numId w:val="7"/>
      </w:numPr>
      <w:tabs>
        <w:tab w:val="left" w:pos="7655"/>
      </w:tabs>
      <w:spacing w:before="360"/>
      <w:ind w:right="758"/>
      <w:jc w:val="both"/>
    </w:pPr>
    <w:rPr>
      <w:rFonts w:ascii="Arial" w:hAnsi="Arial"/>
      <w:b/>
      <w:sz w:val="22"/>
      <w:lang w:val="es-MX"/>
    </w:rPr>
  </w:style>
  <w:style w:type="character" w:styleId="Hipervnculo">
    <w:name w:val="Hyperlink"/>
    <w:rsid w:val="001C58DD"/>
    <w:rPr>
      <w:color w:val="0000FF"/>
      <w:u w:val="single"/>
    </w:rPr>
  </w:style>
  <w:style w:type="character" w:styleId="Hipervnculovisitado">
    <w:name w:val="FollowedHyperlink"/>
    <w:rsid w:val="001C58DD"/>
    <w:rPr>
      <w:color w:val="800080"/>
      <w:u w:val="single"/>
    </w:rPr>
  </w:style>
  <w:style w:type="paragraph" w:styleId="TDC7">
    <w:name w:val="toc 7"/>
    <w:basedOn w:val="Normal"/>
    <w:next w:val="Normal"/>
    <w:autoRedefine/>
    <w:semiHidden/>
    <w:rsid w:val="001C58DD"/>
    <w:pPr>
      <w:tabs>
        <w:tab w:val="left" w:leader="dot" w:pos="8079"/>
        <w:tab w:val="right" w:pos="8505"/>
      </w:tabs>
      <w:ind w:left="4253" w:right="850"/>
    </w:pPr>
    <w:rPr>
      <w:rFonts w:ascii="Univers (W1)" w:hAnsi="Univers (W1)"/>
      <w:sz w:val="24"/>
      <w:lang w:val="es-MX"/>
    </w:rPr>
  </w:style>
  <w:style w:type="paragraph" w:customStyle="1" w:styleId="parr2">
    <w:name w:val="parr2"/>
    <w:basedOn w:val="Normal"/>
    <w:rsid w:val="001C58DD"/>
    <w:pPr>
      <w:spacing w:before="600"/>
      <w:ind w:left="567" w:right="15"/>
      <w:jc w:val="both"/>
    </w:pPr>
    <w:rPr>
      <w:rFonts w:ascii="Arial" w:hAnsi="Arial"/>
      <w:sz w:val="24"/>
    </w:rPr>
  </w:style>
  <w:style w:type="paragraph" w:styleId="Textoindependiente3">
    <w:name w:val="Body Text 3"/>
    <w:basedOn w:val="Normal"/>
    <w:rsid w:val="001C58DD"/>
    <w:pPr>
      <w:widowControl w:val="0"/>
      <w:spacing w:before="360"/>
      <w:ind w:right="-91"/>
      <w:jc w:val="both"/>
    </w:pPr>
    <w:rPr>
      <w:rFonts w:ascii="Arial" w:hAnsi="Arial"/>
      <w:sz w:val="24"/>
      <w:lang w:val="es-MX"/>
    </w:rPr>
  </w:style>
  <w:style w:type="paragraph" w:styleId="Textodeglobo">
    <w:name w:val="Balloon Text"/>
    <w:basedOn w:val="Normal"/>
    <w:link w:val="TextodegloboCar"/>
    <w:rsid w:val="001C58DD"/>
    <w:rPr>
      <w:rFonts w:ascii="Tahoma" w:hAnsi="Tahoma"/>
      <w:sz w:val="16"/>
      <w:szCs w:val="16"/>
      <w:lang w:eastAsia="x-none"/>
    </w:rPr>
  </w:style>
  <w:style w:type="paragraph" w:customStyle="1" w:styleId="parrafo1">
    <w:name w:val="parrafo1"/>
    <w:basedOn w:val="p0"/>
    <w:rsid w:val="00E9513D"/>
    <w:pPr>
      <w:keepLines w:val="0"/>
      <w:spacing w:before="480"/>
      <w:ind w:left="426" w:right="443"/>
    </w:pPr>
  </w:style>
  <w:style w:type="table" w:styleId="Tablaconcuadrcula">
    <w:name w:val="Table Grid"/>
    <w:basedOn w:val="Tablanormal"/>
    <w:rsid w:val="005F6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070D1"/>
    <w:pPr>
      <w:spacing w:before="100" w:beforeAutospacing="1" w:after="100" w:afterAutospacing="1"/>
    </w:pPr>
    <w:rPr>
      <w:rFonts w:ascii="Arial" w:hAnsi="Arial" w:cs="Arial"/>
      <w:color w:val="000000"/>
      <w:sz w:val="16"/>
      <w:szCs w:val="16"/>
      <w:lang w:val="es-ES"/>
    </w:rPr>
  </w:style>
  <w:style w:type="paragraph" w:customStyle="1" w:styleId="Textonotafinal">
    <w:name w:val="Texto nota final"/>
    <w:basedOn w:val="Normal"/>
    <w:rsid w:val="005B6E97"/>
  </w:style>
  <w:style w:type="paragraph" w:customStyle="1" w:styleId="Asunto">
    <w:name w:val="Asunto"/>
    <w:basedOn w:val="Normal"/>
    <w:rsid w:val="00AC3BF4"/>
    <w:pPr>
      <w:keepLines/>
      <w:widowControl w:val="0"/>
      <w:spacing w:before="240"/>
      <w:ind w:left="5040" w:hanging="1267"/>
    </w:pPr>
    <w:rPr>
      <w:rFonts w:ascii="Univers" w:hAnsi="Univers"/>
      <w:snapToGrid w:val="0"/>
      <w:color w:val="000000"/>
      <w:sz w:val="24"/>
      <w:u w:val="single"/>
    </w:rPr>
  </w:style>
  <w:style w:type="paragraph" w:styleId="ndice1">
    <w:name w:val="index 1"/>
    <w:basedOn w:val="Normal"/>
    <w:next w:val="Normal"/>
    <w:rsid w:val="0082378F"/>
    <w:rPr>
      <w:rFonts w:ascii="Univers" w:hAnsi="Univers"/>
      <w:sz w:val="24"/>
    </w:rPr>
  </w:style>
  <w:style w:type="paragraph" w:customStyle="1" w:styleId="Normal1">
    <w:name w:val="Normal1"/>
    <w:rsid w:val="00E07EB7"/>
    <w:rPr>
      <w:rFonts w:ascii="CG Times" w:hAnsi="CG Times"/>
      <w:lang w:val="es-ES_tradnl" w:eastAsia="es-ES"/>
    </w:rPr>
  </w:style>
  <w:style w:type="paragraph" w:customStyle="1" w:styleId="p02">
    <w:name w:val="p02"/>
    <w:basedOn w:val="Normal"/>
    <w:next w:val="p0"/>
    <w:rsid w:val="00E07EB7"/>
    <w:pPr>
      <w:keepLines/>
      <w:spacing w:before="240"/>
      <w:ind w:right="11"/>
      <w:jc w:val="both"/>
    </w:pPr>
    <w:rPr>
      <w:rFonts w:ascii="Univers" w:hAnsi="Univers"/>
      <w:color w:val="0000FF"/>
      <w:sz w:val="24"/>
    </w:rPr>
  </w:style>
  <w:style w:type="paragraph" w:customStyle="1" w:styleId="p01">
    <w:name w:val="p01"/>
    <w:basedOn w:val="Normal1"/>
    <w:next w:val="p0"/>
    <w:rsid w:val="0062511C"/>
    <w:pPr>
      <w:keepLines/>
      <w:spacing w:before="240"/>
      <w:jc w:val="both"/>
    </w:pPr>
    <w:rPr>
      <w:rFonts w:ascii="Univers" w:hAnsi="Univers"/>
      <w:color w:val="0000FF"/>
      <w:sz w:val="24"/>
    </w:rPr>
  </w:style>
  <w:style w:type="paragraph" w:styleId="Textonotapie">
    <w:name w:val="footnote text"/>
    <w:basedOn w:val="Normal"/>
    <w:link w:val="TextonotapieCar"/>
    <w:rsid w:val="001A61E9"/>
    <w:rPr>
      <w:lang w:val="es-ES"/>
    </w:rPr>
  </w:style>
  <w:style w:type="character" w:customStyle="1" w:styleId="TextonotapieCar">
    <w:name w:val="Texto nota pie Car"/>
    <w:basedOn w:val="Fuentedeprrafopredeter"/>
    <w:link w:val="Textonotapie"/>
    <w:rsid w:val="001A61E9"/>
  </w:style>
  <w:style w:type="character" w:styleId="Refdenotaalpie">
    <w:name w:val="footnote reference"/>
    <w:rsid w:val="001A61E9"/>
    <w:rPr>
      <w:rFonts w:cs="Arial"/>
      <w:b/>
      <w:smallCaps/>
      <w:sz w:val="22"/>
      <w:vertAlign w:val="superscript"/>
      <w:lang w:val="es-MX"/>
    </w:rPr>
  </w:style>
  <w:style w:type="paragraph" w:customStyle="1" w:styleId="n01">
    <w:name w:val="n01"/>
    <w:basedOn w:val="Normal"/>
    <w:rsid w:val="00816C27"/>
    <w:pPr>
      <w:keepLines/>
      <w:spacing w:before="240"/>
      <w:ind w:left="720" w:hanging="720"/>
      <w:jc w:val="both"/>
    </w:pPr>
    <w:rPr>
      <w:rFonts w:ascii="Univers (W1)" w:hAnsi="Univers (W1)"/>
      <w:color w:val="800080"/>
      <w:sz w:val="24"/>
    </w:rPr>
  </w:style>
  <w:style w:type="character" w:styleId="Nmerodepgina">
    <w:name w:val="page number"/>
    <w:basedOn w:val="Fuentedeprrafopredeter"/>
    <w:rsid w:val="00240143"/>
  </w:style>
  <w:style w:type="character" w:customStyle="1" w:styleId="PiedepginaCar">
    <w:name w:val="Pie de página Car"/>
    <w:link w:val="Piedepgina"/>
    <w:uiPriority w:val="99"/>
    <w:rsid w:val="001A689E"/>
    <w:rPr>
      <w:lang w:val="es-ES_tradnl"/>
    </w:rPr>
  </w:style>
  <w:style w:type="character" w:customStyle="1" w:styleId="TextodegloboCar">
    <w:name w:val="Texto de globo Car"/>
    <w:link w:val="Textodeglobo"/>
    <w:rsid w:val="007720E9"/>
    <w:rPr>
      <w:rFonts w:ascii="Tahoma" w:hAnsi="Tahoma" w:cs="Tahoma"/>
      <w:sz w:val="16"/>
      <w:szCs w:val="16"/>
      <w:lang w:val="es-ES_tradnl"/>
    </w:rPr>
  </w:style>
  <w:style w:type="paragraph" w:styleId="Prrafodelista">
    <w:name w:val="List Paragraph"/>
    <w:basedOn w:val="Normal"/>
    <w:uiPriority w:val="34"/>
    <w:qFormat/>
    <w:rsid w:val="001E2C3D"/>
    <w:pPr>
      <w:ind w:left="720"/>
      <w:contextualSpacing/>
    </w:pPr>
  </w:style>
  <w:style w:type="character" w:customStyle="1" w:styleId="Ttulo6Car">
    <w:name w:val="Título 6 Car"/>
    <w:link w:val="Ttulo6"/>
    <w:semiHidden/>
    <w:rsid w:val="00871CCA"/>
    <w:rPr>
      <w:rFonts w:ascii="Cambria" w:eastAsia="Times New Roman" w:hAnsi="Cambria" w:cs="Times New Roman"/>
      <w:i/>
      <w:iCs/>
      <w:color w:val="243F60"/>
      <w:lang w:val="es-ES_tradnl"/>
    </w:rPr>
  </w:style>
  <w:style w:type="character" w:customStyle="1" w:styleId="EncabezadoCar">
    <w:name w:val="Encabezado Car"/>
    <w:link w:val="Encabezado"/>
    <w:rsid w:val="002D1BFA"/>
    <w:rPr>
      <w:lang w:val="es-ES_tradnl" w:eastAsia="es-ES"/>
    </w:rPr>
  </w:style>
  <w:style w:type="character" w:styleId="nfasis">
    <w:name w:val="Emphasis"/>
    <w:qFormat/>
    <w:rsid w:val="00774F69"/>
    <w:rPr>
      <w:i/>
      <w:iCs/>
    </w:rPr>
  </w:style>
  <w:style w:type="paragraph" w:customStyle="1" w:styleId="Estilo3">
    <w:name w:val="Estilo3"/>
    <w:basedOn w:val="parrafo1"/>
    <w:link w:val="Estilo3Car"/>
    <w:uiPriority w:val="1"/>
    <w:qFormat/>
    <w:rsid w:val="0017331D"/>
    <w:pPr>
      <w:widowControl w:val="0"/>
      <w:spacing w:before="360"/>
      <w:ind w:left="0" w:right="0"/>
    </w:pPr>
    <w:rPr>
      <w:szCs w:val="24"/>
    </w:rPr>
  </w:style>
  <w:style w:type="character" w:customStyle="1" w:styleId="Estilo3Car">
    <w:name w:val="Estilo3 Car"/>
    <w:basedOn w:val="Fuentedeprrafopredeter"/>
    <w:link w:val="Estilo3"/>
    <w:uiPriority w:val="1"/>
    <w:rsid w:val="0017331D"/>
    <w:rPr>
      <w:rFonts w:ascii="Arial" w:hAnsi="Arial"/>
      <w:sz w:val="24"/>
      <w:szCs w:val="24"/>
      <w:lang w:val="es-ES_tradnl" w:eastAsia="es-ES"/>
    </w:rPr>
  </w:style>
  <w:style w:type="paragraph" w:customStyle="1" w:styleId="consang">
    <w:name w:val="con sang"/>
    <w:basedOn w:val="Normal"/>
    <w:link w:val="consangCar"/>
    <w:qFormat/>
    <w:rsid w:val="0017331D"/>
    <w:pPr>
      <w:spacing w:after="200" w:line="276" w:lineRule="auto"/>
      <w:ind w:firstLine="426"/>
      <w:jc w:val="both"/>
    </w:pPr>
    <w:rPr>
      <w:rFonts w:eastAsia="Calibri"/>
      <w:sz w:val="24"/>
      <w:szCs w:val="22"/>
      <w:lang w:val="es-MX" w:eastAsia="en-US"/>
    </w:rPr>
  </w:style>
  <w:style w:type="character" w:customStyle="1" w:styleId="consangCar">
    <w:name w:val="con sang Car"/>
    <w:basedOn w:val="Fuentedeprrafopredeter"/>
    <w:link w:val="consang"/>
    <w:rsid w:val="0017331D"/>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233411">
      <w:bodyDiv w:val="1"/>
      <w:marLeft w:val="0"/>
      <w:marRight w:val="0"/>
      <w:marTop w:val="0"/>
      <w:marBottom w:val="0"/>
      <w:divBdr>
        <w:top w:val="none" w:sz="0" w:space="0" w:color="auto"/>
        <w:left w:val="none" w:sz="0" w:space="0" w:color="auto"/>
        <w:bottom w:val="none" w:sz="0" w:space="0" w:color="auto"/>
        <w:right w:val="none" w:sz="0" w:space="0" w:color="auto"/>
      </w:divBdr>
    </w:div>
    <w:div w:id="246890620">
      <w:bodyDiv w:val="1"/>
      <w:marLeft w:val="0"/>
      <w:marRight w:val="0"/>
      <w:marTop w:val="0"/>
      <w:marBottom w:val="0"/>
      <w:divBdr>
        <w:top w:val="none" w:sz="0" w:space="0" w:color="auto"/>
        <w:left w:val="none" w:sz="0" w:space="0" w:color="auto"/>
        <w:bottom w:val="none" w:sz="0" w:space="0" w:color="auto"/>
        <w:right w:val="none" w:sz="0" w:space="0" w:color="auto"/>
      </w:divBdr>
    </w:div>
    <w:div w:id="437524046">
      <w:bodyDiv w:val="1"/>
      <w:marLeft w:val="0"/>
      <w:marRight w:val="0"/>
      <w:marTop w:val="0"/>
      <w:marBottom w:val="0"/>
      <w:divBdr>
        <w:top w:val="none" w:sz="0" w:space="0" w:color="auto"/>
        <w:left w:val="none" w:sz="0" w:space="0" w:color="auto"/>
        <w:bottom w:val="none" w:sz="0" w:space="0" w:color="auto"/>
        <w:right w:val="none" w:sz="0" w:space="0" w:color="auto"/>
      </w:divBdr>
    </w:div>
    <w:div w:id="1078676098">
      <w:bodyDiv w:val="1"/>
      <w:marLeft w:val="0"/>
      <w:marRight w:val="0"/>
      <w:marTop w:val="0"/>
      <w:marBottom w:val="0"/>
      <w:divBdr>
        <w:top w:val="none" w:sz="0" w:space="0" w:color="auto"/>
        <w:left w:val="none" w:sz="0" w:space="0" w:color="auto"/>
        <w:bottom w:val="none" w:sz="0" w:space="0" w:color="auto"/>
        <w:right w:val="none" w:sz="0" w:space="0" w:color="auto"/>
      </w:divBdr>
    </w:div>
    <w:div w:id="1377008289">
      <w:bodyDiv w:val="1"/>
      <w:marLeft w:val="0"/>
      <w:marRight w:val="0"/>
      <w:marTop w:val="0"/>
      <w:marBottom w:val="0"/>
      <w:divBdr>
        <w:top w:val="none" w:sz="0" w:space="0" w:color="auto"/>
        <w:left w:val="none" w:sz="0" w:space="0" w:color="auto"/>
        <w:bottom w:val="none" w:sz="0" w:space="0" w:color="auto"/>
        <w:right w:val="none" w:sz="0" w:space="0" w:color="auto"/>
      </w:divBdr>
    </w:div>
    <w:div w:id="1497040401">
      <w:bodyDiv w:val="1"/>
      <w:marLeft w:val="0"/>
      <w:marRight w:val="0"/>
      <w:marTop w:val="0"/>
      <w:marBottom w:val="0"/>
      <w:divBdr>
        <w:top w:val="none" w:sz="0" w:space="0" w:color="auto"/>
        <w:left w:val="none" w:sz="0" w:space="0" w:color="auto"/>
        <w:bottom w:val="none" w:sz="0" w:space="0" w:color="auto"/>
        <w:right w:val="none" w:sz="0" w:space="0" w:color="auto"/>
      </w:divBdr>
    </w:div>
    <w:div w:id="1567884215">
      <w:bodyDiv w:val="1"/>
      <w:marLeft w:val="0"/>
      <w:marRight w:val="0"/>
      <w:marTop w:val="0"/>
      <w:marBottom w:val="0"/>
      <w:divBdr>
        <w:top w:val="none" w:sz="0" w:space="0" w:color="auto"/>
        <w:left w:val="none" w:sz="0" w:space="0" w:color="auto"/>
        <w:bottom w:val="none" w:sz="0" w:space="0" w:color="auto"/>
        <w:right w:val="none" w:sz="0" w:space="0" w:color="auto"/>
      </w:divBdr>
    </w:div>
    <w:div w:id="189145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image" Target="media/image8.emf"/><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image" Target="media/image7.emf"/><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eader" Target="header2.xml"/><Relationship Id="rId29"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footer" Target="footer3.xml"/><Relationship Id="rId32" Type="http://schemas.openxmlformats.org/officeDocument/2006/relationships/hyperlink" Target="https://www.inegi.org.mx/programas/pibent/2013/" TargetMode="Externa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header" Target="header3.xml"/><Relationship Id="rId28" Type="http://schemas.openxmlformats.org/officeDocument/2006/relationships/image" Target="media/image10.emf"/><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hyperlink" Target="http://www.beta.inegi.org.mx/proyectos/cn/2013/pibent/" TargetMode="Externa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footer" Target="footer2.xml"/><Relationship Id="rId27" Type="http://schemas.openxmlformats.org/officeDocument/2006/relationships/image" Target="media/image9.emf"/><Relationship Id="rId30" Type="http://schemas.openxmlformats.org/officeDocument/2006/relationships/image" Target="media/image12.emf"/><Relationship Id="rId35" Type="http://schemas.openxmlformats.org/officeDocument/2006/relationships/theme" Target="theme/theme1.xml"/><Relationship Id="rId8" Type="http://schemas.openxmlformats.org/officeDocument/2006/relationships/hyperlink" Target="mailto:comunicacionsocial@inegi.org.m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31482-32D1-43F3-9718-7BB8E8514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13</Pages>
  <Words>2468</Words>
  <Characters>14231</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Comunicado de Prensa. Producto Interno Bruto por Entidad Federativa 2018</vt:lpstr>
    </vt:vector>
  </TitlesOfParts>
  <Company>INEGI</Company>
  <LinksUpToDate>false</LinksUpToDate>
  <CharactersWithSpaces>16666</CharactersWithSpaces>
  <SharedDoc>false</SharedDoc>
  <HLinks>
    <vt:vector size="6" baseType="variant">
      <vt:variant>
        <vt:i4>1376333</vt:i4>
      </vt:variant>
      <vt:variant>
        <vt:i4>6</vt:i4>
      </vt:variant>
      <vt:variant>
        <vt:i4>0</vt:i4>
      </vt:variant>
      <vt:variant>
        <vt:i4>5</vt:i4>
      </vt:variant>
      <vt:variant>
        <vt:lpwstr>http://www.inegi.org.mx/est/contenidos/proyectos/cn/pibe/default.aspx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Producto Interno Bruto por Entidad Federativa 2018</dc:title>
  <dc:subject/>
  <dc:creator>INEGI</dc:creator>
  <cp:keywords>IGAE Industria Producción Minería Construcción Electricidad Gas Agua Servicios</cp:keywords>
  <cp:lastModifiedBy>GUILLEN MEDINA MOISES</cp:lastModifiedBy>
  <cp:revision>17</cp:revision>
  <cp:lastPrinted>2019-12-13T20:45:00Z</cp:lastPrinted>
  <dcterms:created xsi:type="dcterms:W3CDTF">2019-12-13T21:16:00Z</dcterms:created>
  <dcterms:modified xsi:type="dcterms:W3CDTF">2019-12-13T22:34:00Z</dcterms:modified>
</cp:coreProperties>
</file>