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016DF" w14:textId="77777777" w:rsidR="008F5FF1" w:rsidRDefault="008F5FF1" w:rsidP="000A295C">
      <w:pPr>
        <w:pStyle w:val="Ttulo2"/>
        <w:tabs>
          <w:tab w:val="left" w:pos="1276"/>
        </w:tabs>
        <w:jc w:val="center"/>
      </w:pPr>
      <w:r>
        <w:t>CUENTA SATÉLITE DE VIVIENDA DE MÉXICO, 2018</w:t>
      </w:r>
    </w:p>
    <w:p w14:paraId="3AAA68C4" w14:textId="77777777" w:rsidR="008F5FF1" w:rsidRPr="00D606AD" w:rsidRDefault="008F5FF1" w:rsidP="008F5FF1">
      <w:pPr>
        <w:pStyle w:val="Ttulo2"/>
        <w:tabs>
          <w:tab w:val="left" w:pos="1276"/>
        </w:tabs>
        <w:spacing w:before="0"/>
        <w:jc w:val="center"/>
        <w:rPr>
          <w:rFonts w:cs="Arial"/>
          <w:b w:val="0"/>
          <w:color w:val="000000" w:themeColor="text1"/>
          <w:sz w:val="16"/>
          <w:szCs w:val="16"/>
        </w:rPr>
      </w:pPr>
    </w:p>
    <w:p w14:paraId="3681F56E" w14:textId="77777777" w:rsidR="008F5FF1" w:rsidRPr="009209F1" w:rsidRDefault="008F5FF1" w:rsidP="000A295C">
      <w:pPr>
        <w:pStyle w:val="bullet"/>
        <w:tabs>
          <w:tab w:val="left" w:pos="8789"/>
        </w:tabs>
        <w:spacing w:before="0" w:after="200"/>
        <w:ind w:left="-567" w:right="-547" w:firstLine="0"/>
        <w:jc w:val="both"/>
        <w:rPr>
          <w:rFonts w:ascii="Arial" w:hAnsi="Arial"/>
          <w:b w:val="0"/>
          <w:color w:val="auto"/>
          <w:sz w:val="24"/>
          <w:szCs w:val="24"/>
        </w:rPr>
      </w:pPr>
      <w:r w:rsidRPr="009209F1">
        <w:rPr>
          <w:rFonts w:ascii="Arial" w:hAnsi="Arial"/>
          <w:b w:val="0"/>
          <w:color w:val="auto"/>
          <w:sz w:val="24"/>
          <w:szCs w:val="24"/>
        </w:rPr>
        <w:t xml:space="preserve">El Instituto Nacional de Estadística y Geografía (INEGI) presenta la “Cuenta Satélite de Vivienda de México, 2018”, con año base 2013. Estos resultados forman parte de los productos del Sistema de Cuentas Nacionales de México y muestran </w:t>
      </w:r>
      <w:r w:rsidRPr="009209F1">
        <w:rPr>
          <w:rFonts w:ascii="Arial" w:hAnsi="Arial"/>
          <w:b w:val="0"/>
          <w:color w:val="000000" w:themeColor="text1"/>
          <w:sz w:val="24"/>
          <w:szCs w:val="24"/>
        </w:rPr>
        <w:t xml:space="preserve">los </w:t>
      </w:r>
      <w:r w:rsidRPr="009209F1">
        <w:rPr>
          <w:rFonts w:ascii="Arial" w:hAnsi="Arial"/>
          <w:b w:val="0"/>
          <w:color w:val="auto"/>
          <w:sz w:val="24"/>
          <w:szCs w:val="24"/>
        </w:rPr>
        <w:t>indicadores económicos de producción y empleo en las actividades relacionadas con la vivienda, constituyendo de esta manera un acervo estadístico relevante para apoyar la toma de decisiones sobre este importante sector.</w:t>
      </w:r>
    </w:p>
    <w:p w14:paraId="32B148B7" w14:textId="77777777" w:rsidR="008F5FF1" w:rsidRPr="009209F1" w:rsidRDefault="008F5FF1" w:rsidP="000A295C">
      <w:pPr>
        <w:pStyle w:val="bullet"/>
        <w:tabs>
          <w:tab w:val="left" w:pos="8789"/>
        </w:tabs>
        <w:ind w:left="-567" w:right="-547" w:firstLine="0"/>
        <w:jc w:val="both"/>
        <w:rPr>
          <w:rFonts w:ascii="Arial" w:hAnsi="Arial"/>
          <w:b w:val="0"/>
          <w:color w:val="auto"/>
          <w:sz w:val="24"/>
          <w:szCs w:val="24"/>
        </w:rPr>
      </w:pPr>
      <w:r w:rsidRPr="009209F1">
        <w:rPr>
          <w:rFonts w:ascii="Arial" w:hAnsi="Arial"/>
          <w:b w:val="0"/>
          <w:color w:val="auto"/>
          <w:sz w:val="24"/>
          <w:szCs w:val="24"/>
        </w:rPr>
        <w:t>Una de las principales aportaciones de la medición del sector de la vivienda en México es la cuantificación del Producto Interno Bruto generado por las actividades económicas de mercado y no de mercado vinculadas con este sector, así como la participación que tienen los hogares a través de la producción para uso final propio.</w:t>
      </w:r>
    </w:p>
    <w:p w14:paraId="563F6075"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Durante 2018, el Producto Interno Bruto (PIB) del sector de la vivienda alcanzó un nivel de 1,327,020 millones de pesos, que representó el 6% del PIB nacional (a precios básicos</w:t>
      </w:r>
      <w:r w:rsidRPr="009209F1">
        <w:rPr>
          <w:rStyle w:val="Refdenotaalpie"/>
          <w:rFonts w:ascii="Arial" w:hAnsi="Arial"/>
          <w:b/>
          <w:sz w:val="24"/>
          <w:szCs w:val="24"/>
        </w:rPr>
        <w:footnoteReference w:id="1"/>
      </w:r>
      <w:r w:rsidRPr="009209F1">
        <w:rPr>
          <w:rFonts w:ascii="Arial" w:hAnsi="Arial"/>
          <w:b w:val="0"/>
          <w:color w:val="000000"/>
          <w:sz w:val="24"/>
          <w:szCs w:val="24"/>
        </w:rPr>
        <w:t>). Al interior de este indicador se observó que el 55.5% del PIB de la vivienda se constituyó por la producción de bienes y servicios para el mercado, el 43.3% por la producción para uso final propio de los hogares</w:t>
      </w:r>
      <w:r w:rsidRPr="009209F1">
        <w:rPr>
          <w:rFonts w:ascii="Arial" w:hAnsi="Arial"/>
          <w:b w:val="0"/>
          <w:smallCaps/>
          <w:color w:val="000000"/>
          <w:sz w:val="24"/>
          <w:szCs w:val="24"/>
          <w:vertAlign w:val="superscript"/>
        </w:rPr>
        <w:footnoteReference w:id="2"/>
      </w:r>
      <w:r w:rsidRPr="009209F1">
        <w:rPr>
          <w:rFonts w:ascii="Arial" w:hAnsi="Arial"/>
          <w:b w:val="0"/>
          <w:color w:val="000000"/>
          <w:sz w:val="24"/>
          <w:szCs w:val="24"/>
        </w:rPr>
        <w:t xml:space="preserve"> y el restante 1.2% correspondió a la producción no de mercado</w:t>
      </w:r>
      <w:r w:rsidRPr="009209F1">
        <w:rPr>
          <w:rStyle w:val="Refdenotaalpie"/>
          <w:rFonts w:ascii="Arial" w:hAnsi="Arial"/>
          <w:b/>
          <w:color w:val="000000"/>
          <w:sz w:val="24"/>
          <w:szCs w:val="24"/>
        </w:rPr>
        <w:footnoteReference w:id="3"/>
      </w:r>
      <w:r w:rsidRPr="009209F1">
        <w:rPr>
          <w:rFonts w:ascii="Arial" w:hAnsi="Arial"/>
          <w:b w:val="0"/>
          <w:color w:val="000000"/>
          <w:sz w:val="24"/>
          <w:szCs w:val="24"/>
        </w:rPr>
        <w:t>.</w:t>
      </w:r>
    </w:p>
    <w:p w14:paraId="58644963"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 xml:space="preserve">Por sector económico, el PIB del sector de la vivienda se formó principalmente por la </w:t>
      </w:r>
      <w:r w:rsidRPr="009209F1">
        <w:rPr>
          <w:rFonts w:ascii="Arial" w:hAnsi="Arial"/>
          <w:b w:val="0"/>
          <w:color w:val="000000" w:themeColor="text1"/>
          <w:sz w:val="24"/>
          <w:szCs w:val="24"/>
        </w:rPr>
        <w:t xml:space="preserve">contribución </w:t>
      </w:r>
      <w:r w:rsidRPr="009209F1">
        <w:rPr>
          <w:rFonts w:ascii="Arial" w:hAnsi="Arial"/>
          <w:b w:val="0"/>
          <w:color w:val="000000"/>
          <w:sz w:val="24"/>
          <w:szCs w:val="24"/>
        </w:rPr>
        <w:t>de la construcción, los servicios inmobiliarios y de alquiler de bienes muebles e intangibles y de los servicios financieros y de seguros, que concentraron casi la totalidad de dicho producto.</w:t>
      </w:r>
    </w:p>
    <w:p w14:paraId="1A602F7D"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En conjunto, el PIB del sector de la vivienda de 2018 mostró un crecimiento real anual de 1.1% frente al año anterior.</w:t>
      </w:r>
    </w:p>
    <w:p w14:paraId="770A7DB0"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En 2018, el 73.2% de la demanda total de bienes y servicios de este sector fue para la inversión en vivienda, mientras que para el consumo de los hogares fue el 24.4% y a la demanda intermedia y al consumo del gobierno se asignaron el 2.2% y 0.2%, respectivamente.</w:t>
      </w:r>
    </w:p>
    <w:p w14:paraId="6884BA60"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En el año de estudio, las actividades asociadas con el sector de la vivienda generaron 2,467,995 puestos de trabajo, mismos que representaron el 5.7% de la ocupación total del país.</w:t>
      </w:r>
    </w:p>
    <w:p w14:paraId="46EEF560"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Al considerar las recomendaciones del Sistema de Cuentas Nacionales (SCN) 2008, si el valor del alquiler imputado</w:t>
      </w:r>
      <w:r w:rsidRPr="009209F1">
        <w:rPr>
          <w:rStyle w:val="Refdenotaalpie"/>
          <w:b/>
          <w:color w:val="000000"/>
          <w:sz w:val="24"/>
          <w:szCs w:val="24"/>
        </w:rPr>
        <w:footnoteReference w:id="4"/>
      </w:r>
      <w:r w:rsidRPr="009209F1">
        <w:rPr>
          <w:rFonts w:ascii="Arial" w:hAnsi="Arial"/>
          <w:b w:val="0"/>
          <w:color w:val="000000"/>
          <w:sz w:val="24"/>
          <w:szCs w:val="24"/>
        </w:rPr>
        <w:t xml:space="preserve"> se agregara al PIB del sector de la vivienda, éstos representarían en conjunto el 13.1% del PIB de la economía en 2018.</w:t>
      </w:r>
    </w:p>
    <w:p w14:paraId="5848516B" w14:textId="77777777" w:rsidR="008F5FF1" w:rsidRPr="009209F1" w:rsidRDefault="008F5FF1" w:rsidP="000A295C">
      <w:pPr>
        <w:pStyle w:val="bullet"/>
        <w:tabs>
          <w:tab w:val="left" w:pos="8789"/>
        </w:tabs>
        <w:ind w:left="-567" w:right="-547" w:firstLine="0"/>
        <w:jc w:val="both"/>
        <w:rPr>
          <w:rFonts w:ascii="Arial" w:hAnsi="Arial"/>
          <w:b w:val="0"/>
          <w:color w:val="000000"/>
          <w:sz w:val="24"/>
          <w:szCs w:val="24"/>
        </w:rPr>
      </w:pPr>
      <w:r w:rsidRPr="009209F1">
        <w:rPr>
          <w:rFonts w:ascii="Arial" w:hAnsi="Arial"/>
          <w:b w:val="0"/>
          <w:color w:val="000000"/>
          <w:sz w:val="24"/>
          <w:szCs w:val="24"/>
        </w:rPr>
        <w:t>En el periodo de 2008 a 2018 el Producto Interno Bruto del sector de la vivienda contribuyó en promedio con 6% del producto del país y ha registrado una variación promedio anual de 1.5% en términos reales durante el mismo lapso.</w:t>
      </w:r>
    </w:p>
    <w:p w14:paraId="69686523" w14:textId="77777777" w:rsidR="008F5FF1" w:rsidRPr="00D606AD" w:rsidRDefault="008F5FF1" w:rsidP="008F5FF1">
      <w:pPr>
        <w:pStyle w:val="Textoindependiente"/>
        <w:ind w:right="51"/>
        <w:contextualSpacing/>
        <w:jc w:val="center"/>
        <w:rPr>
          <w:smallCaps/>
          <w:color w:val="000000" w:themeColor="text1"/>
        </w:rPr>
      </w:pPr>
    </w:p>
    <w:p w14:paraId="64FCE5CD" w14:textId="77777777" w:rsidR="008F5FF1" w:rsidRDefault="008F5FF1" w:rsidP="008F5FF1">
      <w:pPr>
        <w:pStyle w:val="Textoindependiente"/>
        <w:ind w:right="49"/>
        <w:jc w:val="center"/>
        <w:rPr>
          <w:b/>
          <w:smallCaps/>
          <w:sz w:val="22"/>
          <w:szCs w:val="22"/>
        </w:rPr>
      </w:pPr>
    </w:p>
    <w:p w14:paraId="5508CD80" w14:textId="77777777" w:rsidR="008F5FF1" w:rsidRPr="00DA3B14" w:rsidRDefault="008F5FF1" w:rsidP="008F5FF1">
      <w:pPr>
        <w:pStyle w:val="Textoindependiente"/>
        <w:ind w:right="49"/>
        <w:jc w:val="center"/>
        <w:rPr>
          <w:b/>
          <w:smallCaps/>
          <w:sz w:val="20"/>
          <w:szCs w:val="20"/>
          <w:lang w:val="es-MX"/>
        </w:rPr>
      </w:pPr>
      <w:r w:rsidRPr="00034996">
        <w:rPr>
          <w:b/>
          <w:smallCaps/>
          <w:sz w:val="22"/>
          <w:szCs w:val="22"/>
        </w:rPr>
        <w:t>PIB de</w:t>
      </w:r>
      <w:r>
        <w:rPr>
          <w:b/>
          <w:smallCaps/>
          <w:sz w:val="22"/>
          <w:szCs w:val="22"/>
          <w:lang w:val="es-MX"/>
        </w:rPr>
        <w:t xml:space="preserve">l sector de la vivienda en México </w:t>
      </w:r>
      <w:r>
        <w:rPr>
          <w:b/>
          <w:smallCaps/>
          <w:sz w:val="22"/>
          <w:szCs w:val="22"/>
        </w:rPr>
        <w:t>seg</w:t>
      </w:r>
      <w:r>
        <w:rPr>
          <w:b/>
          <w:smallCaps/>
          <w:sz w:val="22"/>
          <w:szCs w:val="22"/>
          <w:lang w:val="es-MX"/>
        </w:rPr>
        <w:t>ún su</w:t>
      </w:r>
      <w:r w:rsidRPr="00FF5BBC">
        <w:rPr>
          <w:b/>
          <w:smallCaps/>
          <w:sz w:val="22"/>
          <w:szCs w:val="22"/>
          <w:lang w:val="es-MX"/>
        </w:rPr>
        <w:t xml:space="preserve"> </w:t>
      </w:r>
      <w:r>
        <w:rPr>
          <w:b/>
          <w:smallCaps/>
          <w:sz w:val="22"/>
          <w:szCs w:val="22"/>
          <w:lang w:val="es-MX"/>
        </w:rPr>
        <w:t>clasificación funcional*</w:t>
      </w:r>
      <w:r>
        <w:rPr>
          <w:b/>
          <w:smallCaps/>
          <w:sz w:val="22"/>
          <w:szCs w:val="22"/>
        </w:rPr>
        <w:t xml:space="preserve">, </w:t>
      </w:r>
      <w:r>
        <w:rPr>
          <w:b/>
          <w:smallCaps/>
          <w:sz w:val="20"/>
          <w:szCs w:val="20"/>
        </w:rPr>
        <w:t>201</w:t>
      </w:r>
      <w:r>
        <w:rPr>
          <w:b/>
          <w:smallCaps/>
          <w:sz w:val="20"/>
          <w:szCs w:val="20"/>
          <w:lang w:val="es-MX"/>
        </w:rPr>
        <w:t>8</w:t>
      </w:r>
    </w:p>
    <w:p w14:paraId="4DC09425" w14:textId="77777777" w:rsidR="008F5FF1" w:rsidRPr="00C307C8" w:rsidRDefault="008F5FF1" w:rsidP="008F5FF1">
      <w:pPr>
        <w:pStyle w:val="Textoindependiente"/>
        <w:ind w:right="49"/>
        <w:jc w:val="center"/>
        <w:rPr>
          <w:sz w:val="18"/>
          <w:szCs w:val="18"/>
          <w:lang w:val="es-MX"/>
        </w:rPr>
      </w:pPr>
      <w:r>
        <w:rPr>
          <w:sz w:val="18"/>
          <w:szCs w:val="18"/>
          <w:lang w:val="es-MX"/>
        </w:rPr>
        <w:t>(Estructura porcentual de valores a precios básicos)</w:t>
      </w:r>
    </w:p>
    <w:p w14:paraId="700037D0" w14:textId="77777777" w:rsidR="008F5FF1" w:rsidRDefault="008F5FF1" w:rsidP="008F5FF1">
      <w:pPr>
        <w:pStyle w:val="parrafo1"/>
        <w:spacing w:before="0"/>
        <w:ind w:left="-284" w:right="49"/>
        <w:jc w:val="center"/>
      </w:pPr>
      <w:r w:rsidRPr="00C87A5E">
        <w:rPr>
          <w:noProof/>
          <w:lang w:val="es-MX" w:eastAsia="es-MX"/>
        </w:rPr>
        <w:drawing>
          <wp:inline distT="0" distB="0" distL="0" distR="0" wp14:anchorId="6B4E7F5B" wp14:editId="3D78C596">
            <wp:extent cx="5838678" cy="360000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678" cy="3600000"/>
                    </a:xfrm>
                    <a:prstGeom prst="rect">
                      <a:avLst/>
                    </a:prstGeom>
                    <a:noFill/>
                    <a:ln>
                      <a:noFill/>
                    </a:ln>
                  </pic:spPr>
                </pic:pic>
              </a:graphicData>
            </a:graphic>
          </wp:inline>
        </w:drawing>
      </w:r>
    </w:p>
    <w:p w14:paraId="536A27BD" w14:textId="77777777" w:rsidR="008F5FF1" w:rsidRPr="00644E18" w:rsidRDefault="008F5FF1" w:rsidP="003A5385">
      <w:pPr>
        <w:pStyle w:val="Textoindependiente"/>
        <w:ind w:left="-142" w:right="-121" w:hanging="142"/>
        <w:rPr>
          <w:sz w:val="16"/>
          <w:szCs w:val="16"/>
          <w:lang w:val="es-MX"/>
        </w:rPr>
      </w:pPr>
      <w:r>
        <w:rPr>
          <w:sz w:val="16"/>
          <w:szCs w:val="16"/>
          <w:lang w:val="es-MX"/>
        </w:rPr>
        <w:t xml:space="preserve">* </w:t>
      </w:r>
      <w:r w:rsidRPr="00041793">
        <w:rPr>
          <w:sz w:val="16"/>
          <w:szCs w:val="16"/>
          <w:lang w:val="es-MX"/>
        </w:rPr>
        <w:t>La clasificación funcional de las actividades económicas integra las recomendaciones realizadas por el Sistema de Cuentas Nacionales (SCN) en su versión 2008 y los acuerdos alcanzados por el grupo técnico de trabajo de vivienda.</w:t>
      </w:r>
    </w:p>
    <w:p w14:paraId="2A835D32" w14:textId="77777777" w:rsidR="008F5FF1" w:rsidRDefault="008F5FF1" w:rsidP="003A5385">
      <w:pPr>
        <w:pStyle w:val="Textoindependiente"/>
        <w:ind w:left="-142" w:right="-121" w:hanging="142"/>
        <w:rPr>
          <w:sz w:val="16"/>
          <w:szCs w:val="16"/>
          <w:lang w:val="es-MX"/>
        </w:rPr>
      </w:pPr>
      <w:r w:rsidRPr="008E1C81">
        <w:rPr>
          <w:sz w:val="18"/>
          <w:szCs w:val="16"/>
          <w:vertAlign w:val="superscript"/>
          <w:lang w:val="es-MX"/>
        </w:rPr>
        <w:t>1/</w:t>
      </w:r>
      <w:r>
        <w:rPr>
          <w:sz w:val="16"/>
          <w:szCs w:val="16"/>
          <w:lang w:val="es-MX"/>
        </w:rPr>
        <w:t xml:space="preserve"> Este rubro integra actividades de preparación de terreno, planeación y diseño, trabajos especializados y la supervisión e inspección.</w:t>
      </w:r>
    </w:p>
    <w:p w14:paraId="0C9B1159" w14:textId="77777777" w:rsidR="008F5FF1" w:rsidRDefault="008F5FF1" w:rsidP="003A5385">
      <w:pPr>
        <w:pStyle w:val="Textoindependiente"/>
        <w:ind w:left="-142" w:right="-121" w:hanging="142"/>
        <w:rPr>
          <w:sz w:val="16"/>
          <w:szCs w:val="16"/>
          <w:lang w:val="es-MX"/>
        </w:rPr>
      </w:pPr>
      <w:r w:rsidRPr="008E1C81">
        <w:rPr>
          <w:sz w:val="18"/>
          <w:szCs w:val="16"/>
          <w:vertAlign w:val="superscript"/>
          <w:lang w:val="es-MX"/>
        </w:rPr>
        <w:t>2/</w:t>
      </w:r>
      <w:r>
        <w:rPr>
          <w:sz w:val="16"/>
          <w:szCs w:val="16"/>
          <w:lang w:val="es-MX"/>
        </w:rPr>
        <w:t xml:space="preserve"> Este rubro integra actividades como seguros, diseño y decoración de interiores y viviendas colectivas seleccionadas.</w:t>
      </w:r>
    </w:p>
    <w:p w14:paraId="33F53011" w14:textId="77777777" w:rsidR="008F5FF1" w:rsidRDefault="008F5FF1" w:rsidP="003A5385">
      <w:pPr>
        <w:pStyle w:val="Textoindependiente"/>
        <w:ind w:left="-142" w:right="-121" w:hanging="142"/>
        <w:rPr>
          <w:sz w:val="16"/>
          <w:szCs w:val="16"/>
          <w:lang w:val="es-MX"/>
        </w:rPr>
      </w:pPr>
      <w:r>
        <w:rPr>
          <w:sz w:val="16"/>
          <w:szCs w:val="16"/>
          <w:lang w:val="es-MX"/>
        </w:rPr>
        <w:t>N.S. No significativo estadísticamente.</w:t>
      </w:r>
    </w:p>
    <w:p w14:paraId="6041C082" w14:textId="77777777" w:rsidR="008F5FF1" w:rsidRPr="00552DB2" w:rsidRDefault="008F5FF1" w:rsidP="003A5385">
      <w:pPr>
        <w:pStyle w:val="Textoindependiente"/>
        <w:ind w:left="-142" w:right="-121" w:hanging="142"/>
        <w:rPr>
          <w:sz w:val="16"/>
          <w:szCs w:val="16"/>
          <w:lang w:val="es-MX"/>
        </w:rPr>
      </w:pPr>
      <w:r>
        <w:rPr>
          <w:sz w:val="16"/>
          <w:szCs w:val="16"/>
          <w:lang w:val="es-MX"/>
        </w:rPr>
        <w:t>NOTA: La suma de los parciales puede no coincidir con el total debido al redondeo.</w:t>
      </w:r>
    </w:p>
    <w:p w14:paraId="55832E3E" w14:textId="77777777" w:rsidR="008F5FF1" w:rsidRPr="001851E7" w:rsidRDefault="008F5FF1" w:rsidP="003A5385">
      <w:pPr>
        <w:pStyle w:val="Textoindependiente"/>
        <w:ind w:left="-284" w:right="-121"/>
        <w:rPr>
          <w:sz w:val="16"/>
          <w:szCs w:val="16"/>
        </w:rPr>
      </w:pPr>
      <w:r w:rsidRPr="001851E7">
        <w:rPr>
          <w:sz w:val="16"/>
          <w:szCs w:val="16"/>
        </w:rPr>
        <w:t>Fuent</w:t>
      </w:r>
      <w:r>
        <w:rPr>
          <w:sz w:val="16"/>
          <w:szCs w:val="16"/>
        </w:rPr>
        <w:t>e: INEGI.</w:t>
      </w:r>
    </w:p>
    <w:p w14:paraId="2491D365" w14:textId="77777777" w:rsidR="008F5FF1" w:rsidRDefault="008F5FF1" w:rsidP="008F5FF1">
      <w:pPr>
        <w:pStyle w:val="Textoindependiente"/>
        <w:ind w:right="51"/>
        <w:contextualSpacing/>
        <w:jc w:val="center"/>
        <w:rPr>
          <w:b/>
          <w:smallCaps/>
          <w:color w:val="000000" w:themeColor="text1"/>
          <w:sz w:val="22"/>
          <w:szCs w:val="22"/>
        </w:rPr>
      </w:pPr>
    </w:p>
    <w:p w14:paraId="09679F7D" w14:textId="77777777" w:rsidR="008F5FF1" w:rsidRDefault="008F5FF1" w:rsidP="008F5FF1">
      <w:pPr>
        <w:pStyle w:val="p01"/>
        <w:keepLines w:val="0"/>
        <w:tabs>
          <w:tab w:val="left" w:pos="3261"/>
        </w:tabs>
        <w:ind w:left="1418"/>
        <w:mirrorIndents/>
        <w:outlineLvl w:val="0"/>
        <w:rPr>
          <w:rFonts w:ascii="Arial" w:hAnsi="Arial" w:cs="Arial"/>
          <w:b/>
          <w:color w:val="000000"/>
          <w:szCs w:val="24"/>
        </w:rPr>
      </w:pPr>
      <w:r>
        <w:rPr>
          <w:rFonts w:ascii="Arial" w:hAnsi="Arial" w:cs="Arial"/>
          <w:b/>
          <w:color w:val="000000"/>
          <w:szCs w:val="24"/>
        </w:rPr>
        <w:tab/>
        <w:t>S</w:t>
      </w:r>
      <w:r w:rsidRPr="003B1ACA">
        <w:rPr>
          <w:rFonts w:ascii="Arial" w:hAnsi="Arial" w:cs="Arial"/>
          <w:b/>
          <w:color w:val="000000"/>
          <w:szCs w:val="24"/>
        </w:rPr>
        <w:t>e anexa Nota Técnica</w:t>
      </w:r>
    </w:p>
    <w:p w14:paraId="675E310F" w14:textId="77777777" w:rsidR="008F5FF1" w:rsidRDefault="008F5FF1" w:rsidP="008F5FF1">
      <w:pPr>
        <w:pStyle w:val="p01"/>
        <w:keepLines w:val="0"/>
        <w:tabs>
          <w:tab w:val="left" w:pos="3261"/>
        </w:tabs>
        <w:spacing w:before="0"/>
        <w:ind w:left="1418"/>
        <w:mirrorIndents/>
        <w:outlineLvl w:val="0"/>
        <w:rPr>
          <w:rFonts w:ascii="Arial" w:hAnsi="Arial" w:cs="Arial"/>
          <w:b/>
          <w:color w:val="000000"/>
          <w:szCs w:val="24"/>
        </w:rPr>
      </w:pPr>
    </w:p>
    <w:p w14:paraId="238D0490" w14:textId="77777777" w:rsidR="008F5FF1" w:rsidRDefault="008F5FF1" w:rsidP="008F5FF1"/>
    <w:p w14:paraId="73F4C24E" w14:textId="77777777" w:rsidR="008F5FF1" w:rsidRDefault="008F5FF1" w:rsidP="008F5FF1"/>
    <w:p w14:paraId="0FCF1ACE" w14:textId="77777777" w:rsidR="008F5FF1" w:rsidRDefault="008F5FF1" w:rsidP="008F5FF1"/>
    <w:p w14:paraId="17441D0A" w14:textId="77777777" w:rsidR="008F5FF1" w:rsidRPr="009F0A93" w:rsidRDefault="008F5FF1" w:rsidP="008F5FF1">
      <w:pPr>
        <w:pStyle w:val="NormalWeb"/>
        <w:spacing w:before="0" w:beforeAutospacing="0" w:after="0" w:afterAutospacing="0"/>
        <w:ind w:left="-426" w:right="-518"/>
        <w:contextualSpacing/>
        <w:jc w:val="center"/>
        <w:rPr>
          <w:rFonts w:ascii="Arial" w:hAnsi="Arial" w:cs="Arial"/>
          <w:sz w:val="20"/>
          <w:szCs w:val="20"/>
        </w:rPr>
      </w:pPr>
      <w:r w:rsidRPr="009F0A93">
        <w:rPr>
          <w:rFonts w:ascii="Arial" w:hAnsi="Arial" w:cs="Arial"/>
          <w:sz w:val="20"/>
          <w:szCs w:val="20"/>
        </w:rPr>
        <w:t xml:space="preserve">Para consultas de medios y periodistas, contactar a: </w:t>
      </w:r>
      <w:hyperlink r:id="rId9" w:history="1">
        <w:r w:rsidRPr="009F0A93">
          <w:rPr>
            <w:rStyle w:val="Hipervnculo"/>
            <w:rFonts w:ascii="Arial" w:hAnsi="Arial" w:cs="Arial"/>
            <w:sz w:val="20"/>
            <w:szCs w:val="20"/>
          </w:rPr>
          <w:t>comunicacionsocial@inegi.org.mx</w:t>
        </w:r>
      </w:hyperlink>
      <w:r w:rsidRPr="009F0A93">
        <w:rPr>
          <w:rFonts w:ascii="Arial" w:hAnsi="Arial" w:cs="Arial"/>
          <w:sz w:val="20"/>
          <w:szCs w:val="20"/>
        </w:rPr>
        <w:t xml:space="preserve"> </w:t>
      </w:r>
    </w:p>
    <w:p w14:paraId="2B1AD80F" w14:textId="77777777" w:rsidR="008F5FF1" w:rsidRPr="009F0A93" w:rsidRDefault="008F5FF1" w:rsidP="008F5FF1">
      <w:pPr>
        <w:pStyle w:val="NormalWeb"/>
        <w:spacing w:before="0" w:beforeAutospacing="0" w:after="0" w:afterAutospacing="0"/>
        <w:ind w:left="-426" w:right="-518"/>
        <w:contextualSpacing/>
        <w:jc w:val="center"/>
        <w:rPr>
          <w:rFonts w:ascii="Arial" w:hAnsi="Arial" w:cs="Arial"/>
          <w:sz w:val="20"/>
          <w:szCs w:val="20"/>
        </w:rPr>
      </w:pPr>
      <w:r w:rsidRPr="009F0A93">
        <w:rPr>
          <w:rFonts w:ascii="Arial" w:hAnsi="Arial" w:cs="Arial"/>
          <w:sz w:val="20"/>
          <w:szCs w:val="20"/>
        </w:rPr>
        <w:t xml:space="preserve">o llamar al teléfono (55) 52-78-10-00, </w:t>
      </w:r>
      <w:proofErr w:type="spellStart"/>
      <w:r w:rsidRPr="009F0A93">
        <w:rPr>
          <w:rFonts w:ascii="Arial" w:hAnsi="Arial" w:cs="Arial"/>
          <w:sz w:val="20"/>
          <w:szCs w:val="20"/>
        </w:rPr>
        <w:t>exts</w:t>
      </w:r>
      <w:proofErr w:type="spellEnd"/>
      <w:r w:rsidRPr="009F0A93">
        <w:rPr>
          <w:rFonts w:ascii="Arial" w:hAnsi="Arial" w:cs="Arial"/>
          <w:sz w:val="20"/>
          <w:szCs w:val="20"/>
        </w:rPr>
        <w:t>. 1134, 1260 y 1241.</w:t>
      </w:r>
    </w:p>
    <w:p w14:paraId="3FDF7F9B" w14:textId="77777777" w:rsidR="008F5FF1" w:rsidRPr="009F0A93" w:rsidRDefault="008F5FF1" w:rsidP="008F5FF1">
      <w:pPr>
        <w:ind w:left="-426" w:right="-518"/>
        <w:contextualSpacing/>
        <w:jc w:val="center"/>
        <w:rPr>
          <w:rFonts w:ascii="Arial" w:hAnsi="Arial" w:cs="Arial"/>
        </w:rPr>
      </w:pPr>
    </w:p>
    <w:p w14:paraId="7C2F3412" w14:textId="77777777" w:rsidR="008F5FF1" w:rsidRPr="009F0A93" w:rsidRDefault="008F5FF1" w:rsidP="008F5FF1">
      <w:pPr>
        <w:ind w:left="-426" w:right="-518"/>
        <w:contextualSpacing/>
        <w:jc w:val="center"/>
        <w:rPr>
          <w:rFonts w:ascii="Arial" w:hAnsi="Arial" w:cs="Arial"/>
        </w:rPr>
      </w:pPr>
      <w:r w:rsidRPr="009F0A93">
        <w:rPr>
          <w:rFonts w:ascii="Arial" w:hAnsi="Arial" w:cs="Arial"/>
        </w:rPr>
        <w:t>Dirección de Atención a Medios / Dirección General Adjunta de Comunicación</w:t>
      </w:r>
    </w:p>
    <w:p w14:paraId="39EDA3C8" w14:textId="77777777" w:rsidR="008F5FF1" w:rsidRPr="00BC3F13" w:rsidRDefault="008F5FF1" w:rsidP="008F5FF1">
      <w:pPr>
        <w:ind w:left="-426" w:right="-518"/>
        <w:contextualSpacing/>
        <w:jc w:val="center"/>
      </w:pPr>
    </w:p>
    <w:p w14:paraId="6CB0F244" w14:textId="77777777" w:rsidR="008F5FF1" w:rsidRPr="008F0992" w:rsidRDefault="008F5FF1" w:rsidP="008F5FF1">
      <w:pPr>
        <w:ind w:left="-425" w:right="-516"/>
        <w:contextualSpacing/>
        <w:jc w:val="center"/>
        <w:rPr>
          <w:noProof/>
          <w:lang w:eastAsia="es-MX"/>
        </w:rPr>
      </w:pPr>
      <w:r w:rsidRPr="00FF1218">
        <w:rPr>
          <w:noProof/>
          <w:lang w:val="es-MX" w:eastAsia="es-MX"/>
        </w:rPr>
        <w:drawing>
          <wp:inline distT="0" distB="0" distL="0" distR="0" wp14:anchorId="5D40EB53" wp14:editId="1E90B535">
            <wp:extent cx="274320" cy="365760"/>
            <wp:effectExtent l="0" t="0" r="0" b="0"/>
            <wp:docPr id="14" name="Imagen 14" descr="C:\Users\saladeprensa\Desktop\NVOS LOGOS\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308474DE" wp14:editId="64842E7B">
            <wp:extent cx="365760" cy="365760"/>
            <wp:effectExtent l="0" t="0" r="0" b="0"/>
            <wp:docPr id="15" name="Imagen 15" descr="C:\Users\saladeprensa\Desktop\NVOS LOGOS\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3DF8099D" wp14:editId="6F959935">
            <wp:extent cx="365760" cy="365760"/>
            <wp:effectExtent l="0" t="0" r="0" b="0"/>
            <wp:docPr id="2" name="Imagen 2" descr="C:\Users\saladeprensa\Desktop\NVOS LOGOS\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lang w:val="es-MX" w:eastAsia="es-MX"/>
        </w:rPr>
        <w:drawing>
          <wp:inline distT="0" distB="0" distL="0" distR="0" wp14:anchorId="592389E7" wp14:editId="436E424D">
            <wp:extent cx="365760" cy="365760"/>
            <wp:effectExtent l="0" t="0" r="0" b="0"/>
            <wp:docPr id="5" name="Imagen 5" descr="C:\Users\saladeprensa\Desktop\NVOS LOGOS\Y.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noProof/>
          <w:lang w:eastAsia="es-MX"/>
        </w:rPr>
        <w:t xml:space="preserve">  </w:t>
      </w:r>
      <w:r w:rsidRPr="00FF1218">
        <w:rPr>
          <w:noProof/>
          <w:sz w:val="14"/>
          <w:szCs w:val="18"/>
          <w:lang w:val="es-MX" w:eastAsia="es-MX"/>
        </w:rPr>
        <w:drawing>
          <wp:inline distT="0" distB="0" distL="0" distR="0" wp14:anchorId="77F26693" wp14:editId="2956171B">
            <wp:extent cx="2286000" cy="274320"/>
            <wp:effectExtent l="0" t="0" r="0" b="0"/>
            <wp:docPr id="17" name="Imagen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5B4B06E6" w14:textId="77777777" w:rsidR="008F5FF1" w:rsidRPr="00157C43" w:rsidRDefault="008F5FF1" w:rsidP="008F5FF1">
      <w:pPr>
        <w:pStyle w:val="p01"/>
        <w:keepLines w:val="0"/>
        <w:tabs>
          <w:tab w:val="left" w:pos="3261"/>
        </w:tabs>
        <w:spacing w:before="0"/>
        <w:ind w:left="1418"/>
        <w:mirrorIndents/>
        <w:outlineLvl w:val="0"/>
        <w:rPr>
          <w:rFonts w:cs="Arial"/>
          <w:szCs w:val="24"/>
        </w:rPr>
        <w:sectPr w:rsidR="008F5FF1" w:rsidRPr="00157C43" w:rsidSect="004C150C">
          <w:headerReference w:type="even" r:id="rId20"/>
          <w:headerReference w:type="default" r:id="rId21"/>
          <w:footerReference w:type="even" r:id="rId22"/>
          <w:footerReference w:type="default" r:id="rId23"/>
          <w:headerReference w:type="first" r:id="rId24"/>
          <w:footerReference w:type="first" r:id="rId25"/>
          <w:pgSz w:w="12240" w:h="15840" w:code="1"/>
          <w:pgMar w:top="1" w:right="1701" w:bottom="0" w:left="1588" w:header="510" w:footer="510" w:gutter="0"/>
          <w:cols w:space="720"/>
          <w:docGrid w:linePitch="272"/>
        </w:sectPr>
      </w:pPr>
      <w:r>
        <w:rPr>
          <w:rFonts w:cs="Arial"/>
          <w:szCs w:val="24"/>
        </w:rPr>
        <w:tab/>
      </w:r>
    </w:p>
    <w:p w14:paraId="68548A7B" w14:textId="77777777" w:rsidR="008F5FF1" w:rsidRDefault="008F5FF1" w:rsidP="008F5FF1">
      <w:pPr>
        <w:pStyle w:val="Ttulo2"/>
        <w:tabs>
          <w:tab w:val="left" w:pos="1276"/>
        </w:tabs>
        <w:spacing w:before="0"/>
        <w:jc w:val="center"/>
        <w:rPr>
          <w:rFonts w:cs="Arial"/>
          <w:color w:val="000000" w:themeColor="text1"/>
          <w:szCs w:val="28"/>
        </w:rPr>
      </w:pPr>
      <w:r w:rsidRPr="00AA489E">
        <w:rPr>
          <w:rFonts w:cs="Arial"/>
          <w:color w:val="000000" w:themeColor="text1"/>
          <w:szCs w:val="28"/>
        </w:rPr>
        <w:lastRenderedPageBreak/>
        <w:t>NOTA TÉCNICA</w:t>
      </w:r>
    </w:p>
    <w:p w14:paraId="0E51843A" w14:textId="77777777" w:rsidR="00FA285D" w:rsidRDefault="003C0681" w:rsidP="00126042">
      <w:pPr>
        <w:pStyle w:val="Ttulo2"/>
        <w:tabs>
          <w:tab w:val="left" w:pos="1276"/>
        </w:tabs>
        <w:spacing w:before="0"/>
        <w:jc w:val="center"/>
      </w:pPr>
      <w:r>
        <w:t>CUENTA SATÉLITE DE</w:t>
      </w:r>
      <w:r w:rsidR="00793F99">
        <w:t xml:space="preserve"> </w:t>
      </w:r>
      <w:r w:rsidR="00126042">
        <w:t>VIVIENDA</w:t>
      </w:r>
      <w:r w:rsidR="00793F99">
        <w:t xml:space="preserve"> DE</w:t>
      </w:r>
      <w:r w:rsidR="00296A2C">
        <w:t xml:space="preserve"> MÉXICO, 2018</w:t>
      </w:r>
    </w:p>
    <w:p w14:paraId="684A5BFE" w14:textId="77777777" w:rsidR="00FA285D" w:rsidRPr="008F13DA" w:rsidRDefault="00FA285D" w:rsidP="00CE7A3E">
      <w:pPr>
        <w:pStyle w:val="parrafo1"/>
        <w:keepNext/>
        <w:spacing w:before="240"/>
        <w:ind w:left="0" w:right="17"/>
        <w:jc w:val="left"/>
        <w:rPr>
          <w:b/>
          <w:i/>
          <w:smallCaps/>
          <w:sz w:val="22"/>
        </w:rPr>
      </w:pPr>
      <w:r w:rsidRPr="00767839">
        <w:rPr>
          <w:b/>
          <w:i/>
          <w:smallCaps/>
          <w:sz w:val="22"/>
        </w:rPr>
        <w:t>Aspectos Generales</w:t>
      </w:r>
    </w:p>
    <w:p w14:paraId="07B7FE96" w14:textId="77777777" w:rsidR="008E43BA" w:rsidRPr="003B02A0" w:rsidRDefault="008E43BA" w:rsidP="00E0689B">
      <w:pPr>
        <w:pStyle w:val="Textoindependiente"/>
        <w:spacing w:before="120"/>
        <w:rPr>
          <w:lang w:val="es-MX"/>
        </w:rPr>
      </w:pPr>
      <w:r w:rsidRPr="0058320C">
        <w:t xml:space="preserve">El Instituto Nacional de Estadística y Geografía </w:t>
      </w:r>
      <w:r w:rsidR="005E5D3D" w:rsidRPr="0058320C">
        <w:t>(INEGI)</w:t>
      </w:r>
      <w:r w:rsidRPr="0058320C">
        <w:t xml:space="preserve"> presenta los resultados de la actualización de la </w:t>
      </w:r>
      <w:r w:rsidR="005E5D3D" w:rsidRPr="0058320C">
        <w:rPr>
          <w:lang w:val="es-MX"/>
        </w:rPr>
        <w:t>“</w:t>
      </w:r>
      <w:r w:rsidRPr="0058320C">
        <w:t xml:space="preserve">Cuenta </w:t>
      </w:r>
      <w:r w:rsidR="005E5D3D" w:rsidRPr="0058320C">
        <w:t>Saté</w:t>
      </w:r>
      <w:r w:rsidR="00F563AA">
        <w:t>lite de Vivienda de México, 201</w:t>
      </w:r>
      <w:r w:rsidR="00543A08">
        <w:rPr>
          <w:lang w:val="es-MX"/>
        </w:rPr>
        <w:t>8</w:t>
      </w:r>
      <w:r w:rsidR="002B3E3F">
        <w:t xml:space="preserve"> preliminar.</w:t>
      </w:r>
      <w:r w:rsidR="008E6068">
        <w:t xml:space="preserve"> Año base 2013</w:t>
      </w:r>
      <w:r w:rsidR="005E5D3D" w:rsidRPr="0058320C">
        <w:t>”</w:t>
      </w:r>
      <w:r w:rsidRPr="0058320C">
        <w:t>.</w:t>
      </w:r>
      <w:r w:rsidR="005E5D3D" w:rsidRPr="0058320C">
        <w:rPr>
          <w:lang w:val="es-MX"/>
        </w:rPr>
        <w:t xml:space="preserve"> </w:t>
      </w:r>
      <w:r w:rsidR="005E5D3D" w:rsidRPr="003B02A0">
        <w:rPr>
          <w:lang w:val="es-MX"/>
        </w:rPr>
        <w:t>E</w:t>
      </w:r>
      <w:r w:rsidR="006A2DAB" w:rsidRPr="003B02A0">
        <w:rPr>
          <w:lang w:val="es-MX"/>
        </w:rPr>
        <w:t>l objetivo de esta cuenta satélite es realizar una descripción cuantitativa, de manera estructura</w:t>
      </w:r>
      <w:r w:rsidR="004831BA" w:rsidRPr="003B02A0">
        <w:rPr>
          <w:lang w:val="es-MX"/>
        </w:rPr>
        <w:t>da</w:t>
      </w:r>
      <w:r w:rsidR="006A2DAB" w:rsidRPr="003B02A0">
        <w:rPr>
          <w:lang w:val="es-MX"/>
        </w:rPr>
        <w:t xml:space="preserve"> y detallada, de todos los flujos económicos relativos al sector de la vivienda, </w:t>
      </w:r>
      <w:r w:rsidR="00653AD5">
        <w:rPr>
          <w:lang w:val="es-MX"/>
        </w:rPr>
        <w:t>que deriva en</w:t>
      </w:r>
      <w:r w:rsidR="006A2DAB" w:rsidRPr="003B02A0">
        <w:rPr>
          <w:lang w:val="es-MX"/>
        </w:rPr>
        <w:t xml:space="preserve"> un conjunto de indicadores que </w:t>
      </w:r>
      <w:r w:rsidR="004831BA" w:rsidRPr="003B02A0">
        <w:rPr>
          <w:lang w:val="es-MX"/>
        </w:rPr>
        <w:t>permiten determinar</w:t>
      </w:r>
      <w:r w:rsidR="006A2DAB" w:rsidRPr="003B02A0">
        <w:rPr>
          <w:lang w:val="es-MX"/>
        </w:rPr>
        <w:t xml:space="preserve"> </w:t>
      </w:r>
      <w:r w:rsidR="00653AD5">
        <w:rPr>
          <w:lang w:val="es-MX"/>
        </w:rPr>
        <w:t>la importancia</w:t>
      </w:r>
      <w:r w:rsidR="006A2DAB" w:rsidRPr="003B02A0">
        <w:rPr>
          <w:lang w:val="es-MX"/>
        </w:rPr>
        <w:t xml:space="preserve"> del sector en el conjunto de la economía, y</w:t>
      </w:r>
      <w:r w:rsidR="005E5D3D" w:rsidRPr="003B02A0">
        <w:rPr>
          <w:lang w:val="es-MX"/>
        </w:rPr>
        <w:t xml:space="preserve"> </w:t>
      </w:r>
      <w:r w:rsidR="004831BA" w:rsidRPr="003B02A0">
        <w:rPr>
          <w:lang w:val="es-MX"/>
        </w:rPr>
        <w:t>ofrecer</w:t>
      </w:r>
      <w:r w:rsidR="005E5D3D" w:rsidRPr="003B02A0">
        <w:rPr>
          <w:lang w:val="es-MX"/>
        </w:rPr>
        <w:t xml:space="preserve"> información económica de utilidad para la </w:t>
      </w:r>
      <w:r w:rsidR="006A2DAB" w:rsidRPr="003B02A0">
        <w:rPr>
          <w:lang w:val="es-MX"/>
        </w:rPr>
        <w:t xml:space="preserve">toma de decisiones en </w:t>
      </w:r>
      <w:r w:rsidR="00F6154E" w:rsidRPr="003B02A0">
        <w:rPr>
          <w:lang w:val="es-MX"/>
        </w:rPr>
        <w:t xml:space="preserve">los </w:t>
      </w:r>
      <w:r w:rsidR="006A2DAB" w:rsidRPr="003B02A0">
        <w:rPr>
          <w:lang w:val="es-MX"/>
        </w:rPr>
        <w:t>sector</w:t>
      </w:r>
      <w:r w:rsidR="00F6154E" w:rsidRPr="003B02A0">
        <w:rPr>
          <w:lang w:val="es-MX"/>
        </w:rPr>
        <w:t>es público y privado</w:t>
      </w:r>
      <w:r w:rsidR="006A2DAB" w:rsidRPr="003B02A0">
        <w:rPr>
          <w:lang w:val="es-MX"/>
        </w:rPr>
        <w:t>.</w:t>
      </w:r>
    </w:p>
    <w:p w14:paraId="38AE75C4" w14:textId="77777777" w:rsidR="00824AC1" w:rsidRDefault="001812DD" w:rsidP="00E0689B">
      <w:pPr>
        <w:pStyle w:val="Textoindependiente"/>
        <w:spacing w:before="120"/>
      </w:pPr>
      <w:r w:rsidRPr="003B02A0">
        <w:rPr>
          <w:lang w:val="es-MX"/>
        </w:rPr>
        <w:t>Entre</w:t>
      </w:r>
      <w:r w:rsidR="0058320C" w:rsidRPr="003B02A0">
        <w:t xml:space="preserve"> las principales </w:t>
      </w:r>
      <w:r w:rsidR="00653AD5">
        <w:rPr>
          <w:lang w:val="es-MX"/>
        </w:rPr>
        <w:t>aportaciones</w:t>
      </w:r>
      <w:r w:rsidR="0058320C" w:rsidRPr="0058320C">
        <w:t xml:space="preserve"> de la medición del sector de la vivienda en México </w:t>
      </w:r>
      <w:r w:rsidR="007B5209">
        <w:rPr>
          <w:lang w:val="es-MX"/>
        </w:rPr>
        <w:t>se encuentra</w:t>
      </w:r>
      <w:r w:rsidR="0058320C" w:rsidRPr="0058320C">
        <w:t xml:space="preserve"> la cuantificación del Producto Interno Bruto generado por las actividades económicas de mercado y no de mer</w:t>
      </w:r>
      <w:r w:rsidR="007B5209">
        <w:t>cado vinculadas con este sector,</w:t>
      </w:r>
      <w:r w:rsidR="0058320C" w:rsidRPr="0058320C">
        <w:t xml:space="preserve"> así como la </w:t>
      </w:r>
      <w:r w:rsidR="002624B9">
        <w:rPr>
          <w:lang w:val="es-MX"/>
        </w:rPr>
        <w:t>aportación</w:t>
      </w:r>
      <w:r w:rsidR="0058320C" w:rsidRPr="0058320C">
        <w:t xml:space="preserve"> que </w:t>
      </w:r>
      <w:r w:rsidR="008B5AFC">
        <w:rPr>
          <w:lang w:val="es-MX"/>
        </w:rPr>
        <w:t>efectúan</w:t>
      </w:r>
      <w:r w:rsidR="0058320C" w:rsidRPr="0058320C">
        <w:t xml:space="preserve"> los hogares con la producción para uso final propio. </w:t>
      </w:r>
    </w:p>
    <w:p w14:paraId="17E8BFAA" w14:textId="77777777" w:rsidR="00D95581" w:rsidRDefault="007B5209" w:rsidP="00E0689B">
      <w:pPr>
        <w:pStyle w:val="Textoindependiente"/>
        <w:spacing w:before="120"/>
        <w:rPr>
          <w:lang w:val="es-MX"/>
        </w:rPr>
      </w:pPr>
      <w:r>
        <w:rPr>
          <w:lang w:val="es-MX"/>
        </w:rPr>
        <w:t>Además de utilizar como clasificador el Sistema de Clasificación Industrial de América del Norte (SCIAN)</w:t>
      </w:r>
      <w:r w:rsidR="003C0681">
        <w:rPr>
          <w:lang w:val="es-MX"/>
        </w:rPr>
        <w:t xml:space="preserve"> 2013</w:t>
      </w:r>
      <w:r>
        <w:rPr>
          <w:lang w:val="es-MX"/>
        </w:rPr>
        <w:t>, también</w:t>
      </w:r>
      <w:r w:rsidR="0058320C" w:rsidRPr="0058320C">
        <w:t xml:space="preserve"> </w:t>
      </w:r>
      <w:r w:rsidR="00FC71F2">
        <w:rPr>
          <w:lang w:val="es-MX"/>
        </w:rPr>
        <w:t xml:space="preserve">se </w:t>
      </w:r>
      <w:r w:rsidR="0058320C" w:rsidRPr="0058320C">
        <w:t>hace uso de la clasificación funcional de las activid</w:t>
      </w:r>
      <w:r w:rsidR="002624B9">
        <w:t>ades que componen el sector de la vivienda</w:t>
      </w:r>
      <w:r w:rsidR="00D95581">
        <w:rPr>
          <w:lang w:val="es-MX"/>
        </w:rPr>
        <w:t>.</w:t>
      </w:r>
    </w:p>
    <w:p w14:paraId="570D9FF8" w14:textId="77777777" w:rsidR="0058320C" w:rsidRDefault="00D95581" w:rsidP="00E0689B">
      <w:pPr>
        <w:pStyle w:val="Textoindependiente"/>
        <w:spacing w:before="120"/>
        <w:rPr>
          <w:lang w:val="es-MX"/>
        </w:rPr>
      </w:pPr>
      <w:r w:rsidRPr="003B02A0">
        <w:rPr>
          <w:lang w:val="es-MX"/>
        </w:rPr>
        <w:t xml:space="preserve">Otra información que adicionalmente se proporciona es </w:t>
      </w:r>
      <w:r w:rsidR="0098678F" w:rsidRPr="003B02A0">
        <w:rPr>
          <w:lang w:val="es-MX"/>
        </w:rPr>
        <w:t>la valoración</w:t>
      </w:r>
      <w:r w:rsidR="0058320C" w:rsidRPr="003B02A0">
        <w:rPr>
          <w:lang w:val="es-MX"/>
        </w:rPr>
        <w:t xml:space="preserve"> del alquiler imputado de las viviendas de uso propio, </w:t>
      </w:r>
      <w:r w:rsidR="00F6154E" w:rsidRPr="003B02A0">
        <w:rPr>
          <w:lang w:val="es-MX"/>
        </w:rPr>
        <w:t xml:space="preserve">la cual se incorpora en </w:t>
      </w:r>
      <w:r w:rsidR="00653AD5">
        <w:rPr>
          <w:lang w:val="es-MX"/>
        </w:rPr>
        <w:t xml:space="preserve">los resultados de la Cuenta, como </w:t>
      </w:r>
      <w:r w:rsidR="00F6154E" w:rsidRPr="003B02A0">
        <w:rPr>
          <w:lang w:val="es-MX"/>
        </w:rPr>
        <w:t>una versión ampliada</w:t>
      </w:r>
      <w:r w:rsidR="00653AD5">
        <w:rPr>
          <w:lang w:val="es-MX"/>
        </w:rPr>
        <w:t>, de acuerdo con las recomendaciones internacionales, para fines comparativos</w:t>
      </w:r>
      <w:r w:rsidR="00432D2E">
        <w:rPr>
          <w:lang w:val="es-MX"/>
        </w:rPr>
        <w:t xml:space="preserve"> a lo largo del tiempo</w:t>
      </w:r>
      <w:r w:rsidR="00C87A5E">
        <w:rPr>
          <w:lang w:val="es-MX"/>
        </w:rPr>
        <w:t xml:space="preserve"> y entre países</w:t>
      </w:r>
      <w:r w:rsidR="00653AD5">
        <w:rPr>
          <w:lang w:val="es-MX"/>
        </w:rPr>
        <w:t>.</w:t>
      </w:r>
    </w:p>
    <w:p w14:paraId="40BEC450" w14:textId="77777777" w:rsidR="00FA285D" w:rsidRPr="00BA5502" w:rsidRDefault="00FA285D" w:rsidP="00CE7A3E">
      <w:pPr>
        <w:pStyle w:val="Textoindependiente"/>
        <w:tabs>
          <w:tab w:val="left" w:pos="7431"/>
        </w:tabs>
        <w:spacing w:before="240"/>
        <w:rPr>
          <w:rFonts w:cs="Arial"/>
          <w:b/>
          <w:i/>
          <w:smallCaps/>
        </w:rPr>
      </w:pPr>
      <w:r w:rsidRPr="00BA5502">
        <w:rPr>
          <w:rFonts w:cs="Arial"/>
          <w:b/>
          <w:i/>
          <w:smallCaps/>
        </w:rPr>
        <w:t>Principales Resultados:</w:t>
      </w:r>
    </w:p>
    <w:p w14:paraId="717DF505" w14:textId="77777777" w:rsidR="00FA285D" w:rsidRDefault="00FA285D" w:rsidP="00D340E7">
      <w:pPr>
        <w:pStyle w:val="parrafo1"/>
        <w:keepNext/>
        <w:spacing w:before="240"/>
        <w:ind w:left="0" w:right="51"/>
        <w:jc w:val="left"/>
        <w:rPr>
          <w:b/>
          <w:i/>
          <w:smallCaps/>
        </w:rPr>
      </w:pPr>
      <w:r w:rsidRPr="00FA285D">
        <w:rPr>
          <w:b/>
          <w:i/>
          <w:smallCaps/>
        </w:rPr>
        <w:t>P</w:t>
      </w:r>
      <w:r w:rsidR="00AC7D0D">
        <w:rPr>
          <w:b/>
          <w:i/>
          <w:smallCaps/>
        </w:rPr>
        <w:t>articipación del P</w:t>
      </w:r>
      <w:r w:rsidRPr="00FA285D">
        <w:rPr>
          <w:b/>
          <w:i/>
          <w:smallCaps/>
        </w:rPr>
        <w:t>roducto Interno Bruto</w:t>
      </w:r>
      <w:r w:rsidR="00476B58">
        <w:rPr>
          <w:b/>
          <w:i/>
          <w:smallCaps/>
        </w:rPr>
        <w:t xml:space="preserve"> de la </w:t>
      </w:r>
      <w:r w:rsidR="00D113E4">
        <w:rPr>
          <w:b/>
          <w:i/>
          <w:smallCaps/>
        </w:rPr>
        <w:t>Vivienda</w:t>
      </w:r>
      <w:r w:rsidR="00476B58">
        <w:rPr>
          <w:b/>
          <w:i/>
          <w:smallCaps/>
        </w:rPr>
        <w:t xml:space="preserve"> en México</w:t>
      </w:r>
      <w:r w:rsidR="00AC7D0D">
        <w:rPr>
          <w:b/>
          <w:i/>
          <w:smallCaps/>
        </w:rPr>
        <w:t xml:space="preserve"> en el producto del país en el periodo 2008 a 2018</w:t>
      </w:r>
    </w:p>
    <w:p w14:paraId="082DB75B" w14:textId="77777777" w:rsidR="00AC7D0D" w:rsidRPr="00AC7D0D" w:rsidRDefault="00AC7D0D" w:rsidP="00AC7D0D">
      <w:pPr>
        <w:pStyle w:val="parrafo1"/>
        <w:spacing w:before="120"/>
        <w:ind w:left="0" w:right="51"/>
        <w:rPr>
          <w:color w:val="000000"/>
        </w:rPr>
      </w:pPr>
      <w:r>
        <w:rPr>
          <w:color w:val="000000"/>
        </w:rPr>
        <w:t>Durante</w:t>
      </w:r>
      <w:r w:rsidRPr="001F7EF2">
        <w:rPr>
          <w:color w:val="000000"/>
        </w:rPr>
        <w:t xml:space="preserve"> </w:t>
      </w:r>
      <w:r w:rsidR="00CE7A3E">
        <w:rPr>
          <w:color w:val="000000"/>
        </w:rPr>
        <w:t xml:space="preserve">el periodo de 2008 a </w:t>
      </w:r>
      <w:r w:rsidRPr="001F7EF2">
        <w:rPr>
          <w:color w:val="000000"/>
        </w:rPr>
        <w:t>201</w:t>
      </w:r>
      <w:r>
        <w:rPr>
          <w:color w:val="000000"/>
        </w:rPr>
        <w:t>8</w:t>
      </w:r>
      <w:r w:rsidRPr="001F7EF2">
        <w:rPr>
          <w:color w:val="000000"/>
        </w:rPr>
        <w:t xml:space="preserve"> el </w:t>
      </w:r>
      <w:r>
        <w:rPr>
          <w:color w:val="000000"/>
        </w:rPr>
        <w:t>Producto Interno Bruto (</w:t>
      </w:r>
      <w:r w:rsidRPr="001F7EF2">
        <w:rPr>
          <w:color w:val="000000"/>
        </w:rPr>
        <w:t>PIB</w:t>
      </w:r>
      <w:r>
        <w:rPr>
          <w:color w:val="000000"/>
        </w:rPr>
        <w:t>)</w:t>
      </w:r>
      <w:r w:rsidRPr="001F7EF2">
        <w:rPr>
          <w:color w:val="000000"/>
        </w:rPr>
        <w:t xml:space="preserve"> de</w:t>
      </w:r>
      <w:r>
        <w:rPr>
          <w:color w:val="000000"/>
        </w:rPr>
        <w:t xml:space="preserve"> la vivienda </w:t>
      </w:r>
      <w:r w:rsidR="00D340E7">
        <w:rPr>
          <w:color w:val="000000"/>
        </w:rPr>
        <w:t>contribuyó</w:t>
      </w:r>
      <w:r w:rsidR="00CE7A3E">
        <w:rPr>
          <w:color w:val="000000"/>
        </w:rPr>
        <w:t xml:space="preserve"> en promedio con el </w:t>
      </w:r>
      <w:r w:rsidRPr="00AC7D0D">
        <w:rPr>
          <w:color w:val="000000"/>
        </w:rPr>
        <w:t xml:space="preserve">6% del PIB del país. </w:t>
      </w:r>
      <w:r w:rsidR="00CE7A3E">
        <w:rPr>
          <w:color w:val="000000"/>
        </w:rPr>
        <w:t xml:space="preserve">En el mismo lapso registró una variación promedio </w:t>
      </w:r>
      <w:r w:rsidR="00E0689B">
        <w:rPr>
          <w:color w:val="000000"/>
        </w:rPr>
        <w:t>anual de 1.5% en términos reales</w:t>
      </w:r>
      <w:r w:rsidR="00CE7A3E">
        <w:rPr>
          <w:color w:val="000000"/>
        </w:rPr>
        <w:t xml:space="preserve">. </w:t>
      </w:r>
    </w:p>
    <w:p w14:paraId="5CDFDF52" w14:textId="77777777" w:rsidR="00AC7D0D" w:rsidRPr="00FA285D" w:rsidRDefault="00AC7D0D" w:rsidP="00E0689B">
      <w:pPr>
        <w:pStyle w:val="parrafo1"/>
        <w:keepNext/>
        <w:spacing w:before="120"/>
        <w:ind w:left="0" w:right="51"/>
        <w:jc w:val="left"/>
        <w:rPr>
          <w:b/>
          <w:i/>
          <w:smallCaps/>
        </w:rPr>
      </w:pPr>
      <w:r w:rsidRPr="00FA285D">
        <w:rPr>
          <w:b/>
          <w:i/>
          <w:smallCaps/>
        </w:rPr>
        <w:t>Producto Interno Bruto</w:t>
      </w:r>
      <w:r>
        <w:rPr>
          <w:b/>
          <w:i/>
          <w:smallCaps/>
        </w:rPr>
        <w:t xml:space="preserve"> de la Vivienda en México en 2018</w:t>
      </w:r>
    </w:p>
    <w:p w14:paraId="13872EA6" w14:textId="77777777" w:rsidR="0057587A" w:rsidRPr="004C33E2" w:rsidRDefault="000D0558" w:rsidP="00C30AC4">
      <w:pPr>
        <w:pStyle w:val="parrafo1"/>
        <w:spacing w:before="120"/>
        <w:ind w:left="0" w:right="51"/>
        <w:rPr>
          <w:color w:val="000000"/>
          <w:lang w:val="es-MX"/>
        </w:rPr>
      </w:pPr>
      <w:r>
        <w:rPr>
          <w:color w:val="000000"/>
        </w:rPr>
        <w:t>En</w:t>
      </w:r>
      <w:r w:rsidR="00FA285D" w:rsidRPr="001F7EF2">
        <w:rPr>
          <w:color w:val="000000"/>
        </w:rPr>
        <w:t xml:space="preserve"> 201</w:t>
      </w:r>
      <w:r w:rsidR="00AC7D0D">
        <w:rPr>
          <w:color w:val="000000"/>
        </w:rPr>
        <w:t>8</w:t>
      </w:r>
      <w:r w:rsidR="00FA285D" w:rsidRPr="001F7EF2">
        <w:rPr>
          <w:color w:val="000000"/>
        </w:rPr>
        <w:t xml:space="preserve">, el </w:t>
      </w:r>
      <w:r w:rsidR="00476B58">
        <w:rPr>
          <w:color w:val="000000"/>
        </w:rPr>
        <w:t>Producto Interno Bruto (</w:t>
      </w:r>
      <w:r w:rsidR="00FA285D" w:rsidRPr="001F7EF2">
        <w:rPr>
          <w:color w:val="000000"/>
        </w:rPr>
        <w:t>PIB</w:t>
      </w:r>
      <w:r w:rsidR="00476B58">
        <w:rPr>
          <w:color w:val="000000"/>
        </w:rPr>
        <w:t>)</w:t>
      </w:r>
      <w:r w:rsidR="00200670" w:rsidRPr="001F7EF2">
        <w:rPr>
          <w:color w:val="000000"/>
        </w:rPr>
        <w:t xml:space="preserve"> de</w:t>
      </w:r>
      <w:r w:rsidR="0057587A">
        <w:rPr>
          <w:color w:val="000000"/>
        </w:rPr>
        <w:t xml:space="preserve"> las</w:t>
      </w:r>
      <w:r w:rsidR="00476B58">
        <w:rPr>
          <w:color w:val="000000"/>
        </w:rPr>
        <w:t xml:space="preserve"> actividades</w:t>
      </w:r>
      <w:r w:rsidR="0057587A">
        <w:rPr>
          <w:color w:val="000000"/>
        </w:rPr>
        <w:t xml:space="preserve"> </w:t>
      </w:r>
      <w:r w:rsidR="00476B58">
        <w:rPr>
          <w:color w:val="000000"/>
        </w:rPr>
        <w:t xml:space="preserve">vinculadas con la </w:t>
      </w:r>
      <w:r w:rsidR="00D113E4">
        <w:rPr>
          <w:color w:val="000000"/>
        </w:rPr>
        <w:t xml:space="preserve">vivienda </w:t>
      </w:r>
      <w:r w:rsidR="00653AD5">
        <w:rPr>
          <w:color w:val="000000"/>
        </w:rPr>
        <w:t>alcanzó</w:t>
      </w:r>
      <w:r w:rsidR="006A2DAB">
        <w:rPr>
          <w:color w:val="000000"/>
        </w:rPr>
        <w:t xml:space="preserve"> un monto </w:t>
      </w:r>
      <w:r w:rsidR="006A2DAB" w:rsidRPr="004C33E2">
        <w:rPr>
          <w:color w:val="000000"/>
        </w:rPr>
        <w:t>de</w:t>
      </w:r>
      <w:r w:rsidR="00D113E4" w:rsidRPr="004C33E2">
        <w:rPr>
          <w:color w:val="000000"/>
        </w:rPr>
        <w:t xml:space="preserve"> </w:t>
      </w:r>
      <w:r w:rsidR="00481CDC">
        <w:rPr>
          <w:color w:val="000000"/>
        </w:rPr>
        <w:t>1,</w:t>
      </w:r>
      <w:r w:rsidR="004C21E4">
        <w:rPr>
          <w:color w:val="000000"/>
        </w:rPr>
        <w:t>327</w:t>
      </w:r>
      <w:r w:rsidR="00481CDC">
        <w:rPr>
          <w:color w:val="000000"/>
        </w:rPr>
        <w:t>,</w:t>
      </w:r>
      <w:r w:rsidR="004C21E4">
        <w:rPr>
          <w:color w:val="000000"/>
        </w:rPr>
        <w:t>020</w:t>
      </w:r>
      <w:r w:rsidR="00B4758B" w:rsidRPr="004C33E2">
        <w:rPr>
          <w:color w:val="000000"/>
        </w:rPr>
        <w:t xml:space="preserve"> millones de pesos</w:t>
      </w:r>
      <w:r w:rsidR="001F4AD0" w:rsidRPr="004C33E2">
        <w:rPr>
          <w:color w:val="000000"/>
        </w:rPr>
        <w:t>, a precios básicos</w:t>
      </w:r>
      <w:r w:rsidR="00601769" w:rsidRPr="004C33E2">
        <w:rPr>
          <w:rStyle w:val="Refdenotaalpie"/>
          <w:color w:val="000000"/>
          <w:sz w:val="20"/>
        </w:rPr>
        <w:footnoteReference w:id="5"/>
      </w:r>
      <w:r w:rsidR="00767839" w:rsidRPr="004C33E2">
        <w:rPr>
          <w:color w:val="000000"/>
          <w:lang w:val="es-MX"/>
        </w:rPr>
        <w:t>,</w:t>
      </w:r>
      <w:r w:rsidR="007B5209" w:rsidRPr="004C33E2">
        <w:rPr>
          <w:color w:val="000000"/>
          <w:lang w:val="es-MX"/>
        </w:rPr>
        <w:t xml:space="preserve"> lo que</w:t>
      </w:r>
      <w:r w:rsidR="00767839" w:rsidRPr="004C33E2">
        <w:rPr>
          <w:color w:val="000000"/>
          <w:lang w:val="es-MX"/>
        </w:rPr>
        <w:t xml:space="preserve"> </w:t>
      </w:r>
      <w:r w:rsidR="00653AD5" w:rsidRPr="004C33E2">
        <w:rPr>
          <w:color w:val="000000"/>
          <w:lang w:val="es-MX"/>
        </w:rPr>
        <w:t>representó</w:t>
      </w:r>
      <w:r w:rsidR="00476B58" w:rsidRPr="004C33E2">
        <w:rPr>
          <w:color w:val="000000"/>
          <w:lang w:val="es-MX"/>
        </w:rPr>
        <w:t xml:space="preserve"> el </w:t>
      </w:r>
      <w:r w:rsidR="00653AD5" w:rsidRPr="004C33E2">
        <w:rPr>
          <w:color w:val="000000"/>
          <w:lang w:val="es-MX"/>
        </w:rPr>
        <w:t>6</w:t>
      </w:r>
      <w:r w:rsidR="00476B58" w:rsidRPr="004C33E2">
        <w:rPr>
          <w:color w:val="000000"/>
          <w:lang w:val="es-MX"/>
        </w:rPr>
        <w:t xml:space="preserve">% del PIB del país. </w:t>
      </w:r>
      <w:r w:rsidR="006A2DAB" w:rsidRPr="004C33E2">
        <w:rPr>
          <w:color w:val="000000"/>
          <w:lang w:val="es-MX"/>
        </w:rPr>
        <w:t>Por finalidad de la producción</w:t>
      </w:r>
      <w:r w:rsidR="0057587A" w:rsidRPr="004C33E2">
        <w:rPr>
          <w:color w:val="000000"/>
          <w:lang w:val="es-MX"/>
        </w:rPr>
        <w:t>,</w:t>
      </w:r>
      <w:r w:rsidR="00413EFD" w:rsidRPr="004C33E2">
        <w:rPr>
          <w:color w:val="000000"/>
          <w:lang w:val="es-MX"/>
        </w:rPr>
        <w:t xml:space="preserve"> </w:t>
      </w:r>
      <w:r w:rsidR="008E43BA" w:rsidRPr="004C33E2">
        <w:rPr>
          <w:color w:val="000000"/>
          <w:lang w:val="es-MX"/>
        </w:rPr>
        <w:t xml:space="preserve">el </w:t>
      </w:r>
      <w:r w:rsidR="004C21E4">
        <w:rPr>
          <w:color w:val="000000"/>
          <w:lang w:val="es-MX"/>
        </w:rPr>
        <w:t>55.5</w:t>
      </w:r>
      <w:r w:rsidR="008E43BA" w:rsidRPr="004C33E2">
        <w:rPr>
          <w:color w:val="000000"/>
          <w:lang w:val="es-MX"/>
        </w:rPr>
        <w:t xml:space="preserve">% del </w:t>
      </w:r>
      <w:r w:rsidR="006A2DAB" w:rsidRPr="004C33E2">
        <w:rPr>
          <w:color w:val="000000"/>
          <w:lang w:val="es-MX"/>
        </w:rPr>
        <w:t>PIB</w:t>
      </w:r>
      <w:r w:rsidR="008E43BA" w:rsidRPr="004C33E2">
        <w:rPr>
          <w:color w:val="000000"/>
          <w:lang w:val="es-MX"/>
        </w:rPr>
        <w:t xml:space="preserve"> de la vivienda correspondió</w:t>
      </w:r>
      <w:r w:rsidR="008E43BA" w:rsidRPr="008E43BA">
        <w:rPr>
          <w:color w:val="000000"/>
          <w:lang w:val="es-MX"/>
        </w:rPr>
        <w:t xml:space="preserve"> a la producción de bienes y servicios para el </w:t>
      </w:r>
      <w:r w:rsidR="008E43BA" w:rsidRPr="008E43BA">
        <w:rPr>
          <w:color w:val="000000"/>
          <w:lang w:val="es-MX"/>
        </w:rPr>
        <w:lastRenderedPageBreak/>
        <w:t xml:space="preserve">mercado, </w:t>
      </w:r>
      <w:r w:rsidR="008E43BA" w:rsidRPr="004C33E2">
        <w:rPr>
          <w:color w:val="000000"/>
          <w:lang w:val="es-MX"/>
        </w:rPr>
        <w:t xml:space="preserve">el </w:t>
      </w:r>
      <w:r w:rsidR="004C21E4">
        <w:rPr>
          <w:color w:val="000000"/>
          <w:lang w:val="es-MX"/>
        </w:rPr>
        <w:t>43.3</w:t>
      </w:r>
      <w:r w:rsidR="008E43BA" w:rsidRPr="004C33E2">
        <w:rPr>
          <w:color w:val="000000"/>
          <w:lang w:val="es-MX"/>
        </w:rPr>
        <w:t>% a la producción para uso final propio de los hogares</w:t>
      </w:r>
      <w:r w:rsidR="008E43BA" w:rsidRPr="004C21E4">
        <w:rPr>
          <w:rStyle w:val="Refdenotaalpie"/>
          <w:b w:val="0"/>
          <w:color w:val="000000"/>
          <w:sz w:val="20"/>
        </w:rPr>
        <w:footnoteReference w:id="6"/>
      </w:r>
      <w:r w:rsidR="008E43BA" w:rsidRPr="004C33E2">
        <w:rPr>
          <w:color w:val="000000"/>
          <w:lang w:val="es-MX"/>
        </w:rPr>
        <w:t xml:space="preserve"> y el restante 1.</w:t>
      </w:r>
      <w:r w:rsidR="00350326">
        <w:rPr>
          <w:color w:val="000000"/>
          <w:lang w:val="es-MX"/>
        </w:rPr>
        <w:t>2</w:t>
      </w:r>
      <w:r w:rsidR="008E43BA" w:rsidRPr="004C33E2">
        <w:rPr>
          <w:color w:val="000000"/>
          <w:lang w:val="es-MX"/>
        </w:rPr>
        <w:t>% a la producción no de mercado</w:t>
      </w:r>
      <w:r w:rsidR="007B5209" w:rsidRPr="004C21E4">
        <w:rPr>
          <w:rStyle w:val="Refdenotaalpie"/>
          <w:b w:val="0"/>
          <w:color w:val="000000"/>
          <w:sz w:val="20"/>
        </w:rPr>
        <w:footnoteReference w:id="7"/>
      </w:r>
      <w:r w:rsidR="0057587A" w:rsidRPr="004C33E2">
        <w:rPr>
          <w:color w:val="000000"/>
          <w:lang w:val="es-MX"/>
        </w:rPr>
        <w:t>.</w:t>
      </w:r>
    </w:p>
    <w:p w14:paraId="44155253" w14:textId="77777777" w:rsidR="00E32AD2" w:rsidRDefault="00E533A9" w:rsidP="009204BE">
      <w:pPr>
        <w:pStyle w:val="parrafo1"/>
        <w:spacing w:before="120"/>
        <w:ind w:left="0" w:right="51"/>
        <w:rPr>
          <w:color w:val="000000"/>
        </w:rPr>
      </w:pPr>
      <w:r w:rsidRPr="004C33E2">
        <w:rPr>
          <w:color w:val="000000"/>
        </w:rPr>
        <w:t xml:space="preserve">Al </w:t>
      </w:r>
      <w:r w:rsidR="00653AD5" w:rsidRPr="004C33E2">
        <w:rPr>
          <w:color w:val="000000"/>
        </w:rPr>
        <w:t>interior</w:t>
      </w:r>
      <w:r w:rsidRPr="004C33E2">
        <w:rPr>
          <w:color w:val="000000"/>
        </w:rPr>
        <w:t xml:space="preserve"> </w:t>
      </w:r>
      <w:r w:rsidR="00653AD5" w:rsidRPr="004C33E2">
        <w:rPr>
          <w:color w:val="000000"/>
        </w:rPr>
        <w:t>d</w:t>
      </w:r>
      <w:r w:rsidR="008831D6" w:rsidRPr="004C33E2">
        <w:rPr>
          <w:color w:val="000000"/>
        </w:rPr>
        <w:t>el PIB</w:t>
      </w:r>
      <w:r w:rsidR="00BC0317" w:rsidRPr="004C33E2">
        <w:rPr>
          <w:color w:val="000000"/>
        </w:rPr>
        <w:t xml:space="preserve"> </w:t>
      </w:r>
      <w:r w:rsidR="008831D6" w:rsidRPr="004C33E2">
        <w:rPr>
          <w:color w:val="000000"/>
        </w:rPr>
        <w:t xml:space="preserve">de la </w:t>
      </w:r>
      <w:r w:rsidR="009E0462" w:rsidRPr="004C33E2">
        <w:rPr>
          <w:color w:val="000000"/>
        </w:rPr>
        <w:t>vivienda</w:t>
      </w:r>
      <w:r w:rsidRPr="004C33E2">
        <w:rPr>
          <w:color w:val="000000"/>
        </w:rPr>
        <w:t xml:space="preserve"> por </w:t>
      </w:r>
      <w:r w:rsidR="00132ACF" w:rsidRPr="004C33E2">
        <w:rPr>
          <w:color w:val="000000"/>
        </w:rPr>
        <w:t xml:space="preserve">sectores de actividad </w:t>
      </w:r>
      <w:r w:rsidRPr="004C33E2">
        <w:rPr>
          <w:color w:val="000000"/>
        </w:rPr>
        <w:t>económic</w:t>
      </w:r>
      <w:r w:rsidR="002A264A" w:rsidRPr="004C33E2">
        <w:rPr>
          <w:color w:val="000000"/>
        </w:rPr>
        <w:t>a</w:t>
      </w:r>
      <w:r w:rsidRPr="004C21E4">
        <w:rPr>
          <w:rStyle w:val="Refdenotaalpie"/>
          <w:b w:val="0"/>
          <w:color w:val="000000"/>
          <w:sz w:val="20"/>
        </w:rPr>
        <w:footnoteReference w:id="8"/>
      </w:r>
      <w:r w:rsidRPr="004C33E2">
        <w:rPr>
          <w:color w:val="000000"/>
        </w:rPr>
        <w:t xml:space="preserve">, </w:t>
      </w:r>
      <w:r w:rsidR="00653AD5" w:rsidRPr="004C33E2">
        <w:rPr>
          <w:color w:val="000000"/>
        </w:rPr>
        <w:t xml:space="preserve">el valor de </w:t>
      </w:r>
      <w:r w:rsidR="00E839FC" w:rsidRPr="004C33E2">
        <w:rPr>
          <w:color w:val="000000"/>
        </w:rPr>
        <w:t xml:space="preserve">la construcción </w:t>
      </w:r>
      <w:r w:rsidR="00653AD5" w:rsidRPr="004C33E2">
        <w:rPr>
          <w:color w:val="000000"/>
        </w:rPr>
        <w:t>asociada</w:t>
      </w:r>
      <w:r w:rsidR="001C033F" w:rsidRPr="004C33E2">
        <w:rPr>
          <w:color w:val="000000"/>
        </w:rPr>
        <w:t xml:space="preserve"> </w:t>
      </w:r>
      <w:r w:rsidR="00E0689B">
        <w:rPr>
          <w:color w:val="000000"/>
        </w:rPr>
        <w:t>a</w:t>
      </w:r>
      <w:r w:rsidR="00E839FC" w:rsidRPr="004C33E2">
        <w:rPr>
          <w:color w:val="000000"/>
        </w:rPr>
        <w:t xml:space="preserve"> la edificación</w:t>
      </w:r>
      <w:r w:rsidR="004360F0" w:rsidRPr="004C33E2">
        <w:rPr>
          <w:color w:val="000000"/>
        </w:rPr>
        <w:t>, ampliación y mejoramiento</w:t>
      </w:r>
      <w:r w:rsidR="00E839FC" w:rsidRPr="004C33E2">
        <w:rPr>
          <w:color w:val="000000"/>
        </w:rPr>
        <w:t xml:space="preserve"> residencial</w:t>
      </w:r>
      <w:r w:rsidR="004360F0" w:rsidRPr="004C33E2">
        <w:rPr>
          <w:color w:val="000000"/>
        </w:rPr>
        <w:t xml:space="preserve"> </w:t>
      </w:r>
      <w:r w:rsidR="00653AD5" w:rsidRPr="004C33E2">
        <w:rPr>
          <w:color w:val="000000"/>
        </w:rPr>
        <w:t>aportó</w:t>
      </w:r>
      <w:r w:rsidR="004360F0" w:rsidRPr="004C33E2">
        <w:rPr>
          <w:color w:val="000000"/>
        </w:rPr>
        <w:t xml:space="preserve"> el 6</w:t>
      </w:r>
      <w:r w:rsidR="004C21E4">
        <w:rPr>
          <w:color w:val="000000"/>
        </w:rPr>
        <w:t>8.9</w:t>
      </w:r>
      <w:r w:rsidR="001C033F" w:rsidRPr="004C33E2">
        <w:rPr>
          <w:color w:val="000000"/>
        </w:rPr>
        <w:t xml:space="preserve">%, </w:t>
      </w:r>
      <w:r w:rsidR="00E32AD2" w:rsidRPr="004C33E2">
        <w:rPr>
          <w:color w:val="000000"/>
        </w:rPr>
        <w:t xml:space="preserve">los servicios inmobiliarios y de alquiler de bienes muebles e intangibles </w:t>
      </w:r>
      <w:r w:rsidR="00A61DCA">
        <w:rPr>
          <w:color w:val="000000"/>
        </w:rPr>
        <w:t>relacionados</w:t>
      </w:r>
      <w:r w:rsidR="00EE0F4C">
        <w:rPr>
          <w:color w:val="000000"/>
        </w:rPr>
        <w:t xml:space="preserve"> con</w:t>
      </w:r>
      <w:r w:rsidR="00E839FC" w:rsidRPr="004C33E2">
        <w:rPr>
          <w:color w:val="000000"/>
        </w:rPr>
        <w:t xml:space="preserve"> la vivienda </w:t>
      </w:r>
      <w:r w:rsidR="00E32AD2" w:rsidRPr="004C33E2">
        <w:rPr>
          <w:color w:val="000000"/>
        </w:rPr>
        <w:t xml:space="preserve">el </w:t>
      </w:r>
      <w:r w:rsidR="00653AD5" w:rsidRPr="004C33E2">
        <w:rPr>
          <w:color w:val="000000"/>
        </w:rPr>
        <w:t>2</w:t>
      </w:r>
      <w:r w:rsidR="004C21E4">
        <w:rPr>
          <w:color w:val="000000"/>
        </w:rPr>
        <w:t>6.4</w:t>
      </w:r>
      <w:r w:rsidR="00FA0DA2" w:rsidRPr="004C33E2">
        <w:rPr>
          <w:color w:val="000000"/>
        </w:rPr>
        <w:t xml:space="preserve">%, los servicios financieros y de seguros </w:t>
      </w:r>
      <w:r w:rsidR="00E839FC" w:rsidRPr="004C33E2">
        <w:rPr>
          <w:color w:val="000000"/>
        </w:rPr>
        <w:t xml:space="preserve">vinculados con este sector el </w:t>
      </w:r>
      <w:r w:rsidR="004C21E4">
        <w:rPr>
          <w:color w:val="000000"/>
        </w:rPr>
        <w:t>4</w:t>
      </w:r>
      <w:r w:rsidR="00A61DCA">
        <w:rPr>
          <w:color w:val="000000"/>
        </w:rPr>
        <w:t>%</w:t>
      </w:r>
      <w:r w:rsidR="002A264A" w:rsidRPr="004C33E2">
        <w:rPr>
          <w:color w:val="000000"/>
        </w:rPr>
        <w:t xml:space="preserve"> y</w:t>
      </w:r>
      <w:r w:rsidR="00FA0DA2" w:rsidRPr="004C33E2">
        <w:rPr>
          <w:color w:val="000000"/>
        </w:rPr>
        <w:t xml:space="preserve"> e</w:t>
      </w:r>
      <w:r w:rsidR="00132ACF" w:rsidRPr="004C33E2">
        <w:rPr>
          <w:color w:val="000000"/>
        </w:rPr>
        <w:t>l</w:t>
      </w:r>
      <w:r w:rsidR="00132ACF">
        <w:rPr>
          <w:color w:val="000000"/>
        </w:rPr>
        <w:t xml:space="preserve"> resto se distribuyó entre otro</w:t>
      </w:r>
      <w:r w:rsidR="00FA0DA2">
        <w:rPr>
          <w:color w:val="000000"/>
        </w:rPr>
        <w:t xml:space="preserve">s </w:t>
      </w:r>
      <w:r w:rsidR="00132ACF">
        <w:rPr>
          <w:color w:val="000000"/>
        </w:rPr>
        <w:t>sector</w:t>
      </w:r>
      <w:r w:rsidR="00FA0DA2">
        <w:rPr>
          <w:color w:val="000000"/>
        </w:rPr>
        <w:t>es.</w:t>
      </w:r>
    </w:p>
    <w:p w14:paraId="01040097" w14:textId="77777777" w:rsidR="009E0462" w:rsidRPr="00034996" w:rsidRDefault="009E0462" w:rsidP="00E0689B">
      <w:pPr>
        <w:pStyle w:val="parrafo1"/>
        <w:tabs>
          <w:tab w:val="left" w:pos="7655"/>
        </w:tabs>
        <w:spacing w:before="0"/>
        <w:ind w:left="0" w:right="51"/>
        <w:jc w:val="center"/>
        <w:rPr>
          <w:sz w:val="20"/>
        </w:rPr>
      </w:pPr>
      <w:r w:rsidRPr="00877006">
        <w:rPr>
          <w:sz w:val="20"/>
        </w:rPr>
        <w:t>Gráfica 1</w:t>
      </w:r>
    </w:p>
    <w:p w14:paraId="11974A72" w14:textId="77777777" w:rsidR="006A7E0B" w:rsidRPr="00653AD5" w:rsidRDefault="009E0462" w:rsidP="006A7E0B">
      <w:pPr>
        <w:pStyle w:val="Textoindependiente"/>
        <w:ind w:right="49"/>
        <w:jc w:val="center"/>
        <w:rPr>
          <w:b/>
          <w:smallCaps/>
          <w:sz w:val="20"/>
          <w:szCs w:val="20"/>
          <w:lang w:val="es-MX"/>
        </w:rPr>
      </w:pPr>
      <w:r w:rsidRPr="00034996">
        <w:rPr>
          <w:b/>
          <w:smallCaps/>
          <w:sz w:val="22"/>
          <w:szCs w:val="22"/>
        </w:rPr>
        <w:t>PIB de</w:t>
      </w:r>
      <w:r>
        <w:rPr>
          <w:b/>
          <w:smallCaps/>
          <w:sz w:val="22"/>
          <w:szCs w:val="22"/>
          <w:lang w:val="es-MX"/>
        </w:rPr>
        <w:t xml:space="preserve">l sector de la </w:t>
      </w:r>
      <w:r w:rsidR="00A322F1">
        <w:rPr>
          <w:b/>
          <w:smallCaps/>
          <w:sz w:val="22"/>
          <w:szCs w:val="22"/>
          <w:lang w:val="es-MX"/>
        </w:rPr>
        <w:t>vivienda</w:t>
      </w:r>
      <w:r>
        <w:rPr>
          <w:b/>
          <w:smallCaps/>
          <w:sz w:val="22"/>
          <w:szCs w:val="22"/>
          <w:lang w:val="es-MX"/>
        </w:rPr>
        <w:t xml:space="preserve"> en México </w:t>
      </w:r>
      <w:r>
        <w:rPr>
          <w:b/>
          <w:smallCaps/>
          <w:sz w:val="22"/>
          <w:szCs w:val="22"/>
        </w:rPr>
        <w:t xml:space="preserve">por </w:t>
      </w:r>
      <w:r w:rsidR="00132ACF">
        <w:rPr>
          <w:b/>
          <w:smallCaps/>
          <w:sz w:val="22"/>
          <w:szCs w:val="22"/>
          <w:lang w:val="es-MX"/>
        </w:rPr>
        <w:t xml:space="preserve">sectores de </w:t>
      </w:r>
      <w:r>
        <w:rPr>
          <w:b/>
          <w:smallCaps/>
          <w:sz w:val="22"/>
          <w:szCs w:val="22"/>
        </w:rPr>
        <w:t>actividad econ</w:t>
      </w:r>
      <w:r>
        <w:rPr>
          <w:b/>
          <w:smallCaps/>
          <w:sz w:val="22"/>
          <w:szCs w:val="22"/>
          <w:lang w:val="es-MX"/>
        </w:rPr>
        <w:t>ómica*</w:t>
      </w:r>
      <w:r>
        <w:rPr>
          <w:b/>
          <w:smallCaps/>
          <w:sz w:val="22"/>
          <w:szCs w:val="22"/>
        </w:rPr>
        <w:t xml:space="preserve">, </w:t>
      </w:r>
      <w:r w:rsidR="00132ACF">
        <w:rPr>
          <w:b/>
          <w:smallCaps/>
          <w:sz w:val="20"/>
          <w:szCs w:val="20"/>
        </w:rPr>
        <w:t>201</w:t>
      </w:r>
      <w:r w:rsidR="004C21E4">
        <w:rPr>
          <w:b/>
          <w:smallCaps/>
          <w:sz w:val="20"/>
          <w:szCs w:val="20"/>
          <w:lang w:val="es-MX"/>
        </w:rPr>
        <w:t>8</w:t>
      </w:r>
    </w:p>
    <w:p w14:paraId="740FA39F" w14:textId="77777777" w:rsidR="006A7E0B" w:rsidRPr="00C307C8" w:rsidRDefault="006A7E0B" w:rsidP="006A7E0B">
      <w:pPr>
        <w:pStyle w:val="Textoindependiente"/>
        <w:ind w:right="49"/>
        <w:jc w:val="center"/>
        <w:rPr>
          <w:sz w:val="18"/>
          <w:szCs w:val="18"/>
          <w:lang w:val="es-MX"/>
        </w:rPr>
      </w:pPr>
      <w:r>
        <w:rPr>
          <w:sz w:val="18"/>
          <w:szCs w:val="18"/>
          <w:lang w:val="es-MX"/>
        </w:rPr>
        <w:t>(Estructura porcentual de valores a precios básicos)</w:t>
      </w:r>
    </w:p>
    <w:p w14:paraId="1704F68D" w14:textId="77777777" w:rsidR="006A7E0B" w:rsidRPr="00034996" w:rsidRDefault="006876FE" w:rsidP="004C21E4">
      <w:pPr>
        <w:pStyle w:val="Textoindependiente"/>
        <w:ind w:right="49"/>
        <w:jc w:val="center"/>
        <w:rPr>
          <w:b/>
          <w:smallCaps/>
          <w:sz w:val="20"/>
          <w:szCs w:val="20"/>
        </w:rPr>
      </w:pPr>
      <w:r w:rsidRPr="006876FE">
        <w:rPr>
          <w:noProof/>
          <w:lang w:val="es-MX" w:eastAsia="es-MX"/>
        </w:rPr>
        <w:drawing>
          <wp:inline distT="0" distB="0" distL="0" distR="0" wp14:anchorId="66C12A78" wp14:editId="1B871842">
            <wp:extent cx="5549442" cy="2916000"/>
            <wp:effectExtent l="19050" t="19050" r="1333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9442" cy="2916000"/>
                    </a:xfrm>
                    <a:prstGeom prst="rect">
                      <a:avLst/>
                    </a:prstGeom>
                    <a:ln>
                      <a:solidFill>
                        <a:schemeClr val="tx1"/>
                      </a:solidFill>
                    </a:ln>
                  </pic:spPr>
                </pic:pic>
              </a:graphicData>
            </a:graphic>
          </wp:inline>
        </w:drawing>
      </w:r>
    </w:p>
    <w:p w14:paraId="34732AC2" w14:textId="77777777" w:rsidR="00041793" w:rsidRPr="00644E18" w:rsidRDefault="006876FE" w:rsidP="006876FE">
      <w:pPr>
        <w:pStyle w:val="Textoindependiente"/>
        <w:tabs>
          <w:tab w:val="left" w:pos="8080"/>
          <w:tab w:val="left" w:pos="8505"/>
        </w:tabs>
        <w:ind w:left="284" w:right="333" w:hanging="142"/>
        <w:rPr>
          <w:sz w:val="16"/>
          <w:szCs w:val="16"/>
          <w:lang w:val="es-MX"/>
        </w:rPr>
      </w:pPr>
      <w:r>
        <w:rPr>
          <w:sz w:val="16"/>
          <w:szCs w:val="16"/>
          <w:lang w:val="es-MX"/>
        </w:rPr>
        <w:t xml:space="preserve"> </w:t>
      </w:r>
      <w:r w:rsidR="00041793">
        <w:rPr>
          <w:sz w:val="16"/>
          <w:szCs w:val="16"/>
          <w:lang w:val="es-MX"/>
        </w:rPr>
        <w:t>*</w:t>
      </w:r>
      <w:r w:rsidR="00624A03">
        <w:rPr>
          <w:sz w:val="16"/>
          <w:szCs w:val="16"/>
          <w:lang w:val="es-MX"/>
        </w:rPr>
        <w:t xml:space="preserve"> </w:t>
      </w:r>
      <w:r w:rsidR="00041793" w:rsidRPr="00041793">
        <w:rPr>
          <w:sz w:val="16"/>
          <w:szCs w:val="16"/>
          <w:lang w:val="es-MX"/>
        </w:rPr>
        <w:t>La clasificación</w:t>
      </w:r>
      <w:r w:rsidR="00041793">
        <w:rPr>
          <w:sz w:val="16"/>
          <w:szCs w:val="16"/>
          <w:lang w:val="es-MX"/>
        </w:rPr>
        <w:t xml:space="preserve"> de las actividades económicas corresponde con el Sistema de Clasificación Industrial d</w:t>
      </w:r>
      <w:r w:rsidR="00653AD5">
        <w:rPr>
          <w:sz w:val="16"/>
          <w:szCs w:val="16"/>
          <w:lang w:val="es-MX"/>
        </w:rPr>
        <w:t>e América del Norte (SCIAN), 2013</w:t>
      </w:r>
      <w:r w:rsidR="00041793">
        <w:rPr>
          <w:sz w:val="16"/>
          <w:szCs w:val="16"/>
          <w:lang w:val="es-MX"/>
        </w:rPr>
        <w:t>.</w:t>
      </w:r>
    </w:p>
    <w:p w14:paraId="413C1C68" w14:textId="77777777" w:rsidR="00041793" w:rsidRPr="001851E7" w:rsidRDefault="006876FE" w:rsidP="000D0558">
      <w:pPr>
        <w:pStyle w:val="Textoindependiente"/>
        <w:ind w:left="142" w:right="49"/>
        <w:rPr>
          <w:sz w:val="16"/>
          <w:szCs w:val="16"/>
        </w:rPr>
      </w:pPr>
      <w:r>
        <w:rPr>
          <w:sz w:val="16"/>
          <w:szCs w:val="16"/>
          <w:lang w:val="es-MX"/>
        </w:rPr>
        <w:t xml:space="preserve"> </w:t>
      </w:r>
      <w:r w:rsidR="00041793" w:rsidRPr="001851E7">
        <w:rPr>
          <w:sz w:val="16"/>
          <w:szCs w:val="16"/>
        </w:rPr>
        <w:t>Fuent</w:t>
      </w:r>
      <w:r w:rsidR="00041793">
        <w:rPr>
          <w:sz w:val="16"/>
          <w:szCs w:val="16"/>
        </w:rPr>
        <w:t>e: INEGI.</w:t>
      </w:r>
    </w:p>
    <w:p w14:paraId="3A1AAA02" w14:textId="77777777" w:rsidR="00423A49" w:rsidRDefault="00423A49" w:rsidP="00E0689B">
      <w:pPr>
        <w:pStyle w:val="parrafo1"/>
        <w:spacing w:before="240"/>
        <w:ind w:left="0" w:right="51"/>
      </w:pPr>
      <w:r>
        <w:rPr>
          <w:color w:val="000000"/>
          <w:szCs w:val="16"/>
        </w:rPr>
        <w:t>El</w:t>
      </w:r>
      <w:r w:rsidRPr="009F226C">
        <w:rPr>
          <w:color w:val="000000"/>
          <w:szCs w:val="16"/>
        </w:rPr>
        <w:t xml:space="preserve"> PIB de la </w:t>
      </w:r>
      <w:r w:rsidR="00132ACF" w:rsidRPr="004C33E2">
        <w:rPr>
          <w:color w:val="000000"/>
          <w:szCs w:val="16"/>
        </w:rPr>
        <w:t>vivienda en 201</w:t>
      </w:r>
      <w:r w:rsidR="00BB56FA">
        <w:rPr>
          <w:color w:val="000000"/>
          <w:szCs w:val="16"/>
        </w:rPr>
        <w:t>8</w:t>
      </w:r>
      <w:r w:rsidRPr="004C33E2">
        <w:rPr>
          <w:color w:val="000000"/>
          <w:szCs w:val="16"/>
        </w:rPr>
        <w:t xml:space="preserve">, a precios constantes, mostró una variación real anual </w:t>
      </w:r>
      <w:r w:rsidR="00132ACF" w:rsidRPr="004C33E2">
        <w:rPr>
          <w:color w:val="000000"/>
          <w:szCs w:val="16"/>
        </w:rPr>
        <w:t xml:space="preserve">de </w:t>
      </w:r>
      <w:r w:rsidR="00BB56FA">
        <w:rPr>
          <w:color w:val="000000"/>
          <w:szCs w:val="16"/>
        </w:rPr>
        <w:t>1.1</w:t>
      </w:r>
      <w:r w:rsidRPr="004C33E2">
        <w:rPr>
          <w:color w:val="000000"/>
          <w:szCs w:val="16"/>
        </w:rPr>
        <w:t xml:space="preserve"> por ciento.</w:t>
      </w:r>
      <w:r w:rsidRPr="004C33E2">
        <w:rPr>
          <w:szCs w:val="16"/>
        </w:rPr>
        <w:t xml:space="preserve"> Este comportamiento se explica</w:t>
      </w:r>
      <w:r w:rsidR="003B7FC2" w:rsidRPr="004C33E2">
        <w:rPr>
          <w:szCs w:val="16"/>
        </w:rPr>
        <w:t xml:space="preserve">, </w:t>
      </w:r>
      <w:r w:rsidR="00E839FC" w:rsidRPr="004C33E2">
        <w:rPr>
          <w:szCs w:val="16"/>
        </w:rPr>
        <w:t>fundamentalmente</w:t>
      </w:r>
      <w:r w:rsidR="003B7FC2" w:rsidRPr="004C33E2">
        <w:rPr>
          <w:szCs w:val="16"/>
        </w:rPr>
        <w:t>,</w:t>
      </w:r>
      <w:r w:rsidRPr="004C33E2">
        <w:rPr>
          <w:szCs w:val="16"/>
        </w:rPr>
        <w:t xml:space="preserve"> por </w:t>
      </w:r>
      <w:r w:rsidR="00132ACF" w:rsidRPr="004C33E2">
        <w:rPr>
          <w:szCs w:val="16"/>
        </w:rPr>
        <w:t>el</w:t>
      </w:r>
      <w:r w:rsidRPr="004C33E2">
        <w:rPr>
          <w:szCs w:val="16"/>
        </w:rPr>
        <w:t xml:space="preserve"> </w:t>
      </w:r>
      <w:r w:rsidR="00132ACF" w:rsidRPr="004C33E2">
        <w:rPr>
          <w:szCs w:val="16"/>
        </w:rPr>
        <w:t>crecimiento registrado</w:t>
      </w:r>
      <w:r w:rsidRPr="004C33E2">
        <w:rPr>
          <w:szCs w:val="16"/>
        </w:rPr>
        <w:t xml:space="preserve"> </w:t>
      </w:r>
      <w:r w:rsidR="008B5AFC" w:rsidRPr="004C33E2">
        <w:rPr>
          <w:szCs w:val="16"/>
        </w:rPr>
        <w:t xml:space="preserve">en los servicios </w:t>
      </w:r>
      <w:r w:rsidR="00C63463">
        <w:rPr>
          <w:szCs w:val="16"/>
        </w:rPr>
        <w:t>inmobiliarios y de alquiler (2.8</w:t>
      </w:r>
      <w:r w:rsidR="008B5AFC">
        <w:rPr>
          <w:szCs w:val="16"/>
        </w:rPr>
        <w:t xml:space="preserve">%) </w:t>
      </w:r>
      <w:r w:rsidRPr="004C33E2">
        <w:rPr>
          <w:szCs w:val="16"/>
        </w:rPr>
        <w:t xml:space="preserve">y </w:t>
      </w:r>
      <w:r w:rsidR="008B5AFC">
        <w:rPr>
          <w:szCs w:val="16"/>
        </w:rPr>
        <w:t xml:space="preserve">en </w:t>
      </w:r>
      <w:r w:rsidR="008B5AFC" w:rsidRPr="004C33E2">
        <w:rPr>
          <w:szCs w:val="16"/>
        </w:rPr>
        <w:t>las actividades de la construcción (</w:t>
      </w:r>
      <w:r w:rsidR="00C63463">
        <w:rPr>
          <w:szCs w:val="16"/>
        </w:rPr>
        <w:t>1</w:t>
      </w:r>
      <w:r w:rsidR="008B5AFC" w:rsidRPr="004C33E2">
        <w:rPr>
          <w:szCs w:val="16"/>
        </w:rPr>
        <w:t>%)</w:t>
      </w:r>
      <w:r w:rsidR="008B5AFC">
        <w:rPr>
          <w:szCs w:val="16"/>
        </w:rPr>
        <w:t>, mientras que</w:t>
      </w:r>
      <w:r w:rsidR="008B5AFC" w:rsidRPr="008B5AFC">
        <w:rPr>
          <w:szCs w:val="16"/>
        </w:rPr>
        <w:t xml:space="preserve"> </w:t>
      </w:r>
      <w:r w:rsidR="006876FE">
        <w:rPr>
          <w:szCs w:val="16"/>
        </w:rPr>
        <w:t xml:space="preserve">los </w:t>
      </w:r>
      <w:r w:rsidR="008B5AFC" w:rsidRPr="004C33E2">
        <w:rPr>
          <w:szCs w:val="16"/>
        </w:rPr>
        <w:t xml:space="preserve">servicios financieros y de seguros </w:t>
      </w:r>
      <w:r w:rsidR="008B5AFC">
        <w:rPr>
          <w:szCs w:val="16"/>
        </w:rPr>
        <w:t>disminuyeron (</w:t>
      </w:r>
      <w:r w:rsidR="008B5AFC">
        <w:rPr>
          <w:szCs w:val="16"/>
        </w:rPr>
        <w:noBreakHyphen/>
        <w:t>)</w:t>
      </w:r>
      <w:r w:rsidR="00C63463">
        <w:rPr>
          <w:szCs w:val="16"/>
        </w:rPr>
        <w:t>6.3</w:t>
      </w:r>
      <w:r w:rsidR="008B5AFC">
        <w:rPr>
          <w:szCs w:val="16"/>
        </w:rPr>
        <w:t xml:space="preserve"> por ciento.</w:t>
      </w:r>
    </w:p>
    <w:p w14:paraId="2BF8DB9B" w14:textId="77777777" w:rsidR="006C2EA9" w:rsidRDefault="009E0462" w:rsidP="003A0365">
      <w:pPr>
        <w:pStyle w:val="parrafo1"/>
        <w:spacing w:before="100" w:beforeAutospacing="1"/>
        <w:ind w:left="0" w:right="51"/>
        <w:rPr>
          <w:color w:val="000000"/>
        </w:rPr>
      </w:pPr>
      <w:r>
        <w:rPr>
          <w:color w:val="000000"/>
        </w:rPr>
        <w:lastRenderedPageBreak/>
        <w:t>Otro enfoque</w:t>
      </w:r>
      <w:r w:rsidR="00EE0F4C">
        <w:rPr>
          <w:color w:val="000000"/>
        </w:rPr>
        <w:t xml:space="preserve"> </w:t>
      </w:r>
      <w:r>
        <w:rPr>
          <w:color w:val="000000"/>
        </w:rPr>
        <w:t xml:space="preserve">a través del cual se puede </w:t>
      </w:r>
      <w:r w:rsidR="00FE515B">
        <w:rPr>
          <w:color w:val="000000"/>
        </w:rPr>
        <w:t>entender</w:t>
      </w:r>
      <w:r w:rsidR="00E7565C">
        <w:rPr>
          <w:color w:val="000000"/>
        </w:rPr>
        <w:t xml:space="preserve"> la composición de</w:t>
      </w:r>
      <w:r w:rsidR="00FF5BBC">
        <w:rPr>
          <w:color w:val="000000"/>
        </w:rPr>
        <w:t xml:space="preserve"> este sector</w:t>
      </w:r>
      <w:r w:rsidR="00EB7ACA">
        <w:rPr>
          <w:color w:val="000000"/>
        </w:rPr>
        <w:t>,</w:t>
      </w:r>
      <w:r w:rsidR="00FF5BBC">
        <w:rPr>
          <w:color w:val="000000"/>
        </w:rPr>
        <w:t xml:space="preserve"> es por</w:t>
      </w:r>
      <w:r w:rsidR="004C2939">
        <w:rPr>
          <w:color w:val="000000"/>
        </w:rPr>
        <w:t xml:space="preserve"> medio</w:t>
      </w:r>
      <w:r w:rsidR="00E7565C">
        <w:rPr>
          <w:color w:val="000000"/>
        </w:rPr>
        <w:t xml:space="preserve"> de la clasificación funcional de </w:t>
      </w:r>
      <w:r w:rsidR="00526182">
        <w:rPr>
          <w:color w:val="000000"/>
        </w:rPr>
        <w:t xml:space="preserve">las </w:t>
      </w:r>
      <w:r w:rsidR="00E7565C">
        <w:rPr>
          <w:color w:val="000000"/>
        </w:rPr>
        <w:t>actividades</w:t>
      </w:r>
      <w:r w:rsidR="00FF5BBC">
        <w:rPr>
          <w:color w:val="000000"/>
        </w:rPr>
        <w:t xml:space="preserve"> de vivienda</w:t>
      </w:r>
      <w:r w:rsidRPr="00852004">
        <w:rPr>
          <w:smallCaps/>
          <w:color w:val="000000"/>
          <w:sz w:val="20"/>
          <w:vertAlign w:val="superscript"/>
        </w:rPr>
        <w:footnoteReference w:id="9"/>
      </w:r>
      <w:r w:rsidR="006A7E0B">
        <w:rPr>
          <w:color w:val="000000"/>
        </w:rPr>
        <w:t>.</w:t>
      </w:r>
      <w:r w:rsidR="00E839FC">
        <w:rPr>
          <w:color w:val="000000"/>
        </w:rPr>
        <w:t xml:space="preserve"> Bajo este esquema, </w:t>
      </w:r>
      <w:r w:rsidR="00473B28">
        <w:rPr>
          <w:color w:val="000000"/>
        </w:rPr>
        <w:t>el PIB de la vivienda de</w:t>
      </w:r>
      <w:r w:rsidR="00F7386D">
        <w:rPr>
          <w:color w:val="000000"/>
        </w:rPr>
        <w:t xml:space="preserve"> 201</w:t>
      </w:r>
      <w:r w:rsidR="00C63463">
        <w:rPr>
          <w:color w:val="000000"/>
        </w:rPr>
        <w:t>8</w:t>
      </w:r>
      <w:r w:rsidR="003B7FC2">
        <w:rPr>
          <w:color w:val="000000"/>
        </w:rPr>
        <w:t xml:space="preserve"> </w:t>
      </w:r>
      <w:r w:rsidR="00473B28" w:rsidRPr="004C33E2">
        <w:rPr>
          <w:color w:val="000000"/>
        </w:rPr>
        <w:t>se conformó</w:t>
      </w:r>
      <w:r w:rsidR="00B37AA5" w:rsidRPr="004C33E2">
        <w:rPr>
          <w:color w:val="000000"/>
        </w:rPr>
        <w:t xml:space="preserve">, </w:t>
      </w:r>
      <w:r w:rsidR="00E839FC" w:rsidRPr="004C33E2">
        <w:rPr>
          <w:color w:val="000000"/>
        </w:rPr>
        <w:t>de acuerdo con</w:t>
      </w:r>
      <w:r w:rsidR="00B37AA5" w:rsidRPr="004C33E2">
        <w:rPr>
          <w:color w:val="000000"/>
        </w:rPr>
        <w:t xml:space="preserve"> sus cuatro ámbitos generales,</w:t>
      </w:r>
      <w:r w:rsidR="00FE515B" w:rsidRPr="004C33E2">
        <w:rPr>
          <w:color w:val="000000"/>
        </w:rPr>
        <w:t xml:space="preserve"> </w:t>
      </w:r>
      <w:r w:rsidR="004C33E2" w:rsidRPr="004C33E2">
        <w:rPr>
          <w:color w:val="000000"/>
        </w:rPr>
        <w:t>por</w:t>
      </w:r>
      <w:r w:rsidR="004C2939" w:rsidRPr="004C33E2">
        <w:rPr>
          <w:color w:val="000000"/>
        </w:rPr>
        <w:t xml:space="preserve"> las actividades relacionadas con la </w:t>
      </w:r>
      <w:r w:rsidR="000A6589" w:rsidRPr="004C33E2">
        <w:rPr>
          <w:color w:val="000000"/>
        </w:rPr>
        <w:t>e</w:t>
      </w:r>
      <w:r w:rsidR="00B37AA5" w:rsidRPr="004C33E2">
        <w:rPr>
          <w:color w:val="000000"/>
        </w:rPr>
        <w:t>dificación</w:t>
      </w:r>
      <w:r w:rsidR="00473B28" w:rsidRPr="004C33E2">
        <w:rPr>
          <w:color w:val="000000"/>
        </w:rPr>
        <w:t xml:space="preserve"> que</w:t>
      </w:r>
      <w:r w:rsidR="004C2939" w:rsidRPr="004C33E2">
        <w:rPr>
          <w:color w:val="000000"/>
        </w:rPr>
        <w:t xml:space="preserve"> </w:t>
      </w:r>
      <w:r w:rsidR="00F7386D" w:rsidRPr="004C33E2">
        <w:rPr>
          <w:color w:val="000000"/>
        </w:rPr>
        <w:t>participaron con</w:t>
      </w:r>
      <w:r w:rsidR="004C2939" w:rsidRPr="004C33E2">
        <w:rPr>
          <w:color w:val="000000"/>
        </w:rPr>
        <w:t xml:space="preserve"> el </w:t>
      </w:r>
      <w:r w:rsidR="00B37AA5" w:rsidRPr="004C33E2">
        <w:rPr>
          <w:color w:val="000000"/>
        </w:rPr>
        <w:t>6</w:t>
      </w:r>
      <w:r w:rsidR="00C63463">
        <w:rPr>
          <w:color w:val="000000"/>
        </w:rPr>
        <w:t>9.1</w:t>
      </w:r>
      <w:r w:rsidR="001812DD" w:rsidRPr="004C33E2">
        <w:rPr>
          <w:color w:val="000000"/>
        </w:rPr>
        <w:t>%,</w:t>
      </w:r>
      <w:r w:rsidR="004C2939" w:rsidRPr="004C33E2">
        <w:rPr>
          <w:color w:val="000000"/>
        </w:rPr>
        <w:t xml:space="preserve"> </w:t>
      </w:r>
      <w:r w:rsidR="001812DD" w:rsidRPr="004C33E2">
        <w:rPr>
          <w:color w:val="000000"/>
        </w:rPr>
        <w:t>destacando</w:t>
      </w:r>
      <w:r w:rsidR="00483975" w:rsidRPr="004C33E2">
        <w:rPr>
          <w:color w:val="000000"/>
        </w:rPr>
        <w:t xml:space="preserve"> </w:t>
      </w:r>
      <w:r w:rsidR="00B37AA5" w:rsidRPr="004C33E2">
        <w:rPr>
          <w:color w:val="000000"/>
        </w:rPr>
        <w:t>la autoproducción de los hogares</w:t>
      </w:r>
      <w:r w:rsidR="008E0E77" w:rsidRPr="004C33E2">
        <w:rPr>
          <w:color w:val="000000"/>
        </w:rPr>
        <w:t xml:space="preserve"> y</w:t>
      </w:r>
      <w:r w:rsidR="00B37AA5" w:rsidRPr="004C33E2">
        <w:rPr>
          <w:color w:val="000000"/>
        </w:rPr>
        <w:t xml:space="preserve"> la</w:t>
      </w:r>
      <w:r w:rsidR="00FF5BBC" w:rsidRPr="004C33E2">
        <w:rPr>
          <w:color w:val="000000"/>
        </w:rPr>
        <w:t xml:space="preserve"> </w:t>
      </w:r>
      <w:r w:rsidR="004C2939" w:rsidRPr="004C33E2">
        <w:rPr>
          <w:color w:val="000000"/>
        </w:rPr>
        <w:t xml:space="preserve">producción de unidades económicas. </w:t>
      </w:r>
      <w:r w:rsidR="00892541" w:rsidRPr="004C33E2">
        <w:rPr>
          <w:color w:val="000000"/>
        </w:rPr>
        <w:t xml:space="preserve">Por su parte, en el ámbito relacionado con el uso </w:t>
      </w:r>
      <w:r w:rsidR="00F7386D" w:rsidRPr="004C33E2">
        <w:rPr>
          <w:color w:val="000000"/>
        </w:rPr>
        <w:t xml:space="preserve">de la vivienda se generó el </w:t>
      </w:r>
      <w:r w:rsidR="00DA3B14" w:rsidRPr="004C33E2">
        <w:rPr>
          <w:color w:val="000000"/>
        </w:rPr>
        <w:t>2</w:t>
      </w:r>
      <w:r w:rsidR="0052343C">
        <w:rPr>
          <w:color w:val="000000"/>
        </w:rPr>
        <w:t>4.8</w:t>
      </w:r>
      <w:r w:rsidR="00892541" w:rsidRPr="004C33E2">
        <w:rPr>
          <w:color w:val="000000"/>
        </w:rPr>
        <w:t xml:space="preserve">% de dicho PIB, esencialmente derivado del alquiler efectivo. La adquisición de vivienda </w:t>
      </w:r>
      <w:r w:rsidR="00F7386D" w:rsidRPr="004C33E2">
        <w:rPr>
          <w:color w:val="000000"/>
        </w:rPr>
        <w:t>aportó</w:t>
      </w:r>
      <w:r w:rsidR="00F960F1" w:rsidRPr="004C33E2">
        <w:rPr>
          <w:color w:val="000000"/>
        </w:rPr>
        <w:t xml:space="preserve"> el </w:t>
      </w:r>
      <w:r w:rsidR="00A86B8F">
        <w:rPr>
          <w:color w:val="000000"/>
        </w:rPr>
        <w:t>5.</w:t>
      </w:r>
      <w:r w:rsidR="0052343C">
        <w:rPr>
          <w:color w:val="000000"/>
        </w:rPr>
        <w:t>6</w:t>
      </w:r>
      <w:r w:rsidR="00A86B8F">
        <w:rPr>
          <w:color w:val="000000"/>
        </w:rPr>
        <w:t>%</w:t>
      </w:r>
      <w:r w:rsidR="00892541" w:rsidRPr="004C33E2">
        <w:rPr>
          <w:color w:val="000000"/>
        </w:rPr>
        <w:t xml:space="preserve"> del producto de </w:t>
      </w:r>
      <w:r w:rsidR="00A61DCA">
        <w:rPr>
          <w:color w:val="000000"/>
        </w:rPr>
        <w:t>este sector</w:t>
      </w:r>
      <w:r w:rsidR="00892541" w:rsidRPr="004C33E2">
        <w:rPr>
          <w:color w:val="000000"/>
        </w:rPr>
        <w:t xml:space="preserve"> y se concentró en actividades de financiamiento. Por último, las actividades de regulación y fomento reportaro</w:t>
      </w:r>
      <w:r w:rsidR="0052343C">
        <w:rPr>
          <w:color w:val="000000"/>
        </w:rPr>
        <w:t>n el 0.5</w:t>
      </w:r>
      <w:r w:rsidR="001812DD" w:rsidRPr="004C33E2">
        <w:rPr>
          <w:color w:val="000000"/>
        </w:rPr>
        <w:t>% restante</w:t>
      </w:r>
      <w:r w:rsidR="00892541" w:rsidRPr="004C33E2">
        <w:rPr>
          <w:color w:val="000000"/>
        </w:rPr>
        <w:t>,</w:t>
      </w:r>
      <w:r w:rsidR="00892541">
        <w:rPr>
          <w:color w:val="000000"/>
        </w:rPr>
        <w:t xml:space="preserve"> básicamente </w:t>
      </w:r>
      <w:r w:rsidR="00A61DCA">
        <w:rPr>
          <w:color w:val="000000"/>
        </w:rPr>
        <w:t xml:space="preserve">como </w:t>
      </w:r>
      <w:r w:rsidR="00892541">
        <w:rPr>
          <w:color w:val="000000"/>
        </w:rPr>
        <w:t>resultado de actividades vinculadas con la regulación, promoción y fomento</w:t>
      </w:r>
      <w:r w:rsidR="00A86B8F" w:rsidRPr="00852004">
        <w:rPr>
          <w:rStyle w:val="Refdenotaalpie"/>
          <w:b w:val="0"/>
          <w:color w:val="000000"/>
          <w:sz w:val="20"/>
        </w:rPr>
        <w:footnoteReference w:id="10"/>
      </w:r>
      <w:r w:rsidR="0052343C">
        <w:rPr>
          <w:color w:val="000000"/>
        </w:rPr>
        <w:t>.</w:t>
      </w:r>
    </w:p>
    <w:p w14:paraId="050D8ABA" w14:textId="77777777" w:rsidR="00200670" w:rsidRPr="00034996" w:rsidRDefault="009E0462" w:rsidP="003A0365">
      <w:pPr>
        <w:pStyle w:val="parrafo1"/>
        <w:tabs>
          <w:tab w:val="left" w:pos="7655"/>
        </w:tabs>
        <w:spacing w:before="0"/>
        <w:ind w:left="0" w:right="51"/>
        <w:jc w:val="center"/>
        <w:rPr>
          <w:sz w:val="20"/>
        </w:rPr>
      </w:pPr>
      <w:r>
        <w:rPr>
          <w:sz w:val="20"/>
        </w:rPr>
        <w:t>Gráfica 2</w:t>
      </w:r>
    </w:p>
    <w:p w14:paraId="738FA4A2" w14:textId="77777777" w:rsidR="00200670" w:rsidRPr="00DA3B14" w:rsidRDefault="00200670" w:rsidP="00EE1832">
      <w:pPr>
        <w:pStyle w:val="Textoindependiente"/>
        <w:ind w:right="49"/>
        <w:jc w:val="center"/>
        <w:rPr>
          <w:b/>
          <w:smallCaps/>
          <w:sz w:val="20"/>
          <w:szCs w:val="20"/>
          <w:lang w:val="es-MX"/>
        </w:rPr>
      </w:pPr>
      <w:r w:rsidRPr="00034996">
        <w:rPr>
          <w:b/>
          <w:smallCaps/>
          <w:sz w:val="22"/>
          <w:szCs w:val="22"/>
        </w:rPr>
        <w:t>PIB de</w:t>
      </w:r>
      <w:r w:rsidR="00476B58">
        <w:rPr>
          <w:b/>
          <w:smallCaps/>
          <w:sz w:val="22"/>
          <w:szCs w:val="22"/>
          <w:lang w:val="es-MX"/>
        </w:rPr>
        <w:t xml:space="preserve">l sector de la </w:t>
      </w:r>
      <w:r w:rsidR="00BC0317">
        <w:rPr>
          <w:b/>
          <w:smallCaps/>
          <w:sz w:val="22"/>
          <w:szCs w:val="22"/>
          <w:lang w:val="es-MX"/>
        </w:rPr>
        <w:t>vivienda</w:t>
      </w:r>
      <w:r w:rsidR="00476B58">
        <w:rPr>
          <w:b/>
          <w:smallCaps/>
          <w:sz w:val="22"/>
          <w:szCs w:val="22"/>
          <w:lang w:val="es-MX"/>
        </w:rPr>
        <w:t xml:space="preserve"> en México</w:t>
      </w:r>
      <w:r w:rsidR="0024325B">
        <w:rPr>
          <w:b/>
          <w:smallCaps/>
          <w:sz w:val="22"/>
          <w:szCs w:val="22"/>
          <w:lang w:val="es-MX"/>
        </w:rPr>
        <w:t xml:space="preserve"> </w:t>
      </w:r>
      <w:r w:rsidR="009E0462">
        <w:rPr>
          <w:b/>
          <w:smallCaps/>
          <w:sz w:val="22"/>
          <w:szCs w:val="22"/>
        </w:rPr>
        <w:t>seg</w:t>
      </w:r>
      <w:r w:rsidR="009E0462">
        <w:rPr>
          <w:b/>
          <w:smallCaps/>
          <w:sz w:val="22"/>
          <w:szCs w:val="22"/>
          <w:lang w:val="es-MX"/>
        </w:rPr>
        <w:t>ún su</w:t>
      </w:r>
      <w:r w:rsidR="00D57AFD" w:rsidRPr="00FF5BBC">
        <w:rPr>
          <w:b/>
          <w:smallCaps/>
          <w:sz w:val="22"/>
          <w:szCs w:val="22"/>
          <w:lang w:val="es-MX"/>
        </w:rPr>
        <w:t xml:space="preserve"> </w:t>
      </w:r>
      <w:r w:rsidR="009E0462">
        <w:rPr>
          <w:b/>
          <w:smallCaps/>
          <w:sz w:val="22"/>
          <w:szCs w:val="22"/>
          <w:lang w:val="es-MX"/>
        </w:rPr>
        <w:t>clasificación funcional</w:t>
      </w:r>
      <w:r w:rsidR="00DC618D">
        <w:rPr>
          <w:b/>
          <w:smallCaps/>
          <w:sz w:val="22"/>
          <w:szCs w:val="22"/>
          <w:lang w:val="es-MX"/>
        </w:rPr>
        <w:t>*</w:t>
      </w:r>
      <w:r>
        <w:rPr>
          <w:b/>
          <w:smallCaps/>
          <w:sz w:val="22"/>
          <w:szCs w:val="22"/>
        </w:rPr>
        <w:t xml:space="preserve">, </w:t>
      </w:r>
      <w:r w:rsidR="00F7386D">
        <w:rPr>
          <w:b/>
          <w:smallCaps/>
          <w:sz w:val="20"/>
          <w:szCs w:val="20"/>
        </w:rPr>
        <w:t>201</w:t>
      </w:r>
      <w:r w:rsidR="00852004">
        <w:rPr>
          <w:b/>
          <w:smallCaps/>
          <w:sz w:val="20"/>
          <w:szCs w:val="20"/>
          <w:lang w:val="es-MX"/>
        </w:rPr>
        <w:t>8</w:t>
      </w:r>
    </w:p>
    <w:p w14:paraId="68ABDB5A" w14:textId="77777777" w:rsidR="00200670" w:rsidRPr="00C307C8" w:rsidRDefault="00C307C8" w:rsidP="00EE1832">
      <w:pPr>
        <w:pStyle w:val="Textoindependiente"/>
        <w:ind w:right="49"/>
        <w:jc w:val="center"/>
        <w:rPr>
          <w:sz w:val="18"/>
          <w:szCs w:val="18"/>
          <w:lang w:val="es-MX"/>
        </w:rPr>
      </w:pPr>
      <w:r>
        <w:rPr>
          <w:sz w:val="18"/>
          <w:szCs w:val="18"/>
          <w:lang w:val="es-MX"/>
        </w:rPr>
        <w:t>(</w:t>
      </w:r>
      <w:r w:rsidR="006E7295">
        <w:rPr>
          <w:sz w:val="18"/>
          <w:szCs w:val="18"/>
          <w:lang w:val="es-MX"/>
        </w:rPr>
        <w:t>Estructura porcentual de valores a precios básicos</w:t>
      </w:r>
      <w:r>
        <w:rPr>
          <w:sz w:val="18"/>
          <w:szCs w:val="18"/>
          <w:lang w:val="es-MX"/>
        </w:rPr>
        <w:t>)</w:t>
      </w:r>
    </w:p>
    <w:p w14:paraId="240AF951" w14:textId="77777777" w:rsidR="00200670" w:rsidRDefault="00C87A5E" w:rsidP="00C87A5E">
      <w:pPr>
        <w:pStyle w:val="parrafo1"/>
        <w:spacing w:before="0"/>
        <w:ind w:left="-284" w:right="49"/>
        <w:jc w:val="center"/>
      </w:pPr>
      <w:r w:rsidRPr="00C87A5E">
        <w:rPr>
          <w:noProof/>
          <w:lang w:val="es-MX" w:eastAsia="es-MX"/>
        </w:rPr>
        <w:drawing>
          <wp:inline distT="0" distB="0" distL="0" distR="0" wp14:anchorId="28BA6D93" wp14:editId="130A72D4">
            <wp:extent cx="5838678" cy="36000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678" cy="3600000"/>
                    </a:xfrm>
                    <a:prstGeom prst="rect">
                      <a:avLst/>
                    </a:prstGeom>
                    <a:noFill/>
                    <a:ln>
                      <a:noFill/>
                    </a:ln>
                  </pic:spPr>
                </pic:pic>
              </a:graphicData>
            </a:graphic>
          </wp:inline>
        </w:drawing>
      </w:r>
    </w:p>
    <w:p w14:paraId="540B684C" w14:textId="77777777" w:rsidR="00644E18" w:rsidRPr="00644E18" w:rsidRDefault="00DC618D" w:rsidP="00C87A5E">
      <w:pPr>
        <w:pStyle w:val="Textoindependiente"/>
        <w:ind w:left="-142" w:right="-234" w:hanging="142"/>
        <w:rPr>
          <w:sz w:val="16"/>
          <w:szCs w:val="16"/>
          <w:lang w:val="es-MX"/>
        </w:rPr>
      </w:pPr>
      <w:r>
        <w:rPr>
          <w:sz w:val="16"/>
          <w:szCs w:val="16"/>
          <w:lang w:val="es-MX"/>
        </w:rPr>
        <w:t>*</w:t>
      </w:r>
      <w:r w:rsidR="00F960F1">
        <w:rPr>
          <w:sz w:val="16"/>
          <w:szCs w:val="16"/>
          <w:lang w:val="es-MX"/>
        </w:rPr>
        <w:t xml:space="preserve"> </w:t>
      </w:r>
      <w:r w:rsidR="00041793" w:rsidRPr="00041793">
        <w:rPr>
          <w:sz w:val="16"/>
          <w:szCs w:val="16"/>
          <w:lang w:val="es-MX"/>
        </w:rPr>
        <w:t>La clasificación funcional de las actividades económicas integra las recomendaciones realizadas por el Sistema de Cuentas Nacionales (SCN) en su versión 2008 y los acuerdos alcanzados por el grupo técnico de trabajo de vivienda.</w:t>
      </w:r>
    </w:p>
    <w:p w14:paraId="54AD1D93" w14:textId="77777777" w:rsidR="005E5D3D" w:rsidRDefault="005E5D3D" w:rsidP="00C87A5E">
      <w:pPr>
        <w:pStyle w:val="Textoindependiente"/>
        <w:ind w:left="-142" w:right="-234" w:hanging="142"/>
        <w:rPr>
          <w:sz w:val="16"/>
          <w:szCs w:val="16"/>
          <w:lang w:val="es-MX"/>
        </w:rPr>
      </w:pPr>
      <w:r w:rsidRPr="008E1C81">
        <w:rPr>
          <w:sz w:val="18"/>
          <w:szCs w:val="16"/>
          <w:vertAlign w:val="superscript"/>
          <w:lang w:val="es-MX"/>
        </w:rPr>
        <w:t>1/</w:t>
      </w:r>
      <w:r>
        <w:rPr>
          <w:sz w:val="16"/>
          <w:szCs w:val="16"/>
          <w:lang w:val="es-MX"/>
        </w:rPr>
        <w:t xml:space="preserve"> Este rubro integra actividades de preparación de terreno, planeación y diseño, trabajos especializados y la supervisión e inspección.</w:t>
      </w:r>
    </w:p>
    <w:p w14:paraId="105474CF" w14:textId="77777777" w:rsidR="006876FE" w:rsidRDefault="005E5D3D" w:rsidP="00C87A5E">
      <w:pPr>
        <w:pStyle w:val="Textoindependiente"/>
        <w:ind w:left="-142" w:right="-234" w:hanging="142"/>
        <w:rPr>
          <w:sz w:val="16"/>
          <w:szCs w:val="16"/>
          <w:lang w:val="es-MX"/>
        </w:rPr>
      </w:pPr>
      <w:r w:rsidRPr="008E1C81">
        <w:rPr>
          <w:sz w:val="18"/>
          <w:szCs w:val="16"/>
          <w:vertAlign w:val="superscript"/>
          <w:lang w:val="es-MX"/>
        </w:rPr>
        <w:t>2/</w:t>
      </w:r>
      <w:r>
        <w:rPr>
          <w:sz w:val="16"/>
          <w:szCs w:val="16"/>
          <w:lang w:val="es-MX"/>
        </w:rPr>
        <w:t xml:space="preserve"> Este rubro integra actividades como seguros, diseño y decoración de interiores y viviendas colectivas seleccionadas.</w:t>
      </w:r>
    </w:p>
    <w:p w14:paraId="1311EBF7" w14:textId="77777777" w:rsidR="00C87A5E" w:rsidRDefault="00C87A5E" w:rsidP="00C87A5E">
      <w:pPr>
        <w:pStyle w:val="Textoindependiente"/>
        <w:ind w:left="-142" w:right="-234" w:hanging="142"/>
        <w:rPr>
          <w:sz w:val="16"/>
          <w:szCs w:val="16"/>
          <w:lang w:val="es-MX"/>
        </w:rPr>
      </w:pPr>
      <w:r>
        <w:rPr>
          <w:sz w:val="16"/>
          <w:szCs w:val="16"/>
          <w:lang w:val="es-MX"/>
        </w:rPr>
        <w:t>N.S. No significativo estadísticamente.</w:t>
      </w:r>
    </w:p>
    <w:p w14:paraId="31961023" w14:textId="77777777" w:rsidR="00552DB2" w:rsidRPr="00552DB2" w:rsidRDefault="00552DB2" w:rsidP="00C87A5E">
      <w:pPr>
        <w:pStyle w:val="Textoindependiente"/>
        <w:ind w:left="-142" w:right="-234" w:hanging="142"/>
        <w:rPr>
          <w:sz w:val="16"/>
          <w:szCs w:val="16"/>
          <w:lang w:val="es-MX"/>
        </w:rPr>
      </w:pPr>
      <w:r>
        <w:rPr>
          <w:sz w:val="16"/>
          <w:szCs w:val="16"/>
          <w:lang w:val="es-MX"/>
        </w:rPr>
        <w:t xml:space="preserve">NOTA: La suma de los parciales puede no </w:t>
      </w:r>
      <w:r w:rsidR="00E839FC">
        <w:rPr>
          <w:sz w:val="16"/>
          <w:szCs w:val="16"/>
          <w:lang w:val="es-MX"/>
        </w:rPr>
        <w:t>coincidir con el total debido a</w:t>
      </w:r>
      <w:r>
        <w:rPr>
          <w:sz w:val="16"/>
          <w:szCs w:val="16"/>
          <w:lang w:val="es-MX"/>
        </w:rPr>
        <w:t>l redondeo.</w:t>
      </w:r>
    </w:p>
    <w:p w14:paraId="64F5EB66" w14:textId="77777777" w:rsidR="00200670" w:rsidRPr="001851E7" w:rsidRDefault="00200670" w:rsidP="00C87A5E">
      <w:pPr>
        <w:pStyle w:val="Textoindependiente"/>
        <w:ind w:left="-284" w:right="-234"/>
        <w:rPr>
          <w:sz w:val="16"/>
          <w:szCs w:val="16"/>
        </w:rPr>
      </w:pPr>
      <w:r w:rsidRPr="001851E7">
        <w:rPr>
          <w:sz w:val="16"/>
          <w:szCs w:val="16"/>
        </w:rPr>
        <w:t>Fuent</w:t>
      </w:r>
      <w:r>
        <w:rPr>
          <w:sz w:val="16"/>
          <w:szCs w:val="16"/>
        </w:rPr>
        <w:t>e: INEGI.</w:t>
      </w:r>
    </w:p>
    <w:p w14:paraId="49549C58" w14:textId="77777777" w:rsidR="00FA285D" w:rsidRPr="008C4DD8" w:rsidRDefault="00932FBF" w:rsidP="00250178">
      <w:pPr>
        <w:pStyle w:val="parrafo1"/>
        <w:keepNext/>
        <w:spacing w:before="360"/>
        <w:ind w:left="0" w:right="17"/>
        <w:jc w:val="left"/>
        <w:rPr>
          <w:b/>
          <w:smallCaps/>
        </w:rPr>
      </w:pPr>
      <w:r>
        <w:rPr>
          <w:b/>
          <w:i/>
          <w:smallCaps/>
        </w:rPr>
        <w:lastRenderedPageBreak/>
        <w:t xml:space="preserve">Oferta y Utilización de los bienes y servicios </w:t>
      </w:r>
      <w:r w:rsidR="007652E4">
        <w:rPr>
          <w:b/>
          <w:i/>
          <w:smallCaps/>
        </w:rPr>
        <w:t>de vi</w:t>
      </w:r>
      <w:r w:rsidR="004B5B16">
        <w:rPr>
          <w:b/>
          <w:i/>
          <w:smallCaps/>
        </w:rPr>
        <w:t>vienda</w:t>
      </w:r>
    </w:p>
    <w:p w14:paraId="4DFEB236" w14:textId="77777777" w:rsidR="007C5579" w:rsidRDefault="00F960F1" w:rsidP="002624B9">
      <w:pPr>
        <w:pStyle w:val="parrafo1"/>
        <w:spacing w:before="240"/>
        <w:ind w:left="0" w:right="51"/>
      </w:pPr>
      <w:r>
        <w:rPr>
          <w:color w:val="000000"/>
        </w:rPr>
        <w:t>Durante 201</w:t>
      </w:r>
      <w:r w:rsidR="0052343C">
        <w:rPr>
          <w:color w:val="000000"/>
        </w:rPr>
        <w:t>8</w:t>
      </w:r>
      <w:r w:rsidR="00914E3B" w:rsidRPr="00992894">
        <w:rPr>
          <w:color w:val="000000"/>
        </w:rPr>
        <w:t xml:space="preserve">, la oferta total de bienes y servicios </w:t>
      </w:r>
      <w:r w:rsidR="009E238F">
        <w:rPr>
          <w:color w:val="000000"/>
        </w:rPr>
        <w:t xml:space="preserve">asociados a la </w:t>
      </w:r>
      <w:r w:rsidR="00483975">
        <w:rPr>
          <w:color w:val="000000"/>
        </w:rPr>
        <w:t>vivienda</w:t>
      </w:r>
      <w:r w:rsidR="00914E3B" w:rsidRPr="00992894">
        <w:rPr>
          <w:color w:val="000000"/>
        </w:rPr>
        <w:t xml:space="preserve"> </w:t>
      </w:r>
      <w:r>
        <w:rPr>
          <w:color w:val="000000"/>
        </w:rPr>
        <w:t>registró</w:t>
      </w:r>
      <w:r w:rsidR="00914E3B" w:rsidRPr="00992894">
        <w:rPr>
          <w:color w:val="000000"/>
        </w:rPr>
        <w:t xml:space="preserve"> un valor de </w:t>
      </w:r>
      <w:r w:rsidR="004F6AF1" w:rsidRPr="00C21DF7">
        <w:rPr>
          <w:color w:val="000000"/>
        </w:rPr>
        <w:t>1</w:t>
      </w:r>
      <w:r w:rsidR="00481CDC">
        <w:rPr>
          <w:color w:val="000000"/>
        </w:rPr>
        <w:t>,</w:t>
      </w:r>
      <w:r w:rsidR="0052343C">
        <w:rPr>
          <w:color w:val="000000"/>
        </w:rPr>
        <w:t>940</w:t>
      </w:r>
      <w:r w:rsidR="00481CDC">
        <w:rPr>
          <w:color w:val="000000"/>
        </w:rPr>
        <w:t>,</w:t>
      </w:r>
      <w:r w:rsidR="0052343C">
        <w:rPr>
          <w:color w:val="000000"/>
        </w:rPr>
        <w:t>893</w:t>
      </w:r>
      <w:r w:rsidR="001A6AB2" w:rsidRPr="00C21DF7">
        <w:rPr>
          <w:color w:val="000000"/>
        </w:rPr>
        <w:t xml:space="preserve"> millones de pesos</w:t>
      </w:r>
      <w:r w:rsidR="00E0689B">
        <w:rPr>
          <w:color w:val="000000"/>
        </w:rPr>
        <w:t>, la</w:t>
      </w:r>
      <w:r w:rsidR="00914E3B" w:rsidRPr="00C21DF7">
        <w:rPr>
          <w:color w:val="000000"/>
        </w:rPr>
        <w:t xml:space="preserve"> cual se </w:t>
      </w:r>
      <w:r w:rsidR="001A6AB2" w:rsidRPr="00C21DF7">
        <w:rPr>
          <w:color w:val="000000"/>
        </w:rPr>
        <w:t>constituyó</w:t>
      </w:r>
      <w:r w:rsidR="00955EEB" w:rsidRPr="00C21DF7">
        <w:rPr>
          <w:color w:val="000000"/>
        </w:rPr>
        <w:t xml:space="preserve"> </w:t>
      </w:r>
      <w:r w:rsidR="00C528E5" w:rsidRPr="00C21DF7">
        <w:rPr>
          <w:color w:val="000000"/>
        </w:rPr>
        <w:t xml:space="preserve">casi </w:t>
      </w:r>
      <w:r w:rsidR="00955EEB" w:rsidRPr="00C21DF7">
        <w:rPr>
          <w:color w:val="000000"/>
        </w:rPr>
        <w:t>en</w:t>
      </w:r>
      <w:r w:rsidR="00483975" w:rsidRPr="00C21DF7">
        <w:rPr>
          <w:color w:val="000000"/>
        </w:rPr>
        <w:t xml:space="preserve"> su totalidad </w:t>
      </w:r>
      <w:r w:rsidR="004C33E2" w:rsidRPr="00C21DF7">
        <w:rPr>
          <w:color w:val="000000"/>
        </w:rPr>
        <w:t>por</w:t>
      </w:r>
      <w:r w:rsidR="00DA3B14" w:rsidRPr="00C21DF7">
        <w:rPr>
          <w:color w:val="000000"/>
        </w:rPr>
        <w:t xml:space="preserve"> la</w:t>
      </w:r>
      <w:r w:rsidR="00914E3B" w:rsidRPr="00C21DF7">
        <w:rPr>
          <w:color w:val="000000"/>
        </w:rPr>
        <w:t xml:space="preserve"> producción nacional. Por el lado de su utilización, los bienes y servicios </w:t>
      </w:r>
      <w:r w:rsidR="00483975" w:rsidRPr="00C21DF7">
        <w:rPr>
          <w:color w:val="000000"/>
        </w:rPr>
        <w:t>de vivienda</w:t>
      </w:r>
      <w:r w:rsidR="00914E3B" w:rsidRPr="00C21DF7">
        <w:rPr>
          <w:color w:val="000000"/>
        </w:rPr>
        <w:t xml:space="preserve"> fueron </w:t>
      </w:r>
      <w:r w:rsidR="00C528E5" w:rsidRPr="00C21DF7">
        <w:rPr>
          <w:color w:val="000000"/>
        </w:rPr>
        <w:t>adquiridos</w:t>
      </w:r>
      <w:r w:rsidR="00914E3B" w:rsidRPr="00C21DF7">
        <w:rPr>
          <w:color w:val="000000"/>
        </w:rPr>
        <w:t xml:space="preserve"> </w:t>
      </w:r>
      <w:r w:rsidR="00C528E5" w:rsidRPr="00C21DF7">
        <w:rPr>
          <w:color w:val="000000"/>
        </w:rPr>
        <w:t xml:space="preserve">principalmente como </w:t>
      </w:r>
      <w:r w:rsidR="00FD2294" w:rsidRPr="00C21DF7">
        <w:rPr>
          <w:color w:val="000000"/>
        </w:rPr>
        <w:t xml:space="preserve">inversión fija </w:t>
      </w:r>
      <w:r w:rsidR="000751C4" w:rsidRPr="00C21DF7">
        <w:rPr>
          <w:color w:val="000000"/>
        </w:rPr>
        <w:t>(</w:t>
      </w:r>
      <w:r w:rsidR="00FD2294" w:rsidRPr="00C21DF7">
        <w:rPr>
          <w:color w:val="000000"/>
        </w:rPr>
        <w:t>7</w:t>
      </w:r>
      <w:r w:rsidR="0052343C">
        <w:rPr>
          <w:color w:val="000000"/>
        </w:rPr>
        <w:t>3.2%</w:t>
      </w:r>
      <w:r w:rsidR="000751C4" w:rsidRPr="00C21DF7">
        <w:rPr>
          <w:color w:val="000000"/>
        </w:rPr>
        <w:t>)</w:t>
      </w:r>
      <w:r w:rsidR="00C528E5" w:rsidRPr="00C21DF7">
        <w:rPr>
          <w:color w:val="000000"/>
        </w:rPr>
        <w:t>,</w:t>
      </w:r>
      <w:r w:rsidR="00914E3B" w:rsidRPr="00C21DF7">
        <w:rPr>
          <w:color w:val="000000"/>
        </w:rPr>
        <w:t xml:space="preserve"> </w:t>
      </w:r>
      <w:r w:rsidR="005E3510" w:rsidRPr="00C21DF7">
        <w:rPr>
          <w:color w:val="000000"/>
        </w:rPr>
        <w:t xml:space="preserve">el </w:t>
      </w:r>
      <w:r w:rsidR="00FD2294" w:rsidRPr="00C21DF7">
        <w:rPr>
          <w:color w:val="000000"/>
        </w:rPr>
        <w:t>2</w:t>
      </w:r>
      <w:r w:rsidR="0052343C">
        <w:rPr>
          <w:color w:val="000000"/>
        </w:rPr>
        <w:t>4.4%</w:t>
      </w:r>
      <w:r w:rsidR="000751C4" w:rsidRPr="00C21DF7">
        <w:rPr>
          <w:color w:val="000000"/>
        </w:rPr>
        <w:t xml:space="preserve"> para</w:t>
      </w:r>
      <w:r w:rsidR="00517C7B" w:rsidRPr="00C21DF7">
        <w:rPr>
          <w:color w:val="000000"/>
        </w:rPr>
        <w:t xml:space="preserve"> </w:t>
      </w:r>
      <w:r w:rsidR="00FD2294" w:rsidRPr="00C21DF7">
        <w:rPr>
          <w:color w:val="000000"/>
        </w:rPr>
        <w:t>el</w:t>
      </w:r>
      <w:r w:rsidR="00C528E5" w:rsidRPr="00C21DF7">
        <w:rPr>
          <w:color w:val="000000"/>
        </w:rPr>
        <w:t xml:space="preserve"> </w:t>
      </w:r>
      <w:r w:rsidR="00FD2294" w:rsidRPr="00C21DF7">
        <w:rPr>
          <w:color w:val="000000"/>
        </w:rPr>
        <w:t>consumo final de los hogares</w:t>
      </w:r>
      <w:r w:rsidR="002D67A6" w:rsidRPr="00C21DF7">
        <w:rPr>
          <w:color w:val="000000"/>
        </w:rPr>
        <w:t>,</w:t>
      </w:r>
      <w:r w:rsidR="00FD2294" w:rsidRPr="00C21DF7">
        <w:rPr>
          <w:color w:val="000000"/>
        </w:rPr>
        <w:t xml:space="preserve"> </w:t>
      </w:r>
      <w:r w:rsidR="00C528E5" w:rsidRPr="00C21DF7">
        <w:rPr>
          <w:color w:val="000000"/>
        </w:rPr>
        <w:t xml:space="preserve">y </w:t>
      </w:r>
      <w:r w:rsidR="00914E3B" w:rsidRPr="00C21DF7">
        <w:rPr>
          <w:color w:val="000000"/>
        </w:rPr>
        <w:t xml:space="preserve">como demanda intermedia (bienes </w:t>
      </w:r>
      <w:r w:rsidR="001A6AB2" w:rsidRPr="00C21DF7">
        <w:rPr>
          <w:color w:val="000000"/>
        </w:rPr>
        <w:t xml:space="preserve">y servicios </w:t>
      </w:r>
      <w:r w:rsidR="00914E3B" w:rsidRPr="00C21DF7">
        <w:rPr>
          <w:color w:val="000000"/>
        </w:rPr>
        <w:t>necesarios para la producción</w:t>
      </w:r>
      <w:r w:rsidR="00AA4332" w:rsidRPr="00C21DF7">
        <w:rPr>
          <w:color w:val="000000"/>
        </w:rPr>
        <w:t xml:space="preserve"> de</w:t>
      </w:r>
      <w:r w:rsidR="00914E3B" w:rsidRPr="00C21DF7">
        <w:rPr>
          <w:color w:val="000000"/>
        </w:rPr>
        <w:t xml:space="preserve"> </w:t>
      </w:r>
      <w:r w:rsidR="001A6AB2" w:rsidRPr="00C21DF7">
        <w:rPr>
          <w:color w:val="000000"/>
        </w:rPr>
        <w:t>otros bienes y servici</w:t>
      </w:r>
      <w:r w:rsidR="00992894" w:rsidRPr="00C21DF7">
        <w:rPr>
          <w:color w:val="000000"/>
        </w:rPr>
        <w:t>os de consumo final)</w:t>
      </w:r>
      <w:r w:rsidR="00D66A46" w:rsidRPr="00C21DF7">
        <w:rPr>
          <w:color w:val="000000"/>
        </w:rPr>
        <w:t xml:space="preserve"> </w:t>
      </w:r>
      <w:r w:rsidR="009E238F" w:rsidRPr="00C21DF7">
        <w:rPr>
          <w:color w:val="000000"/>
        </w:rPr>
        <w:t>y</w:t>
      </w:r>
      <w:r w:rsidR="001A6AB2" w:rsidRPr="00C21DF7">
        <w:rPr>
          <w:color w:val="000000"/>
        </w:rPr>
        <w:t xml:space="preserve"> </w:t>
      </w:r>
      <w:r w:rsidR="00C528E5" w:rsidRPr="00C21DF7">
        <w:rPr>
          <w:color w:val="000000"/>
        </w:rPr>
        <w:t>consumo d</w:t>
      </w:r>
      <w:r w:rsidR="001A6AB2" w:rsidRPr="00C21DF7">
        <w:rPr>
          <w:color w:val="000000"/>
        </w:rPr>
        <w:t>el gobierno</w:t>
      </w:r>
      <w:r w:rsidR="005E3510" w:rsidRPr="00C21DF7">
        <w:rPr>
          <w:color w:val="000000"/>
        </w:rPr>
        <w:t xml:space="preserve"> el </w:t>
      </w:r>
      <w:r w:rsidR="00A0792D" w:rsidRPr="00C21DF7">
        <w:rPr>
          <w:color w:val="000000"/>
        </w:rPr>
        <w:t>2</w:t>
      </w:r>
      <w:r w:rsidR="005E3510" w:rsidRPr="00C21DF7">
        <w:rPr>
          <w:color w:val="000000"/>
        </w:rPr>
        <w:t>.</w:t>
      </w:r>
      <w:r w:rsidR="0052343C">
        <w:rPr>
          <w:color w:val="000000"/>
        </w:rPr>
        <w:t>2</w:t>
      </w:r>
      <w:r w:rsidR="00A0792D" w:rsidRPr="00C21DF7">
        <w:rPr>
          <w:color w:val="000000"/>
        </w:rPr>
        <w:t>% y 0.2</w:t>
      </w:r>
      <w:r w:rsidR="001976E1" w:rsidRPr="00C21DF7">
        <w:rPr>
          <w:color w:val="000000"/>
        </w:rPr>
        <w:t>%, respectivamente</w:t>
      </w:r>
      <w:r w:rsidR="001A6AB2" w:rsidRPr="00992894">
        <w:rPr>
          <w:color w:val="000000"/>
        </w:rPr>
        <w:t>.</w:t>
      </w:r>
    </w:p>
    <w:p w14:paraId="3F079E14" w14:textId="77777777" w:rsidR="00F645A9" w:rsidRPr="002E6898" w:rsidRDefault="002E6898" w:rsidP="00FB5A86">
      <w:pPr>
        <w:pStyle w:val="Textoindependiente"/>
        <w:spacing w:before="360"/>
        <w:jc w:val="center"/>
        <w:rPr>
          <w:sz w:val="20"/>
          <w:szCs w:val="20"/>
          <w:lang w:val="es-MX"/>
        </w:rPr>
      </w:pPr>
      <w:r>
        <w:rPr>
          <w:sz w:val="20"/>
          <w:szCs w:val="20"/>
          <w:lang w:val="es-MX"/>
        </w:rPr>
        <w:t>Cuadro</w:t>
      </w:r>
      <w:r w:rsidR="00F645A9" w:rsidRPr="00034996">
        <w:rPr>
          <w:sz w:val="20"/>
          <w:szCs w:val="20"/>
        </w:rPr>
        <w:t xml:space="preserve"> </w:t>
      </w:r>
      <w:r>
        <w:rPr>
          <w:sz w:val="20"/>
          <w:szCs w:val="20"/>
          <w:lang w:val="es-MX"/>
        </w:rPr>
        <w:t>1</w:t>
      </w:r>
    </w:p>
    <w:p w14:paraId="224844A7" w14:textId="77777777" w:rsidR="00F645A9" w:rsidRDefault="00341D18" w:rsidP="00F645A9">
      <w:pPr>
        <w:pStyle w:val="Textoindependiente"/>
        <w:jc w:val="center"/>
        <w:rPr>
          <w:b/>
          <w:smallCaps/>
          <w:sz w:val="22"/>
          <w:szCs w:val="22"/>
        </w:rPr>
      </w:pPr>
      <w:r>
        <w:rPr>
          <w:b/>
          <w:smallCaps/>
          <w:sz w:val="22"/>
          <w:szCs w:val="22"/>
          <w:lang w:val="es-MX"/>
        </w:rPr>
        <w:t xml:space="preserve">Oferta y Utilización de bienes y servicios </w:t>
      </w:r>
      <w:r w:rsidR="00A322F1">
        <w:rPr>
          <w:b/>
          <w:smallCaps/>
          <w:sz w:val="22"/>
          <w:szCs w:val="22"/>
          <w:lang w:val="es-MX"/>
        </w:rPr>
        <w:t>de la vivienda</w:t>
      </w:r>
      <w:r w:rsidR="0052343C">
        <w:rPr>
          <w:b/>
          <w:smallCaps/>
          <w:sz w:val="22"/>
          <w:szCs w:val="22"/>
          <w:lang w:val="es-MX"/>
        </w:rPr>
        <w:t xml:space="preserve"> </w:t>
      </w:r>
      <w:r w:rsidR="0052343C">
        <w:rPr>
          <w:b/>
          <w:smallCaps/>
          <w:sz w:val="22"/>
          <w:szCs w:val="22"/>
        </w:rPr>
        <w:t>por componente</w:t>
      </w:r>
    </w:p>
    <w:p w14:paraId="497E76E9" w14:textId="77777777" w:rsidR="000C2BF0" w:rsidRPr="00C307C8" w:rsidRDefault="000C2BF0" w:rsidP="000C2BF0">
      <w:pPr>
        <w:pStyle w:val="Textoindependiente"/>
        <w:jc w:val="center"/>
        <w:rPr>
          <w:sz w:val="18"/>
          <w:szCs w:val="18"/>
          <w:lang w:val="es-MX"/>
        </w:rPr>
      </w:pPr>
      <w:r>
        <w:rPr>
          <w:sz w:val="18"/>
          <w:szCs w:val="18"/>
          <w:lang w:val="es-MX"/>
        </w:rPr>
        <w:t>(</w:t>
      </w:r>
      <w:r w:rsidR="00D57AFD">
        <w:rPr>
          <w:sz w:val="18"/>
          <w:szCs w:val="18"/>
          <w:lang w:val="es-MX"/>
        </w:rPr>
        <w:t xml:space="preserve">Millones de pesos </w:t>
      </w:r>
      <w:r w:rsidR="00AA4332">
        <w:rPr>
          <w:sz w:val="18"/>
          <w:szCs w:val="18"/>
          <w:lang w:val="es-MX"/>
        </w:rPr>
        <w:t xml:space="preserve">corrientes </w:t>
      </w:r>
      <w:r w:rsidR="00D57AFD">
        <w:rPr>
          <w:sz w:val="18"/>
          <w:szCs w:val="18"/>
          <w:lang w:val="es-MX"/>
        </w:rPr>
        <w:t>y estructura</w:t>
      </w:r>
      <w:r>
        <w:rPr>
          <w:sz w:val="18"/>
          <w:szCs w:val="18"/>
        </w:rPr>
        <w:t xml:space="preserve"> </w:t>
      </w:r>
      <w:r w:rsidRPr="00034996">
        <w:rPr>
          <w:sz w:val="18"/>
          <w:szCs w:val="18"/>
        </w:rPr>
        <w:t>po</w:t>
      </w:r>
      <w:r>
        <w:rPr>
          <w:sz w:val="18"/>
          <w:szCs w:val="18"/>
        </w:rPr>
        <w:t>rcentual</w:t>
      </w:r>
      <w:r>
        <w:rPr>
          <w:sz w:val="18"/>
          <w:szCs w:val="18"/>
          <w:lang w:val="es-MX"/>
        </w:rPr>
        <w:t>)</w:t>
      </w:r>
    </w:p>
    <w:tbl>
      <w:tblPr>
        <w:tblW w:w="8647" w:type="dxa"/>
        <w:tblInd w:w="-5" w:type="dxa"/>
        <w:tblCellMar>
          <w:left w:w="70" w:type="dxa"/>
          <w:right w:w="70" w:type="dxa"/>
        </w:tblCellMar>
        <w:tblLook w:val="04A0" w:firstRow="1" w:lastRow="0" w:firstColumn="1" w:lastColumn="0" w:noHBand="0" w:noVBand="1"/>
      </w:tblPr>
      <w:tblGrid>
        <w:gridCol w:w="3544"/>
        <w:gridCol w:w="1384"/>
        <w:gridCol w:w="1168"/>
        <w:gridCol w:w="1417"/>
        <w:gridCol w:w="1163"/>
      </w:tblGrid>
      <w:tr w:rsidR="00BA0D15" w:rsidRPr="00BA0D15" w14:paraId="085EABEF" w14:textId="77777777" w:rsidTr="00481CDC">
        <w:trPr>
          <w:trHeight w:val="900"/>
        </w:trPr>
        <w:tc>
          <w:tcPr>
            <w:tcW w:w="3544" w:type="dxa"/>
            <w:tcBorders>
              <w:top w:val="single" w:sz="4" w:space="0" w:color="auto"/>
              <w:left w:val="single" w:sz="4" w:space="0" w:color="auto"/>
              <w:bottom w:val="nil"/>
              <w:right w:val="single" w:sz="4" w:space="0" w:color="auto"/>
            </w:tcBorders>
            <w:shd w:val="clear" w:color="auto" w:fill="833C0B" w:themeFill="accent2" w:themeFillShade="80"/>
            <w:noWrap/>
            <w:vAlign w:val="center"/>
            <w:hideMark/>
          </w:tcPr>
          <w:p w14:paraId="13A4A3FC" w14:textId="77777777" w:rsidR="00BA0D15" w:rsidRPr="0052343C" w:rsidRDefault="00BA0D15" w:rsidP="00BA0D15">
            <w:pPr>
              <w:spacing w:before="0"/>
              <w:jc w:val="center"/>
              <w:rPr>
                <w:rFonts w:ascii="Arial" w:hAnsi="Arial" w:cs="Arial"/>
                <w:b/>
                <w:color w:val="FFFFFF" w:themeColor="background1"/>
                <w:szCs w:val="22"/>
                <w:lang w:val="es-MX" w:eastAsia="es-MX"/>
              </w:rPr>
            </w:pPr>
            <w:r w:rsidRPr="0052343C">
              <w:rPr>
                <w:rFonts w:ascii="Arial" w:hAnsi="Arial" w:cs="Arial"/>
                <w:b/>
                <w:color w:val="FFFFFF" w:themeColor="background1"/>
                <w:szCs w:val="22"/>
                <w:lang w:val="es-MX" w:eastAsia="es-MX"/>
              </w:rPr>
              <w:t>Concepto</w:t>
            </w:r>
          </w:p>
        </w:tc>
        <w:tc>
          <w:tcPr>
            <w:tcW w:w="1384" w:type="dxa"/>
            <w:tcBorders>
              <w:top w:val="single" w:sz="4" w:space="0" w:color="auto"/>
              <w:left w:val="nil"/>
              <w:bottom w:val="nil"/>
              <w:right w:val="single" w:sz="4" w:space="0" w:color="auto"/>
            </w:tcBorders>
            <w:shd w:val="clear" w:color="auto" w:fill="833C0B" w:themeFill="accent2" w:themeFillShade="80"/>
            <w:noWrap/>
            <w:vAlign w:val="center"/>
            <w:hideMark/>
          </w:tcPr>
          <w:p w14:paraId="2E33BE22" w14:textId="77777777" w:rsidR="00BA0D15" w:rsidRPr="0052343C" w:rsidRDefault="00BA0D15" w:rsidP="0052343C">
            <w:pPr>
              <w:spacing w:before="0"/>
              <w:jc w:val="center"/>
              <w:rPr>
                <w:rFonts w:ascii="Arial" w:hAnsi="Arial" w:cs="Arial"/>
                <w:b/>
                <w:color w:val="FFFFFF" w:themeColor="background1"/>
                <w:szCs w:val="22"/>
                <w:lang w:val="es-MX" w:eastAsia="es-MX"/>
              </w:rPr>
            </w:pPr>
            <w:r w:rsidRPr="0052343C">
              <w:rPr>
                <w:rFonts w:ascii="Arial" w:hAnsi="Arial" w:cs="Arial"/>
                <w:b/>
                <w:color w:val="FFFFFF" w:themeColor="background1"/>
                <w:szCs w:val="22"/>
                <w:lang w:val="es-MX" w:eastAsia="es-MX"/>
              </w:rPr>
              <w:t>201</w:t>
            </w:r>
            <w:r w:rsidR="0052343C">
              <w:rPr>
                <w:rFonts w:ascii="Arial" w:hAnsi="Arial" w:cs="Arial"/>
                <w:b/>
                <w:color w:val="FFFFFF" w:themeColor="background1"/>
                <w:szCs w:val="22"/>
                <w:lang w:val="es-MX" w:eastAsia="es-MX"/>
              </w:rPr>
              <w:t>7</w:t>
            </w:r>
          </w:p>
        </w:tc>
        <w:tc>
          <w:tcPr>
            <w:tcW w:w="1168" w:type="dxa"/>
            <w:tcBorders>
              <w:top w:val="single" w:sz="4" w:space="0" w:color="auto"/>
              <w:left w:val="nil"/>
              <w:bottom w:val="nil"/>
              <w:right w:val="single" w:sz="4" w:space="0" w:color="auto"/>
            </w:tcBorders>
            <w:shd w:val="clear" w:color="auto" w:fill="833C0B" w:themeFill="accent2" w:themeFillShade="80"/>
            <w:vAlign w:val="center"/>
            <w:hideMark/>
          </w:tcPr>
          <w:p w14:paraId="1211F20D" w14:textId="77777777" w:rsidR="00BA0D15" w:rsidRPr="0052343C" w:rsidRDefault="00BA0D15" w:rsidP="00BA0D15">
            <w:pPr>
              <w:spacing w:before="0"/>
              <w:jc w:val="center"/>
              <w:rPr>
                <w:rFonts w:ascii="Arial" w:hAnsi="Arial" w:cs="Arial"/>
                <w:b/>
                <w:color w:val="FFFFFF" w:themeColor="background1"/>
                <w:szCs w:val="22"/>
                <w:lang w:val="es-MX" w:eastAsia="es-MX"/>
              </w:rPr>
            </w:pPr>
            <w:r w:rsidRPr="0052343C">
              <w:rPr>
                <w:rFonts w:ascii="Arial" w:hAnsi="Arial" w:cs="Arial"/>
                <w:b/>
                <w:color w:val="FFFFFF" w:themeColor="background1"/>
                <w:szCs w:val="22"/>
                <w:lang w:val="es-MX" w:eastAsia="es-MX"/>
              </w:rPr>
              <w:t>Estructura porcentual</w:t>
            </w:r>
          </w:p>
        </w:tc>
        <w:tc>
          <w:tcPr>
            <w:tcW w:w="1417" w:type="dxa"/>
            <w:tcBorders>
              <w:top w:val="single" w:sz="4" w:space="0" w:color="auto"/>
              <w:left w:val="nil"/>
              <w:bottom w:val="nil"/>
              <w:right w:val="single" w:sz="4" w:space="0" w:color="auto"/>
            </w:tcBorders>
            <w:shd w:val="clear" w:color="auto" w:fill="833C0B" w:themeFill="accent2" w:themeFillShade="80"/>
            <w:noWrap/>
            <w:vAlign w:val="center"/>
            <w:hideMark/>
          </w:tcPr>
          <w:p w14:paraId="557F8C14" w14:textId="77777777" w:rsidR="00BA0D15" w:rsidRPr="0052343C" w:rsidRDefault="0052343C" w:rsidP="00BA0D15">
            <w:pPr>
              <w:spacing w:before="0"/>
              <w:jc w:val="center"/>
              <w:rPr>
                <w:rFonts w:ascii="Arial" w:hAnsi="Arial" w:cs="Arial"/>
                <w:b/>
                <w:color w:val="FFFFFF" w:themeColor="background1"/>
                <w:szCs w:val="22"/>
                <w:lang w:val="es-MX" w:eastAsia="es-MX"/>
              </w:rPr>
            </w:pPr>
            <w:r>
              <w:rPr>
                <w:rFonts w:ascii="Arial" w:hAnsi="Arial" w:cs="Arial"/>
                <w:b/>
                <w:color w:val="FFFFFF" w:themeColor="background1"/>
                <w:szCs w:val="22"/>
                <w:lang w:val="es-MX" w:eastAsia="es-MX"/>
              </w:rPr>
              <w:t>2018</w:t>
            </w:r>
          </w:p>
        </w:tc>
        <w:tc>
          <w:tcPr>
            <w:tcW w:w="1134" w:type="dxa"/>
            <w:tcBorders>
              <w:top w:val="single" w:sz="4" w:space="0" w:color="auto"/>
              <w:left w:val="nil"/>
              <w:bottom w:val="nil"/>
              <w:right w:val="single" w:sz="4" w:space="0" w:color="auto"/>
            </w:tcBorders>
            <w:shd w:val="clear" w:color="auto" w:fill="833C0B" w:themeFill="accent2" w:themeFillShade="80"/>
            <w:vAlign w:val="center"/>
            <w:hideMark/>
          </w:tcPr>
          <w:p w14:paraId="192DAD51" w14:textId="77777777" w:rsidR="00BA0D15" w:rsidRPr="0052343C" w:rsidRDefault="00BA0D15" w:rsidP="00BA0D15">
            <w:pPr>
              <w:spacing w:before="0"/>
              <w:jc w:val="center"/>
              <w:rPr>
                <w:rFonts w:ascii="Arial" w:hAnsi="Arial" w:cs="Arial"/>
                <w:b/>
                <w:color w:val="FFFFFF" w:themeColor="background1"/>
                <w:szCs w:val="22"/>
                <w:lang w:val="es-MX" w:eastAsia="es-MX"/>
              </w:rPr>
            </w:pPr>
            <w:r w:rsidRPr="0052343C">
              <w:rPr>
                <w:rFonts w:ascii="Arial" w:hAnsi="Arial" w:cs="Arial"/>
                <w:b/>
                <w:color w:val="FFFFFF" w:themeColor="background1"/>
                <w:szCs w:val="22"/>
                <w:lang w:val="es-MX" w:eastAsia="es-MX"/>
              </w:rPr>
              <w:t>Estructura porcentual</w:t>
            </w:r>
          </w:p>
        </w:tc>
      </w:tr>
      <w:tr w:rsidR="00C528E5" w:rsidRPr="00BA0D15" w14:paraId="67B51D9E" w14:textId="77777777" w:rsidTr="00481CDC">
        <w:trPr>
          <w:trHeight w:val="333"/>
        </w:trPr>
        <w:tc>
          <w:tcPr>
            <w:tcW w:w="3544" w:type="dxa"/>
            <w:tcBorders>
              <w:top w:val="single" w:sz="4" w:space="0" w:color="auto"/>
              <w:left w:val="single" w:sz="4" w:space="0" w:color="auto"/>
              <w:bottom w:val="nil"/>
              <w:right w:val="single" w:sz="4" w:space="0" w:color="auto"/>
            </w:tcBorders>
            <w:shd w:val="clear" w:color="auto" w:fill="auto"/>
            <w:noWrap/>
            <w:vAlign w:val="center"/>
            <w:hideMark/>
          </w:tcPr>
          <w:p w14:paraId="32F6A972" w14:textId="77777777" w:rsidR="00C528E5" w:rsidRPr="00D57AFD" w:rsidRDefault="00C528E5" w:rsidP="00C528E5">
            <w:pPr>
              <w:spacing w:before="0"/>
              <w:rPr>
                <w:rFonts w:ascii="Arial" w:hAnsi="Arial" w:cs="Arial"/>
                <w:bCs/>
                <w:color w:val="000000"/>
                <w:sz w:val="18"/>
                <w:szCs w:val="22"/>
                <w:lang w:val="es-MX" w:eastAsia="es-MX"/>
              </w:rPr>
            </w:pPr>
            <w:r w:rsidRPr="00D57AFD">
              <w:rPr>
                <w:rFonts w:ascii="Arial" w:hAnsi="Arial" w:cs="Arial"/>
                <w:bCs/>
                <w:color w:val="000000"/>
                <w:sz w:val="18"/>
                <w:szCs w:val="22"/>
                <w:lang w:val="es-MX" w:eastAsia="es-MX"/>
              </w:rPr>
              <w:t>Oferta</w:t>
            </w:r>
          </w:p>
        </w:tc>
        <w:tc>
          <w:tcPr>
            <w:tcW w:w="1384" w:type="dxa"/>
            <w:tcBorders>
              <w:top w:val="single" w:sz="4" w:space="0" w:color="auto"/>
              <w:left w:val="nil"/>
              <w:bottom w:val="nil"/>
              <w:right w:val="nil"/>
            </w:tcBorders>
            <w:shd w:val="clear" w:color="auto" w:fill="auto"/>
            <w:noWrap/>
            <w:tcMar>
              <w:right w:w="227" w:type="dxa"/>
            </w:tcMar>
            <w:vAlign w:val="center"/>
          </w:tcPr>
          <w:p w14:paraId="3BCF480A" w14:textId="77777777" w:rsidR="00C528E5" w:rsidRPr="0061393B" w:rsidRDefault="004F6AF1"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 xml:space="preserve">1 </w:t>
            </w:r>
            <w:r w:rsidR="0052343C">
              <w:rPr>
                <w:rFonts w:ascii="Arial" w:hAnsi="Arial" w:cs="Arial"/>
                <w:bCs/>
                <w:color w:val="000000"/>
                <w:sz w:val="18"/>
                <w:szCs w:val="22"/>
                <w:lang w:val="es-MX" w:eastAsia="es-MX"/>
              </w:rPr>
              <w:t>804</w:t>
            </w:r>
            <w:r>
              <w:rPr>
                <w:rFonts w:ascii="Arial" w:hAnsi="Arial" w:cs="Arial"/>
                <w:bCs/>
                <w:color w:val="000000"/>
                <w:sz w:val="18"/>
                <w:szCs w:val="22"/>
                <w:lang w:val="es-MX" w:eastAsia="es-MX"/>
              </w:rPr>
              <w:t xml:space="preserve"> </w:t>
            </w:r>
            <w:r w:rsidR="0052343C">
              <w:rPr>
                <w:rFonts w:ascii="Arial" w:hAnsi="Arial" w:cs="Arial"/>
                <w:bCs/>
                <w:color w:val="000000"/>
                <w:sz w:val="18"/>
                <w:szCs w:val="22"/>
                <w:lang w:val="es-MX" w:eastAsia="es-MX"/>
              </w:rPr>
              <w:t>859</w:t>
            </w:r>
          </w:p>
        </w:tc>
        <w:tc>
          <w:tcPr>
            <w:tcW w:w="1168" w:type="dxa"/>
            <w:tcBorders>
              <w:top w:val="single" w:sz="4" w:space="0" w:color="auto"/>
              <w:left w:val="nil"/>
              <w:bottom w:val="nil"/>
              <w:right w:val="nil"/>
            </w:tcBorders>
            <w:shd w:val="clear" w:color="auto" w:fill="auto"/>
            <w:noWrap/>
            <w:vAlign w:val="center"/>
          </w:tcPr>
          <w:p w14:paraId="1A0B885E" w14:textId="77777777" w:rsidR="00C528E5" w:rsidRPr="0061393B" w:rsidRDefault="00517C7B"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100.0</w:t>
            </w:r>
          </w:p>
        </w:tc>
        <w:tc>
          <w:tcPr>
            <w:tcW w:w="1417" w:type="dxa"/>
            <w:tcBorders>
              <w:top w:val="single" w:sz="4" w:space="0" w:color="auto"/>
              <w:left w:val="nil"/>
              <w:bottom w:val="nil"/>
              <w:right w:val="nil"/>
            </w:tcBorders>
            <w:shd w:val="clear" w:color="auto" w:fill="auto"/>
            <w:noWrap/>
            <w:tcMar>
              <w:right w:w="227" w:type="dxa"/>
            </w:tcMar>
            <w:vAlign w:val="center"/>
          </w:tcPr>
          <w:p w14:paraId="477B44BB" w14:textId="77777777" w:rsidR="00C528E5" w:rsidRPr="0061393B" w:rsidRDefault="004F6AF1"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 xml:space="preserve">1 </w:t>
            </w:r>
            <w:r w:rsidR="0052343C">
              <w:rPr>
                <w:rFonts w:ascii="Arial" w:hAnsi="Arial" w:cs="Arial"/>
                <w:bCs/>
                <w:color w:val="000000"/>
                <w:sz w:val="18"/>
                <w:szCs w:val="22"/>
                <w:lang w:val="es-MX" w:eastAsia="es-MX"/>
              </w:rPr>
              <w:t>940</w:t>
            </w:r>
            <w:r>
              <w:rPr>
                <w:rFonts w:ascii="Arial" w:hAnsi="Arial" w:cs="Arial"/>
                <w:bCs/>
                <w:color w:val="000000"/>
                <w:sz w:val="18"/>
                <w:szCs w:val="22"/>
                <w:lang w:val="es-MX" w:eastAsia="es-MX"/>
              </w:rPr>
              <w:t xml:space="preserve"> </w:t>
            </w:r>
            <w:r w:rsidR="0052343C">
              <w:rPr>
                <w:rFonts w:ascii="Arial" w:hAnsi="Arial" w:cs="Arial"/>
                <w:bCs/>
                <w:color w:val="000000"/>
                <w:sz w:val="18"/>
                <w:szCs w:val="22"/>
                <w:lang w:val="es-MX" w:eastAsia="es-MX"/>
              </w:rPr>
              <w:t>893</w:t>
            </w:r>
          </w:p>
        </w:tc>
        <w:tc>
          <w:tcPr>
            <w:tcW w:w="1134" w:type="dxa"/>
            <w:tcBorders>
              <w:top w:val="single" w:sz="4" w:space="0" w:color="auto"/>
              <w:left w:val="nil"/>
              <w:bottom w:val="nil"/>
              <w:right w:val="single" w:sz="4" w:space="0" w:color="auto"/>
            </w:tcBorders>
            <w:shd w:val="clear" w:color="auto" w:fill="auto"/>
            <w:noWrap/>
            <w:vAlign w:val="center"/>
          </w:tcPr>
          <w:p w14:paraId="5F0897D1" w14:textId="77777777" w:rsidR="00C528E5" w:rsidRPr="0061393B" w:rsidRDefault="004F6AF1"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100.0</w:t>
            </w:r>
          </w:p>
        </w:tc>
      </w:tr>
      <w:tr w:rsidR="00C528E5" w:rsidRPr="00BA0D15" w14:paraId="398CE07F" w14:textId="77777777" w:rsidTr="00481CDC">
        <w:trPr>
          <w:trHeight w:val="300"/>
        </w:trPr>
        <w:tc>
          <w:tcPr>
            <w:tcW w:w="3544" w:type="dxa"/>
            <w:tcBorders>
              <w:top w:val="nil"/>
              <w:left w:val="single" w:sz="4" w:space="0" w:color="auto"/>
              <w:bottom w:val="nil"/>
              <w:right w:val="single" w:sz="4" w:space="0" w:color="auto"/>
            </w:tcBorders>
            <w:shd w:val="clear" w:color="auto" w:fill="auto"/>
            <w:noWrap/>
          </w:tcPr>
          <w:p w14:paraId="2A3E176F" w14:textId="77777777" w:rsidR="00C528E5" w:rsidRPr="00D57AFD" w:rsidRDefault="00C528E5" w:rsidP="00C528E5">
            <w:pPr>
              <w:spacing w:before="0"/>
              <w:rPr>
                <w:rFonts w:ascii="Arial" w:hAnsi="Arial" w:cs="Arial"/>
                <w:color w:val="000000"/>
                <w:sz w:val="18"/>
                <w:szCs w:val="22"/>
                <w:lang w:val="es-MX" w:eastAsia="es-MX"/>
              </w:rPr>
            </w:pPr>
            <w:r>
              <w:rPr>
                <w:rFonts w:ascii="Arial" w:hAnsi="Arial" w:cs="Arial"/>
                <w:color w:val="000000"/>
                <w:sz w:val="18"/>
                <w:szCs w:val="22"/>
                <w:lang w:val="es-MX" w:eastAsia="es-MX"/>
              </w:rPr>
              <w:t xml:space="preserve"> - Producción Nacional</w:t>
            </w:r>
          </w:p>
        </w:tc>
        <w:tc>
          <w:tcPr>
            <w:tcW w:w="1384" w:type="dxa"/>
            <w:tcBorders>
              <w:top w:val="nil"/>
              <w:left w:val="nil"/>
              <w:bottom w:val="nil"/>
              <w:right w:val="nil"/>
            </w:tcBorders>
            <w:shd w:val="clear" w:color="auto" w:fill="auto"/>
            <w:noWrap/>
            <w:tcMar>
              <w:right w:w="227" w:type="dxa"/>
            </w:tcMar>
            <w:vAlign w:val="center"/>
          </w:tcPr>
          <w:p w14:paraId="2B15B96B" w14:textId="77777777" w:rsidR="00C528E5" w:rsidRPr="0061393B" w:rsidRDefault="006F5D16" w:rsidP="0052343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 xml:space="preserve">1 </w:t>
            </w:r>
            <w:r w:rsidR="0052343C">
              <w:rPr>
                <w:rFonts w:ascii="Arial" w:hAnsi="Arial" w:cs="Arial"/>
                <w:color w:val="000000"/>
                <w:sz w:val="18"/>
                <w:szCs w:val="22"/>
                <w:lang w:val="es-MX" w:eastAsia="es-MX"/>
              </w:rPr>
              <w:t>800</w:t>
            </w:r>
            <w:r>
              <w:rPr>
                <w:rFonts w:ascii="Arial" w:hAnsi="Arial" w:cs="Arial"/>
                <w:color w:val="000000"/>
                <w:sz w:val="18"/>
                <w:szCs w:val="22"/>
                <w:lang w:val="es-MX" w:eastAsia="es-MX"/>
              </w:rPr>
              <w:t xml:space="preserve"> </w:t>
            </w:r>
            <w:r w:rsidR="0052343C">
              <w:rPr>
                <w:rFonts w:ascii="Arial" w:hAnsi="Arial" w:cs="Arial"/>
                <w:color w:val="000000"/>
                <w:sz w:val="18"/>
                <w:szCs w:val="22"/>
                <w:lang w:val="es-MX" w:eastAsia="es-MX"/>
              </w:rPr>
              <w:t>060</w:t>
            </w:r>
          </w:p>
        </w:tc>
        <w:tc>
          <w:tcPr>
            <w:tcW w:w="1168" w:type="dxa"/>
            <w:tcBorders>
              <w:top w:val="nil"/>
              <w:left w:val="nil"/>
              <w:bottom w:val="nil"/>
              <w:right w:val="nil"/>
            </w:tcBorders>
            <w:shd w:val="clear" w:color="auto" w:fill="auto"/>
            <w:noWrap/>
            <w:vAlign w:val="center"/>
          </w:tcPr>
          <w:p w14:paraId="7B770B45" w14:textId="77777777" w:rsidR="00C528E5" w:rsidRPr="0061393B" w:rsidRDefault="00FD2294"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9</w:t>
            </w:r>
            <w:r w:rsidR="00380827">
              <w:rPr>
                <w:rFonts w:ascii="Arial" w:hAnsi="Arial" w:cs="Arial"/>
                <w:bCs/>
                <w:color w:val="000000"/>
                <w:sz w:val="18"/>
                <w:szCs w:val="22"/>
                <w:lang w:val="es-MX" w:eastAsia="es-MX"/>
              </w:rPr>
              <w:t>9.7</w:t>
            </w:r>
          </w:p>
        </w:tc>
        <w:tc>
          <w:tcPr>
            <w:tcW w:w="1417" w:type="dxa"/>
            <w:tcBorders>
              <w:top w:val="nil"/>
              <w:left w:val="nil"/>
              <w:bottom w:val="nil"/>
              <w:right w:val="nil"/>
            </w:tcBorders>
            <w:shd w:val="clear" w:color="auto" w:fill="auto"/>
            <w:noWrap/>
            <w:tcMar>
              <w:right w:w="227" w:type="dxa"/>
            </w:tcMar>
            <w:vAlign w:val="center"/>
          </w:tcPr>
          <w:p w14:paraId="20F84842" w14:textId="77777777" w:rsidR="00C528E5" w:rsidRPr="0061393B" w:rsidRDefault="004F6AF1" w:rsidP="0052343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 xml:space="preserve">1 </w:t>
            </w:r>
            <w:r w:rsidR="0052343C">
              <w:rPr>
                <w:rFonts w:ascii="Arial" w:hAnsi="Arial" w:cs="Arial"/>
                <w:color w:val="000000"/>
                <w:sz w:val="18"/>
                <w:szCs w:val="22"/>
                <w:lang w:val="es-MX" w:eastAsia="es-MX"/>
              </w:rPr>
              <w:t>936</w:t>
            </w:r>
            <w:r>
              <w:rPr>
                <w:rFonts w:ascii="Arial" w:hAnsi="Arial" w:cs="Arial"/>
                <w:color w:val="000000"/>
                <w:sz w:val="18"/>
                <w:szCs w:val="22"/>
                <w:lang w:val="es-MX" w:eastAsia="es-MX"/>
              </w:rPr>
              <w:t xml:space="preserve"> </w:t>
            </w:r>
            <w:r w:rsidR="0052343C">
              <w:rPr>
                <w:rFonts w:ascii="Arial" w:hAnsi="Arial" w:cs="Arial"/>
                <w:color w:val="000000"/>
                <w:sz w:val="18"/>
                <w:szCs w:val="22"/>
                <w:lang w:val="es-MX" w:eastAsia="es-MX"/>
              </w:rPr>
              <w:t>304</w:t>
            </w:r>
          </w:p>
        </w:tc>
        <w:tc>
          <w:tcPr>
            <w:tcW w:w="1134" w:type="dxa"/>
            <w:tcBorders>
              <w:top w:val="nil"/>
              <w:left w:val="nil"/>
              <w:bottom w:val="nil"/>
              <w:right w:val="single" w:sz="4" w:space="0" w:color="auto"/>
            </w:tcBorders>
            <w:shd w:val="clear" w:color="auto" w:fill="auto"/>
            <w:noWrap/>
            <w:vAlign w:val="center"/>
          </w:tcPr>
          <w:p w14:paraId="6FF8DEEB" w14:textId="77777777" w:rsidR="00C528E5" w:rsidRPr="0061393B" w:rsidRDefault="0052343C"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99.8</w:t>
            </w:r>
          </w:p>
        </w:tc>
      </w:tr>
      <w:tr w:rsidR="00C528E5" w:rsidRPr="00BA0D15" w14:paraId="5941540E" w14:textId="77777777" w:rsidTr="00481CDC">
        <w:trPr>
          <w:trHeight w:val="300"/>
        </w:trPr>
        <w:tc>
          <w:tcPr>
            <w:tcW w:w="3544" w:type="dxa"/>
            <w:tcBorders>
              <w:top w:val="nil"/>
              <w:left w:val="single" w:sz="4" w:space="0" w:color="auto"/>
              <w:bottom w:val="single" w:sz="4" w:space="0" w:color="auto"/>
              <w:right w:val="single" w:sz="4" w:space="0" w:color="auto"/>
            </w:tcBorders>
            <w:shd w:val="clear" w:color="auto" w:fill="auto"/>
            <w:noWrap/>
            <w:hideMark/>
          </w:tcPr>
          <w:p w14:paraId="6C8D3D2E" w14:textId="77777777" w:rsidR="00C528E5" w:rsidRPr="00D57AFD" w:rsidRDefault="00C528E5" w:rsidP="00C528E5">
            <w:pPr>
              <w:spacing w:before="0"/>
              <w:rPr>
                <w:rFonts w:ascii="Arial" w:hAnsi="Arial" w:cs="Arial"/>
                <w:color w:val="000000"/>
                <w:sz w:val="18"/>
                <w:szCs w:val="22"/>
                <w:lang w:val="es-MX" w:eastAsia="es-MX"/>
              </w:rPr>
            </w:pPr>
            <w:r>
              <w:rPr>
                <w:rFonts w:ascii="Arial" w:hAnsi="Arial" w:cs="Arial"/>
                <w:color w:val="000000"/>
                <w:sz w:val="18"/>
                <w:szCs w:val="22"/>
                <w:lang w:val="es-MX" w:eastAsia="es-MX"/>
              </w:rPr>
              <w:t xml:space="preserve"> - </w:t>
            </w:r>
            <w:r w:rsidRPr="00D57AFD">
              <w:rPr>
                <w:rFonts w:ascii="Arial" w:hAnsi="Arial" w:cs="Arial"/>
                <w:color w:val="000000"/>
                <w:sz w:val="18"/>
                <w:szCs w:val="22"/>
                <w:lang w:val="es-MX" w:eastAsia="es-MX"/>
              </w:rPr>
              <w:t>Importaciones CIF</w:t>
            </w:r>
            <w:r>
              <w:rPr>
                <w:rFonts w:ascii="Arial" w:hAnsi="Arial" w:cs="Arial"/>
                <w:color w:val="000000"/>
                <w:sz w:val="18"/>
                <w:szCs w:val="22"/>
                <w:lang w:val="es-MX" w:eastAsia="es-MX"/>
              </w:rPr>
              <w:t>*</w:t>
            </w:r>
          </w:p>
        </w:tc>
        <w:tc>
          <w:tcPr>
            <w:tcW w:w="1384" w:type="dxa"/>
            <w:tcBorders>
              <w:top w:val="nil"/>
              <w:left w:val="nil"/>
              <w:bottom w:val="single" w:sz="4" w:space="0" w:color="auto"/>
              <w:right w:val="nil"/>
            </w:tcBorders>
            <w:shd w:val="clear" w:color="auto" w:fill="auto"/>
            <w:noWrap/>
            <w:tcMar>
              <w:right w:w="227" w:type="dxa"/>
            </w:tcMar>
            <w:vAlign w:val="center"/>
          </w:tcPr>
          <w:p w14:paraId="0170EDC6" w14:textId="77777777" w:rsidR="00C528E5" w:rsidRPr="0061393B" w:rsidRDefault="00380827" w:rsidP="0052343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4</w:t>
            </w:r>
            <w:r w:rsidR="004F6AF1">
              <w:rPr>
                <w:rFonts w:ascii="Arial" w:hAnsi="Arial" w:cs="Arial"/>
                <w:color w:val="000000"/>
                <w:sz w:val="18"/>
                <w:szCs w:val="22"/>
                <w:lang w:val="es-MX" w:eastAsia="es-MX"/>
              </w:rPr>
              <w:t xml:space="preserve"> </w:t>
            </w:r>
            <w:r w:rsidR="0052343C">
              <w:rPr>
                <w:rFonts w:ascii="Arial" w:hAnsi="Arial" w:cs="Arial"/>
                <w:color w:val="000000"/>
                <w:sz w:val="18"/>
                <w:szCs w:val="22"/>
                <w:lang w:val="es-MX" w:eastAsia="es-MX"/>
              </w:rPr>
              <w:t>800</w:t>
            </w:r>
          </w:p>
        </w:tc>
        <w:tc>
          <w:tcPr>
            <w:tcW w:w="1168" w:type="dxa"/>
            <w:tcBorders>
              <w:top w:val="nil"/>
              <w:left w:val="nil"/>
              <w:bottom w:val="single" w:sz="4" w:space="0" w:color="auto"/>
              <w:right w:val="nil"/>
            </w:tcBorders>
            <w:shd w:val="clear" w:color="auto" w:fill="auto"/>
            <w:noWrap/>
            <w:vAlign w:val="center"/>
          </w:tcPr>
          <w:p w14:paraId="645E734F" w14:textId="77777777" w:rsidR="00C528E5" w:rsidRPr="0061393B" w:rsidRDefault="00FD2294"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w:t>
            </w:r>
            <w:r w:rsidR="00380827">
              <w:rPr>
                <w:rFonts w:ascii="Arial" w:hAnsi="Arial" w:cs="Arial"/>
                <w:bCs/>
                <w:color w:val="000000"/>
                <w:sz w:val="18"/>
                <w:szCs w:val="22"/>
                <w:lang w:val="es-MX" w:eastAsia="es-MX"/>
              </w:rPr>
              <w:t>.3</w:t>
            </w:r>
          </w:p>
        </w:tc>
        <w:tc>
          <w:tcPr>
            <w:tcW w:w="1417" w:type="dxa"/>
            <w:tcBorders>
              <w:top w:val="nil"/>
              <w:left w:val="nil"/>
              <w:bottom w:val="single" w:sz="4" w:space="0" w:color="auto"/>
              <w:right w:val="nil"/>
            </w:tcBorders>
            <w:shd w:val="clear" w:color="auto" w:fill="auto"/>
            <w:noWrap/>
            <w:tcMar>
              <w:right w:w="227" w:type="dxa"/>
            </w:tcMar>
            <w:vAlign w:val="center"/>
          </w:tcPr>
          <w:p w14:paraId="167A8840" w14:textId="77777777" w:rsidR="00C528E5" w:rsidRPr="0061393B" w:rsidRDefault="004F6AF1" w:rsidP="0052343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 xml:space="preserve">4 </w:t>
            </w:r>
            <w:r w:rsidR="0052343C">
              <w:rPr>
                <w:rFonts w:ascii="Arial" w:hAnsi="Arial" w:cs="Arial"/>
                <w:color w:val="000000"/>
                <w:sz w:val="18"/>
                <w:szCs w:val="22"/>
                <w:lang w:val="es-MX" w:eastAsia="es-MX"/>
              </w:rPr>
              <w:t>589</w:t>
            </w:r>
          </w:p>
        </w:tc>
        <w:tc>
          <w:tcPr>
            <w:tcW w:w="1134" w:type="dxa"/>
            <w:tcBorders>
              <w:top w:val="nil"/>
              <w:left w:val="nil"/>
              <w:bottom w:val="single" w:sz="4" w:space="0" w:color="auto"/>
              <w:right w:val="single" w:sz="4" w:space="0" w:color="auto"/>
            </w:tcBorders>
            <w:shd w:val="clear" w:color="auto" w:fill="auto"/>
            <w:noWrap/>
            <w:vAlign w:val="center"/>
          </w:tcPr>
          <w:p w14:paraId="75C9C96D" w14:textId="77777777" w:rsidR="00C528E5" w:rsidRPr="0061393B" w:rsidRDefault="0052343C"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0.2</w:t>
            </w:r>
          </w:p>
        </w:tc>
      </w:tr>
      <w:tr w:rsidR="00C528E5" w:rsidRPr="00BA0D15" w14:paraId="08972B59" w14:textId="77777777" w:rsidTr="00481CDC">
        <w:trPr>
          <w:trHeight w:val="377"/>
        </w:trPr>
        <w:tc>
          <w:tcPr>
            <w:tcW w:w="3544" w:type="dxa"/>
            <w:tcBorders>
              <w:top w:val="single" w:sz="4" w:space="0" w:color="auto"/>
              <w:left w:val="single" w:sz="4" w:space="0" w:color="auto"/>
              <w:bottom w:val="nil"/>
              <w:right w:val="single" w:sz="4" w:space="0" w:color="auto"/>
            </w:tcBorders>
            <w:shd w:val="clear" w:color="auto" w:fill="auto"/>
            <w:noWrap/>
            <w:vAlign w:val="center"/>
            <w:hideMark/>
          </w:tcPr>
          <w:p w14:paraId="3A4287DC" w14:textId="77777777" w:rsidR="00C528E5" w:rsidRPr="00D57AFD" w:rsidRDefault="00C528E5" w:rsidP="00C528E5">
            <w:pPr>
              <w:spacing w:before="0"/>
              <w:rPr>
                <w:rFonts w:ascii="Arial" w:hAnsi="Arial" w:cs="Arial"/>
                <w:bCs/>
                <w:color w:val="000000"/>
                <w:sz w:val="18"/>
                <w:szCs w:val="22"/>
                <w:lang w:val="es-MX" w:eastAsia="es-MX"/>
              </w:rPr>
            </w:pPr>
            <w:r w:rsidRPr="00D57AFD">
              <w:rPr>
                <w:rFonts w:ascii="Arial" w:hAnsi="Arial" w:cs="Arial"/>
                <w:bCs/>
                <w:color w:val="000000"/>
                <w:sz w:val="18"/>
                <w:szCs w:val="22"/>
                <w:lang w:val="es-MX" w:eastAsia="es-MX"/>
              </w:rPr>
              <w:t>Utilización</w:t>
            </w:r>
          </w:p>
        </w:tc>
        <w:tc>
          <w:tcPr>
            <w:tcW w:w="1384" w:type="dxa"/>
            <w:tcBorders>
              <w:top w:val="single" w:sz="4" w:space="0" w:color="auto"/>
              <w:left w:val="nil"/>
              <w:right w:val="nil"/>
            </w:tcBorders>
            <w:shd w:val="clear" w:color="auto" w:fill="auto"/>
            <w:noWrap/>
            <w:tcMar>
              <w:right w:w="227" w:type="dxa"/>
            </w:tcMar>
            <w:vAlign w:val="center"/>
          </w:tcPr>
          <w:p w14:paraId="2562D68B" w14:textId="77777777" w:rsidR="00C528E5" w:rsidRPr="0061393B" w:rsidRDefault="0052343C" w:rsidP="00380827">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1 804 859</w:t>
            </w:r>
          </w:p>
        </w:tc>
        <w:tc>
          <w:tcPr>
            <w:tcW w:w="1168" w:type="dxa"/>
            <w:tcBorders>
              <w:top w:val="single" w:sz="4" w:space="0" w:color="auto"/>
              <w:left w:val="nil"/>
              <w:right w:val="nil"/>
            </w:tcBorders>
            <w:shd w:val="clear" w:color="auto" w:fill="auto"/>
            <w:noWrap/>
            <w:vAlign w:val="center"/>
          </w:tcPr>
          <w:p w14:paraId="5BCD613F" w14:textId="77777777" w:rsidR="00C528E5" w:rsidRPr="0061393B" w:rsidRDefault="00517C7B"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100.0</w:t>
            </w:r>
          </w:p>
        </w:tc>
        <w:tc>
          <w:tcPr>
            <w:tcW w:w="1417" w:type="dxa"/>
            <w:tcBorders>
              <w:top w:val="single" w:sz="4" w:space="0" w:color="auto"/>
              <w:left w:val="nil"/>
              <w:bottom w:val="nil"/>
              <w:right w:val="nil"/>
            </w:tcBorders>
            <w:shd w:val="clear" w:color="auto" w:fill="auto"/>
            <w:noWrap/>
            <w:tcMar>
              <w:right w:w="227" w:type="dxa"/>
            </w:tcMar>
            <w:vAlign w:val="center"/>
          </w:tcPr>
          <w:p w14:paraId="7118840D" w14:textId="77777777" w:rsidR="00C528E5" w:rsidRPr="0061393B" w:rsidRDefault="0052343C" w:rsidP="00E05DB3">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1 940 893</w:t>
            </w:r>
          </w:p>
        </w:tc>
        <w:tc>
          <w:tcPr>
            <w:tcW w:w="1134" w:type="dxa"/>
            <w:tcBorders>
              <w:top w:val="single" w:sz="4" w:space="0" w:color="auto"/>
              <w:left w:val="nil"/>
              <w:bottom w:val="nil"/>
              <w:right w:val="single" w:sz="4" w:space="0" w:color="auto"/>
            </w:tcBorders>
            <w:shd w:val="clear" w:color="auto" w:fill="auto"/>
            <w:noWrap/>
            <w:vAlign w:val="center"/>
          </w:tcPr>
          <w:p w14:paraId="548EE294" w14:textId="77777777" w:rsidR="00C528E5" w:rsidRPr="0061393B" w:rsidRDefault="004F6AF1" w:rsidP="00E05DB3">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100.0</w:t>
            </w:r>
          </w:p>
        </w:tc>
      </w:tr>
      <w:tr w:rsidR="00C528E5" w:rsidRPr="00C528E5" w14:paraId="47F3D476" w14:textId="77777777" w:rsidTr="00481CDC">
        <w:trPr>
          <w:trHeight w:val="300"/>
        </w:trPr>
        <w:tc>
          <w:tcPr>
            <w:tcW w:w="3544" w:type="dxa"/>
            <w:tcBorders>
              <w:top w:val="nil"/>
              <w:left w:val="single" w:sz="4" w:space="0" w:color="auto"/>
              <w:bottom w:val="nil"/>
              <w:right w:val="single" w:sz="4" w:space="0" w:color="auto"/>
            </w:tcBorders>
            <w:shd w:val="clear" w:color="auto" w:fill="auto"/>
            <w:noWrap/>
            <w:hideMark/>
          </w:tcPr>
          <w:p w14:paraId="2A66B82B" w14:textId="77777777" w:rsidR="00C528E5" w:rsidRPr="00AA4332" w:rsidRDefault="00C528E5" w:rsidP="00C528E5">
            <w:pPr>
              <w:spacing w:before="0"/>
              <w:rPr>
                <w:rFonts w:ascii="Arial" w:hAnsi="Arial" w:cs="Arial"/>
                <w:color w:val="000000"/>
                <w:sz w:val="18"/>
                <w:szCs w:val="22"/>
                <w:lang w:val="es-MX" w:eastAsia="es-MX"/>
              </w:rPr>
            </w:pPr>
            <w:r>
              <w:rPr>
                <w:rFonts w:ascii="Arial" w:hAnsi="Arial" w:cs="Arial"/>
                <w:color w:val="000000"/>
                <w:sz w:val="18"/>
                <w:szCs w:val="22"/>
                <w:lang w:val="es-MX" w:eastAsia="es-MX"/>
              </w:rPr>
              <w:t xml:space="preserve"> - </w:t>
            </w:r>
            <w:r w:rsidRPr="00AA4332">
              <w:rPr>
                <w:rFonts w:ascii="Arial" w:hAnsi="Arial" w:cs="Arial"/>
                <w:color w:val="000000"/>
                <w:sz w:val="18"/>
                <w:szCs w:val="22"/>
                <w:lang w:val="es-MX" w:eastAsia="es-MX"/>
              </w:rPr>
              <w:t>Demanda intermedia</w:t>
            </w:r>
          </w:p>
        </w:tc>
        <w:tc>
          <w:tcPr>
            <w:tcW w:w="1384" w:type="dxa"/>
            <w:tcBorders>
              <w:left w:val="single" w:sz="4" w:space="0" w:color="auto"/>
            </w:tcBorders>
            <w:shd w:val="clear" w:color="auto" w:fill="auto"/>
            <w:noWrap/>
            <w:tcMar>
              <w:right w:w="227" w:type="dxa"/>
            </w:tcMar>
          </w:tcPr>
          <w:p w14:paraId="41B4245C" w14:textId="77777777" w:rsidR="00C528E5" w:rsidRPr="0061393B" w:rsidRDefault="0052343C"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4</w:t>
            </w:r>
            <w:r w:rsidR="00517C7B">
              <w:rPr>
                <w:rFonts w:ascii="Arial" w:hAnsi="Arial" w:cs="Arial"/>
                <w:bCs/>
                <w:color w:val="000000"/>
                <w:sz w:val="18"/>
                <w:szCs w:val="22"/>
                <w:lang w:val="es-MX" w:eastAsia="es-MX"/>
              </w:rPr>
              <w:t>3 3</w:t>
            </w:r>
            <w:r>
              <w:rPr>
                <w:rFonts w:ascii="Arial" w:hAnsi="Arial" w:cs="Arial"/>
                <w:bCs/>
                <w:color w:val="000000"/>
                <w:sz w:val="18"/>
                <w:szCs w:val="22"/>
                <w:lang w:val="es-MX" w:eastAsia="es-MX"/>
              </w:rPr>
              <w:t>8</w:t>
            </w:r>
            <w:r w:rsidR="00380827">
              <w:rPr>
                <w:rFonts w:ascii="Arial" w:hAnsi="Arial" w:cs="Arial"/>
                <w:bCs/>
                <w:color w:val="000000"/>
                <w:sz w:val="18"/>
                <w:szCs w:val="22"/>
                <w:lang w:val="es-MX" w:eastAsia="es-MX"/>
              </w:rPr>
              <w:t>9</w:t>
            </w:r>
          </w:p>
        </w:tc>
        <w:tc>
          <w:tcPr>
            <w:tcW w:w="1168" w:type="dxa"/>
            <w:shd w:val="clear" w:color="auto" w:fill="auto"/>
            <w:noWrap/>
            <w:vAlign w:val="center"/>
          </w:tcPr>
          <w:p w14:paraId="36E3B5FD" w14:textId="77777777" w:rsidR="00C528E5" w:rsidRPr="0061393B" w:rsidRDefault="00FD2294"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2</w:t>
            </w:r>
            <w:r w:rsidR="0052343C">
              <w:rPr>
                <w:rFonts w:ascii="Arial" w:hAnsi="Arial" w:cs="Arial"/>
                <w:bCs/>
                <w:color w:val="000000"/>
                <w:sz w:val="18"/>
                <w:szCs w:val="22"/>
                <w:lang w:val="es-MX" w:eastAsia="es-MX"/>
              </w:rPr>
              <w:t>.4</w:t>
            </w:r>
          </w:p>
        </w:tc>
        <w:tc>
          <w:tcPr>
            <w:tcW w:w="1417" w:type="dxa"/>
            <w:tcBorders>
              <w:top w:val="nil"/>
              <w:left w:val="nil"/>
              <w:bottom w:val="nil"/>
              <w:right w:val="nil"/>
            </w:tcBorders>
            <w:shd w:val="clear" w:color="auto" w:fill="auto"/>
            <w:noWrap/>
            <w:tcMar>
              <w:right w:w="227" w:type="dxa"/>
            </w:tcMar>
          </w:tcPr>
          <w:p w14:paraId="58C97936" w14:textId="77777777" w:rsidR="00C528E5" w:rsidRPr="0061393B" w:rsidRDefault="004F6AF1"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4</w:t>
            </w:r>
            <w:r w:rsidR="0052343C">
              <w:rPr>
                <w:rFonts w:ascii="Arial" w:hAnsi="Arial" w:cs="Arial"/>
                <w:bCs/>
                <w:color w:val="000000"/>
                <w:sz w:val="18"/>
                <w:szCs w:val="22"/>
                <w:lang w:val="es-MX" w:eastAsia="es-MX"/>
              </w:rPr>
              <w:t>3</w:t>
            </w:r>
            <w:r>
              <w:rPr>
                <w:rFonts w:ascii="Arial" w:hAnsi="Arial" w:cs="Arial"/>
                <w:bCs/>
                <w:color w:val="000000"/>
                <w:sz w:val="18"/>
                <w:szCs w:val="22"/>
                <w:lang w:val="es-MX" w:eastAsia="es-MX"/>
              </w:rPr>
              <w:t xml:space="preserve"> </w:t>
            </w:r>
            <w:r w:rsidR="0052343C">
              <w:rPr>
                <w:rFonts w:ascii="Arial" w:hAnsi="Arial" w:cs="Arial"/>
                <w:bCs/>
                <w:color w:val="000000"/>
                <w:sz w:val="18"/>
                <w:szCs w:val="22"/>
                <w:lang w:val="es-MX" w:eastAsia="es-MX"/>
              </w:rPr>
              <w:t>195</w:t>
            </w:r>
          </w:p>
        </w:tc>
        <w:tc>
          <w:tcPr>
            <w:tcW w:w="1134" w:type="dxa"/>
            <w:tcBorders>
              <w:top w:val="nil"/>
              <w:left w:val="nil"/>
              <w:bottom w:val="nil"/>
              <w:right w:val="single" w:sz="4" w:space="0" w:color="auto"/>
            </w:tcBorders>
            <w:shd w:val="clear" w:color="auto" w:fill="auto"/>
            <w:noWrap/>
          </w:tcPr>
          <w:p w14:paraId="443BDF57" w14:textId="77777777" w:rsidR="00C528E5" w:rsidRPr="0061393B" w:rsidRDefault="00FD2294" w:rsidP="0052343C">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2.</w:t>
            </w:r>
            <w:r w:rsidR="0052343C">
              <w:rPr>
                <w:rFonts w:ascii="Arial" w:hAnsi="Arial" w:cs="Arial"/>
                <w:bCs/>
                <w:color w:val="000000"/>
                <w:sz w:val="18"/>
                <w:szCs w:val="22"/>
                <w:lang w:val="es-MX" w:eastAsia="es-MX"/>
              </w:rPr>
              <w:t>2</w:t>
            </w:r>
          </w:p>
        </w:tc>
      </w:tr>
      <w:tr w:rsidR="00BA0D15" w:rsidRPr="00BA0D15" w14:paraId="0EF35484" w14:textId="77777777" w:rsidTr="00481CDC">
        <w:trPr>
          <w:trHeight w:val="300"/>
        </w:trPr>
        <w:tc>
          <w:tcPr>
            <w:tcW w:w="3544" w:type="dxa"/>
            <w:tcBorders>
              <w:top w:val="nil"/>
              <w:left w:val="single" w:sz="4" w:space="0" w:color="auto"/>
              <w:bottom w:val="nil"/>
              <w:right w:val="single" w:sz="4" w:space="0" w:color="auto"/>
            </w:tcBorders>
            <w:shd w:val="clear" w:color="auto" w:fill="auto"/>
            <w:noWrap/>
            <w:hideMark/>
          </w:tcPr>
          <w:p w14:paraId="702A941F" w14:textId="77777777" w:rsidR="00BA0D15" w:rsidRPr="00D57AFD" w:rsidRDefault="00AA4332" w:rsidP="00AA4332">
            <w:pPr>
              <w:spacing w:before="0"/>
              <w:rPr>
                <w:rFonts w:ascii="Arial" w:hAnsi="Arial" w:cs="Arial"/>
                <w:color w:val="000000"/>
                <w:sz w:val="18"/>
                <w:szCs w:val="22"/>
                <w:lang w:val="es-MX" w:eastAsia="es-MX"/>
              </w:rPr>
            </w:pPr>
            <w:r>
              <w:rPr>
                <w:rFonts w:ascii="Arial" w:hAnsi="Arial" w:cs="Arial"/>
                <w:color w:val="000000"/>
                <w:sz w:val="18"/>
                <w:szCs w:val="22"/>
                <w:lang w:val="es-MX" w:eastAsia="es-MX"/>
              </w:rPr>
              <w:t xml:space="preserve"> - </w:t>
            </w:r>
            <w:r w:rsidR="00BA0D15" w:rsidRPr="00D57AFD">
              <w:rPr>
                <w:rFonts w:ascii="Arial" w:hAnsi="Arial" w:cs="Arial"/>
                <w:color w:val="000000"/>
                <w:sz w:val="18"/>
                <w:szCs w:val="22"/>
                <w:lang w:val="es-MX" w:eastAsia="es-MX"/>
              </w:rPr>
              <w:t>Demanda final</w:t>
            </w:r>
          </w:p>
        </w:tc>
        <w:tc>
          <w:tcPr>
            <w:tcW w:w="1384" w:type="dxa"/>
            <w:tcBorders>
              <w:left w:val="nil"/>
              <w:bottom w:val="nil"/>
              <w:right w:val="nil"/>
            </w:tcBorders>
            <w:shd w:val="clear" w:color="auto" w:fill="auto"/>
            <w:noWrap/>
            <w:tcMar>
              <w:right w:w="227" w:type="dxa"/>
            </w:tcMar>
          </w:tcPr>
          <w:p w14:paraId="2C8160A0" w14:textId="77777777" w:rsidR="00BA0D15" w:rsidRPr="0061393B" w:rsidRDefault="00BA0D15" w:rsidP="00C528E5">
            <w:pPr>
              <w:spacing w:before="0"/>
              <w:ind w:firstLineChars="100" w:firstLine="180"/>
              <w:jc w:val="right"/>
              <w:rPr>
                <w:rFonts w:ascii="Arial" w:hAnsi="Arial" w:cs="Arial"/>
                <w:bCs/>
                <w:color w:val="000000"/>
                <w:sz w:val="18"/>
                <w:szCs w:val="22"/>
                <w:lang w:val="es-MX" w:eastAsia="es-MX"/>
              </w:rPr>
            </w:pPr>
          </w:p>
        </w:tc>
        <w:tc>
          <w:tcPr>
            <w:tcW w:w="1168" w:type="dxa"/>
            <w:tcBorders>
              <w:left w:val="nil"/>
              <w:bottom w:val="nil"/>
              <w:right w:val="nil"/>
            </w:tcBorders>
            <w:shd w:val="clear" w:color="auto" w:fill="auto"/>
            <w:noWrap/>
            <w:vAlign w:val="center"/>
          </w:tcPr>
          <w:p w14:paraId="7A649B3C" w14:textId="77777777" w:rsidR="00BA0D15" w:rsidRPr="0061393B" w:rsidRDefault="00BA0D15" w:rsidP="00C528E5">
            <w:pPr>
              <w:spacing w:before="0"/>
              <w:ind w:right="214"/>
              <w:jc w:val="right"/>
              <w:rPr>
                <w:rFonts w:ascii="Arial" w:hAnsi="Arial" w:cs="Arial"/>
                <w:bCs/>
                <w:color w:val="000000"/>
                <w:sz w:val="18"/>
                <w:szCs w:val="22"/>
                <w:lang w:val="es-MX" w:eastAsia="es-MX"/>
              </w:rPr>
            </w:pPr>
          </w:p>
        </w:tc>
        <w:tc>
          <w:tcPr>
            <w:tcW w:w="1417" w:type="dxa"/>
            <w:tcBorders>
              <w:top w:val="nil"/>
              <w:left w:val="nil"/>
              <w:bottom w:val="nil"/>
              <w:right w:val="nil"/>
            </w:tcBorders>
            <w:shd w:val="clear" w:color="auto" w:fill="auto"/>
            <w:noWrap/>
            <w:tcMar>
              <w:right w:w="227" w:type="dxa"/>
            </w:tcMar>
          </w:tcPr>
          <w:p w14:paraId="00A44716" w14:textId="77777777" w:rsidR="00BA0D15" w:rsidRPr="0061393B" w:rsidRDefault="00BA0D15" w:rsidP="00C528E5">
            <w:pPr>
              <w:spacing w:before="0"/>
              <w:ind w:firstLineChars="100" w:firstLine="180"/>
              <w:jc w:val="right"/>
              <w:rPr>
                <w:rFonts w:ascii="Arial" w:hAnsi="Arial" w:cs="Arial"/>
                <w:bCs/>
                <w:color w:val="000000"/>
                <w:sz w:val="18"/>
                <w:szCs w:val="22"/>
                <w:lang w:val="es-MX" w:eastAsia="es-MX"/>
              </w:rPr>
            </w:pPr>
          </w:p>
        </w:tc>
        <w:tc>
          <w:tcPr>
            <w:tcW w:w="1134" w:type="dxa"/>
            <w:tcBorders>
              <w:top w:val="nil"/>
              <w:left w:val="nil"/>
              <w:bottom w:val="nil"/>
              <w:right w:val="single" w:sz="4" w:space="0" w:color="auto"/>
            </w:tcBorders>
            <w:shd w:val="clear" w:color="auto" w:fill="auto"/>
            <w:noWrap/>
          </w:tcPr>
          <w:p w14:paraId="3947B4E4" w14:textId="77777777" w:rsidR="00BA0D15" w:rsidRPr="0061393B" w:rsidRDefault="00BA0D15" w:rsidP="00C528E5">
            <w:pPr>
              <w:spacing w:before="0"/>
              <w:ind w:right="214"/>
              <w:jc w:val="right"/>
              <w:rPr>
                <w:rFonts w:ascii="Arial" w:hAnsi="Arial" w:cs="Arial"/>
                <w:bCs/>
                <w:color w:val="000000"/>
                <w:sz w:val="18"/>
                <w:szCs w:val="22"/>
                <w:lang w:val="es-MX" w:eastAsia="es-MX"/>
              </w:rPr>
            </w:pPr>
          </w:p>
        </w:tc>
      </w:tr>
      <w:tr w:rsidR="00C528E5" w:rsidRPr="00BA0D15" w14:paraId="7BCA4414" w14:textId="77777777" w:rsidTr="00481CDC">
        <w:trPr>
          <w:trHeight w:val="300"/>
        </w:trPr>
        <w:tc>
          <w:tcPr>
            <w:tcW w:w="3544" w:type="dxa"/>
            <w:tcBorders>
              <w:top w:val="nil"/>
              <w:left w:val="single" w:sz="4" w:space="0" w:color="auto"/>
              <w:bottom w:val="nil"/>
              <w:right w:val="single" w:sz="4" w:space="0" w:color="auto"/>
            </w:tcBorders>
            <w:shd w:val="clear" w:color="auto" w:fill="auto"/>
            <w:noWrap/>
            <w:hideMark/>
          </w:tcPr>
          <w:p w14:paraId="27FE080C" w14:textId="77777777" w:rsidR="00C528E5" w:rsidRPr="00D57AFD" w:rsidRDefault="00C528E5" w:rsidP="00C528E5">
            <w:pPr>
              <w:spacing w:before="0"/>
              <w:ind w:firstLineChars="100" w:firstLine="180"/>
              <w:rPr>
                <w:rFonts w:ascii="Arial" w:hAnsi="Arial" w:cs="Arial"/>
                <w:color w:val="000000"/>
                <w:sz w:val="18"/>
                <w:szCs w:val="22"/>
                <w:lang w:val="es-MX" w:eastAsia="es-MX"/>
              </w:rPr>
            </w:pPr>
            <w:r>
              <w:rPr>
                <w:rFonts w:ascii="Arial" w:hAnsi="Arial" w:cs="Arial"/>
                <w:color w:val="000000"/>
                <w:sz w:val="18"/>
                <w:szCs w:val="22"/>
                <w:lang w:val="es-MX" w:eastAsia="es-MX"/>
              </w:rPr>
              <w:t xml:space="preserve">  </w:t>
            </w:r>
            <w:r w:rsidRPr="00D57AFD">
              <w:rPr>
                <w:rFonts w:ascii="Arial" w:hAnsi="Arial" w:cs="Arial"/>
                <w:color w:val="000000"/>
                <w:sz w:val="18"/>
                <w:szCs w:val="22"/>
                <w:lang w:val="es-MX" w:eastAsia="es-MX"/>
              </w:rPr>
              <w:t>Consumo privado</w:t>
            </w:r>
          </w:p>
        </w:tc>
        <w:tc>
          <w:tcPr>
            <w:tcW w:w="1384" w:type="dxa"/>
            <w:tcBorders>
              <w:top w:val="nil"/>
              <w:left w:val="nil"/>
              <w:bottom w:val="nil"/>
              <w:right w:val="nil"/>
            </w:tcBorders>
            <w:shd w:val="clear" w:color="auto" w:fill="auto"/>
            <w:noWrap/>
            <w:tcMar>
              <w:right w:w="227" w:type="dxa"/>
            </w:tcMar>
          </w:tcPr>
          <w:p w14:paraId="578781C2" w14:textId="77777777" w:rsidR="00C528E5" w:rsidRPr="0061393B" w:rsidRDefault="0052343C"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451</w:t>
            </w:r>
            <w:r w:rsidR="004F6AF1">
              <w:rPr>
                <w:rFonts w:ascii="Arial" w:hAnsi="Arial" w:cs="Arial"/>
                <w:bCs/>
                <w:color w:val="000000"/>
                <w:sz w:val="18"/>
                <w:szCs w:val="22"/>
                <w:lang w:val="es-MX" w:eastAsia="es-MX"/>
              </w:rPr>
              <w:t xml:space="preserve"> </w:t>
            </w:r>
            <w:r>
              <w:rPr>
                <w:rFonts w:ascii="Arial" w:hAnsi="Arial" w:cs="Arial"/>
                <w:bCs/>
                <w:color w:val="000000"/>
                <w:sz w:val="18"/>
                <w:szCs w:val="22"/>
                <w:lang w:val="es-MX" w:eastAsia="es-MX"/>
              </w:rPr>
              <w:t>296</w:t>
            </w:r>
          </w:p>
        </w:tc>
        <w:tc>
          <w:tcPr>
            <w:tcW w:w="1168" w:type="dxa"/>
            <w:tcBorders>
              <w:top w:val="nil"/>
              <w:left w:val="nil"/>
              <w:bottom w:val="nil"/>
              <w:right w:val="nil"/>
            </w:tcBorders>
            <w:shd w:val="clear" w:color="auto" w:fill="auto"/>
            <w:noWrap/>
            <w:vAlign w:val="center"/>
          </w:tcPr>
          <w:p w14:paraId="0489E1AC" w14:textId="77777777" w:rsidR="00C528E5" w:rsidRPr="0061393B" w:rsidRDefault="00FD2294" w:rsidP="0052343C">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2</w:t>
            </w:r>
            <w:r w:rsidR="0052343C">
              <w:rPr>
                <w:rFonts w:ascii="Arial" w:hAnsi="Arial" w:cs="Arial"/>
                <w:bCs/>
                <w:color w:val="000000"/>
                <w:sz w:val="18"/>
                <w:szCs w:val="22"/>
                <w:lang w:val="es-MX" w:eastAsia="es-MX"/>
              </w:rPr>
              <w:t>5.0</w:t>
            </w:r>
          </w:p>
        </w:tc>
        <w:tc>
          <w:tcPr>
            <w:tcW w:w="1417" w:type="dxa"/>
            <w:tcBorders>
              <w:top w:val="nil"/>
              <w:left w:val="nil"/>
              <w:bottom w:val="nil"/>
              <w:right w:val="nil"/>
            </w:tcBorders>
            <w:shd w:val="clear" w:color="auto" w:fill="auto"/>
            <w:noWrap/>
            <w:tcMar>
              <w:right w:w="227" w:type="dxa"/>
            </w:tcMar>
          </w:tcPr>
          <w:p w14:paraId="38A33011" w14:textId="77777777" w:rsidR="00C528E5" w:rsidRPr="0061393B" w:rsidRDefault="0052343C" w:rsidP="0052343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473</w:t>
            </w:r>
            <w:r w:rsidR="004F6AF1">
              <w:rPr>
                <w:rFonts w:ascii="Arial" w:hAnsi="Arial" w:cs="Arial"/>
                <w:bCs/>
                <w:color w:val="000000"/>
                <w:sz w:val="18"/>
                <w:szCs w:val="22"/>
                <w:lang w:val="es-MX" w:eastAsia="es-MX"/>
              </w:rPr>
              <w:t xml:space="preserve"> </w:t>
            </w:r>
            <w:r>
              <w:rPr>
                <w:rFonts w:ascii="Arial" w:hAnsi="Arial" w:cs="Arial"/>
                <w:bCs/>
                <w:color w:val="000000"/>
                <w:sz w:val="18"/>
                <w:szCs w:val="22"/>
                <w:lang w:val="es-MX" w:eastAsia="es-MX"/>
              </w:rPr>
              <w:t>871</w:t>
            </w:r>
          </w:p>
        </w:tc>
        <w:tc>
          <w:tcPr>
            <w:tcW w:w="1134" w:type="dxa"/>
            <w:tcBorders>
              <w:top w:val="nil"/>
              <w:left w:val="nil"/>
              <w:bottom w:val="nil"/>
              <w:right w:val="single" w:sz="4" w:space="0" w:color="auto"/>
            </w:tcBorders>
            <w:shd w:val="clear" w:color="auto" w:fill="auto"/>
            <w:noWrap/>
          </w:tcPr>
          <w:p w14:paraId="6777D8EF" w14:textId="77777777" w:rsidR="00C528E5" w:rsidRPr="0061393B" w:rsidRDefault="00FD2294" w:rsidP="0052343C">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2</w:t>
            </w:r>
            <w:r w:rsidR="0052343C">
              <w:rPr>
                <w:rFonts w:ascii="Arial" w:hAnsi="Arial" w:cs="Arial"/>
                <w:bCs/>
                <w:color w:val="000000"/>
                <w:sz w:val="18"/>
                <w:szCs w:val="22"/>
                <w:lang w:val="es-MX" w:eastAsia="es-MX"/>
              </w:rPr>
              <w:t>4.4</w:t>
            </w:r>
          </w:p>
        </w:tc>
      </w:tr>
      <w:tr w:rsidR="00C528E5" w:rsidRPr="00BA0D15" w14:paraId="67362F9B" w14:textId="77777777" w:rsidTr="00481CDC">
        <w:trPr>
          <w:trHeight w:val="300"/>
        </w:trPr>
        <w:tc>
          <w:tcPr>
            <w:tcW w:w="3544" w:type="dxa"/>
            <w:tcBorders>
              <w:top w:val="nil"/>
              <w:left w:val="single" w:sz="4" w:space="0" w:color="auto"/>
              <w:bottom w:val="nil"/>
              <w:right w:val="single" w:sz="4" w:space="0" w:color="auto"/>
            </w:tcBorders>
            <w:shd w:val="clear" w:color="auto" w:fill="auto"/>
            <w:noWrap/>
            <w:hideMark/>
          </w:tcPr>
          <w:p w14:paraId="19A2ABC1" w14:textId="77777777" w:rsidR="00C528E5" w:rsidRPr="00D57AFD" w:rsidRDefault="00C528E5" w:rsidP="00C528E5">
            <w:pPr>
              <w:spacing w:before="0"/>
              <w:ind w:firstLineChars="100" w:firstLine="180"/>
              <w:rPr>
                <w:rFonts w:ascii="Arial" w:hAnsi="Arial" w:cs="Arial"/>
                <w:color w:val="000000"/>
                <w:sz w:val="18"/>
                <w:szCs w:val="22"/>
                <w:lang w:val="es-MX" w:eastAsia="es-MX"/>
              </w:rPr>
            </w:pPr>
            <w:r>
              <w:rPr>
                <w:rFonts w:ascii="Arial" w:hAnsi="Arial" w:cs="Arial"/>
                <w:color w:val="000000"/>
                <w:sz w:val="18"/>
                <w:szCs w:val="22"/>
                <w:lang w:val="es-MX" w:eastAsia="es-MX"/>
              </w:rPr>
              <w:t xml:space="preserve">  </w:t>
            </w:r>
            <w:r w:rsidRPr="00D57AFD">
              <w:rPr>
                <w:rFonts w:ascii="Arial" w:hAnsi="Arial" w:cs="Arial"/>
                <w:color w:val="000000"/>
                <w:sz w:val="18"/>
                <w:szCs w:val="22"/>
                <w:lang w:val="es-MX" w:eastAsia="es-MX"/>
              </w:rPr>
              <w:t>Consumo de gobierno</w:t>
            </w:r>
          </w:p>
        </w:tc>
        <w:tc>
          <w:tcPr>
            <w:tcW w:w="1384" w:type="dxa"/>
            <w:tcBorders>
              <w:top w:val="nil"/>
              <w:left w:val="nil"/>
              <w:bottom w:val="nil"/>
              <w:right w:val="nil"/>
            </w:tcBorders>
            <w:shd w:val="clear" w:color="auto" w:fill="auto"/>
            <w:noWrap/>
            <w:tcMar>
              <w:right w:w="227" w:type="dxa"/>
            </w:tcMar>
          </w:tcPr>
          <w:p w14:paraId="10A3C197" w14:textId="77777777" w:rsidR="00C528E5" w:rsidRPr="0061393B" w:rsidRDefault="00380827" w:rsidP="0062740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 xml:space="preserve">2 </w:t>
            </w:r>
            <w:r w:rsidR="004F6AF1">
              <w:rPr>
                <w:rFonts w:ascii="Arial" w:hAnsi="Arial" w:cs="Arial"/>
                <w:bCs/>
                <w:color w:val="000000"/>
                <w:sz w:val="18"/>
                <w:szCs w:val="22"/>
                <w:lang w:val="es-MX" w:eastAsia="es-MX"/>
              </w:rPr>
              <w:t>8</w:t>
            </w:r>
            <w:r w:rsidR="0062740C">
              <w:rPr>
                <w:rFonts w:ascii="Arial" w:hAnsi="Arial" w:cs="Arial"/>
                <w:bCs/>
                <w:color w:val="000000"/>
                <w:sz w:val="18"/>
                <w:szCs w:val="22"/>
                <w:lang w:val="es-MX" w:eastAsia="es-MX"/>
              </w:rPr>
              <w:t>3</w:t>
            </w:r>
            <w:r>
              <w:rPr>
                <w:rFonts w:ascii="Arial" w:hAnsi="Arial" w:cs="Arial"/>
                <w:bCs/>
                <w:color w:val="000000"/>
                <w:sz w:val="18"/>
                <w:szCs w:val="22"/>
                <w:lang w:val="es-MX" w:eastAsia="es-MX"/>
              </w:rPr>
              <w:t>6</w:t>
            </w:r>
          </w:p>
        </w:tc>
        <w:tc>
          <w:tcPr>
            <w:tcW w:w="1168" w:type="dxa"/>
            <w:tcBorders>
              <w:top w:val="nil"/>
              <w:left w:val="nil"/>
              <w:bottom w:val="nil"/>
              <w:right w:val="nil"/>
            </w:tcBorders>
            <w:shd w:val="clear" w:color="auto" w:fill="auto"/>
            <w:noWrap/>
            <w:vAlign w:val="center"/>
          </w:tcPr>
          <w:p w14:paraId="7546735A" w14:textId="77777777" w:rsidR="00C528E5" w:rsidRPr="0061393B" w:rsidRDefault="00FD2294"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0.2</w:t>
            </w:r>
          </w:p>
        </w:tc>
        <w:tc>
          <w:tcPr>
            <w:tcW w:w="1417" w:type="dxa"/>
            <w:tcBorders>
              <w:top w:val="nil"/>
              <w:left w:val="nil"/>
              <w:bottom w:val="nil"/>
              <w:right w:val="nil"/>
            </w:tcBorders>
            <w:shd w:val="clear" w:color="auto" w:fill="auto"/>
            <w:noWrap/>
            <w:tcMar>
              <w:right w:w="227" w:type="dxa"/>
            </w:tcMar>
          </w:tcPr>
          <w:p w14:paraId="2AC43810" w14:textId="77777777" w:rsidR="00C528E5" w:rsidRPr="0061393B" w:rsidRDefault="0062740C" w:rsidP="0062740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3</w:t>
            </w:r>
            <w:r w:rsidR="004F6AF1">
              <w:rPr>
                <w:rFonts w:ascii="Arial" w:hAnsi="Arial" w:cs="Arial"/>
                <w:bCs/>
                <w:color w:val="000000"/>
                <w:sz w:val="18"/>
                <w:szCs w:val="22"/>
                <w:lang w:val="es-MX" w:eastAsia="es-MX"/>
              </w:rPr>
              <w:t xml:space="preserve"> </w:t>
            </w:r>
            <w:r>
              <w:rPr>
                <w:rFonts w:ascii="Arial" w:hAnsi="Arial" w:cs="Arial"/>
                <w:bCs/>
                <w:color w:val="000000"/>
                <w:sz w:val="18"/>
                <w:szCs w:val="22"/>
                <w:lang w:val="es-MX" w:eastAsia="es-MX"/>
              </w:rPr>
              <w:t>261</w:t>
            </w:r>
          </w:p>
        </w:tc>
        <w:tc>
          <w:tcPr>
            <w:tcW w:w="1134" w:type="dxa"/>
            <w:tcBorders>
              <w:top w:val="nil"/>
              <w:left w:val="nil"/>
              <w:bottom w:val="nil"/>
              <w:right w:val="single" w:sz="4" w:space="0" w:color="auto"/>
            </w:tcBorders>
            <w:shd w:val="clear" w:color="auto" w:fill="auto"/>
            <w:noWrap/>
          </w:tcPr>
          <w:p w14:paraId="44A774BC" w14:textId="77777777" w:rsidR="00C528E5" w:rsidRPr="0061393B" w:rsidRDefault="00FD2294"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0.2</w:t>
            </w:r>
          </w:p>
        </w:tc>
      </w:tr>
      <w:tr w:rsidR="00C528E5" w:rsidRPr="00BA0D15" w14:paraId="11BCAAB4" w14:textId="77777777" w:rsidTr="00481CDC">
        <w:trPr>
          <w:trHeight w:val="300"/>
        </w:trPr>
        <w:tc>
          <w:tcPr>
            <w:tcW w:w="3544" w:type="dxa"/>
            <w:tcBorders>
              <w:top w:val="nil"/>
              <w:left w:val="single" w:sz="4" w:space="0" w:color="auto"/>
              <w:bottom w:val="nil"/>
              <w:right w:val="single" w:sz="4" w:space="0" w:color="auto"/>
            </w:tcBorders>
            <w:shd w:val="clear" w:color="auto" w:fill="auto"/>
            <w:noWrap/>
            <w:hideMark/>
          </w:tcPr>
          <w:p w14:paraId="24CD28F3" w14:textId="77777777" w:rsidR="00C528E5" w:rsidRPr="00D57AFD" w:rsidRDefault="00C528E5" w:rsidP="00C528E5">
            <w:pPr>
              <w:spacing w:before="0"/>
              <w:ind w:firstLineChars="100" w:firstLine="180"/>
              <w:rPr>
                <w:rFonts w:ascii="Arial" w:hAnsi="Arial" w:cs="Arial"/>
                <w:color w:val="000000"/>
                <w:sz w:val="18"/>
                <w:szCs w:val="22"/>
                <w:lang w:val="es-MX" w:eastAsia="es-MX"/>
              </w:rPr>
            </w:pPr>
            <w:r>
              <w:rPr>
                <w:rFonts w:ascii="Arial" w:hAnsi="Arial" w:cs="Arial"/>
                <w:color w:val="000000"/>
                <w:sz w:val="18"/>
                <w:szCs w:val="22"/>
                <w:lang w:val="es-MX" w:eastAsia="es-MX"/>
              </w:rPr>
              <w:t xml:space="preserve">  </w:t>
            </w:r>
            <w:r w:rsidRPr="00D57AFD">
              <w:rPr>
                <w:rFonts w:ascii="Arial" w:hAnsi="Arial" w:cs="Arial"/>
                <w:color w:val="000000"/>
                <w:sz w:val="18"/>
                <w:szCs w:val="22"/>
                <w:lang w:val="es-MX" w:eastAsia="es-MX"/>
              </w:rPr>
              <w:t>Formación b</w:t>
            </w:r>
            <w:r>
              <w:rPr>
                <w:rFonts w:ascii="Arial" w:hAnsi="Arial" w:cs="Arial"/>
                <w:color w:val="000000"/>
                <w:sz w:val="18"/>
                <w:szCs w:val="22"/>
                <w:lang w:val="es-MX" w:eastAsia="es-MX"/>
              </w:rPr>
              <w:t>r</w:t>
            </w:r>
            <w:r w:rsidRPr="00D57AFD">
              <w:rPr>
                <w:rFonts w:ascii="Arial" w:hAnsi="Arial" w:cs="Arial"/>
                <w:color w:val="000000"/>
                <w:sz w:val="18"/>
                <w:szCs w:val="22"/>
                <w:lang w:val="es-MX" w:eastAsia="es-MX"/>
              </w:rPr>
              <w:t>uta de capital fijo</w:t>
            </w:r>
          </w:p>
        </w:tc>
        <w:tc>
          <w:tcPr>
            <w:tcW w:w="1384" w:type="dxa"/>
            <w:tcBorders>
              <w:top w:val="nil"/>
              <w:left w:val="nil"/>
              <w:bottom w:val="nil"/>
              <w:right w:val="nil"/>
            </w:tcBorders>
            <w:shd w:val="clear" w:color="auto" w:fill="auto"/>
            <w:noWrap/>
            <w:tcMar>
              <w:right w:w="227" w:type="dxa"/>
            </w:tcMar>
          </w:tcPr>
          <w:p w14:paraId="6DA8AB5F" w14:textId="77777777" w:rsidR="00C528E5" w:rsidRPr="0061393B" w:rsidRDefault="00517C7B" w:rsidP="0062740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 xml:space="preserve">1 </w:t>
            </w:r>
            <w:r w:rsidR="0062740C">
              <w:rPr>
                <w:rFonts w:ascii="Arial" w:hAnsi="Arial" w:cs="Arial"/>
                <w:bCs/>
                <w:color w:val="000000"/>
                <w:sz w:val="18"/>
                <w:szCs w:val="22"/>
                <w:lang w:val="es-MX" w:eastAsia="es-MX"/>
              </w:rPr>
              <w:t>307</w:t>
            </w:r>
            <w:r>
              <w:rPr>
                <w:rFonts w:ascii="Arial" w:hAnsi="Arial" w:cs="Arial"/>
                <w:bCs/>
                <w:color w:val="000000"/>
                <w:sz w:val="18"/>
                <w:szCs w:val="22"/>
                <w:lang w:val="es-MX" w:eastAsia="es-MX"/>
              </w:rPr>
              <w:t xml:space="preserve"> </w:t>
            </w:r>
            <w:r w:rsidR="0062740C">
              <w:rPr>
                <w:rFonts w:ascii="Arial" w:hAnsi="Arial" w:cs="Arial"/>
                <w:bCs/>
                <w:color w:val="000000"/>
                <w:sz w:val="18"/>
                <w:szCs w:val="22"/>
                <w:lang w:val="es-MX" w:eastAsia="es-MX"/>
              </w:rPr>
              <w:t>339</w:t>
            </w:r>
          </w:p>
        </w:tc>
        <w:tc>
          <w:tcPr>
            <w:tcW w:w="1168" w:type="dxa"/>
            <w:tcBorders>
              <w:top w:val="nil"/>
              <w:left w:val="nil"/>
              <w:bottom w:val="nil"/>
              <w:right w:val="nil"/>
            </w:tcBorders>
            <w:shd w:val="clear" w:color="auto" w:fill="auto"/>
            <w:noWrap/>
            <w:vAlign w:val="center"/>
          </w:tcPr>
          <w:p w14:paraId="7AC34515" w14:textId="77777777" w:rsidR="00C528E5" w:rsidRPr="0061393B" w:rsidRDefault="00FD2294" w:rsidP="0062740C">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7</w:t>
            </w:r>
            <w:r w:rsidR="0062740C">
              <w:rPr>
                <w:rFonts w:ascii="Arial" w:hAnsi="Arial" w:cs="Arial"/>
                <w:bCs/>
                <w:color w:val="000000"/>
                <w:sz w:val="18"/>
                <w:szCs w:val="22"/>
                <w:lang w:val="es-MX" w:eastAsia="es-MX"/>
              </w:rPr>
              <w:t>2.4</w:t>
            </w:r>
          </w:p>
        </w:tc>
        <w:tc>
          <w:tcPr>
            <w:tcW w:w="1417" w:type="dxa"/>
            <w:tcBorders>
              <w:top w:val="nil"/>
              <w:left w:val="nil"/>
              <w:bottom w:val="nil"/>
              <w:right w:val="nil"/>
            </w:tcBorders>
            <w:shd w:val="clear" w:color="auto" w:fill="auto"/>
            <w:noWrap/>
            <w:tcMar>
              <w:right w:w="227" w:type="dxa"/>
            </w:tcMar>
          </w:tcPr>
          <w:p w14:paraId="303E3449" w14:textId="77777777" w:rsidR="00C528E5" w:rsidRPr="0061393B" w:rsidRDefault="004F6AF1" w:rsidP="0062740C">
            <w:pPr>
              <w:spacing w:before="0"/>
              <w:ind w:firstLineChars="100" w:firstLine="180"/>
              <w:jc w:val="right"/>
              <w:rPr>
                <w:rFonts w:ascii="Arial" w:hAnsi="Arial" w:cs="Arial"/>
                <w:bCs/>
                <w:color w:val="000000"/>
                <w:sz w:val="18"/>
                <w:szCs w:val="22"/>
                <w:lang w:val="es-MX" w:eastAsia="es-MX"/>
              </w:rPr>
            </w:pPr>
            <w:r>
              <w:rPr>
                <w:rFonts w:ascii="Arial" w:hAnsi="Arial" w:cs="Arial"/>
                <w:bCs/>
                <w:color w:val="000000"/>
                <w:sz w:val="18"/>
                <w:szCs w:val="22"/>
                <w:lang w:val="es-MX" w:eastAsia="es-MX"/>
              </w:rPr>
              <w:t xml:space="preserve">1 </w:t>
            </w:r>
            <w:r w:rsidR="0062740C">
              <w:rPr>
                <w:rFonts w:ascii="Arial" w:hAnsi="Arial" w:cs="Arial"/>
                <w:bCs/>
                <w:color w:val="000000"/>
                <w:sz w:val="18"/>
                <w:szCs w:val="22"/>
                <w:lang w:val="es-MX" w:eastAsia="es-MX"/>
              </w:rPr>
              <w:t>420</w:t>
            </w:r>
            <w:r>
              <w:rPr>
                <w:rFonts w:ascii="Arial" w:hAnsi="Arial" w:cs="Arial"/>
                <w:bCs/>
                <w:color w:val="000000"/>
                <w:sz w:val="18"/>
                <w:szCs w:val="22"/>
                <w:lang w:val="es-MX" w:eastAsia="es-MX"/>
              </w:rPr>
              <w:t xml:space="preserve"> </w:t>
            </w:r>
            <w:r w:rsidR="0062740C">
              <w:rPr>
                <w:rFonts w:ascii="Arial" w:hAnsi="Arial" w:cs="Arial"/>
                <w:bCs/>
                <w:color w:val="000000"/>
                <w:sz w:val="18"/>
                <w:szCs w:val="22"/>
                <w:lang w:val="es-MX" w:eastAsia="es-MX"/>
              </w:rPr>
              <w:t>566</w:t>
            </w:r>
          </w:p>
        </w:tc>
        <w:tc>
          <w:tcPr>
            <w:tcW w:w="1134" w:type="dxa"/>
            <w:tcBorders>
              <w:top w:val="nil"/>
              <w:left w:val="nil"/>
              <w:bottom w:val="nil"/>
              <w:right w:val="single" w:sz="4" w:space="0" w:color="auto"/>
            </w:tcBorders>
            <w:shd w:val="clear" w:color="auto" w:fill="auto"/>
            <w:noWrap/>
          </w:tcPr>
          <w:p w14:paraId="5D689F85" w14:textId="77777777" w:rsidR="00C528E5" w:rsidRPr="0061393B" w:rsidRDefault="00FD2294" w:rsidP="0062740C">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7</w:t>
            </w:r>
            <w:r w:rsidR="0062740C">
              <w:rPr>
                <w:rFonts w:ascii="Arial" w:hAnsi="Arial" w:cs="Arial"/>
                <w:bCs/>
                <w:color w:val="000000"/>
                <w:sz w:val="18"/>
                <w:szCs w:val="22"/>
                <w:lang w:val="es-MX" w:eastAsia="es-MX"/>
              </w:rPr>
              <w:t>3.2</w:t>
            </w:r>
          </w:p>
        </w:tc>
      </w:tr>
      <w:tr w:rsidR="00BA0D15" w:rsidRPr="00BA0D15" w14:paraId="2D35202E" w14:textId="77777777" w:rsidTr="00481CDC">
        <w:trPr>
          <w:trHeight w:val="300"/>
        </w:trPr>
        <w:tc>
          <w:tcPr>
            <w:tcW w:w="3544" w:type="dxa"/>
            <w:tcBorders>
              <w:top w:val="nil"/>
              <w:left w:val="single" w:sz="4" w:space="0" w:color="auto"/>
              <w:bottom w:val="single" w:sz="4" w:space="0" w:color="auto"/>
              <w:right w:val="single" w:sz="4" w:space="0" w:color="auto"/>
            </w:tcBorders>
            <w:shd w:val="clear" w:color="auto" w:fill="auto"/>
            <w:noWrap/>
            <w:hideMark/>
          </w:tcPr>
          <w:p w14:paraId="0DED78C3" w14:textId="77777777" w:rsidR="00BA0D15" w:rsidRPr="00D57AFD" w:rsidRDefault="00AA4332" w:rsidP="00BA0D15">
            <w:pPr>
              <w:spacing w:before="0"/>
              <w:ind w:firstLineChars="100" w:firstLine="180"/>
              <w:rPr>
                <w:rFonts w:ascii="Arial" w:hAnsi="Arial" w:cs="Arial"/>
                <w:color w:val="000000"/>
                <w:sz w:val="18"/>
                <w:szCs w:val="22"/>
                <w:lang w:val="es-MX" w:eastAsia="es-MX"/>
              </w:rPr>
            </w:pPr>
            <w:r>
              <w:rPr>
                <w:rFonts w:ascii="Arial" w:hAnsi="Arial" w:cs="Arial"/>
                <w:color w:val="000000"/>
                <w:sz w:val="18"/>
                <w:szCs w:val="22"/>
                <w:lang w:val="es-MX" w:eastAsia="es-MX"/>
              </w:rPr>
              <w:t xml:space="preserve">  </w:t>
            </w:r>
            <w:r w:rsidR="00BA0D15" w:rsidRPr="00D57AFD">
              <w:rPr>
                <w:rFonts w:ascii="Arial" w:hAnsi="Arial" w:cs="Arial"/>
                <w:color w:val="000000"/>
                <w:sz w:val="18"/>
                <w:szCs w:val="22"/>
                <w:lang w:val="es-MX" w:eastAsia="es-MX"/>
              </w:rPr>
              <w:t>Exportación de bienes FOB</w:t>
            </w:r>
            <w:r>
              <w:rPr>
                <w:rFonts w:ascii="Arial" w:hAnsi="Arial" w:cs="Arial"/>
                <w:color w:val="000000"/>
                <w:sz w:val="18"/>
                <w:szCs w:val="22"/>
                <w:lang w:val="es-MX" w:eastAsia="es-MX"/>
              </w:rPr>
              <w:t>*</w:t>
            </w:r>
          </w:p>
        </w:tc>
        <w:tc>
          <w:tcPr>
            <w:tcW w:w="1384" w:type="dxa"/>
            <w:tcBorders>
              <w:top w:val="nil"/>
              <w:left w:val="nil"/>
              <w:bottom w:val="single" w:sz="4" w:space="0" w:color="auto"/>
              <w:right w:val="nil"/>
            </w:tcBorders>
            <w:shd w:val="clear" w:color="auto" w:fill="auto"/>
            <w:noWrap/>
            <w:tcMar>
              <w:right w:w="227" w:type="dxa"/>
            </w:tcMar>
          </w:tcPr>
          <w:p w14:paraId="6A3E7B3F" w14:textId="77777777" w:rsidR="00BA0D15" w:rsidRPr="0061393B" w:rsidRDefault="00517C7B" w:rsidP="00AD202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0</w:t>
            </w:r>
          </w:p>
        </w:tc>
        <w:tc>
          <w:tcPr>
            <w:tcW w:w="1168" w:type="dxa"/>
            <w:tcBorders>
              <w:top w:val="nil"/>
              <w:left w:val="nil"/>
              <w:bottom w:val="single" w:sz="4" w:space="0" w:color="auto"/>
              <w:right w:val="nil"/>
            </w:tcBorders>
            <w:shd w:val="clear" w:color="auto" w:fill="auto"/>
            <w:noWrap/>
            <w:vAlign w:val="center"/>
          </w:tcPr>
          <w:p w14:paraId="7A0B18BE" w14:textId="77777777" w:rsidR="00BA0D15" w:rsidRPr="0061393B" w:rsidRDefault="00517C7B"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0.0</w:t>
            </w:r>
          </w:p>
        </w:tc>
        <w:tc>
          <w:tcPr>
            <w:tcW w:w="1417" w:type="dxa"/>
            <w:tcBorders>
              <w:top w:val="nil"/>
              <w:left w:val="nil"/>
              <w:bottom w:val="single" w:sz="4" w:space="0" w:color="auto"/>
              <w:right w:val="nil"/>
            </w:tcBorders>
            <w:shd w:val="clear" w:color="auto" w:fill="auto"/>
            <w:noWrap/>
            <w:tcMar>
              <w:right w:w="227" w:type="dxa"/>
            </w:tcMar>
          </w:tcPr>
          <w:p w14:paraId="16C130B4" w14:textId="77777777" w:rsidR="00BA0D15" w:rsidRPr="0061393B" w:rsidRDefault="00FD2294" w:rsidP="001B72FC">
            <w:pPr>
              <w:spacing w:before="0"/>
              <w:jc w:val="right"/>
              <w:rPr>
                <w:rFonts w:ascii="Arial" w:hAnsi="Arial" w:cs="Arial"/>
                <w:color w:val="000000"/>
                <w:sz w:val="18"/>
                <w:szCs w:val="22"/>
                <w:lang w:val="es-MX" w:eastAsia="es-MX"/>
              </w:rPr>
            </w:pPr>
            <w:r>
              <w:rPr>
                <w:rFonts w:ascii="Arial" w:hAnsi="Arial" w:cs="Arial"/>
                <w:color w:val="000000"/>
                <w:sz w:val="18"/>
                <w:szCs w:val="22"/>
                <w:lang w:val="es-MX" w:eastAsia="es-MX"/>
              </w:rPr>
              <w:t>0</w:t>
            </w:r>
          </w:p>
        </w:tc>
        <w:tc>
          <w:tcPr>
            <w:tcW w:w="1134" w:type="dxa"/>
            <w:tcBorders>
              <w:top w:val="nil"/>
              <w:left w:val="nil"/>
              <w:bottom w:val="single" w:sz="4" w:space="0" w:color="auto"/>
              <w:right w:val="single" w:sz="4" w:space="0" w:color="auto"/>
            </w:tcBorders>
            <w:shd w:val="clear" w:color="auto" w:fill="auto"/>
            <w:noWrap/>
          </w:tcPr>
          <w:p w14:paraId="0C7630A7" w14:textId="77777777" w:rsidR="00BA0D15" w:rsidRPr="0061393B" w:rsidRDefault="004F6AF1" w:rsidP="00C528E5">
            <w:pPr>
              <w:spacing w:before="0"/>
              <w:ind w:right="214"/>
              <w:jc w:val="right"/>
              <w:rPr>
                <w:rFonts w:ascii="Arial" w:hAnsi="Arial" w:cs="Arial"/>
                <w:bCs/>
                <w:color w:val="000000"/>
                <w:sz w:val="18"/>
                <w:szCs w:val="22"/>
                <w:lang w:val="es-MX" w:eastAsia="es-MX"/>
              </w:rPr>
            </w:pPr>
            <w:r>
              <w:rPr>
                <w:rFonts w:ascii="Arial" w:hAnsi="Arial" w:cs="Arial"/>
                <w:bCs/>
                <w:color w:val="000000"/>
                <w:sz w:val="18"/>
                <w:szCs w:val="22"/>
                <w:lang w:val="es-MX" w:eastAsia="es-MX"/>
              </w:rPr>
              <w:t>0.0</w:t>
            </w:r>
          </w:p>
        </w:tc>
      </w:tr>
    </w:tbl>
    <w:p w14:paraId="6A205050" w14:textId="77777777" w:rsidR="00552DB2" w:rsidRPr="00552DB2" w:rsidRDefault="00552DB2" w:rsidP="00D57AFD">
      <w:pPr>
        <w:pStyle w:val="Textoindependiente"/>
        <w:rPr>
          <w:sz w:val="16"/>
          <w:szCs w:val="16"/>
          <w:lang w:val="es-MX"/>
        </w:rPr>
      </w:pPr>
      <w:r>
        <w:rPr>
          <w:sz w:val="16"/>
          <w:szCs w:val="16"/>
          <w:lang w:val="es-MX"/>
        </w:rPr>
        <w:t>NOTA: La suma de los parciales puede no coincidir con el total debido al redondeo.</w:t>
      </w:r>
    </w:p>
    <w:p w14:paraId="74B5F177" w14:textId="77777777" w:rsidR="00AA4332" w:rsidRDefault="00AA4332" w:rsidP="00243CE7">
      <w:pPr>
        <w:pStyle w:val="Textoindependiente"/>
        <w:ind w:left="142" w:right="191" w:hanging="142"/>
        <w:rPr>
          <w:sz w:val="16"/>
          <w:szCs w:val="16"/>
          <w:lang w:val="es-MX"/>
        </w:rPr>
      </w:pPr>
      <w:r>
        <w:rPr>
          <w:sz w:val="16"/>
          <w:szCs w:val="16"/>
          <w:lang w:val="es-MX"/>
        </w:rPr>
        <w:t xml:space="preserve">* CIF: </w:t>
      </w:r>
      <w:r w:rsidR="00D3230E" w:rsidRPr="00D3230E">
        <w:rPr>
          <w:sz w:val="16"/>
          <w:szCs w:val="16"/>
          <w:lang w:val="es-MX"/>
        </w:rPr>
        <w:t xml:space="preserve">Es el valor comercial de las mercancías compradas en el lugar de procedencia, colocadas en la frontera nacional, incluye el valor de las transacciones de los bienes, el valor de los servicios suministrados para entregarlas en la frontera del país exportador y el valor de los servicios prestados para la entrega desde la frontera del país exportador hasta la frontera del país importador. </w:t>
      </w:r>
      <w:r>
        <w:rPr>
          <w:sz w:val="16"/>
          <w:szCs w:val="16"/>
          <w:lang w:val="es-MX"/>
        </w:rPr>
        <w:t xml:space="preserve">FOB: </w:t>
      </w:r>
      <w:r w:rsidR="00D3230E" w:rsidRPr="00D3230E">
        <w:rPr>
          <w:sz w:val="16"/>
          <w:szCs w:val="16"/>
          <w:lang w:val="es-MX"/>
        </w:rPr>
        <w:t>Es el valor de venta de las mercancías en su lugar de origen colocadas en frontera o puerto nacional, incluye el valor de transacción de los bienes y el valor de los servicios suministrados para entregarlas en la frontera del país exportador. No incluye el costo p</w:t>
      </w:r>
      <w:r w:rsidR="00D3230E">
        <w:rPr>
          <w:sz w:val="16"/>
          <w:szCs w:val="16"/>
          <w:lang w:val="es-MX"/>
        </w:rPr>
        <w:t>or concepto de fletes y seguros</w:t>
      </w:r>
      <w:r w:rsidRPr="00AA4332">
        <w:rPr>
          <w:sz w:val="16"/>
          <w:szCs w:val="16"/>
          <w:lang w:val="es-MX"/>
        </w:rPr>
        <w:t>.</w:t>
      </w:r>
    </w:p>
    <w:p w14:paraId="02FD4B5C" w14:textId="77777777" w:rsidR="00F645A9" w:rsidRDefault="00772B73" w:rsidP="00243CE7">
      <w:pPr>
        <w:pStyle w:val="Textoindependiente"/>
        <w:ind w:right="191"/>
        <w:rPr>
          <w:sz w:val="16"/>
          <w:szCs w:val="16"/>
        </w:rPr>
      </w:pPr>
      <w:r>
        <w:rPr>
          <w:sz w:val="16"/>
          <w:szCs w:val="16"/>
        </w:rPr>
        <w:t>F</w:t>
      </w:r>
      <w:r w:rsidRPr="00F761A1">
        <w:rPr>
          <w:sz w:val="16"/>
          <w:szCs w:val="16"/>
        </w:rPr>
        <w:t xml:space="preserve">uente: </w:t>
      </w:r>
      <w:r w:rsidR="0022745C">
        <w:rPr>
          <w:sz w:val="16"/>
          <w:szCs w:val="16"/>
        </w:rPr>
        <w:t>INEGI.</w:t>
      </w:r>
    </w:p>
    <w:p w14:paraId="4A40B5E7" w14:textId="77777777" w:rsidR="00F645A9" w:rsidRPr="00C21DF7" w:rsidRDefault="006C5AC8" w:rsidP="00D3230E">
      <w:pPr>
        <w:pStyle w:val="parrafo1"/>
        <w:spacing w:before="240"/>
        <w:ind w:left="0" w:right="51"/>
        <w:rPr>
          <w:color w:val="000000"/>
        </w:rPr>
      </w:pPr>
      <w:r>
        <w:rPr>
          <w:color w:val="000000"/>
        </w:rPr>
        <w:t>A</w:t>
      </w:r>
      <w:r w:rsidR="00F645A9" w:rsidRPr="001F7EF2">
        <w:rPr>
          <w:color w:val="000000"/>
        </w:rPr>
        <w:t xml:space="preserve">l comparar </w:t>
      </w:r>
      <w:r w:rsidR="000820E0">
        <w:rPr>
          <w:color w:val="000000"/>
        </w:rPr>
        <w:t>la o</w:t>
      </w:r>
      <w:r w:rsidR="00341D18">
        <w:rPr>
          <w:color w:val="000000"/>
        </w:rPr>
        <w:t xml:space="preserve">ferta total de bienes y servicios </w:t>
      </w:r>
      <w:r w:rsidR="009D43D6">
        <w:rPr>
          <w:color w:val="000000"/>
        </w:rPr>
        <w:t>de la vivienda</w:t>
      </w:r>
      <w:r w:rsidR="00341D18">
        <w:rPr>
          <w:color w:val="000000"/>
        </w:rPr>
        <w:t xml:space="preserve"> </w:t>
      </w:r>
      <w:r w:rsidR="00B32E0A">
        <w:rPr>
          <w:color w:val="000000"/>
        </w:rPr>
        <w:t>de 201</w:t>
      </w:r>
      <w:r w:rsidR="00852004">
        <w:rPr>
          <w:color w:val="000000"/>
        </w:rPr>
        <w:t>8</w:t>
      </w:r>
      <w:r w:rsidR="000A6589">
        <w:rPr>
          <w:color w:val="000000"/>
        </w:rPr>
        <w:t xml:space="preserve"> (a precios constantes)</w:t>
      </w:r>
      <w:r w:rsidR="00B32E0A">
        <w:rPr>
          <w:color w:val="000000"/>
        </w:rPr>
        <w:t xml:space="preserve"> </w:t>
      </w:r>
      <w:r w:rsidR="00341D18">
        <w:rPr>
          <w:color w:val="000000"/>
        </w:rPr>
        <w:t xml:space="preserve">con </w:t>
      </w:r>
      <w:r w:rsidR="001B72FC">
        <w:rPr>
          <w:color w:val="000000"/>
        </w:rPr>
        <w:t>la d</w:t>
      </w:r>
      <w:r w:rsidR="00341D18">
        <w:rPr>
          <w:color w:val="000000"/>
        </w:rPr>
        <w:t xml:space="preserve">el año </w:t>
      </w:r>
      <w:r w:rsidR="00B32E0A">
        <w:rPr>
          <w:color w:val="000000"/>
        </w:rPr>
        <w:t>anterior</w:t>
      </w:r>
      <w:r w:rsidR="00341D18">
        <w:rPr>
          <w:color w:val="000000"/>
        </w:rPr>
        <w:t xml:space="preserve">, se observó un </w:t>
      </w:r>
      <w:r w:rsidR="00A61DCA">
        <w:rPr>
          <w:color w:val="000000"/>
        </w:rPr>
        <w:t>aumento</w:t>
      </w:r>
      <w:r w:rsidR="00341D18">
        <w:rPr>
          <w:color w:val="000000"/>
        </w:rPr>
        <w:t xml:space="preserve"> de </w:t>
      </w:r>
      <w:r w:rsidR="00852004">
        <w:rPr>
          <w:color w:val="000000"/>
        </w:rPr>
        <w:t>1.1</w:t>
      </w:r>
      <w:r w:rsidR="00A533B1" w:rsidRPr="00C21DF7">
        <w:rPr>
          <w:color w:val="000000"/>
        </w:rPr>
        <w:t>%</w:t>
      </w:r>
      <w:r w:rsidR="000A6589" w:rsidRPr="00C21DF7">
        <w:rPr>
          <w:color w:val="000000"/>
        </w:rPr>
        <w:t xml:space="preserve"> en términos reales</w:t>
      </w:r>
      <w:r w:rsidR="00341D18" w:rsidRPr="00C21DF7">
        <w:rPr>
          <w:color w:val="000000"/>
        </w:rPr>
        <w:t>.</w:t>
      </w:r>
    </w:p>
    <w:p w14:paraId="2F8F4294" w14:textId="77777777" w:rsidR="00FA285D" w:rsidRPr="00C21DF7" w:rsidRDefault="00C4637A" w:rsidP="00FB5A86">
      <w:pPr>
        <w:pStyle w:val="parrafo1"/>
        <w:keepNext/>
        <w:spacing w:before="360"/>
        <w:ind w:left="0" w:right="17"/>
        <w:jc w:val="left"/>
        <w:rPr>
          <w:b/>
          <w:iCs/>
          <w:smallCaps/>
          <w:color w:val="000000"/>
        </w:rPr>
      </w:pPr>
      <w:r w:rsidRPr="00C21DF7">
        <w:rPr>
          <w:b/>
          <w:i/>
          <w:smallCaps/>
          <w:color w:val="000000"/>
        </w:rPr>
        <w:t xml:space="preserve">Puestos de trabajo en el sector de la </w:t>
      </w:r>
      <w:r w:rsidR="00624D0A" w:rsidRPr="00C21DF7">
        <w:rPr>
          <w:b/>
          <w:i/>
          <w:smallCaps/>
          <w:color w:val="000000"/>
        </w:rPr>
        <w:t>vivienda</w:t>
      </w:r>
    </w:p>
    <w:p w14:paraId="25F9E236" w14:textId="77777777" w:rsidR="002F4B0C" w:rsidRPr="00C21DF7" w:rsidRDefault="0022745C" w:rsidP="00D3230E">
      <w:pPr>
        <w:pStyle w:val="parrafo1"/>
        <w:spacing w:before="240"/>
        <w:ind w:left="0" w:right="51"/>
        <w:rPr>
          <w:color w:val="000000"/>
        </w:rPr>
      </w:pPr>
      <w:r w:rsidRPr="00C21DF7">
        <w:rPr>
          <w:color w:val="000000"/>
        </w:rPr>
        <w:t>Durante 201</w:t>
      </w:r>
      <w:r w:rsidR="00852004">
        <w:rPr>
          <w:color w:val="000000"/>
        </w:rPr>
        <w:t>8</w:t>
      </w:r>
      <w:r w:rsidR="00FA285D" w:rsidRPr="00C21DF7">
        <w:rPr>
          <w:color w:val="000000"/>
        </w:rPr>
        <w:t xml:space="preserve">, </w:t>
      </w:r>
      <w:r w:rsidR="001B72FC" w:rsidRPr="00C21DF7">
        <w:rPr>
          <w:color w:val="000000"/>
        </w:rPr>
        <w:t xml:space="preserve">las actividades vinculadas con </w:t>
      </w:r>
      <w:r w:rsidR="006F5FAC" w:rsidRPr="00C21DF7">
        <w:rPr>
          <w:color w:val="000000"/>
        </w:rPr>
        <w:t xml:space="preserve">la </w:t>
      </w:r>
      <w:r w:rsidR="00521592" w:rsidRPr="00C21DF7">
        <w:rPr>
          <w:color w:val="000000"/>
        </w:rPr>
        <w:t>vivienda</w:t>
      </w:r>
      <w:r w:rsidR="001B72FC" w:rsidRPr="00C21DF7">
        <w:rPr>
          <w:color w:val="000000"/>
        </w:rPr>
        <w:t xml:space="preserve"> </w:t>
      </w:r>
      <w:r w:rsidR="00521592" w:rsidRPr="00C21DF7">
        <w:rPr>
          <w:color w:val="000000"/>
        </w:rPr>
        <w:t>reportaron</w:t>
      </w:r>
      <w:r w:rsidR="001B72FC" w:rsidRPr="00C21DF7">
        <w:rPr>
          <w:color w:val="000000"/>
        </w:rPr>
        <w:t xml:space="preserve"> </w:t>
      </w:r>
      <w:r w:rsidR="006A742F" w:rsidRPr="00C21DF7">
        <w:rPr>
          <w:color w:val="000000"/>
        </w:rPr>
        <w:t>u</w:t>
      </w:r>
      <w:r w:rsidR="00FD06C2" w:rsidRPr="00C21DF7">
        <w:rPr>
          <w:color w:val="000000"/>
        </w:rPr>
        <w:t xml:space="preserve">n total </w:t>
      </w:r>
      <w:r w:rsidR="000A6589" w:rsidRPr="00C21DF7">
        <w:rPr>
          <w:color w:val="000000"/>
        </w:rPr>
        <w:t xml:space="preserve">de </w:t>
      </w:r>
      <w:r w:rsidR="00481CDC">
        <w:rPr>
          <w:color w:val="000000"/>
        </w:rPr>
        <w:t>2,</w:t>
      </w:r>
      <w:r w:rsidR="00852004">
        <w:rPr>
          <w:color w:val="000000"/>
        </w:rPr>
        <w:t>467</w:t>
      </w:r>
      <w:r w:rsidR="00481CDC">
        <w:rPr>
          <w:color w:val="000000"/>
        </w:rPr>
        <w:t>,</w:t>
      </w:r>
      <w:r w:rsidR="00852004">
        <w:rPr>
          <w:color w:val="000000"/>
        </w:rPr>
        <w:t>995</w:t>
      </w:r>
      <w:r w:rsidR="007B7451" w:rsidRPr="00C21DF7">
        <w:rPr>
          <w:color w:val="000000"/>
        </w:rPr>
        <w:t xml:space="preserve"> puestos de trabajo, que represent</w:t>
      </w:r>
      <w:r w:rsidR="005E3510" w:rsidRPr="00C21DF7">
        <w:rPr>
          <w:color w:val="000000"/>
        </w:rPr>
        <w:t>aron</w:t>
      </w:r>
      <w:r w:rsidR="007B7451" w:rsidRPr="00C21DF7">
        <w:rPr>
          <w:color w:val="000000"/>
        </w:rPr>
        <w:t xml:space="preserve"> el </w:t>
      </w:r>
      <w:r w:rsidR="00852004">
        <w:rPr>
          <w:color w:val="000000"/>
        </w:rPr>
        <w:t>5.7</w:t>
      </w:r>
      <w:r w:rsidR="007B7451" w:rsidRPr="00C21DF7">
        <w:rPr>
          <w:color w:val="000000"/>
        </w:rPr>
        <w:t xml:space="preserve">% de los </w:t>
      </w:r>
      <w:r w:rsidR="00FD06C2" w:rsidRPr="00C21DF7">
        <w:rPr>
          <w:color w:val="000000"/>
        </w:rPr>
        <w:t>correspondientes al</w:t>
      </w:r>
      <w:r w:rsidR="007B7451" w:rsidRPr="00C21DF7">
        <w:rPr>
          <w:color w:val="000000"/>
        </w:rPr>
        <w:t xml:space="preserve"> total del país. </w:t>
      </w:r>
      <w:r w:rsidR="005E3510" w:rsidRPr="00C21DF7">
        <w:rPr>
          <w:color w:val="000000"/>
        </w:rPr>
        <w:t>En su comparación anual el número de puesto</w:t>
      </w:r>
      <w:r w:rsidR="00EF7FFC" w:rsidRPr="00C21DF7">
        <w:rPr>
          <w:color w:val="000000"/>
        </w:rPr>
        <w:t xml:space="preserve">s de trabajo se incrementó en </w:t>
      </w:r>
      <w:r w:rsidR="00852004">
        <w:rPr>
          <w:color w:val="000000"/>
        </w:rPr>
        <w:t>2.3</w:t>
      </w:r>
      <w:r w:rsidR="005E3510" w:rsidRPr="00C21DF7">
        <w:rPr>
          <w:color w:val="000000"/>
        </w:rPr>
        <w:t xml:space="preserve">% </w:t>
      </w:r>
      <w:r w:rsidR="00F6154E" w:rsidRPr="00C21DF7">
        <w:rPr>
          <w:color w:val="000000"/>
        </w:rPr>
        <w:t>respecto al año anterior.</w:t>
      </w:r>
    </w:p>
    <w:p w14:paraId="7E67FF2A" w14:textId="77777777" w:rsidR="006A41AF" w:rsidRDefault="006A41AF" w:rsidP="00D53FC5">
      <w:pPr>
        <w:pStyle w:val="parrafo1"/>
        <w:spacing w:before="240"/>
        <w:ind w:left="0" w:right="51"/>
        <w:rPr>
          <w:color w:val="000000"/>
        </w:rPr>
      </w:pPr>
      <w:r w:rsidRPr="00C21DF7">
        <w:rPr>
          <w:color w:val="000000"/>
        </w:rPr>
        <w:lastRenderedPageBreak/>
        <w:t>Al revisar la participación de la vivienda en algunos sectores seleccionados de la economía</w:t>
      </w:r>
      <w:r w:rsidRPr="00852004">
        <w:rPr>
          <w:rStyle w:val="Refdenotaalpie"/>
          <w:b w:val="0"/>
          <w:color w:val="000000"/>
        </w:rPr>
        <w:footnoteReference w:id="11"/>
      </w:r>
      <w:r w:rsidRPr="00C21DF7">
        <w:rPr>
          <w:color w:val="000000"/>
        </w:rPr>
        <w:t xml:space="preserve">, </w:t>
      </w:r>
      <w:r w:rsidR="00A61DCA">
        <w:rPr>
          <w:color w:val="000000"/>
        </w:rPr>
        <w:t>ésta mostró</w:t>
      </w:r>
      <w:r w:rsidRPr="00C21DF7">
        <w:rPr>
          <w:color w:val="000000"/>
        </w:rPr>
        <w:t xml:space="preserve"> que de</w:t>
      </w:r>
      <w:r w:rsidR="002F4B0C" w:rsidRPr="00C21DF7">
        <w:rPr>
          <w:color w:val="000000"/>
        </w:rPr>
        <w:t xml:space="preserve">l total de </w:t>
      </w:r>
      <w:r w:rsidRPr="00C21DF7">
        <w:rPr>
          <w:color w:val="000000"/>
        </w:rPr>
        <w:t>puestos de trabajo en el sector construcción (sector 23) el 4</w:t>
      </w:r>
      <w:r w:rsidR="00432D2E">
        <w:rPr>
          <w:color w:val="000000"/>
        </w:rPr>
        <w:t>6.8</w:t>
      </w:r>
      <w:r w:rsidRPr="00C21DF7">
        <w:rPr>
          <w:color w:val="000000"/>
        </w:rPr>
        <w:t xml:space="preserve">% </w:t>
      </w:r>
      <w:r w:rsidR="002F4B0C" w:rsidRPr="00C21DF7">
        <w:rPr>
          <w:color w:val="000000"/>
        </w:rPr>
        <w:t xml:space="preserve">se asoció </w:t>
      </w:r>
      <w:r w:rsidRPr="00C21DF7">
        <w:rPr>
          <w:color w:val="000000"/>
        </w:rPr>
        <w:t>con actividade</w:t>
      </w:r>
      <w:r>
        <w:rPr>
          <w:color w:val="000000"/>
        </w:rPr>
        <w:t xml:space="preserve">s vinculadas </w:t>
      </w:r>
      <w:r w:rsidR="002F4B0C">
        <w:rPr>
          <w:color w:val="000000"/>
        </w:rPr>
        <w:t xml:space="preserve">a </w:t>
      </w:r>
      <w:r>
        <w:rPr>
          <w:color w:val="000000"/>
        </w:rPr>
        <w:t xml:space="preserve">la vivienda, en los servicios </w:t>
      </w:r>
      <w:r w:rsidRPr="002065E6">
        <w:rPr>
          <w:color w:val="000000"/>
        </w:rPr>
        <w:t>inmobiliarios</w:t>
      </w:r>
      <w:r w:rsidR="00A61DCA">
        <w:rPr>
          <w:color w:val="000000"/>
        </w:rPr>
        <w:t xml:space="preserve"> y de alquiler</w:t>
      </w:r>
      <w:r>
        <w:rPr>
          <w:color w:val="000000"/>
        </w:rPr>
        <w:t xml:space="preserve"> (sector 53) la contribución de la</w:t>
      </w:r>
      <w:r w:rsidR="007057BC">
        <w:rPr>
          <w:color w:val="000000"/>
        </w:rPr>
        <w:t xml:space="preserve"> vivienda fue </w:t>
      </w:r>
      <w:r w:rsidR="007057BC" w:rsidRPr="00C21DF7">
        <w:rPr>
          <w:color w:val="000000"/>
        </w:rPr>
        <w:t xml:space="preserve">de </w:t>
      </w:r>
      <w:r w:rsidR="00EF7FFC" w:rsidRPr="00C21DF7">
        <w:rPr>
          <w:color w:val="000000"/>
        </w:rPr>
        <w:t>3</w:t>
      </w:r>
      <w:r w:rsidR="00432D2E">
        <w:rPr>
          <w:color w:val="000000"/>
        </w:rPr>
        <w:t>5.4</w:t>
      </w:r>
      <w:r w:rsidRPr="00C21DF7">
        <w:rPr>
          <w:color w:val="000000"/>
        </w:rPr>
        <w:t>%, en los servi</w:t>
      </w:r>
      <w:r w:rsidR="00EF7FFC" w:rsidRPr="00C21DF7">
        <w:rPr>
          <w:color w:val="000000"/>
        </w:rPr>
        <w:t xml:space="preserve">cios financieros </w:t>
      </w:r>
      <w:r w:rsidR="00A61DCA">
        <w:rPr>
          <w:color w:val="000000"/>
        </w:rPr>
        <w:t xml:space="preserve">y de seguros </w:t>
      </w:r>
      <w:r w:rsidR="00EF7FFC" w:rsidRPr="00C21DF7">
        <w:rPr>
          <w:color w:val="000000"/>
        </w:rPr>
        <w:t xml:space="preserve">(sector 52) </w:t>
      </w:r>
      <w:r w:rsidR="00C26C99">
        <w:rPr>
          <w:color w:val="000000"/>
        </w:rPr>
        <w:t>4.9</w:t>
      </w:r>
      <w:r w:rsidRPr="00C21DF7">
        <w:rPr>
          <w:color w:val="000000"/>
        </w:rPr>
        <w:t xml:space="preserve">%, en los servicios profesionales </w:t>
      </w:r>
      <w:r w:rsidR="00EF7FFC" w:rsidRPr="00C21DF7">
        <w:rPr>
          <w:color w:val="000000"/>
        </w:rPr>
        <w:t>(sector 54) 2.2</w:t>
      </w:r>
      <w:r w:rsidRPr="00C21DF7">
        <w:rPr>
          <w:color w:val="000000"/>
        </w:rPr>
        <w:t>%, y el restante se distribuyó en los servicios de asistencia social</w:t>
      </w:r>
      <w:r>
        <w:rPr>
          <w:color w:val="000000"/>
        </w:rPr>
        <w:t xml:space="preserve"> (sector 62), los servicios de alojamiento temporal (sector 72), las actividades gubernamentales (sector 93), </w:t>
      </w:r>
      <w:r w:rsidR="00C26C99">
        <w:rPr>
          <w:color w:val="000000"/>
        </w:rPr>
        <w:t>otros servicios excepto gubernamentales (sector 81) y los servicios educativos (sector 61).</w:t>
      </w:r>
    </w:p>
    <w:p w14:paraId="76B4EE62" w14:textId="77777777" w:rsidR="00B62443" w:rsidRPr="00034996" w:rsidRDefault="00B62443" w:rsidP="00FB5A86">
      <w:pPr>
        <w:pStyle w:val="parrafo1"/>
        <w:spacing w:before="360"/>
        <w:ind w:left="0" w:right="51"/>
        <w:jc w:val="center"/>
        <w:rPr>
          <w:sz w:val="20"/>
        </w:rPr>
      </w:pPr>
      <w:r w:rsidRPr="00034996">
        <w:rPr>
          <w:sz w:val="20"/>
        </w:rPr>
        <w:t xml:space="preserve">Gráfica </w:t>
      </w:r>
      <w:r w:rsidR="00551089">
        <w:rPr>
          <w:sz w:val="20"/>
        </w:rPr>
        <w:t>3</w:t>
      </w:r>
    </w:p>
    <w:p w14:paraId="162A16D2" w14:textId="77777777" w:rsidR="00E55B88" w:rsidRDefault="00E55B88" w:rsidP="00C4637A">
      <w:pPr>
        <w:pStyle w:val="Textoindependiente"/>
        <w:ind w:right="49"/>
        <w:jc w:val="center"/>
        <w:rPr>
          <w:b/>
          <w:smallCaps/>
          <w:sz w:val="22"/>
          <w:szCs w:val="22"/>
          <w:lang w:val="es-MX"/>
        </w:rPr>
      </w:pPr>
      <w:r>
        <w:rPr>
          <w:b/>
          <w:smallCaps/>
          <w:sz w:val="22"/>
          <w:szCs w:val="22"/>
          <w:lang w:val="es-MX"/>
        </w:rPr>
        <w:t>Participación</w:t>
      </w:r>
      <w:r w:rsidR="00D92714">
        <w:rPr>
          <w:b/>
          <w:smallCaps/>
          <w:sz w:val="22"/>
          <w:szCs w:val="22"/>
          <w:lang w:val="es-MX"/>
        </w:rPr>
        <w:t xml:space="preserve"> de los p</w:t>
      </w:r>
      <w:r w:rsidR="0027342C">
        <w:rPr>
          <w:b/>
          <w:smallCaps/>
          <w:sz w:val="22"/>
          <w:szCs w:val="22"/>
          <w:lang w:val="es-MX"/>
        </w:rPr>
        <w:t xml:space="preserve">uestos de trabajo </w:t>
      </w:r>
      <w:r>
        <w:rPr>
          <w:b/>
          <w:smallCaps/>
          <w:sz w:val="22"/>
          <w:szCs w:val="22"/>
          <w:lang w:val="es-MX"/>
        </w:rPr>
        <w:t>de</w:t>
      </w:r>
      <w:r w:rsidR="0027342C">
        <w:rPr>
          <w:b/>
          <w:smallCaps/>
          <w:sz w:val="22"/>
          <w:szCs w:val="22"/>
          <w:lang w:val="es-MX"/>
        </w:rPr>
        <w:t xml:space="preserve"> </w:t>
      </w:r>
      <w:r w:rsidR="003C0681">
        <w:rPr>
          <w:b/>
          <w:smallCaps/>
          <w:sz w:val="22"/>
          <w:szCs w:val="22"/>
          <w:lang w:val="es-MX"/>
        </w:rPr>
        <w:t xml:space="preserve">la </w:t>
      </w:r>
      <w:r w:rsidR="00EC012E">
        <w:rPr>
          <w:b/>
          <w:smallCaps/>
          <w:sz w:val="22"/>
          <w:szCs w:val="22"/>
          <w:lang w:val="es-MX"/>
        </w:rPr>
        <w:t>vivienda</w:t>
      </w:r>
      <w:r>
        <w:rPr>
          <w:b/>
          <w:smallCaps/>
          <w:sz w:val="22"/>
          <w:szCs w:val="22"/>
          <w:lang w:val="es-MX"/>
        </w:rPr>
        <w:t xml:space="preserve"> en </w:t>
      </w:r>
    </w:p>
    <w:p w14:paraId="67BA3B72" w14:textId="77777777" w:rsidR="00B62443" w:rsidRPr="00E54AEC" w:rsidRDefault="00E55B88" w:rsidP="00C4637A">
      <w:pPr>
        <w:pStyle w:val="Textoindependiente"/>
        <w:ind w:right="49"/>
        <w:jc w:val="center"/>
        <w:rPr>
          <w:b/>
          <w:smallCaps/>
        </w:rPr>
      </w:pPr>
      <w:r>
        <w:rPr>
          <w:b/>
          <w:smallCaps/>
          <w:sz w:val="22"/>
          <w:szCs w:val="22"/>
          <w:lang w:val="es-MX"/>
        </w:rPr>
        <w:t>sectores seleccionados de la economía</w:t>
      </w:r>
      <w:r w:rsidR="0027342C">
        <w:rPr>
          <w:b/>
          <w:smallCaps/>
          <w:sz w:val="22"/>
          <w:szCs w:val="22"/>
          <w:lang w:val="es-MX"/>
        </w:rPr>
        <w:t>,</w:t>
      </w:r>
      <w:r w:rsidR="00A322F1">
        <w:rPr>
          <w:b/>
          <w:smallCaps/>
          <w:sz w:val="22"/>
          <w:szCs w:val="22"/>
          <w:lang w:val="es-MX"/>
        </w:rPr>
        <w:t xml:space="preserve"> </w:t>
      </w:r>
      <w:r w:rsidR="00B62443" w:rsidRPr="00034996">
        <w:rPr>
          <w:b/>
          <w:smallCaps/>
          <w:sz w:val="22"/>
          <w:szCs w:val="22"/>
        </w:rPr>
        <w:t>201</w:t>
      </w:r>
      <w:r w:rsidR="00852004">
        <w:rPr>
          <w:b/>
          <w:smallCaps/>
          <w:sz w:val="22"/>
          <w:szCs w:val="22"/>
          <w:lang w:val="es-MX"/>
        </w:rPr>
        <w:t>8</w:t>
      </w:r>
    </w:p>
    <w:p w14:paraId="6E87775A" w14:textId="77777777" w:rsidR="0027342C" w:rsidRPr="00B62443" w:rsidRDefault="00477F64" w:rsidP="0027342C">
      <w:pPr>
        <w:pStyle w:val="parrafo1"/>
        <w:spacing w:before="0"/>
        <w:ind w:left="0" w:right="51"/>
        <w:jc w:val="center"/>
        <w:rPr>
          <w:sz w:val="18"/>
          <w:szCs w:val="18"/>
        </w:rPr>
      </w:pPr>
      <w:r>
        <w:rPr>
          <w:sz w:val="18"/>
          <w:szCs w:val="18"/>
        </w:rPr>
        <w:t>(</w:t>
      </w:r>
      <w:r w:rsidR="006A41AF">
        <w:rPr>
          <w:sz w:val="18"/>
          <w:szCs w:val="18"/>
        </w:rPr>
        <w:t>P</w:t>
      </w:r>
      <w:r w:rsidR="00E55B88">
        <w:rPr>
          <w:sz w:val="18"/>
          <w:szCs w:val="18"/>
        </w:rPr>
        <w:t>articipación</w:t>
      </w:r>
      <w:r w:rsidR="0027342C">
        <w:rPr>
          <w:sz w:val="18"/>
          <w:szCs w:val="18"/>
        </w:rPr>
        <w:t xml:space="preserve"> porcentual</w:t>
      </w:r>
      <w:r>
        <w:rPr>
          <w:sz w:val="18"/>
          <w:szCs w:val="18"/>
        </w:rPr>
        <w:t>)</w:t>
      </w:r>
    </w:p>
    <w:p w14:paraId="5DFAA9F6" w14:textId="77777777" w:rsidR="000A3574" w:rsidRDefault="00852004" w:rsidP="00250178">
      <w:pPr>
        <w:pStyle w:val="parrafo1"/>
        <w:spacing w:before="0"/>
        <w:ind w:left="-284" w:right="49"/>
        <w:jc w:val="center"/>
        <w:rPr>
          <w:noProof/>
          <w:sz w:val="16"/>
          <w:szCs w:val="16"/>
          <w:lang w:val="es-MX" w:eastAsia="es-MX"/>
        </w:rPr>
      </w:pPr>
      <w:r w:rsidRPr="00852004">
        <w:rPr>
          <w:noProof/>
          <w:lang w:val="es-MX" w:eastAsia="es-MX"/>
        </w:rPr>
        <w:drawing>
          <wp:inline distT="0" distB="0" distL="0" distR="0" wp14:anchorId="12E3DB00" wp14:editId="4A555A61">
            <wp:extent cx="5920722" cy="3096000"/>
            <wp:effectExtent l="0" t="0" r="444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0722" cy="3096000"/>
                    </a:xfrm>
                    <a:prstGeom prst="rect">
                      <a:avLst/>
                    </a:prstGeom>
                    <a:noFill/>
                    <a:ln>
                      <a:noFill/>
                    </a:ln>
                  </pic:spPr>
                </pic:pic>
              </a:graphicData>
            </a:graphic>
          </wp:inline>
        </w:drawing>
      </w:r>
    </w:p>
    <w:p w14:paraId="74571C5A" w14:textId="77777777" w:rsidR="00E55B88" w:rsidRPr="00877006" w:rsidRDefault="00E55B88" w:rsidP="00250178">
      <w:pPr>
        <w:pStyle w:val="parrafo1"/>
        <w:spacing w:before="0"/>
        <w:ind w:left="-284" w:right="49"/>
        <w:jc w:val="left"/>
        <w:rPr>
          <w:sz w:val="16"/>
          <w:szCs w:val="16"/>
        </w:rPr>
      </w:pPr>
      <w:r w:rsidRPr="00877006">
        <w:rPr>
          <w:sz w:val="16"/>
          <w:szCs w:val="16"/>
        </w:rPr>
        <w:t>NOTA: Las participaciones son calculadas sobre el total de cada sector.</w:t>
      </w:r>
    </w:p>
    <w:p w14:paraId="4CE7AEAB" w14:textId="77777777" w:rsidR="00E55B88" w:rsidRPr="00877006" w:rsidRDefault="00E55B88" w:rsidP="00250178">
      <w:pPr>
        <w:pStyle w:val="parrafo1"/>
        <w:spacing w:before="0"/>
        <w:ind w:left="-284" w:right="49"/>
        <w:jc w:val="left"/>
        <w:rPr>
          <w:sz w:val="16"/>
          <w:szCs w:val="16"/>
        </w:rPr>
      </w:pPr>
      <w:r w:rsidRPr="00877006">
        <w:rPr>
          <w:sz w:val="16"/>
          <w:szCs w:val="16"/>
        </w:rPr>
        <w:t>NS: Cifra no significativa.</w:t>
      </w:r>
    </w:p>
    <w:p w14:paraId="6F24A744" w14:textId="77777777" w:rsidR="00B62443" w:rsidRDefault="00B62443" w:rsidP="00250178">
      <w:pPr>
        <w:pStyle w:val="parrafo1"/>
        <w:spacing w:before="0"/>
        <w:ind w:left="-284" w:right="49"/>
        <w:jc w:val="left"/>
        <w:rPr>
          <w:sz w:val="16"/>
          <w:szCs w:val="16"/>
        </w:rPr>
      </w:pPr>
      <w:r w:rsidRPr="00877006">
        <w:rPr>
          <w:sz w:val="16"/>
          <w:szCs w:val="16"/>
        </w:rPr>
        <w:t>Fuente: INEGI.</w:t>
      </w:r>
    </w:p>
    <w:p w14:paraId="6C31D10A" w14:textId="77777777" w:rsidR="005E3510" w:rsidRDefault="005E3510" w:rsidP="00D3230E">
      <w:pPr>
        <w:pStyle w:val="parrafo1"/>
        <w:widowControl w:val="0"/>
        <w:spacing w:before="240"/>
        <w:ind w:left="0" w:right="51"/>
        <w:rPr>
          <w:color w:val="000000"/>
        </w:rPr>
      </w:pPr>
      <w:r>
        <w:rPr>
          <w:color w:val="000000"/>
        </w:rPr>
        <w:t>De</w:t>
      </w:r>
      <w:r w:rsidR="00F6154E">
        <w:rPr>
          <w:color w:val="000000"/>
        </w:rPr>
        <w:t xml:space="preserve">l total de </w:t>
      </w:r>
      <w:r w:rsidR="00F6154E" w:rsidRPr="00C21DF7">
        <w:rPr>
          <w:color w:val="000000"/>
        </w:rPr>
        <w:t>puestos de trabajo</w:t>
      </w:r>
      <w:r w:rsidR="007057BC" w:rsidRPr="00C21DF7">
        <w:rPr>
          <w:color w:val="000000"/>
        </w:rPr>
        <w:t xml:space="preserve"> registrados</w:t>
      </w:r>
      <w:r w:rsidR="00310675" w:rsidRPr="00C21DF7">
        <w:rPr>
          <w:color w:val="000000"/>
        </w:rPr>
        <w:t xml:space="preserve"> en el sector de la vivienda, durante 201</w:t>
      </w:r>
      <w:r w:rsidR="00432D2E">
        <w:rPr>
          <w:color w:val="000000"/>
        </w:rPr>
        <w:t>8</w:t>
      </w:r>
      <w:r w:rsidR="00310675" w:rsidRPr="00C21DF7">
        <w:rPr>
          <w:color w:val="000000"/>
        </w:rPr>
        <w:t xml:space="preserve">, </w:t>
      </w:r>
      <w:r w:rsidR="007057BC" w:rsidRPr="00C21DF7">
        <w:rPr>
          <w:color w:val="000000"/>
        </w:rPr>
        <w:t>el 3</w:t>
      </w:r>
      <w:r w:rsidR="00AF373D">
        <w:rPr>
          <w:color w:val="000000"/>
        </w:rPr>
        <w:t>5.</w:t>
      </w:r>
      <w:r w:rsidR="00C87A5E">
        <w:rPr>
          <w:color w:val="000000"/>
        </w:rPr>
        <w:t>9</w:t>
      </w:r>
      <w:r w:rsidRPr="00C21DF7">
        <w:rPr>
          <w:color w:val="000000"/>
        </w:rPr>
        <w:t xml:space="preserve">% correspondieron a puestos generados por los sectores económicos de la vivienda, y el </w:t>
      </w:r>
      <w:r w:rsidR="007057BC" w:rsidRPr="00C21DF7">
        <w:rPr>
          <w:color w:val="000000"/>
        </w:rPr>
        <w:t>6</w:t>
      </w:r>
      <w:r w:rsidR="00C87A5E">
        <w:rPr>
          <w:color w:val="000000"/>
        </w:rPr>
        <w:t>4.1</w:t>
      </w:r>
      <w:r w:rsidRPr="00C21DF7">
        <w:rPr>
          <w:color w:val="000000"/>
        </w:rPr>
        <w:t>% lo aportaron</w:t>
      </w:r>
      <w:r>
        <w:rPr>
          <w:color w:val="000000"/>
        </w:rPr>
        <w:t xml:space="preserve"> </w:t>
      </w:r>
      <w:r w:rsidRPr="000526A0">
        <w:rPr>
          <w:color w:val="000000"/>
        </w:rPr>
        <w:t>los hogares a través de su trabajo para autoconsumo</w:t>
      </w:r>
      <w:r w:rsidRPr="00432D2E">
        <w:rPr>
          <w:rStyle w:val="Refdenotaalpie"/>
          <w:b w:val="0"/>
          <w:color w:val="000000"/>
          <w:sz w:val="20"/>
        </w:rPr>
        <w:footnoteReference w:id="12"/>
      </w:r>
      <w:r w:rsidRPr="000526A0">
        <w:rPr>
          <w:color w:val="000000"/>
        </w:rPr>
        <w:t>.</w:t>
      </w:r>
    </w:p>
    <w:p w14:paraId="4E2D57DB" w14:textId="77777777" w:rsidR="00AD1CAD" w:rsidRDefault="00AD1CAD" w:rsidP="001A042F">
      <w:pPr>
        <w:pStyle w:val="parrafo1"/>
        <w:spacing w:before="1560"/>
        <w:ind w:left="0" w:right="51"/>
        <w:rPr>
          <w:b/>
          <w:i/>
          <w:smallCaps/>
          <w:color w:val="000000"/>
        </w:rPr>
      </w:pPr>
      <w:r>
        <w:rPr>
          <w:b/>
          <w:i/>
          <w:smallCaps/>
          <w:color w:val="000000"/>
        </w:rPr>
        <w:lastRenderedPageBreak/>
        <w:t xml:space="preserve">Alquiler imputado de las viviendas </w:t>
      </w:r>
      <w:r w:rsidR="00E37846">
        <w:rPr>
          <w:b/>
          <w:i/>
          <w:smallCaps/>
          <w:color w:val="000000"/>
        </w:rPr>
        <w:t>de uso propio</w:t>
      </w:r>
    </w:p>
    <w:p w14:paraId="3C9043B3" w14:textId="77777777" w:rsidR="000751C4" w:rsidRPr="00C21DF7" w:rsidRDefault="00913B51" w:rsidP="00E37846">
      <w:pPr>
        <w:pStyle w:val="parrafo1"/>
        <w:spacing w:before="360"/>
        <w:ind w:left="0" w:right="51"/>
        <w:rPr>
          <w:color w:val="000000"/>
        </w:rPr>
      </w:pPr>
      <w:r>
        <w:rPr>
          <w:color w:val="000000"/>
        </w:rPr>
        <w:t>Adicionalmente</w:t>
      </w:r>
      <w:r w:rsidR="00E37846">
        <w:rPr>
          <w:color w:val="000000"/>
        </w:rPr>
        <w:t>, est</w:t>
      </w:r>
      <w:r w:rsidR="0016259F">
        <w:rPr>
          <w:color w:val="000000"/>
        </w:rPr>
        <w:t>a cuenta satélite proporciona información de la valoración del alquiler imputado de las viviendas de uso propio de los hogares</w:t>
      </w:r>
      <w:r w:rsidR="0016259F" w:rsidRPr="007B5209">
        <w:rPr>
          <w:rStyle w:val="Refdenotaalpie"/>
          <w:b w:val="0"/>
          <w:color w:val="000000"/>
          <w:sz w:val="20"/>
        </w:rPr>
        <w:footnoteReference w:id="13"/>
      </w:r>
      <w:r w:rsidR="000751C4">
        <w:rPr>
          <w:color w:val="000000"/>
        </w:rPr>
        <w:t>.</w:t>
      </w:r>
      <w:r w:rsidR="0016259F">
        <w:rPr>
          <w:color w:val="000000"/>
        </w:rPr>
        <w:t xml:space="preserve"> </w:t>
      </w:r>
      <w:r w:rsidR="000751C4">
        <w:rPr>
          <w:color w:val="000000"/>
        </w:rPr>
        <w:t>D</w:t>
      </w:r>
      <w:r w:rsidR="00E37846">
        <w:rPr>
          <w:color w:val="000000"/>
        </w:rPr>
        <w:t>icho</w:t>
      </w:r>
      <w:r w:rsidR="005E3510">
        <w:rPr>
          <w:color w:val="000000"/>
        </w:rPr>
        <w:t xml:space="preserve"> valor </w:t>
      </w:r>
      <w:r w:rsidR="009D0EFC">
        <w:rPr>
          <w:color w:val="000000"/>
        </w:rPr>
        <w:t>alcanzó</w:t>
      </w:r>
      <w:r w:rsidR="005E3510">
        <w:rPr>
          <w:color w:val="000000"/>
        </w:rPr>
        <w:t xml:space="preserve"> en 201</w:t>
      </w:r>
      <w:r w:rsidR="00432D2E">
        <w:rPr>
          <w:color w:val="000000"/>
        </w:rPr>
        <w:t>8</w:t>
      </w:r>
      <w:r w:rsidR="0016259F">
        <w:rPr>
          <w:color w:val="000000"/>
        </w:rPr>
        <w:t xml:space="preserve"> un </w:t>
      </w:r>
      <w:r w:rsidR="00EF7FFC">
        <w:rPr>
          <w:color w:val="000000"/>
        </w:rPr>
        <w:t>nivel</w:t>
      </w:r>
      <w:r w:rsidR="0016259F">
        <w:rPr>
          <w:color w:val="000000"/>
        </w:rPr>
        <w:t xml:space="preserve"> </w:t>
      </w:r>
      <w:r w:rsidR="00F6154E">
        <w:rPr>
          <w:color w:val="000000"/>
        </w:rPr>
        <w:t xml:space="preserve">equivalente </w:t>
      </w:r>
      <w:r w:rsidR="00F6154E" w:rsidRPr="00C21DF7">
        <w:rPr>
          <w:color w:val="000000"/>
        </w:rPr>
        <w:t>a</w:t>
      </w:r>
      <w:r w:rsidR="0016259F" w:rsidRPr="00C21DF7">
        <w:rPr>
          <w:color w:val="000000"/>
        </w:rPr>
        <w:t xml:space="preserve"> </w:t>
      </w:r>
      <w:r w:rsidR="00FD7A52" w:rsidRPr="00C21DF7">
        <w:rPr>
          <w:color w:val="000000"/>
        </w:rPr>
        <w:t>1</w:t>
      </w:r>
      <w:r w:rsidR="00481CDC">
        <w:rPr>
          <w:color w:val="000000"/>
        </w:rPr>
        <w:t>,</w:t>
      </w:r>
      <w:r w:rsidR="00432D2E">
        <w:rPr>
          <w:color w:val="000000"/>
        </w:rPr>
        <w:t>5</w:t>
      </w:r>
      <w:r w:rsidR="0066562C">
        <w:rPr>
          <w:color w:val="000000"/>
        </w:rPr>
        <w:t>7</w:t>
      </w:r>
      <w:r w:rsidR="00432D2E">
        <w:rPr>
          <w:color w:val="000000"/>
        </w:rPr>
        <w:t>4</w:t>
      </w:r>
      <w:r w:rsidR="00481CDC">
        <w:rPr>
          <w:color w:val="000000"/>
        </w:rPr>
        <w:t>,</w:t>
      </w:r>
      <w:r w:rsidR="00432D2E">
        <w:rPr>
          <w:color w:val="000000"/>
        </w:rPr>
        <w:t>880</w:t>
      </w:r>
      <w:r w:rsidR="0016259F" w:rsidRPr="00C21DF7">
        <w:rPr>
          <w:color w:val="000000"/>
        </w:rPr>
        <w:t xml:space="preserve"> millones</w:t>
      </w:r>
      <w:r w:rsidR="00481CDC">
        <w:rPr>
          <w:color w:val="000000"/>
        </w:rPr>
        <w:t xml:space="preserve"> de pesos</w:t>
      </w:r>
      <w:r w:rsidR="0016259F" w:rsidRPr="00C21DF7">
        <w:rPr>
          <w:color w:val="000000"/>
        </w:rPr>
        <w:t xml:space="preserve">, lo que representó </w:t>
      </w:r>
      <w:r w:rsidR="00432D2E">
        <w:rPr>
          <w:color w:val="000000"/>
        </w:rPr>
        <w:t>7.1</w:t>
      </w:r>
      <w:r w:rsidR="0016259F" w:rsidRPr="00C21DF7">
        <w:rPr>
          <w:color w:val="000000"/>
        </w:rPr>
        <w:t xml:space="preserve">% del </w:t>
      </w:r>
      <w:r w:rsidR="00E37846" w:rsidRPr="00C21DF7">
        <w:rPr>
          <w:color w:val="000000"/>
        </w:rPr>
        <w:t xml:space="preserve">PIB del país. En su comparación anual el valor del alquiler imputado registró un aumento de </w:t>
      </w:r>
      <w:r w:rsidR="00EF7FFC" w:rsidRPr="00C21DF7">
        <w:rPr>
          <w:color w:val="000000"/>
        </w:rPr>
        <w:t>1.</w:t>
      </w:r>
      <w:r w:rsidR="007E74C9">
        <w:rPr>
          <w:color w:val="000000"/>
        </w:rPr>
        <w:t>6</w:t>
      </w:r>
      <w:r w:rsidR="00E37846" w:rsidRPr="00C21DF7">
        <w:rPr>
          <w:color w:val="000000"/>
        </w:rPr>
        <w:t>%</w:t>
      </w:r>
      <w:r w:rsidR="00F6154E" w:rsidRPr="00C21DF7">
        <w:rPr>
          <w:color w:val="000000"/>
        </w:rPr>
        <w:t xml:space="preserve"> </w:t>
      </w:r>
      <w:r w:rsidR="003C0681" w:rsidRPr="00C21DF7">
        <w:rPr>
          <w:color w:val="000000"/>
        </w:rPr>
        <w:t xml:space="preserve">en términos reales </w:t>
      </w:r>
      <w:r w:rsidR="00C21DF7" w:rsidRPr="00C21DF7">
        <w:rPr>
          <w:color w:val="000000"/>
        </w:rPr>
        <w:t>con</w:t>
      </w:r>
      <w:r w:rsidR="00F6154E" w:rsidRPr="00C21DF7">
        <w:rPr>
          <w:color w:val="000000"/>
        </w:rPr>
        <w:t xml:space="preserve"> </w:t>
      </w:r>
      <w:r w:rsidR="003C0681" w:rsidRPr="00C21DF7">
        <w:rPr>
          <w:color w:val="000000"/>
        </w:rPr>
        <w:t>relación</w:t>
      </w:r>
      <w:r w:rsidR="00F6154E" w:rsidRPr="00C21DF7">
        <w:rPr>
          <w:color w:val="000000"/>
        </w:rPr>
        <w:t xml:space="preserve"> </w:t>
      </w:r>
      <w:r w:rsidR="00C21DF7" w:rsidRPr="00C21DF7">
        <w:rPr>
          <w:color w:val="000000"/>
        </w:rPr>
        <w:t>a</w:t>
      </w:r>
      <w:r w:rsidR="00F6154E" w:rsidRPr="00C21DF7">
        <w:rPr>
          <w:color w:val="000000"/>
        </w:rPr>
        <w:t xml:space="preserve"> 201</w:t>
      </w:r>
      <w:r w:rsidR="00432D2E">
        <w:rPr>
          <w:color w:val="000000"/>
        </w:rPr>
        <w:t>7</w:t>
      </w:r>
      <w:r w:rsidR="000751C4" w:rsidRPr="00C21DF7">
        <w:rPr>
          <w:color w:val="000000"/>
        </w:rPr>
        <w:t>.</w:t>
      </w:r>
    </w:p>
    <w:p w14:paraId="05820D63" w14:textId="77777777" w:rsidR="00913B51" w:rsidRPr="00AD1CAD" w:rsidRDefault="00823A50" w:rsidP="00E37846">
      <w:pPr>
        <w:pStyle w:val="parrafo1"/>
        <w:spacing w:before="360"/>
        <w:ind w:left="0" w:right="51"/>
        <w:rPr>
          <w:color w:val="000000"/>
        </w:rPr>
      </w:pPr>
      <w:r w:rsidRPr="00C21DF7">
        <w:rPr>
          <w:color w:val="000000"/>
        </w:rPr>
        <w:t>A</w:t>
      </w:r>
      <w:r w:rsidR="00E37846" w:rsidRPr="00C21DF7">
        <w:rPr>
          <w:color w:val="000000"/>
        </w:rPr>
        <w:t>l</w:t>
      </w:r>
      <w:r w:rsidRPr="00C21DF7">
        <w:rPr>
          <w:color w:val="000000"/>
        </w:rPr>
        <w:t xml:space="preserve"> agregar</w:t>
      </w:r>
      <w:r w:rsidR="00E37846" w:rsidRPr="00C21DF7">
        <w:rPr>
          <w:color w:val="000000"/>
        </w:rPr>
        <w:t xml:space="preserve"> </w:t>
      </w:r>
      <w:r w:rsidRPr="00C21DF7">
        <w:rPr>
          <w:color w:val="000000"/>
        </w:rPr>
        <w:t xml:space="preserve">el </w:t>
      </w:r>
      <w:r w:rsidR="00E37846" w:rsidRPr="00C21DF7">
        <w:rPr>
          <w:color w:val="000000"/>
        </w:rPr>
        <w:t>valor del alquiler imputado</w:t>
      </w:r>
      <w:r w:rsidR="00362C51" w:rsidRPr="00C21DF7">
        <w:rPr>
          <w:color w:val="000000"/>
        </w:rPr>
        <w:t xml:space="preserve"> </w:t>
      </w:r>
      <w:r w:rsidR="00E37846" w:rsidRPr="00C21DF7">
        <w:rPr>
          <w:color w:val="000000"/>
        </w:rPr>
        <w:t>a</w:t>
      </w:r>
      <w:r w:rsidR="006F5FAC" w:rsidRPr="00C21DF7">
        <w:rPr>
          <w:color w:val="000000"/>
        </w:rPr>
        <w:t>l</w:t>
      </w:r>
      <w:r w:rsidR="00E37846" w:rsidRPr="00C21DF7">
        <w:rPr>
          <w:color w:val="000000"/>
        </w:rPr>
        <w:t xml:space="preserve"> PIB de la vivienda</w:t>
      </w:r>
      <w:r w:rsidR="006F5FAC" w:rsidRPr="00C21DF7">
        <w:rPr>
          <w:color w:val="000000"/>
        </w:rPr>
        <w:t xml:space="preserve">, </w:t>
      </w:r>
      <w:r w:rsidR="000751C4" w:rsidRPr="00C21DF7">
        <w:rPr>
          <w:color w:val="000000"/>
        </w:rPr>
        <w:t>el monto resultante</w:t>
      </w:r>
      <w:r w:rsidR="00E37846" w:rsidRPr="00C21DF7">
        <w:rPr>
          <w:color w:val="000000"/>
        </w:rPr>
        <w:t xml:space="preserve"> </w:t>
      </w:r>
      <w:r w:rsidR="00EE0F4C">
        <w:rPr>
          <w:color w:val="000000"/>
        </w:rPr>
        <w:t>alcanzaría</w:t>
      </w:r>
      <w:r w:rsidR="000751C4" w:rsidRPr="00C21DF7">
        <w:rPr>
          <w:color w:val="000000"/>
        </w:rPr>
        <w:t xml:space="preserve"> los</w:t>
      </w:r>
      <w:r w:rsidR="00481CDC">
        <w:rPr>
          <w:color w:val="000000"/>
        </w:rPr>
        <w:t xml:space="preserve"> 2,</w:t>
      </w:r>
      <w:r w:rsidR="00432D2E">
        <w:rPr>
          <w:color w:val="000000"/>
        </w:rPr>
        <w:t>901</w:t>
      </w:r>
      <w:r w:rsidR="00481CDC">
        <w:rPr>
          <w:color w:val="000000"/>
        </w:rPr>
        <w:t>,</w:t>
      </w:r>
      <w:r w:rsidR="00432D2E">
        <w:rPr>
          <w:color w:val="000000"/>
        </w:rPr>
        <w:t>900</w:t>
      </w:r>
      <w:r w:rsidR="006F5FAC" w:rsidRPr="00C21DF7">
        <w:rPr>
          <w:color w:val="000000"/>
        </w:rPr>
        <w:t xml:space="preserve"> millones de pesos</w:t>
      </w:r>
      <w:r w:rsidR="00C87A5E">
        <w:rPr>
          <w:color w:val="000000"/>
        </w:rPr>
        <w:t xml:space="preserve"> a precios corrientes</w:t>
      </w:r>
      <w:r w:rsidR="000751C4" w:rsidRPr="00C21DF7">
        <w:rPr>
          <w:color w:val="000000"/>
        </w:rPr>
        <w:t xml:space="preserve"> que</w:t>
      </w:r>
      <w:r w:rsidR="006F5FAC" w:rsidRPr="00C21DF7">
        <w:rPr>
          <w:color w:val="000000"/>
        </w:rPr>
        <w:t xml:space="preserve"> representa</w:t>
      </w:r>
      <w:r w:rsidR="00432D2E">
        <w:rPr>
          <w:color w:val="000000"/>
        </w:rPr>
        <w:t xml:space="preserve"> 13.1</w:t>
      </w:r>
      <w:r w:rsidR="00E37846" w:rsidRPr="00C21DF7">
        <w:rPr>
          <w:color w:val="000000"/>
        </w:rPr>
        <w:t>% del PIB</w:t>
      </w:r>
      <w:r w:rsidR="002D67A6" w:rsidRPr="00C21DF7">
        <w:rPr>
          <w:color w:val="000000"/>
        </w:rPr>
        <w:t xml:space="preserve"> total</w:t>
      </w:r>
      <w:r w:rsidR="00E37846" w:rsidRPr="00C21DF7">
        <w:rPr>
          <w:color w:val="000000"/>
        </w:rPr>
        <w:t xml:space="preserve"> de la </w:t>
      </w:r>
      <w:r w:rsidR="00E37846" w:rsidRPr="00B23469">
        <w:rPr>
          <w:color w:val="000000"/>
        </w:rPr>
        <w:t>economía</w:t>
      </w:r>
      <w:r w:rsidR="000751C4" w:rsidRPr="00B23469">
        <w:rPr>
          <w:color w:val="000000"/>
        </w:rPr>
        <w:t xml:space="preserve"> en e</w:t>
      </w:r>
      <w:r w:rsidRPr="00B23469">
        <w:rPr>
          <w:color w:val="000000"/>
        </w:rPr>
        <w:t>l año de estudio</w:t>
      </w:r>
      <w:r w:rsidR="00E37846" w:rsidRPr="00B23469">
        <w:rPr>
          <w:color w:val="000000"/>
        </w:rPr>
        <w:t>.</w:t>
      </w:r>
    </w:p>
    <w:p w14:paraId="69483CE5" w14:textId="77777777" w:rsidR="00FA285D" w:rsidRPr="00FA285D" w:rsidRDefault="00FA285D" w:rsidP="003A0365">
      <w:pPr>
        <w:pStyle w:val="parrafo1"/>
        <w:keepNext/>
        <w:spacing w:before="600"/>
        <w:ind w:left="0" w:right="17"/>
        <w:jc w:val="left"/>
        <w:rPr>
          <w:b/>
          <w:i/>
          <w:smallCaps/>
        </w:rPr>
      </w:pPr>
      <w:r w:rsidRPr="00FA285D">
        <w:rPr>
          <w:b/>
          <w:i/>
          <w:smallCaps/>
        </w:rPr>
        <w:t>Nota Metodológica</w:t>
      </w:r>
    </w:p>
    <w:p w14:paraId="1355044C" w14:textId="77777777" w:rsidR="009D0EFC" w:rsidRPr="00CF2A13" w:rsidRDefault="009D0EFC" w:rsidP="003A0365">
      <w:pPr>
        <w:pStyle w:val="parrafo1"/>
        <w:spacing w:before="240"/>
        <w:ind w:left="0" w:right="51"/>
        <w:rPr>
          <w:color w:val="000000"/>
        </w:rPr>
      </w:pPr>
      <w:r w:rsidRPr="00CF2A13">
        <w:rPr>
          <w:color w:val="000000"/>
        </w:rPr>
        <w:t>Para la elaboración de la C</w:t>
      </w:r>
      <w:r>
        <w:rPr>
          <w:color w:val="000000"/>
        </w:rPr>
        <w:t xml:space="preserve">uenta </w:t>
      </w:r>
      <w:r w:rsidRPr="00CF2A13">
        <w:rPr>
          <w:color w:val="000000"/>
        </w:rPr>
        <w:t>S</w:t>
      </w:r>
      <w:r>
        <w:rPr>
          <w:color w:val="000000"/>
        </w:rPr>
        <w:t xml:space="preserve">atélite de </w:t>
      </w:r>
      <w:r w:rsidRPr="00CF2A13">
        <w:rPr>
          <w:color w:val="000000"/>
        </w:rPr>
        <w:t>V</w:t>
      </w:r>
      <w:r>
        <w:rPr>
          <w:color w:val="000000"/>
        </w:rPr>
        <w:t xml:space="preserve">ivienda de </w:t>
      </w:r>
      <w:r w:rsidRPr="00CF2A13">
        <w:rPr>
          <w:color w:val="000000"/>
        </w:rPr>
        <w:t>M</w:t>
      </w:r>
      <w:r w:rsidR="00043A84">
        <w:rPr>
          <w:color w:val="000000"/>
        </w:rPr>
        <w:t>éxico (CSVM), serie 2008-2018</w:t>
      </w:r>
      <w:r w:rsidRPr="00CF2A13">
        <w:rPr>
          <w:color w:val="000000"/>
        </w:rPr>
        <w:t>, se consideraron las recomendaciones internacionales del SCN 2008</w:t>
      </w:r>
      <w:r>
        <w:rPr>
          <w:color w:val="000000"/>
        </w:rPr>
        <w:t>,</w:t>
      </w:r>
      <w:r w:rsidRPr="00CF2A13">
        <w:rPr>
          <w:color w:val="000000"/>
        </w:rPr>
        <w:t xml:space="preserve"> </w:t>
      </w:r>
      <w:r>
        <w:rPr>
          <w:color w:val="000000"/>
        </w:rPr>
        <w:t xml:space="preserve">manual </w:t>
      </w:r>
      <w:r w:rsidRPr="00CF2A13">
        <w:rPr>
          <w:color w:val="000000"/>
        </w:rPr>
        <w:t>elaborado de manera conjunta por la Organización de las Naciones Unidas (ONU), el Banco Mundial (BM), la Organización para la Cooperación y el Desarrollo Económicos (OCDE), el Fondo Monetario Internacional (FMI) y la Comisión de Comunidades Europeas</w:t>
      </w:r>
      <w:r>
        <w:rPr>
          <w:color w:val="000000"/>
        </w:rPr>
        <w:t xml:space="preserve"> a través de la Oficina Europea de Estadística</w:t>
      </w:r>
      <w:r w:rsidRPr="00CF2A13">
        <w:rPr>
          <w:color w:val="000000"/>
        </w:rPr>
        <w:t xml:space="preserve"> (EUROSTAT). Adicionalmente, </w:t>
      </w:r>
      <w:r>
        <w:rPr>
          <w:color w:val="000000"/>
        </w:rPr>
        <w:t xml:space="preserve">para la explotación, revisión y presentación de los resultados </w:t>
      </w:r>
      <w:r w:rsidRPr="00CF2A13">
        <w:rPr>
          <w:color w:val="000000"/>
        </w:rPr>
        <w:t>se hizo uso</w:t>
      </w:r>
      <w:r>
        <w:rPr>
          <w:color w:val="000000"/>
        </w:rPr>
        <w:t xml:space="preserve"> del clasificador</w:t>
      </w:r>
      <w:r w:rsidRPr="00CF2A13">
        <w:rPr>
          <w:color w:val="000000"/>
        </w:rPr>
        <w:t xml:space="preserve"> </w:t>
      </w:r>
      <w:r>
        <w:rPr>
          <w:color w:val="000000"/>
        </w:rPr>
        <w:t>SCIAN 2013</w:t>
      </w:r>
      <w:r w:rsidRPr="00CF2A13">
        <w:rPr>
          <w:color w:val="000000"/>
        </w:rPr>
        <w:t xml:space="preserve">. </w:t>
      </w:r>
    </w:p>
    <w:p w14:paraId="3F9288B0" w14:textId="77777777" w:rsidR="009D0EFC" w:rsidRPr="00CF2A13" w:rsidRDefault="009D0EFC" w:rsidP="009D0EFC">
      <w:pPr>
        <w:pStyle w:val="parrafo1"/>
        <w:spacing w:before="360"/>
        <w:ind w:left="0" w:right="51"/>
        <w:rPr>
          <w:color w:val="000000"/>
        </w:rPr>
      </w:pPr>
      <w:r w:rsidRPr="00CF2A13">
        <w:rPr>
          <w:color w:val="000000"/>
        </w:rPr>
        <w:t xml:space="preserve">En la elaboración de la Cuenta Satélite de Vivienda se aprovecharon las experiencias internacionales disponibles, como son los casos de estudio de España y Marruecos, así como las series publicadas relativas a la vivienda en Francia. Además, se consideraron las Recomendaciones Internacionales para las Estadísticas de la Construcción, y el manual </w:t>
      </w:r>
      <w:proofErr w:type="spellStart"/>
      <w:r w:rsidRPr="00362C51">
        <w:rPr>
          <w:i/>
          <w:color w:val="000000"/>
        </w:rPr>
        <w:t>Household</w:t>
      </w:r>
      <w:proofErr w:type="spellEnd"/>
      <w:r w:rsidRPr="00362C51">
        <w:rPr>
          <w:i/>
          <w:color w:val="000000"/>
        </w:rPr>
        <w:t xml:space="preserve"> </w:t>
      </w:r>
      <w:proofErr w:type="spellStart"/>
      <w:r w:rsidRPr="00362C51">
        <w:rPr>
          <w:i/>
          <w:color w:val="000000"/>
        </w:rPr>
        <w:t>Accounting</w:t>
      </w:r>
      <w:proofErr w:type="spellEnd"/>
      <w:r w:rsidRPr="00362C51">
        <w:rPr>
          <w:i/>
          <w:color w:val="000000"/>
        </w:rPr>
        <w:t xml:space="preserve">: </w:t>
      </w:r>
      <w:proofErr w:type="spellStart"/>
      <w:r w:rsidRPr="00362C51">
        <w:rPr>
          <w:i/>
          <w:color w:val="000000"/>
        </w:rPr>
        <w:t>Experience</w:t>
      </w:r>
      <w:proofErr w:type="spellEnd"/>
      <w:r w:rsidRPr="00362C51">
        <w:rPr>
          <w:i/>
          <w:color w:val="000000"/>
        </w:rPr>
        <w:t xml:space="preserve"> in </w:t>
      </w:r>
      <w:proofErr w:type="spellStart"/>
      <w:r w:rsidRPr="00362C51">
        <w:rPr>
          <w:i/>
          <w:color w:val="000000"/>
        </w:rPr>
        <w:t>concepts</w:t>
      </w:r>
      <w:proofErr w:type="spellEnd"/>
      <w:r w:rsidRPr="00362C51">
        <w:rPr>
          <w:i/>
          <w:color w:val="000000"/>
        </w:rPr>
        <w:t xml:space="preserve"> and </w:t>
      </w:r>
      <w:proofErr w:type="spellStart"/>
      <w:r w:rsidRPr="00362C51">
        <w:rPr>
          <w:i/>
          <w:color w:val="000000"/>
        </w:rPr>
        <w:t>compilation</w:t>
      </w:r>
      <w:proofErr w:type="spellEnd"/>
      <w:r>
        <w:rPr>
          <w:color w:val="000000"/>
        </w:rPr>
        <w:t>,</w:t>
      </w:r>
      <w:r w:rsidRPr="00CF2A13">
        <w:rPr>
          <w:color w:val="000000"/>
        </w:rPr>
        <w:t xml:space="preserve"> ambos de la ONU.</w:t>
      </w:r>
    </w:p>
    <w:p w14:paraId="7392A0CD" w14:textId="77777777" w:rsidR="009D0EFC" w:rsidRPr="00CF2A13" w:rsidRDefault="009D0EFC" w:rsidP="009D0EFC">
      <w:pPr>
        <w:pStyle w:val="parrafo1"/>
        <w:spacing w:before="360"/>
        <w:ind w:left="0" w:right="51"/>
        <w:rPr>
          <w:color w:val="000000"/>
        </w:rPr>
      </w:pPr>
      <w:r w:rsidRPr="00CF2A13">
        <w:rPr>
          <w:color w:val="000000"/>
        </w:rPr>
        <w:t>Con base en las experiencias y recomendaciones antes mencionadas, se identificaron los bienes y servicios característicos y conexos relacionados con el sector de la vivienda en M</w:t>
      </w:r>
      <w:r>
        <w:rPr>
          <w:color w:val="000000"/>
        </w:rPr>
        <w:t xml:space="preserve">éxico, </w:t>
      </w:r>
      <w:r w:rsidRPr="008C3B36">
        <w:rPr>
          <w:color w:val="000000"/>
        </w:rPr>
        <w:t>resultando 79 clases de actividad económica SCIAN</w:t>
      </w:r>
      <w:r>
        <w:rPr>
          <w:color w:val="000000"/>
        </w:rPr>
        <w:t xml:space="preserve"> 2013</w:t>
      </w:r>
      <w:r w:rsidRPr="008C3B36">
        <w:rPr>
          <w:color w:val="000000"/>
        </w:rPr>
        <w:t>, de las cuales 8 son principales (características) y 71 secundarias</w:t>
      </w:r>
      <w:r w:rsidRPr="00CF2A13">
        <w:rPr>
          <w:color w:val="000000"/>
        </w:rPr>
        <w:t xml:space="preserve"> y de apoyo (conexas).</w:t>
      </w:r>
    </w:p>
    <w:p w14:paraId="5B2FC2A5" w14:textId="77777777" w:rsidR="009D0EFC" w:rsidRPr="00CF2A13" w:rsidRDefault="002120D7" w:rsidP="009D0EFC">
      <w:pPr>
        <w:pStyle w:val="parrafo1"/>
        <w:spacing w:before="360"/>
        <w:ind w:left="0" w:right="51"/>
        <w:rPr>
          <w:color w:val="000000"/>
        </w:rPr>
      </w:pPr>
      <w:r>
        <w:rPr>
          <w:color w:val="000000"/>
        </w:rPr>
        <w:t xml:space="preserve">Para la presentación de los datos se </w:t>
      </w:r>
      <w:r w:rsidR="009D0EFC" w:rsidRPr="00CF2A13">
        <w:rPr>
          <w:color w:val="000000"/>
        </w:rPr>
        <w:t xml:space="preserve">utilizan clasificadores y categorías que permiten caracterizar al sector de la vivienda desde el punto de vista </w:t>
      </w:r>
      <w:r w:rsidR="009D0EFC">
        <w:rPr>
          <w:color w:val="000000"/>
        </w:rPr>
        <w:t>de la contabilidad nacional empleando el SCIAN 2013</w:t>
      </w:r>
      <w:r w:rsidR="009D0EFC" w:rsidRPr="00CF2A13">
        <w:rPr>
          <w:color w:val="000000"/>
        </w:rPr>
        <w:t xml:space="preserve">. Adicionalmente, se hace uso de </w:t>
      </w:r>
      <w:r w:rsidR="009D0EFC" w:rsidRPr="00CF2A13">
        <w:rPr>
          <w:color w:val="000000"/>
        </w:rPr>
        <w:lastRenderedPageBreak/>
        <w:t xml:space="preserve">la Clasificación funcional de la CSVM que </w:t>
      </w:r>
      <w:r w:rsidR="009D0EFC">
        <w:rPr>
          <w:color w:val="000000"/>
        </w:rPr>
        <w:t xml:space="preserve">muestra </w:t>
      </w:r>
      <w:r w:rsidR="009D0EFC" w:rsidRPr="00CF2A13">
        <w:rPr>
          <w:color w:val="000000"/>
        </w:rPr>
        <w:t>el conjunto de actividades</w:t>
      </w:r>
      <w:r w:rsidR="009D0EFC">
        <w:rPr>
          <w:color w:val="000000"/>
        </w:rPr>
        <w:t xml:space="preserve"> asociadas al proceso económico del sector</w:t>
      </w:r>
      <w:r w:rsidR="009D0EFC" w:rsidRPr="00CF2A13">
        <w:rPr>
          <w:color w:val="000000"/>
        </w:rPr>
        <w:t xml:space="preserve"> agrupadas en </w:t>
      </w:r>
      <w:r w:rsidR="009D0EFC">
        <w:rPr>
          <w:color w:val="000000"/>
        </w:rPr>
        <w:t>cuatro</w:t>
      </w:r>
      <w:r w:rsidR="009D0EFC" w:rsidRPr="00CF2A13">
        <w:rPr>
          <w:color w:val="000000"/>
        </w:rPr>
        <w:t xml:space="preserve"> ámbitos: edificación, adquisición, uso, y regulación y fomento.</w:t>
      </w:r>
    </w:p>
    <w:p w14:paraId="524B1C9E" w14:textId="77777777" w:rsidR="009D0EFC" w:rsidRDefault="009D0EFC" w:rsidP="009D0EFC">
      <w:pPr>
        <w:pStyle w:val="parrafo1"/>
        <w:spacing w:before="360"/>
        <w:ind w:left="0" w:right="51"/>
        <w:rPr>
          <w:color w:val="000000"/>
        </w:rPr>
      </w:pPr>
      <w:r w:rsidRPr="003B02A0">
        <w:rPr>
          <w:color w:val="000000"/>
        </w:rPr>
        <w:t xml:space="preserve">Los resultados de la actualización se ofrecen en </w:t>
      </w:r>
      <w:r>
        <w:rPr>
          <w:color w:val="000000"/>
        </w:rPr>
        <w:t xml:space="preserve">cuadros detallados en el sitio electrónico que el </w:t>
      </w:r>
      <w:r w:rsidRPr="00E0689B">
        <w:rPr>
          <w:color w:val="000000"/>
        </w:rPr>
        <w:t>Instituto</w:t>
      </w:r>
      <w:r>
        <w:rPr>
          <w:color w:val="000000"/>
        </w:rPr>
        <w:t xml:space="preserve"> tiene asignado para tal fin,</w:t>
      </w:r>
      <w:r w:rsidRPr="003B02A0">
        <w:rPr>
          <w:color w:val="000000"/>
        </w:rPr>
        <w:t xml:space="preserve"> con el objetivo de facilitar el</w:t>
      </w:r>
      <w:r>
        <w:rPr>
          <w:color w:val="000000"/>
        </w:rPr>
        <w:t xml:space="preserve"> conocimiento,</w:t>
      </w:r>
      <w:r w:rsidRPr="003B02A0">
        <w:rPr>
          <w:color w:val="000000"/>
        </w:rPr>
        <w:t xml:space="preserve"> uso y aprovechamiento de </w:t>
      </w:r>
      <w:r>
        <w:rPr>
          <w:color w:val="000000"/>
        </w:rPr>
        <w:t>la información del sector</w:t>
      </w:r>
      <w:r w:rsidRPr="003B02A0">
        <w:rPr>
          <w:color w:val="000000"/>
        </w:rPr>
        <w:t>.</w:t>
      </w:r>
      <w:r w:rsidRPr="00CF2A13">
        <w:rPr>
          <w:color w:val="000000"/>
        </w:rPr>
        <w:t xml:space="preserve"> La </w:t>
      </w:r>
      <w:r>
        <w:rPr>
          <w:color w:val="000000"/>
        </w:rPr>
        <w:t>Cuenta Satélite de Vivienda</w:t>
      </w:r>
      <w:r w:rsidRPr="00CF2A13">
        <w:rPr>
          <w:color w:val="000000"/>
        </w:rPr>
        <w:t xml:space="preserve"> con</w:t>
      </w:r>
      <w:r>
        <w:rPr>
          <w:color w:val="000000"/>
        </w:rPr>
        <w:t>sidera</w:t>
      </w:r>
      <w:r w:rsidRPr="00CF2A13">
        <w:rPr>
          <w:color w:val="000000"/>
        </w:rPr>
        <w:t xml:space="preserve"> las acciones y procesos de las unidades económicas dedicadas a la edificación, financiamiento, regulación, fomento, servicios inmobiliarios y el alquiler efectivo de las </w:t>
      </w:r>
      <w:r>
        <w:rPr>
          <w:color w:val="000000"/>
        </w:rPr>
        <w:t>casas</w:t>
      </w:r>
      <w:r w:rsidRPr="00CF2A13">
        <w:rPr>
          <w:color w:val="000000"/>
        </w:rPr>
        <w:t xml:space="preserve">; incluye la participación de los hogares en la construcción, ampliación, mejoramiento y supervisión de la vivienda. </w:t>
      </w:r>
      <w:r>
        <w:rPr>
          <w:color w:val="000000"/>
        </w:rPr>
        <w:t>Adicionalmente, se ofrecen cuadros con la incorporación del</w:t>
      </w:r>
      <w:r w:rsidRPr="00CF2A13">
        <w:rPr>
          <w:color w:val="000000"/>
        </w:rPr>
        <w:t xml:space="preserve"> alquiler imputado</w:t>
      </w:r>
      <w:r>
        <w:rPr>
          <w:color w:val="000000"/>
        </w:rPr>
        <w:t xml:space="preserve"> de</w:t>
      </w:r>
      <w:r w:rsidRPr="00CF2A13">
        <w:rPr>
          <w:color w:val="000000"/>
        </w:rPr>
        <w:t xml:space="preserve"> las viviendas ocupadas por sus propietarios. Lo anterior como recomendación del SCN 2008.</w:t>
      </w:r>
    </w:p>
    <w:p w14:paraId="2695A9B9" w14:textId="77777777" w:rsidR="009D0EFC" w:rsidRPr="00CF2A13" w:rsidRDefault="009D0EFC" w:rsidP="009D0EFC">
      <w:pPr>
        <w:pStyle w:val="parrafo1"/>
        <w:spacing w:before="360"/>
        <w:ind w:left="0" w:right="51"/>
        <w:rPr>
          <w:color w:val="000000"/>
        </w:rPr>
      </w:pPr>
      <w:r>
        <w:rPr>
          <w:color w:val="000000"/>
        </w:rPr>
        <w:t>Otra información que proporciona la Cuenta es aquella relacionada con el ámbito del financiamiento a las acciones para la adquisición, construcción y mejoramiento, c</w:t>
      </w:r>
      <w:r w:rsidRPr="000A7D2A">
        <w:rPr>
          <w:color w:val="000000"/>
        </w:rPr>
        <w:t>onsiderando la relación del sector de los hogares con diversas instituciones financieras y no financieras debido a las necesidades en materia de vivienda</w:t>
      </w:r>
      <w:r>
        <w:rPr>
          <w:color w:val="000000"/>
        </w:rPr>
        <w:t>. La información que se ofrece a los usuarios permite</w:t>
      </w:r>
      <w:r w:rsidRPr="000A7D2A">
        <w:rPr>
          <w:color w:val="000000"/>
        </w:rPr>
        <w:t xml:space="preserve"> observar varios aspectos de esta relación como son las fuentes de financiamiento o inversión, los agentes que se involucran y </w:t>
      </w:r>
      <w:r>
        <w:rPr>
          <w:color w:val="000000"/>
        </w:rPr>
        <w:t>las modalidades de aplicación</w:t>
      </w:r>
      <w:r w:rsidRPr="000A7D2A">
        <w:rPr>
          <w:color w:val="000000"/>
        </w:rPr>
        <w:t xml:space="preserve"> de</w:t>
      </w:r>
      <w:r>
        <w:rPr>
          <w:color w:val="000000"/>
        </w:rPr>
        <w:t xml:space="preserve"> los recursos.</w:t>
      </w:r>
    </w:p>
    <w:p w14:paraId="569CED41" w14:textId="77777777" w:rsidR="009D0EFC" w:rsidRPr="00CF2A13" w:rsidRDefault="009D0EFC" w:rsidP="009D0EFC">
      <w:pPr>
        <w:pStyle w:val="parrafo1"/>
        <w:spacing w:before="360"/>
        <w:ind w:left="0" w:right="51"/>
        <w:rPr>
          <w:color w:val="000000"/>
        </w:rPr>
      </w:pPr>
      <w:r w:rsidRPr="003B02A0">
        <w:rPr>
          <w:color w:val="000000"/>
        </w:rPr>
        <w:t xml:space="preserve">La medición de los flujos económicos y no económicos de la </w:t>
      </w:r>
      <w:r>
        <w:rPr>
          <w:color w:val="000000"/>
        </w:rPr>
        <w:t>C</w:t>
      </w:r>
      <w:r w:rsidRPr="003B02A0">
        <w:rPr>
          <w:color w:val="000000"/>
        </w:rPr>
        <w:t>uenta se realiza de acuerdo con el estándar estadístico internacional establecido en el SCN 2008 y se enmarca dentro de las Cuentas Nacionales de México, denominadas como Información de Interés Nacional (IIN).</w:t>
      </w:r>
    </w:p>
    <w:p w14:paraId="5D46C8A7" w14:textId="77777777" w:rsidR="00864F12" w:rsidRDefault="009D0EFC" w:rsidP="009D0EFC">
      <w:pPr>
        <w:pStyle w:val="parrafo1"/>
        <w:spacing w:before="360"/>
        <w:ind w:left="0" w:right="51"/>
      </w:pPr>
      <w:r w:rsidRPr="00CF2A13">
        <w:rPr>
          <w:color w:val="000000"/>
        </w:rPr>
        <w:t>La información que se presenta en e</w:t>
      </w:r>
      <w:r>
        <w:rPr>
          <w:color w:val="000000"/>
        </w:rPr>
        <w:t xml:space="preserve">ste </w:t>
      </w:r>
      <w:r w:rsidRPr="00CF2A13">
        <w:rPr>
          <w:color w:val="000000"/>
        </w:rPr>
        <w:t xml:space="preserve">documento constituye </w:t>
      </w:r>
      <w:r w:rsidRPr="009C1806">
        <w:rPr>
          <w:color w:val="000000"/>
        </w:rPr>
        <w:t xml:space="preserve">sólo una muestra del acervo </w:t>
      </w:r>
      <w:r>
        <w:rPr>
          <w:color w:val="000000"/>
        </w:rPr>
        <w:t>estadístico</w:t>
      </w:r>
      <w:r w:rsidRPr="009C1806">
        <w:rPr>
          <w:color w:val="000000"/>
        </w:rPr>
        <w:t xml:space="preserve"> que proporciona la Cuenta Satélite de Viv</w:t>
      </w:r>
      <w:r w:rsidR="00043A84">
        <w:rPr>
          <w:color w:val="000000"/>
        </w:rPr>
        <w:t>ienda de México (CSVM) 2008-2018</w:t>
      </w:r>
      <w:r w:rsidRPr="009C1806">
        <w:rPr>
          <w:color w:val="000000"/>
        </w:rPr>
        <w:t>, la cual puede ser consultada en el sitio del Instituto</w:t>
      </w:r>
      <w:r w:rsidR="00864F12">
        <w:t>:</w:t>
      </w:r>
    </w:p>
    <w:p w14:paraId="7F8C9A09" w14:textId="77777777" w:rsidR="009D0EFC" w:rsidRPr="00335A0E" w:rsidRDefault="002D60F2" w:rsidP="009D0EFC">
      <w:pPr>
        <w:pStyle w:val="parrafo1"/>
        <w:spacing w:before="360"/>
        <w:ind w:left="0" w:right="51"/>
      </w:pPr>
      <w:hyperlink r:id="rId28" w:history="1">
        <w:r w:rsidR="009D0EFC" w:rsidRPr="001F47C6">
          <w:rPr>
            <w:rStyle w:val="Hipervnculo"/>
          </w:rPr>
          <w:t>https://www.inegi.org.mx/temas/viviendasat/</w:t>
        </w:r>
      </w:hyperlink>
      <w:r w:rsidR="009D0EFC">
        <w:t xml:space="preserve"> </w:t>
      </w:r>
    </w:p>
    <w:p w14:paraId="4FFE56A3" w14:textId="77777777" w:rsidR="006269D8" w:rsidRPr="00D5762D" w:rsidRDefault="006269D8" w:rsidP="00CF2A13">
      <w:pPr>
        <w:pStyle w:val="parrafo1"/>
        <w:spacing w:before="360"/>
        <w:ind w:left="0" w:right="51"/>
        <w:rPr>
          <w:color w:val="FF0000"/>
        </w:rPr>
      </w:pPr>
    </w:p>
    <w:sectPr w:rsidR="006269D8" w:rsidRPr="00D5762D" w:rsidSect="00CE7A3E">
      <w:headerReference w:type="default" r:id="rId29"/>
      <w:endnotePr>
        <w:numFmt w:val="decimal"/>
      </w:endnotePr>
      <w:pgSz w:w="12240" w:h="15840"/>
      <w:pgMar w:top="1417" w:right="1701" w:bottom="993" w:left="1701"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5771B" w14:textId="77777777" w:rsidR="00B23DE7" w:rsidRDefault="00B23DE7">
      <w:pPr>
        <w:spacing w:before="0"/>
      </w:pPr>
      <w:r>
        <w:separator/>
      </w:r>
    </w:p>
  </w:endnote>
  <w:endnote w:type="continuationSeparator" w:id="0">
    <w:p w14:paraId="11FAC1E3" w14:textId="77777777" w:rsidR="00B23DE7" w:rsidRDefault="00B23DE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E812" w14:textId="77777777" w:rsidR="002D60F2" w:rsidRDefault="002D60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F3B1" w14:textId="77777777" w:rsidR="008F5FF1" w:rsidRDefault="008F5FF1" w:rsidP="004C150C">
    <w:pPr>
      <w:pStyle w:val="Piedepgina"/>
      <w:contextualSpacing/>
      <w:jc w:val="center"/>
      <w:rPr>
        <w:b/>
        <w:color w:val="002060"/>
        <w:sz w:val="22"/>
        <w:szCs w:val="22"/>
      </w:rPr>
    </w:pPr>
  </w:p>
  <w:p w14:paraId="3EE29741" w14:textId="77777777" w:rsidR="008F5FF1" w:rsidRPr="002C08BA" w:rsidRDefault="008F5FF1" w:rsidP="004C150C">
    <w:pPr>
      <w:pStyle w:val="Piedepgina"/>
      <w:contextualSpacing/>
      <w:jc w:val="center"/>
      <w:rPr>
        <w:rFonts w:ascii="Arial" w:hAnsi="Arial" w:cs="Arial"/>
        <w:color w:val="002060"/>
        <w:sz w:val="18"/>
        <w:szCs w:val="18"/>
      </w:rPr>
    </w:pPr>
    <w:r w:rsidRPr="002C08BA">
      <w:rPr>
        <w:rFonts w:ascii="Arial" w:hAnsi="Arial" w:cs="Arial"/>
        <w:b/>
        <w:color w:val="002060"/>
        <w:sz w:val="18"/>
        <w:szCs w:val="18"/>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19FBB" w14:textId="77777777" w:rsidR="002D60F2" w:rsidRDefault="002D60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90ABD" w14:textId="77777777" w:rsidR="00B23DE7" w:rsidRDefault="00B23DE7">
      <w:pPr>
        <w:spacing w:before="0"/>
      </w:pPr>
      <w:r>
        <w:separator/>
      </w:r>
    </w:p>
  </w:footnote>
  <w:footnote w:type="continuationSeparator" w:id="0">
    <w:p w14:paraId="046CC8AB" w14:textId="77777777" w:rsidR="00B23DE7" w:rsidRDefault="00B23DE7">
      <w:pPr>
        <w:spacing w:before="0"/>
      </w:pPr>
      <w:r>
        <w:continuationSeparator/>
      </w:r>
    </w:p>
  </w:footnote>
  <w:footnote w:id="1">
    <w:p w14:paraId="439F7D8D" w14:textId="77777777" w:rsidR="008F5FF1" w:rsidRPr="00D12F35" w:rsidRDefault="008F5FF1" w:rsidP="008F5FF1">
      <w:pPr>
        <w:pStyle w:val="Textonotapie"/>
        <w:ind w:left="142" w:right="-547" w:hanging="142"/>
        <w:jc w:val="both"/>
        <w:rPr>
          <w:rFonts w:ascii="Arial" w:hAnsi="Arial" w:cs="Arial"/>
        </w:rPr>
      </w:pPr>
      <w:r w:rsidRPr="00AC7D0D">
        <w:rPr>
          <w:rStyle w:val="Refdenotaalpie"/>
          <w:rFonts w:ascii="Arial" w:hAnsi="Arial"/>
          <w:b w:val="0"/>
          <w:sz w:val="18"/>
          <w:szCs w:val="18"/>
        </w:rPr>
        <w:footnoteRef/>
      </w:r>
      <w:r w:rsidRPr="003E144B">
        <w:rPr>
          <w:rStyle w:val="Refdenotaalpie"/>
          <w:rFonts w:ascii="Arial" w:hAnsi="Arial"/>
          <w:szCs w:val="18"/>
          <w:lang w:val="x-none"/>
        </w:rPr>
        <w:t xml:space="preserve"> </w:t>
      </w:r>
      <w:r>
        <w:tab/>
      </w:r>
      <w:r w:rsidRPr="00AC7D0D">
        <w:rPr>
          <w:rFonts w:ascii="Arial" w:hAnsi="Arial" w:cs="Arial"/>
          <w:sz w:val="16"/>
          <w:szCs w:val="16"/>
          <w:lang w:val="es-MX"/>
        </w:rPr>
        <w:t xml:space="preserve">Son los precios de los bienes o servicios valorados en el establecimiento del </w:t>
      </w:r>
      <w:r>
        <w:rPr>
          <w:rFonts w:ascii="Arial" w:hAnsi="Arial" w:cs="Arial"/>
          <w:sz w:val="16"/>
          <w:szCs w:val="16"/>
          <w:lang w:val="es-MX"/>
        </w:rPr>
        <w:t>productor. E</w:t>
      </w:r>
      <w:r w:rsidRPr="00AC7D0D">
        <w:rPr>
          <w:rFonts w:ascii="Arial" w:hAnsi="Arial" w:cs="Arial"/>
          <w:sz w:val="16"/>
          <w:szCs w:val="16"/>
          <w:lang w:val="es-MX"/>
        </w:rPr>
        <w:t>xcluyen los gastos de transporte y los impuestos netos a los productos como el IVA.</w:t>
      </w:r>
    </w:p>
  </w:footnote>
  <w:footnote w:id="2">
    <w:p w14:paraId="58A05693" w14:textId="77777777" w:rsidR="008F5FF1" w:rsidRPr="00423CF3" w:rsidRDefault="008F5FF1" w:rsidP="008F5FF1">
      <w:pPr>
        <w:pStyle w:val="Textonotapie"/>
        <w:ind w:left="142" w:right="-547" w:hanging="142"/>
        <w:jc w:val="both"/>
        <w:rPr>
          <w:sz w:val="18"/>
          <w:szCs w:val="18"/>
          <w:lang w:val="es-MX"/>
        </w:rPr>
      </w:pPr>
      <w:r w:rsidRPr="003B5666">
        <w:rPr>
          <w:rStyle w:val="Refdenotaalpie"/>
          <w:rFonts w:ascii="Arial" w:hAnsi="Arial"/>
          <w:b w:val="0"/>
          <w:sz w:val="18"/>
          <w:szCs w:val="18"/>
        </w:rPr>
        <w:footnoteRef/>
      </w:r>
      <w:r w:rsidRPr="004E09CE">
        <w:rPr>
          <w:sz w:val="18"/>
          <w:szCs w:val="18"/>
        </w:rPr>
        <w:t xml:space="preserve"> </w:t>
      </w:r>
      <w:r w:rsidRPr="00C057D0">
        <w:rPr>
          <w:rFonts w:ascii="Arial" w:hAnsi="Arial" w:cs="Arial"/>
          <w:sz w:val="16"/>
          <w:szCs w:val="16"/>
        </w:rPr>
        <w:t xml:space="preserve">La </w:t>
      </w:r>
      <w:r>
        <w:rPr>
          <w:rFonts w:ascii="Arial" w:hAnsi="Arial" w:cs="Arial"/>
          <w:sz w:val="16"/>
          <w:szCs w:val="16"/>
          <w:lang w:val="es-MX"/>
        </w:rPr>
        <w:t>producción</w:t>
      </w:r>
      <w:r w:rsidRPr="004E09CE">
        <w:rPr>
          <w:rFonts w:ascii="Arial" w:hAnsi="Arial" w:cs="Arial"/>
          <w:sz w:val="16"/>
          <w:szCs w:val="16"/>
        </w:rPr>
        <w:t xml:space="preserve"> </w:t>
      </w:r>
      <w:r>
        <w:rPr>
          <w:rFonts w:ascii="Arial" w:hAnsi="Arial" w:cs="Arial"/>
          <w:sz w:val="16"/>
          <w:szCs w:val="16"/>
          <w:lang w:val="es-MX"/>
        </w:rPr>
        <w:t xml:space="preserve">para uso final propio en vivienda </w:t>
      </w:r>
      <w:r>
        <w:rPr>
          <w:rFonts w:ascii="Arial" w:hAnsi="Arial" w:cs="Arial"/>
          <w:sz w:val="16"/>
          <w:szCs w:val="16"/>
        </w:rPr>
        <w:t xml:space="preserve">corresponde a los bienes y </w:t>
      </w:r>
      <w:r>
        <w:rPr>
          <w:rFonts w:ascii="Arial" w:hAnsi="Arial" w:cs="Arial"/>
          <w:sz w:val="16"/>
          <w:szCs w:val="16"/>
          <w:lang w:val="es-MX"/>
        </w:rPr>
        <w:t>servicios</w:t>
      </w:r>
      <w:r>
        <w:rPr>
          <w:rFonts w:ascii="Arial" w:hAnsi="Arial" w:cs="Arial"/>
          <w:sz w:val="16"/>
          <w:szCs w:val="16"/>
        </w:rPr>
        <w:t xml:space="preserve"> generados </w:t>
      </w:r>
      <w:r>
        <w:rPr>
          <w:rFonts w:ascii="Arial" w:hAnsi="Arial" w:cs="Arial"/>
          <w:sz w:val="16"/>
          <w:szCs w:val="16"/>
          <w:lang w:val="es-MX"/>
        </w:rPr>
        <w:t>por los hogares para su propio consumo y se incluyen: la autoconstrucción, ampliación y el mejoramiento de vivienda, la autoproducción y la supervisión e inspección</w:t>
      </w:r>
      <w:r w:rsidRPr="004E09CE">
        <w:rPr>
          <w:rFonts w:ascii="Arial" w:hAnsi="Arial" w:cs="Arial"/>
          <w:sz w:val="16"/>
          <w:szCs w:val="16"/>
        </w:rPr>
        <w:t>.</w:t>
      </w:r>
    </w:p>
  </w:footnote>
  <w:footnote w:id="3">
    <w:p w14:paraId="1A2622C4" w14:textId="77777777" w:rsidR="008F5FF1" w:rsidRPr="008E1C81" w:rsidRDefault="008F5FF1" w:rsidP="008F5FF1">
      <w:pPr>
        <w:pStyle w:val="Textonotapie"/>
        <w:ind w:left="142" w:right="-547" w:hanging="142"/>
        <w:jc w:val="both"/>
        <w:rPr>
          <w:rFonts w:ascii="Arial" w:hAnsi="Arial" w:cs="Arial"/>
          <w:lang w:val="es-MX"/>
        </w:rPr>
      </w:pPr>
      <w:r w:rsidRPr="008E1C81">
        <w:rPr>
          <w:rStyle w:val="Refdenotaalpie"/>
          <w:rFonts w:ascii="Arial" w:hAnsi="Arial"/>
          <w:b w:val="0"/>
          <w:sz w:val="18"/>
        </w:rPr>
        <w:footnoteRef/>
      </w:r>
      <w:r w:rsidRPr="008E1C81">
        <w:rPr>
          <w:rFonts w:ascii="Arial" w:hAnsi="Arial" w:cs="Arial"/>
          <w:sz w:val="18"/>
        </w:rPr>
        <w:t xml:space="preserve"> </w:t>
      </w:r>
      <w:r>
        <w:rPr>
          <w:rFonts w:ascii="Arial" w:hAnsi="Arial" w:cs="Arial"/>
          <w:sz w:val="16"/>
          <w:lang w:val="es-MX"/>
        </w:rPr>
        <w:t>La producción no de mercado se refiere a los bienes y servicios que se ofrecen a precios no significativos o que no inciden en las decisiones de productores o compradores; éstos generalmente los provee el gobierno o las instituciones sin fines de lucro.</w:t>
      </w:r>
    </w:p>
  </w:footnote>
  <w:footnote w:id="4">
    <w:p w14:paraId="4410791E" w14:textId="77777777" w:rsidR="008F5FF1" w:rsidRPr="00E0053A" w:rsidRDefault="008F5FF1" w:rsidP="008F5FF1">
      <w:pPr>
        <w:pStyle w:val="Textonotapie"/>
        <w:ind w:left="142" w:right="-547" w:hanging="142"/>
        <w:jc w:val="both"/>
        <w:rPr>
          <w:rFonts w:ascii="Arial" w:hAnsi="Arial" w:cs="Arial"/>
          <w:lang w:val="es-MX"/>
        </w:rPr>
      </w:pPr>
      <w:r w:rsidRPr="00CF2A13">
        <w:rPr>
          <w:rStyle w:val="Refdenotaalpie"/>
          <w:rFonts w:ascii="Arial" w:hAnsi="Arial"/>
          <w:b w:val="0"/>
          <w:sz w:val="18"/>
        </w:rPr>
        <w:footnoteRef/>
      </w:r>
      <w:r w:rsidRPr="00E0053A">
        <w:rPr>
          <w:rFonts w:ascii="Arial" w:hAnsi="Arial" w:cs="Arial"/>
          <w:sz w:val="16"/>
        </w:rPr>
        <w:t xml:space="preserve"> </w:t>
      </w:r>
      <w:r w:rsidRPr="00E0053A">
        <w:rPr>
          <w:rFonts w:ascii="Arial" w:hAnsi="Arial" w:cs="Arial"/>
          <w:sz w:val="16"/>
          <w:lang w:val="es-MX"/>
        </w:rPr>
        <w:t>Este valor representa el monto que los hogares tendrían que pagar si alquilaran la</w:t>
      </w:r>
      <w:r>
        <w:rPr>
          <w:rFonts w:ascii="Arial" w:hAnsi="Arial" w:cs="Arial"/>
          <w:sz w:val="16"/>
          <w:lang w:val="es-MX"/>
        </w:rPr>
        <w:t>s</w:t>
      </w:r>
      <w:r w:rsidRPr="00E0053A">
        <w:rPr>
          <w:rFonts w:ascii="Arial" w:hAnsi="Arial" w:cs="Arial"/>
          <w:sz w:val="16"/>
          <w:lang w:val="es-MX"/>
        </w:rPr>
        <w:t xml:space="preserve"> vivienda</w:t>
      </w:r>
      <w:r>
        <w:rPr>
          <w:rFonts w:ascii="Arial" w:hAnsi="Arial" w:cs="Arial"/>
          <w:sz w:val="16"/>
          <w:lang w:val="es-MX"/>
        </w:rPr>
        <w:t>s</w:t>
      </w:r>
      <w:r w:rsidRPr="00E0053A">
        <w:rPr>
          <w:rFonts w:ascii="Arial" w:hAnsi="Arial" w:cs="Arial"/>
          <w:sz w:val="16"/>
          <w:lang w:val="es-MX"/>
        </w:rPr>
        <w:t xml:space="preserve"> que habitan</w:t>
      </w:r>
      <w:r w:rsidRPr="000B783B">
        <w:rPr>
          <w:rFonts w:ascii="Arial" w:hAnsi="Arial" w:cs="Arial"/>
          <w:sz w:val="16"/>
          <w:lang w:val="es-MX"/>
        </w:rPr>
        <w:t xml:space="preserve"> </w:t>
      </w:r>
      <w:r w:rsidRPr="00E0053A">
        <w:rPr>
          <w:rFonts w:ascii="Arial" w:hAnsi="Arial" w:cs="Arial"/>
          <w:sz w:val="16"/>
          <w:lang w:val="es-MX"/>
        </w:rPr>
        <w:t>de su propiedad</w:t>
      </w:r>
      <w:r>
        <w:rPr>
          <w:rFonts w:ascii="Arial" w:hAnsi="Arial" w:cs="Arial"/>
          <w:sz w:val="16"/>
          <w:lang w:val="es-MX"/>
        </w:rPr>
        <w:t>, con las mismas características físicas y de ubicación</w:t>
      </w:r>
      <w:r w:rsidRPr="00E0053A">
        <w:rPr>
          <w:rFonts w:ascii="Arial" w:hAnsi="Arial" w:cs="Arial"/>
          <w:sz w:val="16"/>
          <w:lang w:val="es-MX"/>
        </w:rPr>
        <w:t>.</w:t>
      </w:r>
    </w:p>
  </w:footnote>
  <w:footnote w:id="5">
    <w:p w14:paraId="47034B6A" w14:textId="77777777" w:rsidR="00601769" w:rsidRPr="00601769" w:rsidRDefault="00601769" w:rsidP="00601769">
      <w:pPr>
        <w:pStyle w:val="Textonotapie"/>
        <w:ind w:left="142" w:hanging="142"/>
        <w:jc w:val="both"/>
        <w:rPr>
          <w:rFonts w:ascii="Arial" w:hAnsi="Arial" w:cs="Arial"/>
          <w:sz w:val="16"/>
          <w:szCs w:val="16"/>
        </w:rPr>
      </w:pPr>
      <w:r w:rsidRPr="00921892">
        <w:rPr>
          <w:rStyle w:val="Refdenotaalpie"/>
          <w:rFonts w:ascii="Arial" w:hAnsi="Arial"/>
          <w:b w:val="0"/>
          <w:sz w:val="18"/>
        </w:rPr>
        <w:footnoteRef/>
      </w:r>
      <w:r w:rsidRPr="00921892">
        <w:rPr>
          <w:rStyle w:val="Refdenotaalpie"/>
          <w:rFonts w:ascii="Arial" w:hAnsi="Arial"/>
          <w:sz w:val="18"/>
        </w:rPr>
        <w:t xml:space="preserve"> </w:t>
      </w:r>
      <w:r>
        <w:tab/>
      </w:r>
      <w:r w:rsidRPr="00601769">
        <w:rPr>
          <w:rFonts w:ascii="Arial" w:hAnsi="Arial" w:cs="Arial"/>
          <w:sz w:val="16"/>
          <w:szCs w:val="16"/>
        </w:rPr>
        <w:t>Son los precios de los bienes o servicios valorados en el est</w:t>
      </w:r>
      <w:r w:rsidR="006876FE">
        <w:rPr>
          <w:rFonts w:ascii="Arial" w:hAnsi="Arial" w:cs="Arial"/>
          <w:sz w:val="16"/>
          <w:szCs w:val="16"/>
        </w:rPr>
        <w:t>ablecimiento del productor. E</w:t>
      </w:r>
      <w:r w:rsidRPr="00601769">
        <w:rPr>
          <w:rFonts w:ascii="Arial" w:hAnsi="Arial" w:cs="Arial"/>
          <w:sz w:val="16"/>
          <w:szCs w:val="16"/>
        </w:rPr>
        <w:t>xcluyen los gastos de transporte y los impuestos netos a los productos como el IVA.</w:t>
      </w:r>
    </w:p>
  </w:footnote>
  <w:footnote w:id="6">
    <w:p w14:paraId="64710157" w14:textId="77777777" w:rsidR="008E43BA" w:rsidRPr="00585664" w:rsidRDefault="008E43BA" w:rsidP="008E43BA">
      <w:pPr>
        <w:pStyle w:val="Textonotapie"/>
        <w:ind w:left="142" w:hanging="142"/>
        <w:jc w:val="both"/>
        <w:rPr>
          <w:lang w:val="es-MX"/>
        </w:rPr>
      </w:pPr>
      <w:r w:rsidRPr="003B5666">
        <w:rPr>
          <w:rStyle w:val="Refdenotaalpie"/>
          <w:rFonts w:ascii="Arial" w:hAnsi="Arial"/>
          <w:b w:val="0"/>
          <w:sz w:val="18"/>
        </w:rPr>
        <w:footnoteRef/>
      </w:r>
      <w:r w:rsidRPr="00F13687">
        <w:rPr>
          <w:rFonts w:ascii="Arial" w:hAnsi="Arial" w:cs="Arial"/>
        </w:rPr>
        <w:t xml:space="preserve"> </w:t>
      </w:r>
      <w:r w:rsidRPr="00C057D0">
        <w:rPr>
          <w:rFonts w:ascii="Arial" w:hAnsi="Arial" w:cs="Arial"/>
          <w:sz w:val="16"/>
          <w:szCs w:val="16"/>
        </w:rPr>
        <w:t xml:space="preserve">La </w:t>
      </w:r>
      <w:r>
        <w:rPr>
          <w:rFonts w:ascii="Arial" w:hAnsi="Arial" w:cs="Arial"/>
          <w:sz w:val="16"/>
          <w:szCs w:val="16"/>
          <w:lang w:val="es-MX"/>
        </w:rPr>
        <w:t>producción</w:t>
      </w:r>
      <w:r w:rsidRPr="004E09CE">
        <w:rPr>
          <w:rFonts w:ascii="Arial" w:hAnsi="Arial" w:cs="Arial"/>
          <w:sz w:val="16"/>
          <w:szCs w:val="16"/>
        </w:rPr>
        <w:t xml:space="preserve"> </w:t>
      </w:r>
      <w:r>
        <w:rPr>
          <w:rFonts w:ascii="Arial" w:hAnsi="Arial" w:cs="Arial"/>
          <w:sz w:val="16"/>
          <w:szCs w:val="16"/>
          <w:lang w:val="es-MX"/>
        </w:rPr>
        <w:t xml:space="preserve">para uso final propio en vivienda </w:t>
      </w:r>
      <w:r>
        <w:rPr>
          <w:rFonts w:ascii="Arial" w:hAnsi="Arial" w:cs="Arial"/>
          <w:sz w:val="16"/>
          <w:szCs w:val="16"/>
        </w:rPr>
        <w:t xml:space="preserve">corresponde a los bienes y </w:t>
      </w:r>
      <w:r>
        <w:rPr>
          <w:rFonts w:ascii="Arial" w:hAnsi="Arial" w:cs="Arial"/>
          <w:sz w:val="16"/>
          <w:szCs w:val="16"/>
          <w:lang w:val="es-MX"/>
        </w:rPr>
        <w:t>servicios</w:t>
      </w:r>
      <w:r>
        <w:rPr>
          <w:rFonts w:ascii="Arial" w:hAnsi="Arial" w:cs="Arial"/>
          <w:sz w:val="16"/>
          <w:szCs w:val="16"/>
        </w:rPr>
        <w:t xml:space="preserve"> generados </w:t>
      </w:r>
      <w:r>
        <w:rPr>
          <w:rFonts w:ascii="Arial" w:hAnsi="Arial" w:cs="Arial"/>
          <w:sz w:val="16"/>
          <w:szCs w:val="16"/>
          <w:lang w:val="es-MX"/>
        </w:rPr>
        <w:t>por los hogares para su propio consumo y se incluyen: la autoconstrucción, ampliación y el mejoramiento de</w:t>
      </w:r>
      <w:r w:rsidR="00CB191F">
        <w:rPr>
          <w:rFonts w:ascii="Arial" w:hAnsi="Arial" w:cs="Arial"/>
          <w:sz w:val="16"/>
          <w:szCs w:val="16"/>
          <w:lang w:val="es-MX"/>
        </w:rPr>
        <w:t xml:space="preserve"> la</w:t>
      </w:r>
      <w:r>
        <w:rPr>
          <w:rFonts w:ascii="Arial" w:hAnsi="Arial" w:cs="Arial"/>
          <w:sz w:val="16"/>
          <w:szCs w:val="16"/>
          <w:lang w:val="es-MX"/>
        </w:rPr>
        <w:t xml:space="preserve"> vivienda, la autoproducción y la supervisión e inspección</w:t>
      </w:r>
      <w:r w:rsidRPr="004E09CE">
        <w:rPr>
          <w:rFonts w:ascii="Arial" w:hAnsi="Arial" w:cs="Arial"/>
          <w:sz w:val="16"/>
          <w:szCs w:val="16"/>
        </w:rPr>
        <w:t>.</w:t>
      </w:r>
    </w:p>
  </w:footnote>
  <w:footnote w:id="7">
    <w:p w14:paraId="5E4D4CA8" w14:textId="77777777" w:rsidR="007B5209" w:rsidRPr="008E1C81" w:rsidRDefault="007B5209" w:rsidP="007B5209">
      <w:pPr>
        <w:pStyle w:val="Textonotapie"/>
        <w:ind w:left="142" w:hanging="142"/>
        <w:jc w:val="both"/>
        <w:rPr>
          <w:rFonts w:ascii="Arial" w:hAnsi="Arial" w:cs="Arial"/>
          <w:lang w:val="es-MX"/>
        </w:rPr>
      </w:pPr>
      <w:r w:rsidRPr="008E1C81">
        <w:rPr>
          <w:rStyle w:val="Refdenotaalpie"/>
          <w:rFonts w:ascii="Arial" w:hAnsi="Arial"/>
          <w:b w:val="0"/>
          <w:sz w:val="18"/>
        </w:rPr>
        <w:footnoteRef/>
      </w:r>
      <w:r w:rsidRPr="008E1C81">
        <w:rPr>
          <w:rFonts w:ascii="Arial" w:hAnsi="Arial" w:cs="Arial"/>
          <w:sz w:val="18"/>
        </w:rPr>
        <w:t xml:space="preserve"> </w:t>
      </w:r>
      <w:r>
        <w:rPr>
          <w:rFonts w:ascii="Arial" w:hAnsi="Arial" w:cs="Arial"/>
          <w:sz w:val="16"/>
          <w:lang w:val="es-MX"/>
        </w:rPr>
        <w:t>La producción no de mercado se refiere a los bienes y servicios que se ofrecen a precios no significativos o que no inciden en las decisiones de productores o compradores; éstos generalmente los provee el gobierno o las instituciones sin fines de lucro.</w:t>
      </w:r>
    </w:p>
  </w:footnote>
  <w:footnote w:id="8">
    <w:p w14:paraId="5682B201" w14:textId="77777777" w:rsidR="00BA0D15" w:rsidRDefault="00BA0D15" w:rsidP="008831D6">
      <w:pPr>
        <w:pStyle w:val="Textonotapie"/>
        <w:tabs>
          <w:tab w:val="left" w:pos="284"/>
        </w:tabs>
        <w:ind w:left="142" w:hanging="142"/>
        <w:jc w:val="both"/>
      </w:pPr>
      <w:r w:rsidRPr="003B5666">
        <w:rPr>
          <w:rStyle w:val="Refdenotaalpie"/>
          <w:rFonts w:ascii="Arial" w:hAnsi="Arial"/>
          <w:b w:val="0"/>
          <w:color w:val="000000"/>
          <w:sz w:val="18"/>
        </w:rPr>
        <w:footnoteRef/>
      </w:r>
      <w:r w:rsidRPr="001C0488">
        <w:rPr>
          <w:rFonts w:ascii="Arial" w:hAnsi="Arial" w:cs="Arial"/>
          <w:sz w:val="18"/>
          <w:szCs w:val="16"/>
        </w:rPr>
        <w:t xml:space="preserve"> </w:t>
      </w:r>
      <w:r>
        <w:rPr>
          <w:rFonts w:ascii="Arial" w:hAnsi="Arial" w:cs="Arial"/>
          <w:sz w:val="16"/>
          <w:szCs w:val="16"/>
        </w:rPr>
        <w:tab/>
        <w:t>Actividades económicas según el Sistema de Clasificación Industrial de América del Norte (SCIAN)</w:t>
      </w:r>
      <w:r>
        <w:rPr>
          <w:rFonts w:ascii="Arial" w:hAnsi="Arial" w:cs="Arial"/>
          <w:sz w:val="16"/>
          <w:szCs w:val="16"/>
          <w:lang w:val="es-MX"/>
        </w:rPr>
        <w:t xml:space="preserve"> 20</w:t>
      </w:r>
      <w:r w:rsidR="00653AD5">
        <w:rPr>
          <w:rFonts w:ascii="Arial" w:hAnsi="Arial" w:cs="Arial"/>
          <w:sz w:val="16"/>
          <w:szCs w:val="16"/>
          <w:lang w:val="es-MX"/>
        </w:rPr>
        <w:t>13</w:t>
      </w:r>
      <w:r>
        <w:rPr>
          <w:rFonts w:ascii="Arial" w:hAnsi="Arial" w:cs="Arial"/>
          <w:sz w:val="16"/>
          <w:szCs w:val="16"/>
        </w:rPr>
        <w:t>.</w:t>
      </w:r>
    </w:p>
  </w:footnote>
  <w:footnote w:id="9">
    <w:p w14:paraId="6EF3BC8F" w14:textId="77777777" w:rsidR="009E0462" w:rsidRPr="00A16E3C" w:rsidRDefault="009E0462" w:rsidP="009E0462">
      <w:pPr>
        <w:pStyle w:val="Textonotapie"/>
        <w:tabs>
          <w:tab w:val="left" w:pos="284"/>
        </w:tabs>
        <w:ind w:left="142" w:hanging="142"/>
        <w:jc w:val="both"/>
        <w:rPr>
          <w:rFonts w:ascii="Arial" w:hAnsi="Arial" w:cs="Arial"/>
          <w:sz w:val="16"/>
          <w:szCs w:val="16"/>
          <w:lang w:val="es-MX"/>
        </w:rPr>
      </w:pPr>
      <w:r w:rsidRPr="003B5666">
        <w:rPr>
          <w:rStyle w:val="Refdenotaalpie"/>
          <w:rFonts w:ascii="Arial" w:hAnsi="Arial"/>
          <w:b w:val="0"/>
          <w:sz w:val="18"/>
          <w:szCs w:val="16"/>
        </w:rPr>
        <w:footnoteRef/>
      </w:r>
      <w:r w:rsidRPr="003B5666">
        <w:rPr>
          <w:rFonts w:ascii="Arial" w:hAnsi="Arial" w:cs="Arial"/>
          <w:b/>
          <w:sz w:val="18"/>
          <w:szCs w:val="16"/>
        </w:rPr>
        <w:t xml:space="preserve"> </w:t>
      </w:r>
      <w:r w:rsidR="006A7E0B">
        <w:rPr>
          <w:rFonts w:ascii="Arial" w:hAnsi="Arial" w:cs="Arial"/>
          <w:sz w:val="16"/>
          <w:szCs w:val="16"/>
        </w:rPr>
        <w:t>La clasificación</w:t>
      </w:r>
      <w:r w:rsidR="006A7E0B">
        <w:rPr>
          <w:rFonts w:ascii="Arial" w:hAnsi="Arial" w:cs="Arial"/>
          <w:sz w:val="16"/>
          <w:szCs w:val="16"/>
          <w:lang w:val="es-MX"/>
        </w:rPr>
        <w:t xml:space="preserve"> funcional de las actividades </w:t>
      </w:r>
      <w:r w:rsidR="00FF5BBC">
        <w:rPr>
          <w:rFonts w:ascii="Arial" w:hAnsi="Arial" w:cs="Arial"/>
          <w:sz w:val="16"/>
          <w:szCs w:val="16"/>
          <w:lang w:val="es-MX"/>
        </w:rPr>
        <w:t>de vivienda</w:t>
      </w:r>
      <w:r>
        <w:rPr>
          <w:rFonts w:ascii="Arial" w:hAnsi="Arial" w:cs="Arial"/>
          <w:sz w:val="16"/>
          <w:szCs w:val="16"/>
          <w:lang w:val="es-MX"/>
        </w:rPr>
        <w:t xml:space="preserve"> integra las recomendaciones realizadas por </w:t>
      </w:r>
      <w:r w:rsidR="006A7E0B">
        <w:rPr>
          <w:rFonts w:ascii="Arial" w:hAnsi="Arial" w:cs="Arial"/>
          <w:sz w:val="16"/>
          <w:szCs w:val="16"/>
          <w:lang w:val="es-MX"/>
        </w:rPr>
        <w:t>el Sistema de Cuentas Nacionales (SCN) en su versión 2008 y los acuerdos alcanzados por el grupo técnico de trabajo de vivienda</w:t>
      </w:r>
      <w:r w:rsidR="00E7565C">
        <w:rPr>
          <w:rFonts w:ascii="Arial" w:hAnsi="Arial" w:cs="Arial"/>
          <w:sz w:val="16"/>
          <w:szCs w:val="16"/>
          <w:lang w:val="es-MX"/>
        </w:rPr>
        <w:t xml:space="preserve"> en el cual participan diferentes representantes del sector</w:t>
      </w:r>
      <w:r w:rsidR="00BC0317">
        <w:rPr>
          <w:rFonts w:ascii="Arial" w:hAnsi="Arial" w:cs="Arial"/>
          <w:sz w:val="16"/>
          <w:szCs w:val="16"/>
          <w:lang w:val="es-MX"/>
        </w:rPr>
        <w:t xml:space="preserve"> en México</w:t>
      </w:r>
      <w:r w:rsidR="006A7E0B">
        <w:rPr>
          <w:rFonts w:ascii="Arial" w:hAnsi="Arial" w:cs="Arial"/>
          <w:sz w:val="16"/>
          <w:szCs w:val="16"/>
          <w:lang w:val="es-MX"/>
        </w:rPr>
        <w:t>.</w:t>
      </w:r>
      <w:r w:rsidR="00C87A5E">
        <w:rPr>
          <w:rFonts w:ascii="Arial" w:hAnsi="Arial" w:cs="Arial"/>
          <w:sz w:val="16"/>
          <w:szCs w:val="16"/>
          <w:lang w:val="es-MX"/>
        </w:rPr>
        <w:t xml:space="preserve"> En esta clasificación </w:t>
      </w:r>
      <w:r w:rsidR="004C7254">
        <w:rPr>
          <w:rFonts w:ascii="Arial" w:hAnsi="Arial" w:cs="Arial"/>
          <w:sz w:val="16"/>
          <w:szCs w:val="16"/>
          <w:lang w:val="es-MX"/>
        </w:rPr>
        <w:t>se agrupan las actividades de vivienda en cuatro ámbitos generales: Edificaci</w:t>
      </w:r>
      <w:r w:rsidR="00423A49">
        <w:rPr>
          <w:rFonts w:ascii="Arial" w:hAnsi="Arial" w:cs="Arial"/>
          <w:sz w:val="16"/>
          <w:szCs w:val="16"/>
          <w:lang w:val="es-MX"/>
        </w:rPr>
        <w:t>ón, A</w:t>
      </w:r>
      <w:r w:rsidR="004C7254">
        <w:rPr>
          <w:rFonts w:ascii="Arial" w:hAnsi="Arial" w:cs="Arial"/>
          <w:sz w:val="16"/>
          <w:szCs w:val="16"/>
          <w:lang w:val="es-MX"/>
        </w:rPr>
        <w:t>dquisici</w:t>
      </w:r>
      <w:r w:rsidR="00423A49">
        <w:rPr>
          <w:rFonts w:ascii="Arial" w:hAnsi="Arial" w:cs="Arial"/>
          <w:sz w:val="16"/>
          <w:szCs w:val="16"/>
          <w:lang w:val="es-MX"/>
        </w:rPr>
        <w:t>ón, Uso</w:t>
      </w:r>
      <w:r w:rsidR="00C33DE8">
        <w:rPr>
          <w:rFonts w:ascii="Arial" w:hAnsi="Arial" w:cs="Arial"/>
          <w:sz w:val="16"/>
          <w:szCs w:val="16"/>
          <w:lang w:val="es-MX"/>
        </w:rPr>
        <w:t>,</w:t>
      </w:r>
      <w:r w:rsidR="00423A49">
        <w:rPr>
          <w:rFonts w:ascii="Arial" w:hAnsi="Arial" w:cs="Arial"/>
          <w:sz w:val="16"/>
          <w:szCs w:val="16"/>
          <w:lang w:val="es-MX"/>
        </w:rPr>
        <w:t xml:space="preserve"> y R</w:t>
      </w:r>
      <w:r w:rsidR="004C7254">
        <w:rPr>
          <w:rFonts w:ascii="Arial" w:hAnsi="Arial" w:cs="Arial"/>
          <w:sz w:val="16"/>
          <w:szCs w:val="16"/>
          <w:lang w:val="es-MX"/>
        </w:rPr>
        <w:t>egulaci</w:t>
      </w:r>
      <w:r w:rsidR="00423A49">
        <w:rPr>
          <w:rFonts w:ascii="Arial" w:hAnsi="Arial" w:cs="Arial"/>
          <w:sz w:val="16"/>
          <w:szCs w:val="16"/>
          <w:lang w:val="es-MX"/>
        </w:rPr>
        <w:t>ón y F</w:t>
      </w:r>
      <w:r w:rsidR="004C7254">
        <w:rPr>
          <w:rFonts w:ascii="Arial" w:hAnsi="Arial" w:cs="Arial"/>
          <w:sz w:val="16"/>
          <w:szCs w:val="16"/>
          <w:lang w:val="es-MX"/>
        </w:rPr>
        <w:t xml:space="preserve">omento. </w:t>
      </w:r>
    </w:p>
  </w:footnote>
  <w:footnote w:id="10">
    <w:p w14:paraId="17959EE1" w14:textId="77777777" w:rsidR="00A86B8F" w:rsidRPr="00A86B8F" w:rsidRDefault="00A86B8F" w:rsidP="00A86B8F">
      <w:pPr>
        <w:pStyle w:val="Textonotapie"/>
        <w:tabs>
          <w:tab w:val="left" w:pos="284"/>
        </w:tabs>
        <w:ind w:left="142" w:hanging="142"/>
        <w:jc w:val="both"/>
        <w:rPr>
          <w:lang w:val="es-MX"/>
        </w:rPr>
      </w:pPr>
      <w:r w:rsidRPr="004C21E4">
        <w:rPr>
          <w:rStyle w:val="Refdenotaalpie"/>
          <w:rFonts w:ascii="Arial" w:hAnsi="Arial"/>
          <w:b w:val="0"/>
          <w:sz w:val="18"/>
        </w:rPr>
        <w:footnoteRef/>
      </w:r>
      <w:r>
        <w:t xml:space="preserve"> </w:t>
      </w:r>
      <w:r w:rsidRPr="00A86B8F">
        <w:rPr>
          <w:rFonts w:ascii="Arial" w:hAnsi="Arial" w:cs="Arial"/>
          <w:sz w:val="16"/>
          <w:szCs w:val="16"/>
          <w:lang w:val="es-MX"/>
        </w:rPr>
        <w:t>Dichas</w:t>
      </w:r>
      <w:r>
        <w:rPr>
          <w:lang w:val="es-MX"/>
        </w:rPr>
        <w:t xml:space="preserve"> a</w:t>
      </w:r>
      <w:r w:rsidRPr="00A86B8F">
        <w:rPr>
          <w:rFonts w:ascii="Arial" w:hAnsi="Arial" w:cs="Arial"/>
          <w:sz w:val="16"/>
          <w:szCs w:val="16"/>
          <w:lang w:val="es-MX"/>
        </w:rPr>
        <w:t xml:space="preserve">ctividades </w:t>
      </w:r>
      <w:r>
        <w:rPr>
          <w:rFonts w:ascii="Arial" w:hAnsi="Arial" w:cs="Arial"/>
          <w:sz w:val="16"/>
          <w:szCs w:val="16"/>
          <w:lang w:val="es-MX"/>
        </w:rPr>
        <w:t>son realizadas por</w:t>
      </w:r>
      <w:r w:rsidRPr="00A86B8F">
        <w:rPr>
          <w:rFonts w:ascii="Arial" w:hAnsi="Arial" w:cs="Arial"/>
          <w:sz w:val="16"/>
          <w:szCs w:val="16"/>
          <w:lang w:val="es-MX"/>
        </w:rPr>
        <w:t xml:space="preserve"> organismos de gobierno, así como</w:t>
      </w:r>
      <w:r>
        <w:rPr>
          <w:rFonts w:ascii="Arial" w:hAnsi="Arial" w:cs="Arial"/>
          <w:sz w:val="16"/>
          <w:szCs w:val="16"/>
          <w:lang w:val="es-MX"/>
        </w:rPr>
        <w:t xml:space="preserve"> por</w:t>
      </w:r>
      <w:r w:rsidRPr="00A86B8F">
        <w:rPr>
          <w:rFonts w:ascii="Arial" w:hAnsi="Arial" w:cs="Arial"/>
          <w:sz w:val="16"/>
          <w:szCs w:val="16"/>
          <w:lang w:val="es-MX"/>
        </w:rPr>
        <w:t xml:space="preserve"> las asociaciones civiles que atienden el tema mediante capacitación y apoyo a la construcción y mejoramiento de la vivienda.</w:t>
      </w:r>
    </w:p>
  </w:footnote>
  <w:footnote w:id="11">
    <w:p w14:paraId="61FCEAFD" w14:textId="77777777" w:rsidR="006A41AF" w:rsidRPr="006A41AF" w:rsidRDefault="006A41AF" w:rsidP="006A41AF">
      <w:pPr>
        <w:pStyle w:val="Textonotapie"/>
        <w:ind w:left="142" w:hanging="142"/>
        <w:jc w:val="both"/>
        <w:rPr>
          <w:lang w:val="es-MX"/>
        </w:rPr>
      </w:pPr>
      <w:r w:rsidRPr="006A41AF">
        <w:rPr>
          <w:rStyle w:val="Refdenotaalpie"/>
          <w:rFonts w:ascii="Arial" w:hAnsi="Arial"/>
          <w:b w:val="0"/>
          <w:smallCaps w:val="0"/>
          <w:sz w:val="18"/>
        </w:rPr>
        <w:footnoteRef/>
      </w:r>
      <w:r w:rsidRPr="006A41AF">
        <w:rPr>
          <w:rStyle w:val="Refdenotaalpie"/>
          <w:rFonts w:ascii="Arial" w:hAnsi="Arial"/>
          <w:b w:val="0"/>
          <w:sz w:val="18"/>
        </w:rPr>
        <w:t xml:space="preserve"> </w:t>
      </w:r>
      <w:r w:rsidRPr="006A41AF">
        <w:rPr>
          <w:rFonts w:ascii="Arial" w:hAnsi="Arial" w:cs="Arial"/>
          <w:sz w:val="16"/>
          <w:szCs w:val="16"/>
          <w:lang w:val="es-MX"/>
        </w:rPr>
        <w:t>Se refiere a los sectores económicos de acuerdo con el SCIAN 20</w:t>
      </w:r>
      <w:r w:rsidR="00EF7FFC">
        <w:rPr>
          <w:rFonts w:ascii="Arial" w:hAnsi="Arial" w:cs="Arial"/>
          <w:sz w:val="16"/>
          <w:szCs w:val="16"/>
          <w:lang w:val="es-MX"/>
        </w:rPr>
        <w:t>13</w:t>
      </w:r>
      <w:r w:rsidRPr="006A41AF">
        <w:rPr>
          <w:rFonts w:ascii="Arial" w:hAnsi="Arial" w:cs="Arial"/>
          <w:sz w:val="16"/>
          <w:szCs w:val="16"/>
          <w:lang w:val="es-MX"/>
        </w:rPr>
        <w:t>.</w:t>
      </w:r>
    </w:p>
  </w:footnote>
  <w:footnote w:id="12">
    <w:p w14:paraId="3ECFD02A" w14:textId="77777777" w:rsidR="005E3510" w:rsidRPr="007044FA" w:rsidRDefault="005E3510" w:rsidP="009D0EFC">
      <w:pPr>
        <w:pStyle w:val="Textonotapie"/>
        <w:ind w:left="176" w:hanging="176"/>
        <w:jc w:val="both"/>
        <w:rPr>
          <w:lang w:val="es-MX"/>
        </w:rPr>
      </w:pPr>
      <w:r w:rsidRPr="00CF2A13">
        <w:rPr>
          <w:rStyle w:val="Refdenotaalpie"/>
          <w:rFonts w:ascii="Arial" w:hAnsi="Arial"/>
          <w:b w:val="0"/>
          <w:sz w:val="18"/>
        </w:rPr>
        <w:footnoteRef/>
      </w:r>
      <w:r w:rsidR="009D0EFC">
        <w:rPr>
          <w:rFonts w:ascii="Arial" w:hAnsi="Arial" w:cs="Arial"/>
          <w:sz w:val="16"/>
          <w:szCs w:val="16"/>
          <w:lang w:val="es-MX"/>
        </w:rPr>
        <w:t xml:space="preserve"> </w:t>
      </w:r>
      <w:r w:rsidRPr="007044FA">
        <w:rPr>
          <w:rFonts w:ascii="Arial" w:hAnsi="Arial" w:cs="Arial"/>
          <w:sz w:val="16"/>
          <w:szCs w:val="16"/>
          <w:lang w:val="es-MX"/>
        </w:rPr>
        <w:t xml:space="preserve">El número de puestos de trabajo equivalente de los hogares se obtiene </w:t>
      </w:r>
      <w:r>
        <w:rPr>
          <w:rFonts w:ascii="Arial" w:hAnsi="Arial" w:cs="Arial"/>
          <w:sz w:val="16"/>
          <w:szCs w:val="16"/>
          <w:lang w:val="es-MX"/>
        </w:rPr>
        <w:t>al equiparar</w:t>
      </w:r>
      <w:r w:rsidRPr="007044FA">
        <w:rPr>
          <w:rFonts w:ascii="Arial" w:hAnsi="Arial" w:cs="Arial"/>
          <w:sz w:val="16"/>
          <w:szCs w:val="16"/>
          <w:lang w:val="es-MX"/>
        </w:rPr>
        <w:t xml:space="preserve"> el tiempo que destinan los hogares a trabajos </w:t>
      </w:r>
      <w:r>
        <w:rPr>
          <w:rFonts w:ascii="Arial" w:hAnsi="Arial" w:cs="Arial"/>
          <w:sz w:val="16"/>
          <w:szCs w:val="16"/>
          <w:lang w:val="es-MX"/>
        </w:rPr>
        <w:t>relativos a la vivienda co</w:t>
      </w:r>
      <w:r w:rsidRPr="007044FA">
        <w:rPr>
          <w:rFonts w:ascii="Arial" w:hAnsi="Arial" w:cs="Arial"/>
          <w:sz w:val="16"/>
          <w:szCs w:val="16"/>
          <w:lang w:val="es-MX"/>
        </w:rPr>
        <w:t>n empleos de tiempo completo.</w:t>
      </w:r>
    </w:p>
  </w:footnote>
  <w:footnote w:id="13">
    <w:p w14:paraId="4571B672" w14:textId="77777777" w:rsidR="0016259F" w:rsidRPr="00E0053A" w:rsidRDefault="0016259F" w:rsidP="002120D7">
      <w:pPr>
        <w:pStyle w:val="Textonotapie"/>
        <w:ind w:left="142" w:hanging="142"/>
        <w:jc w:val="both"/>
        <w:rPr>
          <w:rFonts w:ascii="Arial" w:hAnsi="Arial" w:cs="Arial"/>
          <w:lang w:val="es-MX"/>
        </w:rPr>
      </w:pPr>
      <w:r w:rsidRPr="00CF2A13">
        <w:rPr>
          <w:rStyle w:val="Refdenotaalpie"/>
          <w:rFonts w:ascii="Arial" w:hAnsi="Arial"/>
          <w:b w:val="0"/>
          <w:sz w:val="18"/>
        </w:rPr>
        <w:footnoteRef/>
      </w:r>
      <w:r w:rsidRPr="00E0053A">
        <w:rPr>
          <w:rFonts w:ascii="Arial" w:hAnsi="Arial" w:cs="Arial"/>
          <w:sz w:val="16"/>
        </w:rPr>
        <w:t xml:space="preserve"> </w:t>
      </w:r>
      <w:r w:rsidR="00E0053A" w:rsidRPr="00E0053A">
        <w:rPr>
          <w:rFonts w:ascii="Arial" w:hAnsi="Arial" w:cs="Arial"/>
          <w:sz w:val="16"/>
          <w:lang w:val="es-MX"/>
        </w:rPr>
        <w:t>Este valor representa el monto que los hogares tendrían que pagar si alquilaran las viviendas que habitan de su propiedad</w:t>
      </w:r>
      <w:r w:rsidR="00F6154E">
        <w:rPr>
          <w:rFonts w:ascii="Arial" w:hAnsi="Arial" w:cs="Arial"/>
          <w:sz w:val="16"/>
          <w:lang w:val="es-MX"/>
        </w:rPr>
        <w:t>, con las mismas características físicas y de ubicación</w:t>
      </w:r>
      <w:r w:rsidR="00E0053A" w:rsidRPr="00E0053A">
        <w:rPr>
          <w:rFonts w:ascii="Arial" w:hAnsi="Arial" w:cs="Arial"/>
          <w:sz w:val="16"/>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AD77" w14:textId="77777777" w:rsidR="002D60F2" w:rsidRDefault="002D6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A05E7" w14:textId="0D1643AE" w:rsidR="008F5FF1" w:rsidRPr="002C08BA" w:rsidRDefault="008F5FF1" w:rsidP="002D60F2">
    <w:pPr>
      <w:pStyle w:val="Encabezado"/>
      <w:framePr w:w="5366" w:hSpace="141" w:wrap="auto" w:vAnchor="text" w:hAnchor="page" w:x="5733" w:y="42"/>
      <w:ind w:left="567" w:hanging="11"/>
      <w:contextualSpacing/>
      <w:jc w:val="right"/>
      <w:rPr>
        <w:rFonts w:ascii="Arial" w:hAnsi="Arial" w:cs="Arial"/>
        <w:b/>
        <w:color w:val="002060"/>
        <w:sz w:val="24"/>
        <w:szCs w:val="24"/>
      </w:rPr>
    </w:pPr>
    <w:bookmarkStart w:id="0" w:name="_GoBack"/>
    <w:r w:rsidRPr="002C08BA">
      <w:rPr>
        <w:rFonts w:ascii="Arial" w:hAnsi="Arial" w:cs="Arial"/>
        <w:b/>
        <w:color w:val="002060"/>
        <w:sz w:val="24"/>
        <w:szCs w:val="24"/>
      </w:rPr>
      <w:t xml:space="preserve">COMUNICADO DE PRENSA NÚM. </w:t>
    </w:r>
    <w:r w:rsidR="002D60F2">
      <w:rPr>
        <w:rFonts w:ascii="Arial" w:hAnsi="Arial" w:cs="Arial"/>
        <w:b/>
        <w:color w:val="002060"/>
        <w:sz w:val="24"/>
        <w:szCs w:val="24"/>
      </w:rPr>
      <w:t>704</w:t>
    </w:r>
    <w:r w:rsidRPr="002C08BA">
      <w:rPr>
        <w:rFonts w:ascii="Arial" w:hAnsi="Arial" w:cs="Arial"/>
        <w:b/>
        <w:color w:val="002060"/>
        <w:sz w:val="24"/>
        <w:szCs w:val="24"/>
      </w:rPr>
      <w:t>/</w:t>
    </w:r>
    <w:r>
      <w:rPr>
        <w:rFonts w:ascii="Arial" w:hAnsi="Arial" w:cs="Arial"/>
        <w:b/>
        <w:color w:val="002060"/>
        <w:sz w:val="24"/>
        <w:szCs w:val="24"/>
      </w:rPr>
      <w:t>19</w:t>
    </w:r>
  </w:p>
  <w:p w14:paraId="4F2145D6" w14:textId="77777777" w:rsidR="008F5FF1" w:rsidRPr="002C08BA" w:rsidRDefault="008F5FF1" w:rsidP="002D60F2">
    <w:pPr>
      <w:pStyle w:val="Encabezado"/>
      <w:framePr w:w="5366" w:hSpace="141" w:wrap="auto" w:vAnchor="text" w:hAnchor="page" w:x="5733" w:y="42"/>
      <w:ind w:left="567" w:hanging="11"/>
      <w:contextualSpacing/>
      <w:jc w:val="right"/>
      <w:rPr>
        <w:rFonts w:ascii="Arial" w:hAnsi="Arial" w:cs="Arial"/>
        <w:b/>
        <w:color w:val="002060"/>
        <w:sz w:val="24"/>
        <w:szCs w:val="24"/>
        <w:lang w:val="pt-BR"/>
      </w:rPr>
    </w:pPr>
    <w:r>
      <w:rPr>
        <w:rFonts w:ascii="Arial" w:hAnsi="Arial" w:cs="Arial"/>
        <w:b/>
        <w:color w:val="002060"/>
        <w:sz w:val="24"/>
        <w:szCs w:val="24"/>
        <w:lang w:val="pt-BR"/>
      </w:rPr>
      <w:t xml:space="preserve">20 DE DICIEMBRE </w:t>
    </w:r>
    <w:r w:rsidRPr="002C08BA">
      <w:rPr>
        <w:rFonts w:ascii="Arial" w:hAnsi="Arial" w:cs="Arial"/>
        <w:b/>
        <w:color w:val="002060"/>
        <w:sz w:val="24"/>
        <w:szCs w:val="24"/>
        <w:lang w:val="pt-BR"/>
      </w:rPr>
      <w:t>DE 201</w:t>
    </w:r>
    <w:r>
      <w:rPr>
        <w:rFonts w:ascii="Arial" w:hAnsi="Arial" w:cs="Arial"/>
        <w:b/>
        <w:color w:val="002060"/>
        <w:sz w:val="24"/>
        <w:szCs w:val="24"/>
        <w:lang w:val="pt-BR"/>
      </w:rPr>
      <w:t>9</w:t>
    </w:r>
  </w:p>
  <w:p w14:paraId="4A80F131" w14:textId="77777777" w:rsidR="008F5FF1" w:rsidRPr="002C08BA" w:rsidRDefault="008F5FF1" w:rsidP="002D60F2">
    <w:pPr>
      <w:pStyle w:val="Encabezado"/>
      <w:framePr w:w="5366" w:hSpace="141" w:wrap="auto" w:vAnchor="text" w:hAnchor="page" w:x="5733" w:y="42"/>
      <w:ind w:left="567" w:hanging="11"/>
      <w:contextualSpacing/>
      <w:jc w:val="right"/>
      <w:rPr>
        <w:rFonts w:ascii="Arial" w:hAnsi="Arial" w:cs="Arial"/>
        <w:b/>
        <w:color w:val="002060"/>
        <w:sz w:val="24"/>
        <w:szCs w:val="24"/>
        <w:lang w:val="pt-BR"/>
      </w:rPr>
    </w:pPr>
    <w:r w:rsidRPr="002C08BA">
      <w:rPr>
        <w:rFonts w:ascii="Arial" w:hAnsi="Arial" w:cs="Arial"/>
        <w:b/>
        <w:color w:val="002060"/>
        <w:sz w:val="24"/>
        <w:szCs w:val="24"/>
        <w:lang w:val="pt-BR"/>
      </w:rPr>
      <w:t xml:space="preserve">PÁGINA </w:t>
    </w:r>
    <w:r w:rsidRPr="002C08BA">
      <w:rPr>
        <w:rFonts w:ascii="Arial" w:hAnsi="Arial" w:cs="Arial"/>
        <w:b/>
        <w:color w:val="002060"/>
        <w:sz w:val="24"/>
        <w:szCs w:val="24"/>
      </w:rPr>
      <w:fldChar w:fldCharType="begin"/>
    </w:r>
    <w:r w:rsidRPr="002C08BA">
      <w:rPr>
        <w:rFonts w:ascii="Arial" w:hAnsi="Arial" w:cs="Arial"/>
        <w:b/>
        <w:color w:val="002060"/>
        <w:sz w:val="24"/>
        <w:szCs w:val="24"/>
        <w:lang w:val="pt-BR"/>
      </w:rPr>
      <w:instrText xml:space="preserve">\PAGE </w:instrText>
    </w:r>
    <w:r w:rsidRPr="002C08BA">
      <w:rPr>
        <w:rFonts w:ascii="Arial" w:hAnsi="Arial" w:cs="Arial"/>
        <w:color w:val="002060"/>
        <w:sz w:val="24"/>
        <w:szCs w:val="24"/>
      </w:rPr>
      <w:fldChar w:fldCharType="separate"/>
    </w:r>
    <w:r>
      <w:rPr>
        <w:rFonts w:ascii="Arial" w:hAnsi="Arial" w:cs="Arial"/>
        <w:b/>
        <w:noProof/>
        <w:color w:val="002060"/>
        <w:sz w:val="24"/>
        <w:szCs w:val="24"/>
        <w:lang w:val="pt-BR"/>
      </w:rPr>
      <w:t>2</w:t>
    </w:r>
    <w:r w:rsidRPr="002C08BA">
      <w:rPr>
        <w:rFonts w:ascii="Arial" w:hAnsi="Arial" w:cs="Arial"/>
        <w:color w:val="002060"/>
        <w:sz w:val="24"/>
        <w:szCs w:val="24"/>
      </w:rPr>
      <w:fldChar w:fldCharType="end"/>
    </w:r>
    <w:r w:rsidRPr="002C08BA">
      <w:rPr>
        <w:rFonts w:ascii="Arial" w:hAnsi="Arial" w:cs="Arial"/>
        <w:b/>
        <w:color w:val="002060"/>
        <w:sz w:val="24"/>
        <w:szCs w:val="24"/>
        <w:lang w:val="pt-BR"/>
      </w:rPr>
      <w:t>/2</w:t>
    </w:r>
  </w:p>
  <w:bookmarkEnd w:id="0"/>
  <w:p w14:paraId="4FB1C575" w14:textId="77777777" w:rsidR="008F5FF1" w:rsidRPr="002C08BA" w:rsidRDefault="008F5FF1" w:rsidP="004C150C">
    <w:pPr>
      <w:pStyle w:val="Encabezado"/>
      <w:ind w:left="-993"/>
      <w:rPr>
        <w:rFonts w:ascii="Arial" w:hAnsi="Arial" w:cs="Arial"/>
        <w:sz w:val="24"/>
        <w:szCs w:val="24"/>
      </w:rPr>
    </w:pPr>
    <w:r>
      <w:rPr>
        <w:noProof/>
      </w:rPr>
      <w:drawing>
        <wp:inline distT="0" distB="0" distL="0" distR="0" wp14:anchorId="10477A06" wp14:editId="2120E2AB">
          <wp:extent cx="927615" cy="963545"/>
          <wp:effectExtent l="0" t="0" r="635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847" cy="99183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2060E" w14:textId="77777777" w:rsidR="002D60F2" w:rsidRDefault="002D60F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AB52" w14:textId="77777777" w:rsidR="00BA0D15" w:rsidRDefault="00296A2C" w:rsidP="003A0365">
    <w:pPr>
      <w:pStyle w:val="Encabezado"/>
      <w:spacing w:before="0"/>
      <w:jc w:val="center"/>
    </w:pPr>
    <w:r w:rsidRPr="00AF530C">
      <w:rPr>
        <w:noProof/>
        <w:lang w:val="es-MX" w:eastAsia="es-MX"/>
      </w:rPr>
      <w:drawing>
        <wp:inline distT="0" distB="0" distL="0" distR="0" wp14:anchorId="05A46D3A" wp14:editId="0FFEF8E7">
          <wp:extent cx="932180" cy="967740"/>
          <wp:effectExtent l="0" t="0" r="127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67740"/>
                  </a:xfrm>
                  <a:prstGeom prst="rect">
                    <a:avLst/>
                  </a:prstGeom>
                  <a:noFill/>
                  <a:ln>
                    <a:noFill/>
                  </a:ln>
                </pic:spPr>
              </pic:pic>
            </a:graphicData>
          </a:graphic>
        </wp:inline>
      </w:drawing>
    </w:r>
  </w:p>
  <w:p w14:paraId="5AA83451" w14:textId="77777777" w:rsidR="00296A2C" w:rsidRDefault="00296A2C" w:rsidP="001647D6">
    <w:pPr>
      <w:pStyle w:val="Encabezado"/>
      <w:spacing w:before="0"/>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A3067D6"/>
    <w:multiLevelType w:val="hybridMultilevel"/>
    <w:tmpl w:val="25C8C684"/>
    <w:lvl w:ilvl="0" w:tplc="1686576C">
      <w:start w:val="100"/>
      <w:numFmt w:val="bullet"/>
      <w:lvlText w:val="-"/>
      <w:lvlJc w:val="left"/>
      <w:pPr>
        <w:ind w:left="540" w:hanging="360"/>
      </w:pPr>
      <w:rPr>
        <w:rFonts w:ascii="Arial" w:eastAsia="Times New Roman" w:hAnsi="Arial" w:cs="Arial" w:hint="default"/>
      </w:rPr>
    </w:lvl>
    <w:lvl w:ilvl="1" w:tplc="080A0003" w:tentative="1">
      <w:start w:val="1"/>
      <w:numFmt w:val="bullet"/>
      <w:lvlText w:val="o"/>
      <w:lvlJc w:val="left"/>
      <w:pPr>
        <w:ind w:left="1260" w:hanging="360"/>
      </w:pPr>
      <w:rPr>
        <w:rFonts w:ascii="Courier New" w:hAnsi="Courier New" w:cs="Courier New" w:hint="default"/>
      </w:rPr>
    </w:lvl>
    <w:lvl w:ilvl="2" w:tplc="080A0005" w:tentative="1">
      <w:start w:val="1"/>
      <w:numFmt w:val="bullet"/>
      <w:lvlText w:val=""/>
      <w:lvlJc w:val="left"/>
      <w:pPr>
        <w:ind w:left="1980" w:hanging="360"/>
      </w:pPr>
      <w:rPr>
        <w:rFonts w:ascii="Wingdings" w:hAnsi="Wingdings" w:hint="default"/>
      </w:rPr>
    </w:lvl>
    <w:lvl w:ilvl="3" w:tplc="080A0001" w:tentative="1">
      <w:start w:val="1"/>
      <w:numFmt w:val="bullet"/>
      <w:lvlText w:val=""/>
      <w:lvlJc w:val="left"/>
      <w:pPr>
        <w:ind w:left="2700" w:hanging="360"/>
      </w:pPr>
      <w:rPr>
        <w:rFonts w:ascii="Symbol" w:hAnsi="Symbol" w:hint="default"/>
      </w:rPr>
    </w:lvl>
    <w:lvl w:ilvl="4" w:tplc="080A0003" w:tentative="1">
      <w:start w:val="1"/>
      <w:numFmt w:val="bullet"/>
      <w:lvlText w:val="o"/>
      <w:lvlJc w:val="left"/>
      <w:pPr>
        <w:ind w:left="3420" w:hanging="360"/>
      </w:pPr>
      <w:rPr>
        <w:rFonts w:ascii="Courier New" w:hAnsi="Courier New" w:cs="Courier New" w:hint="default"/>
      </w:rPr>
    </w:lvl>
    <w:lvl w:ilvl="5" w:tplc="080A0005" w:tentative="1">
      <w:start w:val="1"/>
      <w:numFmt w:val="bullet"/>
      <w:lvlText w:val=""/>
      <w:lvlJc w:val="left"/>
      <w:pPr>
        <w:ind w:left="4140" w:hanging="360"/>
      </w:pPr>
      <w:rPr>
        <w:rFonts w:ascii="Wingdings" w:hAnsi="Wingdings" w:hint="default"/>
      </w:rPr>
    </w:lvl>
    <w:lvl w:ilvl="6" w:tplc="080A0001" w:tentative="1">
      <w:start w:val="1"/>
      <w:numFmt w:val="bullet"/>
      <w:lvlText w:val=""/>
      <w:lvlJc w:val="left"/>
      <w:pPr>
        <w:ind w:left="4860" w:hanging="360"/>
      </w:pPr>
      <w:rPr>
        <w:rFonts w:ascii="Symbol" w:hAnsi="Symbol" w:hint="default"/>
      </w:rPr>
    </w:lvl>
    <w:lvl w:ilvl="7" w:tplc="080A0003" w:tentative="1">
      <w:start w:val="1"/>
      <w:numFmt w:val="bullet"/>
      <w:lvlText w:val="o"/>
      <w:lvlJc w:val="left"/>
      <w:pPr>
        <w:ind w:left="5580" w:hanging="360"/>
      </w:pPr>
      <w:rPr>
        <w:rFonts w:ascii="Courier New" w:hAnsi="Courier New" w:cs="Courier New" w:hint="default"/>
      </w:rPr>
    </w:lvl>
    <w:lvl w:ilvl="8" w:tplc="080A0005" w:tentative="1">
      <w:start w:val="1"/>
      <w:numFmt w:val="bullet"/>
      <w:lvlText w:val=""/>
      <w:lvlJc w:val="left"/>
      <w:pPr>
        <w:ind w:left="6300" w:hanging="360"/>
      </w:pPr>
      <w:rPr>
        <w:rFonts w:ascii="Wingdings" w:hAnsi="Wingdings" w:hint="default"/>
      </w:rPr>
    </w:lvl>
  </w:abstractNum>
  <w:abstractNum w:abstractNumId="2" w15:restartNumberingAfterBreak="0">
    <w:nsid w:val="53BB71EF"/>
    <w:multiLevelType w:val="hybridMultilevel"/>
    <w:tmpl w:val="82567B5A"/>
    <w:lvl w:ilvl="0" w:tplc="080A0001">
      <w:start w:val="1"/>
      <w:numFmt w:val="bullet"/>
      <w:lvlText w:val=""/>
      <w:lvlJc w:val="left"/>
      <w:pPr>
        <w:ind w:left="2410" w:hanging="360"/>
      </w:pPr>
      <w:rPr>
        <w:rFonts w:ascii="Symbol" w:hAnsi="Symbol" w:hint="default"/>
      </w:rPr>
    </w:lvl>
    <w:lvl w:ilvl="1" w:tplc="080A0003" w:tentative="1">
      <w:start w:val="1"/>
      <w:numFmt w:val="bullet"/>
      <w:lvlText w:val="o"/>
      <w:lvlJc w:val="left"/>
      <w:pPr>
        <w:ind w:left="3130" w:hanging="360"/>
      </w:pPr>
      <w:rPr>
        <w:rFonts w:ascii="Courier New" w:hAnsi="Courier New" w:cs="Courier New" w:hint="default"/>
      </w:rPr>
    </w:lvl>
    <w:lvl w:ilvl="2" w:tplc="080A0005" w:tentative="1">
      <w:start w:val="1"/>
      <w:numFmt w:val="bullet"/>
      <w:lvlText w:val=""/>
      <w:lvlJc w:val="left"/>
      <w:pPr>
        <w:ind w:left="3850" w:hanging="360"/>
      </w:pPr>
      <w:rPr>
        <w:rFonts w:ascii="Wingdings" w:hAnsi="Wingdings" w:hint="default"/>
      </w:rPr>
    </w:lvl>
    <w:lvl w:ilvl="3" w:tplc="080A0001" w:tentative="1">
      <w:start w:val="1"/>
      <w:numFmt w:val="bullet"/>
      <w:lvlText w:val=""/>
      <w:lvlJc w:val="left"/>
      <w:pPr>
        <w:ind w:left="4570" w:hanging="360"/>
      </w:pPr>
      <w:rPr>
        <w:rFonts w:ascii="Symbol" w:hAnsi="Symbol" w:hint="default"/>
      </w:rPr>
    </w:lvl>
    <w:lvl w:ilvl="4" w:tplc="080A0003" w:tentative="1">
      <w:start w:val="1"/>
      <w:numFmt w:val="bullet"/>
      <w:lvlText w:val="o"/>
      <w:lvlJc w:val="left"/>
      <w:pPr>
        <w:ind w:left="5290" w:hanging="360"/>
      </w:pPr>
      <w:rPr>
        <w:rFonts w:ascii="Courier New" w:hAnsi="Courier New" w:cs="Courier New" w:hint="default"/>
      </w:rPr>
    </w:lvl>
    <w:lvl w:ilvl="5" w:tplc="080A0005" w:tentative="1">
      <w:start w:val="1"/>
      <w:numFmt w:val="bullet"/>
      <w:lvlText w:val=""/>
      <w:lvlJc w:val="left"/>
      <w:pPr>
        <w:ind w:left="6010" w:hanging="360"/>
      </w:pPr>
      <w:rPr>
        <w:rFonts w:ascii="Wingdings" w:hAnsi="Wingdings" w:hint="default"/>
      </w:rPr>
    </w:lvl>
    <w:lvl w:ilvl="6" w:tplc="080A0001" w:tentative="1">
      <w:start w:val="1"/>
      <w:numFmt w:val="bullet"/>
      <w:lvlText w:val=""/>
      <w:lvlJc w:val="left"/>
      <w:pPr>
        <w:ind w:left="6730" w:hanging="360"/>
      </w:pPr>
      <w:rPr>
        <w:rFonts w:ascii="Symbol" w:hAnsi="Symbol" w:hint="default"/>
      </w:rPr>
    </w:lvl>
    <w:lvl w:ilvl="7" w:tplc="080A0003" w:tentative="1">
      <w:start w:val="1"/>
      <w:numFmt w:val="bullet"/>
      <w:lvlText w:val="o"/>
      <w:lvlJc w:val="left"/>
      <w:pPr>
        <w:ind w:left="7450" w:hanging="360"/>
      </w:pPr>
      <w:rPr>
        <w:rFonts w:ascii="Courier New" w:hAnsi="Courier New" w:cs="Courier New" w:hint="default"/>
      </w:rPr>
    </w:lvl>
    <w:lvl w:ilvl="8" w:tplc="080A0005" w:tentative="1">
      <w:start w:val="1"/>
      <w:numFmt w:val="bullet"/>
      <w:lvlText w:val=""/>
      <w:lvlJc w:val="left"/>
      <w:pPr>
        <w:ind w:left="8170" w:hanging="360"/>
      </w:pPr>
      <w:rPr>
        <w:rFonts w:ascii="Wingdings" w:hAnsi="Wingdings" w:hint="default"/>
      </w:rPr>
    </w:lvl>
  </w:abstractNum>
  <w:abstractNum w:abstractNumId="3" w15:restartNumberingAfterBreak="0">
    <w:nsid w:val="54CD757B"/>
    <w:multiLevelType w:val="hybridMultilevel"/>
    <w:tmpl w:val="76AC3C0E"/>
    <w:lvl w:ilvl="0" w:tplc="001A40FC">
      <w:start w:val="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3FA170A"/>
    <w:multiLevelType w:val="hybridMultilevel"/>
    <w:tmpl w:val="18DE3C46"/>
    <w:lvl w:ilvl="0" w:tplc="22321E8A">
      <w:start w:val="1"/>
      <w:numFmt w:val="bullet"/>
      <w:lvlText w:val=""/>
      <w:lvlJc w:val="left"/>
      <w:pPr>
        <w:tabs>
          <w:tab w:val="num" w:pos="1571"/>
        </w:tabs>
        <w:ind w:left="157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74E01065"/>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2410" w:hanging="360"/>
        </w:pPr>
        <w:rPr>
          <w:rFonts w:ascii="Symbol" w:hAnsi="Symbol" w:hint="default"/>
        </w:rPr>
      </w:lvl>
    </w:lvlOverride>
  </w:num>
  <w:num w:numId="2">
    <w:abstractNumId w:val="5"/>
  </w:num>
  <w:num w:numId="3">
    <w:abstractNumId w:val="4"/>
  </w:num>
  <w:num w:numId="4">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ECC"/>
    <w:rsid w:val="00002D1A"/>
    <w:rsid w:val="0000407C"/>
    <w:rsid w:val="00006233"/>
    <w:rsid w:val="00007150"/>
    <w:rsid w:val="00007241"/>
    <w:rsid w:val="00007706"/>
    <w:rsid w:val="00007A98"/>
    <w:rsid w:val="00012559"/>
    <w:rsid w:val="00014882"/>
    <w:rsid w:val="000149BC"/>
    <w:rsid w:val="00015244"/>
    <w:rsid w:val="00015DCE"/>
    <w:rsid w:val="0001679B"/>
    <w:rsid w:val="000177E5"/>
    <w:rsid w:val="00017FA2"/>
    <w:rsid w:val="00020FE2"/>
    <w:rsid w:val="00021B24"/>
    <w:rsid w:val="0002300B"/>
    <w:rsid w:val="00023F8D"/>
    <w:rsid w:val="000246BB"/>
    <w:rsid w:val="0002471B"/>
    <w:rsid w:val="00024FC3"/>
    <w:rsid w:val="00025BB6"/>
    <w:rsid w:val="00025C63"/>
    <w:rsid w:val="00031FCE"/>
    <w:rsid w:val="0003216C"/>
    <w:rsid w:val="0003327C"/>
    <w:rsid w:val="000337F4"/>
    <w:rsid w:val="00033C1B"/>
    <w:rsid w:val="00034996"/>
    <w:rsid w:val="00040280"/>
    <w:rsid w:val="00040BA1"/>
    <w:rsid w:val="0004175C"/>
    <w:rsid w:val="00041793"/>
    <w:rsid w:val="000419F3"/>
    <w:rsid w:val="00043A84"/>
    <w:rsid w:val="00043F54"/>
    <w:rsid w:val="000441D5"/>
    <w:rsid w:val="00050277"/>
    <w:rsid w:val="000526A0"/>
    <w:rsid w:val="000526D9"/>
    <w:rsid w:val="0005296E"/>
    <w:rsid w:val="00054590"/>
    <w:rsid w:val="000565CA"/>
    <w:rsid w:val="00056616"/>
    <w:rsid w:val="00056EE4"/>
    <w:rsid w:val="000574A8"/>
    <w:rsid w:val="000576E0"/>
    <w:rsid w:val="00060E6F"/>
    <w:rsid w:val="0006111A"/>
    <w:rsid w:val="000633FB"/>
    <w:rsid w:val="000635C1"/>
    <w:rsid w:val="00064A39"/>
    <w:rsid w:val="00064F3E"/>
    <w:rsid w:val="00065B57"/>
    <w:rsid w:val="0006775D"/>
    <w:rsid w:val="00070A42"/>
    <w:rsid w:val="00071B14"/>
    <w:rsid w:val="00072826"/>
    <w:rsid w:val="00074801"/>
    <w:rsid w:val="00074CF2"/>
    <w:rsid w:val="000751C4"/>
    <w:rsid w:val="00077B31"/>
    <w:rsid w:val="000803EE"/>
    <w:rsid w:val="00081B6A"/>
    <w:rsid w:val="000820E0"/>
    <w:rsid w:val="00083751"/>
    <w:rsid w:val="0008593A"/>
    <w:rsid w:val="0008637A"/>
    <w:rsid w:val="000876A3"/>
    <w:rsid w:val="000918D0"/>
    <w:rsid w:val="0009362E"/>
    <w:rsid w:val="000945D1"/>
    <w:rsid w:val="00094A2A"/>
    <w:rsid w:val="00095D5C"/>
    <w:rsid w:val="0009733A"/>
    <w:rsid w:val="00097A4F"/>
    <w:rsid w:val="00097D03"/>
    <w:rsid w:val="000A27FC"/>
    <w:rsid w:val="000A295C"/>
    <w:rsid w:val="000A3574"/>
    <w:rsid w:val="000A5C45"/>
    <w:rsid w:val="000A6589"/>
    <w:rsid w:val="000A789C"/>
    <w:rsid w:val="000A7D2A"/>
    <w:rsid w:val="000B0B49"/>
    <w:rsid w:val="000B1241"/>
    <w:rsid w:val="000B1371"/>
    <w:rsid w:val="000B3AB5"/>
    <w:rsid w:val="000B4464"/>
    <w:rsid w:val="000B783B"/>
    <w:rsid w:val="000C0189"/>
    <w:rsid w:val="000C236A"/>
    <w:rsid w:val="000C2BF0"/>
    <w:rsid w:val="000C39BC"/>
    <w:rsid w:val="000C77C4"/>
    <w:rsid w:val="000C7CD7"/>
    <w:rsid w:val="000D052F"/>
    <w:rsid w:val="000D0558"/>
    <w:rsid w:val="000D058B"/>
    <w:rsid w:val="000D15F7"/>
    <w:rsid w:val="000D3E29"/>
    <w:rsid w:val="000D6559"/>
    <w:rsid w:val="000D7DAC"/>
    <w:rsid w:val="000E1E8F"/>
    <w:rsid w:val="000E3686"/>
    <w:rsid w:val="000E3A90"/>
    <w:rsid w:val="000E59F9"/>
    <w:rsid w:val="000E5DD5"/>
    <w:rsid w:val="000E673E"/>
    <w:rsid w:val="000E6925"/>
    <w:rsid w:val="000F16E2"/>
    <w:rsid w:val="000F21FC"/>
    <w:rsid w:val="000F2F0E"/>
    <w:rsid w:val="000F370B"/>
    <w:rsid w:val="000F5BBD"/>
    <w:rsid w:val="001001F8"/>
    <w:rsid w:val="00100E24"/>
    <w:rsid w:val="001012EE"/>
    <w:rsid w:val="001023FB"/>
    <w:rsid w:val="00110E11"/>
    <w:rsid w:val="00110F6B"/>
    <w:rsid w:val="001131D5"/>
    <w:rsid w:val="0011532A"/>
    <w:rsid w:val="001155C1"/>
    <w:rsid w:val="00115CF1"/>
    <w:rsid w:val="0012120D"/>
    <w:rsid w:val="00121F4D"/>
    <w:rsid w:val="00122FF3"/>
    <w:rsid w:val="001249C1"/>
    <w:rsid w:val="00126042"/>
    <w:rsid w:val="00126742"/>
    <w:rsid w:val="00126B56"/>
    <w:rsid w:val="00131AEE"/>
    <w:rsid w:val="00132ACF"/>
    <w:rsid w:val="00133B91"/>
    <w:rsid w:val="0013634F"/>
    <w:rsid w:val="00136525"/>
    <w:rsid w:val="00137E84"/>
    <w:rsid w:val="00141985"/>
    <w:rsid w:val="00141C0F"/>
    <w:rsid w:val="001451EC"/>
    <w:rsid w:val="001515D0"/>
    <w:rsid w:val="00152A83"/>
    <w:rsid w:val="00152C53"/>
    <w:rsid w:val="00153936"/>
    <w:rsid w:val="00154141"/>
    <w:rsid w:val="00154775"/>
    <w:rsid w:val="001552E0"/>
    <w:rsid w:val="00160522"/>
    <w:rsid w:val="00161A94"/>
    <w:rsid w:val="00162347"/>
    <w:rsid w:val="0016259F"/>
    <w:rsid w:val="00162A24"/>
    <w:rsid w:val="001639EC"/>
    <w:rsid w:val="0016454D"/>
    <w:rsid w:val="001647D6"/>
    <w:rsid w:val="001655CC"/>
    <w:rsid w:val="00167A73"/>
    <w:rsid w:val="00171B7A"/>
    <w:rsid w:val="001731A7"/>
    <w:rsid w:val="00173793"/>
    <w:rsid w:val="00173D1E"/>
    <w:rsid w:val="001740C2"/>
    <w:rsid w:val="0017414A"/>
    <w:rsid w:val="00175003"/>
    <w:rsid w:val="0017634A"/>
    <w:rsid w:val="00176E32"/>
    <w:rsid w:val="00180A33"/>
    <w:rsid w:val="00180F3B"/>
    <w:rsid w:val="001812DD"/>
    <w:rsid w:val="0018190B"/>
    <w:rsid w:val="00182E17"/>
    <w:rsid w:val="00184286"/>
    <w:rsid w:val="001851E7"/>
    <w:rsid w:val="001858CF"/>
    <w:rsid w:val="00186222"/>
    <w:rsid w:val="00187342"/>
    <w:rsid w:val="0019085A"/>
    <w:rsid w:val="00191A5A"/>
    <w:rsid w:val="00191A77"/>
    <w:rsid w:val="00192B0E"/>
    <w:rsid w:val="0019366B"/>
    <w:rsid w:val="0019425D"/>
    <w:rsid w:val="00195B0E"/>
    <w:rsid w:val="001976E1"/>
    <w:rsid w:val="001A005A"/>
    <w:rsid w:val="001A042F"/>
    <w:rsid w:val="001A05AA"/>
    <w:rsid w:val="001A26AF"/>
    <w:rsid w:val="001A30F9"/>
    <w:rsid w:val="001A396A"/>
    <w:rsid w:val="001A6AB2"/>
    <w:rsid w:val="001A6E5B"/>
    <w:rsid w:val="001B0061"/>
    <w:rsid w:val="001B03EA"/>
    <w:rsid w:val="001B1AEC"/>
    <w:rsid w:val="001B3901"/>
    <w:rsid w:val="001B42C7"/>
    <w:rsid w:val="001B480A"/>
    <w:rsid w:val="001B5319"/>
    <w:rsid w:val="001B5BB6"/>
    <w:rsid w:val="001B72FC"/>
    <w:rsid w:val="001C033F"/>
    <w:rsid w:val="001C0488"/>
    <w:rsid w:val="001C3476"/>
    <w:rsid w:val="001C3E43"/>
    <w:rsid w:val="001C438B"/>
    <w:rsid w:val="001C4BC5"/>
    <w:rsid w:val="001C5625"/>
    <w:rsid w:val="001C56CA"/>
    <w:rsid w:val="001C610B"/>
    <w:rsid w:val="001C6EF5"/>
    <w:rsid w:val="001D0C61"/>
    <w:rsid w:val="001D15AB"/>
    <w:rsid w:val="001D1EEA"/>
    <w:rsid w:val="001D1F1D"/>
    <w:rsid w:val="001D30C9"/>
    <w:rsid w:val="001D4102"/>
    <w:rsid w:val="001D4289"/>
    <w:rsid w:val="001D4CBA"/>
    <w:rsid w:val="001D68E8"/>
    <w:rsid w:val="001D690E"/>
    <w:rsid w:val="001D74A3"/>
    <w:rsid w:val="001D7733"/>
    <w:rsid w:val="001E1186"/>
    <w:rsid w:val="001E1A80"/>
    <w:rsid w:val="001E2FE6"/>
    <w:rsid w:val="001E582B"/>
    <w:rsid w:val="001E6091"/>
    <w:rsid w:val="001E6BCB"/>
    <w:rsid w:val="001E7CCA"/>
    <w:rsid w:val="001F126F"/>
    <w:rsid w:val="001F1685"/>
    <w:rsid w:val="001F2450"/>
    <w:rsid w:val="001F2996"/>
    <w:rsid w:val="001F4089"/>
    <w:rsid w:val="001F4AD0"/>
    <w:rsid w:val="001F7B7F"/>
    <w:rsid w:val="001F7EF2"/>
    <w:rsid w:val="00200670"/>
    <w:rsid w:val="002041A2"/>
    <w:rsid w:val="002065E6"/>
    <w:rsid w:val="00207693"/>
    <w:rsid w:val="0021012A"/>
    <w:rsid w:val="002120D7"/>
    <w:rsid w:val="002123D5"/>
    <w:rsid w:val="0021321C"/>
    <w:rsid w:val="002200B0"/>
    <w:rsid w:val="00221678"/>
    <w:rsid w:val="0022185C"/>
    <w:rsid w:val="00224AE0"/>
    <w:rsid w:val="00224BF0"/>
    <w:rsid w:val="0022745C"/>
    <w:rsid w:val="00231108"/>
    <w:rsid w:val="00233138"/>
    <w:rsid w:val="00233A5D"/>
    <w:rsid w:val="00233DCC"/>
    <w:rsid w:val="00233FD8"/>
    <w:rsid w:val="00234890"/>
    <w:rsid w:val="00236A6E"/>
    <w:rsid w:val="00237A17"/>
    <w:rsid w:val="0024193B"/>
    <w:rsid w:val="00242356"/>
    <w:rsid w:val="00242CC5"/>
    <w:rsid w:val="0024325B"/>
    <w:rsid w:val="002434E9"/>
    <w:rsid w:val="00243CE7"/>
    <w:rsid w:val="002461C5"/>
    <w:rsid w:val="00250178"/>
    <w:rsid w:val="0025321C"/>
    <w:rsid w:val="00254F97"/>
    <w:rsid w:val="00256DEA"/>
    <w:rsid w:val="002574DA"/>
    <w:rsid w:val="002618F6"/>
    <w:rsid w:val="00261F8C"/>
    <w:rsid w:val="00262107"/>
    <w:rsid w:val="002624B9"/>
    <w:rsid w:val="00264488"/>
    <w:rsid w:val="00266FF2"/>
    <w:rsid w:val="00267CF1"/>
    <w:rsid w:val="00270729"/>
    <w:rsid w:val="002720F4"/>
    <w:rsid w:val="0027342C"/>
    <w:rsid w:val="002737F0"/>
    <w:rsid w:val="002778BE"/>
    <w:rsid w:val="00280000"/>
    <w:rsid w:val="00282248"/>
    <w:rsid w:val="00283477"/>
    <w:rsid w:val="002838BD"/>
    <w:rsid w:val="00284C87"/>
    <w:rsid w:val="0028514C"/>
    <w:rsid w:val="00290DB4"/>
    <w:rsid w:val="00291ECB"/>
    <w:rsid w:val="00291F70"/>
    <w:rsid w:val="002951D5"/>
    <w:rsid w:val="002969CA"/>
    <w:rsid w:val="00296A2C"/>
    <w:rsid w:val="002A044A"/>
    <w:rsid w:val="002A1FBA"/>
    <w:rsid w:val="002A264A"/>
    <w:rsid w:val="002A4693"/>
    <w:rsid w:val="002A63E0"/>
    <w:rsid w:val="002A6EFF"/>
    <w:rsid w:val="002A7A80"/>
    <w:rsid w:val="002A7FFC"/>
    <w:rsid w:val="002B13AB"/>
    <w:rsid w:val="002B24EF"/>
    <w:rsid w:val="002B3E3F"/>
    <w:rsid w:val="002B4DE3"/>
    <w:rsid w:val="002C18A1"/>
    <w:rsid w:val="002C36B4"/>
    <w:rsid w:val="002C7617"/>
    <w:rsid w:val="002C7D2D"/>
    <w:rsid w:val="002D5569"/>
    <w:rsid w:val="002D60F2"/>
    <w:rsid w:val="002D67A6"/>
    <w:rsid w:val="002D731A"/>
    <w:rsid w:val="002E2FC6"/>
    <w:rsid w:val="002E374D"/>
    <w:rsid w:val="002E464D"/>
    <w:rsid w:val="002E6898"/>
    <w:rsid w:val="002E6B9B"/>
    <w:rsid w:val="002E6E3D"/>
    <w:rsid w:val="002E778A"/>
    <w:rsid w:val="002F08F6"/>
    <w:rsid w:val="002F27CD"/>
    <w:rsid w:val="002F4B0C"/>
    <w:rsid w:val="002F4F74"/>
    <w:rsid w:val="002F7AE0"/>
    <w:rsid w:val="003007AC"/>
    <w:rsid w:val="00300D91"/>
    <w:rsid w:val="00302706"/>
    <w:rsid w:val="003033DE"/>
    <w:rsid w:val="0030662E"/>
    <w:rsid w:val="0030690F"/>
    <w:rsid w:val="00310675"/>
    <w:rsid w:val="00312A6D"/>
    <w:rsid w:val="00312A9E"/>
    <w:rsid w:val="00316275"/>
    <w:rsid w:val="003203F5"/>
    <w:rsid w:val="00320400"/>
    <w:rsid w:val="00322EA3"/>
    <w:rsid w:val="0032304F"/>
    <w:rsid w:val="00324197"/>
    <w:rsid w:val="00324EDC"/>
    <w:rsid w:val="0032527F"/>
    <w:rsid w:val="00327759"/>
    <w:rsid w:val="00330D5B"/>
    <w:rsid w:val="003326D2"/>
    <w:rsid w:val="003342CC"/>
    <w:rsid w:val="00334586"/>
    <w:rsid w:val="00334CE8"/>
    <w:rsid w:val="0033632D"/>
    <w:rsid w:val="00336E4E"/>
    <w:rsid w:val="00337B73"/>
    <w:rsid w:val="00341D18"/>
    <w:rsid w:val="00342074"/>
    <w:rsid w:val="003467C6"/>
    <w:rsid w:val="0034782F"/>
    <w:rsid w:val="003500E7"/>
    <w:rsid w:val="00350326"/>
    <w:rsid w:val="003516E9"/>
    <w:rsid w:val="00351CCA"/>
    <w:rsid w:val="0035664E"/>
    <w:rsid w:val="003566EF"/>
    <w:rsid w:val="00356B75"/>
    <w:rsid w:val="003627BF"/>
    <w:rsid w:val="003629BC"/>
    <w:rsid w:val="00362C51"/>
    <w:rsid w:val="003658ED"/>
    <w:rsid w:val="00365BEB"/>
    <w:rsid w:val="00366436"/>
    <w:rsid w:val="0036655D"/>
    <w:rsid w:val="00371116"/>
    <w:rsid w:val="0037248B"/>
    <w:rsid w:val="00372F88"/>
    <w:rsid w:val="00373096"/>
    <w:rsid w:val="00374214"/>
    <w:rsid w:val="00374B3E"/>
    <w:rsid w:val="00376772"/>
    <w:rsid w:val="00377EEF"/>
    <w:rsid w:val="00380827"/>
    <w:rsid w:val="0038164D"/>
    <w:rsid w:val="00384D7B"/>
    <w:rsid w:val="003865D0"/>
    <w:rsid w:val="0038797F"/>
    <w:rsid w:val="003923DA"/>
    <w:rsid w:val="00392765"/>
    <w:rsid w:val="00393F1D"/>
    <w:rsid w:val="003A0365"/>
    <w:rsid w:val="003A1608"/>
    <w:rsid w:val="003A3ECB"/>
    <w:rsid w:val="003A4267"/>
    <w:rsid w:val="003A42EE"/>
    <w:rsid w:val="003A5385"/>
    <w:rsid w:val="003A641E"/>
    <w:rsid w:val="003B02A0"/>
    <w:rsid w:val="003B3919"/>
    <w:rsid w:val="003B41DD"/>
    <w:rsid w:val="003B5666"/>
    <w:rsid w:val="003B7138"/>
    <w:rsid w:val="003B71A5"/>
    <w:rsid w:val="003B7FC2"/>
    <w:rsid w:val="003C0681"/>
    <w:rsid w:val="003C6702"/>
    <w:rsid w:val="003D1692"/>
    <w:rsid w:val="003D38F5"/>
    <w:rsid w:val="003D3F43"/>
    <w:rsid w:val="003D6101"/>
    <w:rsid w:val="003E3868"/>
    <w:rsid w:val="003E3E5F"/>
    <w:rsid w:val="003E4C89"/>
    <w:rsid w:val="003E53D3"/>
    <w:rsid w:val="003E6225"/>
    <w:rsid w:val="003E6249"/>
    <w:rsid w:val="003E62F7"/>
    <w:rsid w:val="003E7CDE"/>
    <w:rsid w:val="003E7E58"/>
    <w:rsid w:val="003F0B8B"/>
    <w:rsid w:val="003F0F7D"/>
    <w:rsid w:val="003F0FC8"/>
    <w:rsid w:val="003F451F"/>
    <w:rsid w:val="004000B4"/>
    <w:rsid w:val="004023B7"/>
    <w:rsid w:val="00403235"/>
    <w:rsid w:val="00404179"/>
    <w:rsid w:val="004049AD"/>
    <w:rsid w:val="004051AD"/>
    <w:rsid w:val="00405576"/>
    <w:rsid w:val="00405799"/>
    <w:rsid w:val="00406144"/>
    <w:rsid w:val="0041122D"/>
    <w:rsid w:val="0041243F"/>
    <w:rsid w:val="00412454"/>
    <w:rsid w:val="0041348C"/>
    <w:rsid w:val="004138D6"/>
    <w:rsid w:val="00413EFD"/>
    <w:rsid w:val="00414EEA"/>
    <w:rsid w:val="00416076"/>
    <w:rsid w:val="0041735A"/>
    <w:rsid w:val="00417945"/>
    <w:rsid w:val="004205AE"/>
    <w:rsid w:val="004224DF"/>
    <w:rsid w:val="004225D8"/>
    <w:rsid w:val="00423A49"/>
    <w:rsid w:val="00423CF3"/>
    <w:rsid w:val="004255D6"/>
    <w:rsid w:val="00426420"/>
    <w:rsid w:val="00426553"/>
    <w:rsid w:val="00427D64"/>
    <w:rsid w:val="00430331"/>
    <w:rsid w:val="004308E3"/>
    <w:rsid w:val="00432D2E"/>
    <w:rsid w:val="00433680"/>
    <w:rsid w:val="00433F6C"/>
    <w:rsid w:val="00435740"/>
    <w:rsid w:val="004360F0"/>
    <w:rsid w:val="004400A7"/>
    <w:rsid w:val="004420CE"/>
    <w:rsid w:val="00442C7F"/>
    <w:rsid w:val="004448FF"/>
    <w:rsid w:val="00445880"/>
    <w:rsid w:val="00446AEA"/>
    <w:rsid w:val="00453D6E"/>
    <w:rsid w:val="00454ECC"/>
    <w:rsid w:val="00461E53"/>
    <w:rsid w:val="0046217F"/>
    <w:rsid w:val="00462553"/>
    <w:rsid w:val="00462D62"/>
    <w:rsid w:val="00464BE0"/>
    <w:rsid w:val="004657C1"/>
    <w:rsid w:val="00465870"/>
    <w:rsid w:val="00465F0C"/>
    <w:rsid w:val="004675A7"/>
    <w:rsid w:val="00467D00"/>
    <w:rsid w:val="00473A49"/>
    <w:rsid w:val="00473B28"/>
    <w:rsid w:val="0047422A"/>
    <w:rsid w:val="00474432"/>
    <w:rsid w:val="00474D27"/>
    <w:rsid w:val="00475235"/>
    <w:rsid w:val="004755D4"/>
    <w:rsid w:val="00475FE1"/>
    <w:rsid w:val="00476B58"/>
    <w:rsid w:val="00476C3D"/>
    <w:rsid w:val="00477F64"/>
    <w:rsid w:val="004804F1"/>
    <w:rsid w:val="00481846"/>
    <w:rsid w:val="00481CDC"/>
    <w:rsid w:val="004831BA"/>
    <w:rsid w:val="00483975"/>
    <w:rsid w:val="004839A2"/>
    <w:rsid w:val="00485F89"/>
    <w:rsid w:val="0049340A"/>
    <w:rsid w:val="00493DCE"/>
    <w:rsid w:val="004974CD"/>
    <w:rsid w:val="004A196F"/>
    <w:rsid w:val="004A2A59"/>
    <w:rsid w:val="004A3B5E"/>
    <w:rsid w:val="004B0CA2"/>
    <w:rsid w:val="004B37B2"/>
    <w:rsid w:val="004B5B16"/>
    <w:rsid w:val="004B75F2"/>
    <w:rsid w:val="004C21E4"/>
    <w:rsid w:val="004C22C9"/>
    <w:rsid w:val="004C2939"/>
    <w:rsid w:val="004C2BEA"/>
    <w:rsid w:val="004C33E2"/>
    <w:rsid w:val="004C4D15"/>
    <w:rsid w:val="004C7005"/>
    <w:rsid w:val="004C7254"/>
    <w:rsid w:val="004C7369"/>
    <w:rsid w:val="004D135F"/>
    <w:rsid w:val="004D1EFC"/>
    <w:rsid w:val="004D3D60"/>
    <w:rsid w:val="004D5D9F"/>
    <w:rsid w:val="004E09CE"/>
    <w:rsid w:val="004E0E9A"/>
    <w:rsid w:val="004E1310"/>
    <w:rsid w:val="004E1701"/>
    <w:rsid w:val="004E3A0F"/>
    <w:rsid w:val="004E3D15"/>
    <w:rsid w:val="004E41CF"/>
    <w:rsid w:val="004E5AC0"/>
    <w:rsid w:val="004E757E"/>
    <w:rsid w:val="004F0B32"/>
    <w:rsid w:val="004F6AF1"/>
    <w:rsid w:val="004F6B1A"/>
    <w:rsid w:val="004F7BFE"/>
    <w:rsid w:val="00500C43"/>
    <w:rsid w:val="00502409"/>
    <w:rsid w:val="005053EB"/>
    <w:rsid w:val="0050721B"/>
    <w:rsid w:val="00507747"/>
    <w:rsid w:val="00510EE4"/>
    <w:rsid w:val="00510F5F"/>
    <w:rsid w:val="005154F6"/>
    <w:rsid w:val="00517C7B"/>
    <w:rsid w:val="00517D97"/>
    <w:rsid w:val="00520E21"/>
    <w:rsid w:val="00521592"/>
    <w:rsid w:val="00522FD3"/>
    <w:rsid w:val="0052343C"/>
    <w:rsid w:val="005250B5"/>
    <w:rsid w:val="00526182"/>
    <w:rsid w:val="005311C5"/>
    <w:rsid w:val="00533A76"/>
    <w:rsid w:val="00533AD9"/>
    <w:rsid w:val="00536DCB"/>
    <w:rsid w:val="00543A08"/>
    <w:rsid w:val="00545B83"/>
    <w:rsid w:val="0054702F"/>
    <w:rsid w:val="00547FB1"/>
    <w:rsid w:val="00551089"/>
    <w:rsid w:val="00552DB2"/>
    <w:rsid w:val="00554901"/>
    <w:rsid w:val="0055634A"/>
    <w:rsid w:val="00556CD3"/>
    <w:rsid w:val="00557DCA"/>
    <w:rsid w:val="005616B8"/>
    <w:rsid w:val="0056411D"/>
    <w:rsid w:val="0056492C"/>
    <w:rsid w:val="0056622B"/>
    <w:rsid w:val="005707C3"/>
    <w:rsid w:val="00572D51"/>
    <w:rsid w:val="00573402"/>
    <w:rsid w:val="0057346B"/>
    <w:rsid w:val="00574552"/>
    <w:rsid w:val="00574FCF"/>
    <w:rsid w:val="0057587A"/>
    <w:rsid w:val="00575DA5"/>
    <w:rsid w:val="005769B8"/>
    <w:rsid w:val="00576C2D"/>
    <w:rsid w:val="0058320C"/>
    <w:rsid w:val="00584147"/>
    <w:rsid w:val="00584FD7"/>
    <w:rsid w:val="00585664"/>
    <w:rsid w:val="005872D5"/>
    <w:rsid w:val="00590BCE"/>
    <w:rsid w:val="0059258C"/>
    <w:rsid w:val="005945A0"/>
    <w:rsid w:val="00594D74"/>
    <w:rsid w:val="00595E71"/>
    <w:rsid w:val="00597977"/>
    <w:rsid w:val="005A02F5"/>
    <w:rsid w:val="005A11A3"/>
    <w:rsid w:val="005A25E8"/>
    <w:rsid w:val="005A3B0E"/>
    <w:rsid w:val="005A74AD"/>
    <w:rsid w:val="005B0B61"/>
    <w:rsid w:val="005B14D5"/>
    <w:rsid w:val="005B29DF"/>
    <w:rsid w:val="005B2A99"/>
    <w:rsid w:val="005B3BCB"/>
    <w:rsid w:val="005B4B12"/>
    <w:rsid w:val="005B539F"/>
    <w:rsid w:val="005B5F71"/>
    <w:rsid w:val="005B6D92"/>
    <w:rsid w:val="005C1A98"/>
    <w:rsid w:val="005C1CD1"/>
    <w:rsid w:val="005C21AC"/>
    <w:rsid w:val="005C37D6"/>
    <w:rsid w:val="005C69A5"/>
    <w:rsid w:val="005D177F"/>
    <w:rsid w:val="005D3863"/>
    <w:rsid w:val="005D6CB0"/>
    <w:rsid w:val="005D6D7A"/>
    <w:rsid w:val="005D6DBA"/>
    <w:rsid w:val="005D7033"/>
    <w:rsid w:val="005E077B"/>
    <w:rsid w:val="005E10BD"/>
    <w:rsid w:val="005E3510"/>
    <w:rsid w:val="005E58C6"/>
    <w:rsid w:val="005E5D3D"/>
    <w:rsid w:val="005E5E1E"/>
    <w:rsid w:val="005F0154"/>
    <w:rsid w:val="005F08CD"/>
    <w:rsid w:val="005F0CC7"/>
    <w:rsid w:val="005F4B70"/>
    <w:rsid w:val="005F5E9D"/>
    <w:rsid w:val="005F6251"/>
    <w:rsid w:val="005F7953"/>
    <w:rsid w:val="00600047"/>
    <w:rsid w:val="00601769"/>
    <w:rsid w:val="00603DC2"/>
    <w:rsid w:val="006050A1"/>
    <w:rsid w:val="0060543E"/>
    <w:rsid w:val="00606FE8"/>
    <w:rsid w:val="006079F6"/>
    <w:rsid w:val="006120DC"/>
    <w:rsid w:val="00612196"/>
    <w:rsid w:val="0061393B"/>
    <w:rsid w:val="00620B9A"/>
    <w:rsid w:val="00623209"/>
    <w:rsid w:val="006242B5"/>
    <w:rsid w:val="006242EA"/>
    <w:rsid w:val="00624448"/>
    <w:rsid w:val="00624A03"/>
    <w:rsid w:val="00624D0A"/>
    <w:rsid w:val="006269D8"/>
    <w:rsid w:val="0062740C"/>
    <w:rsid w:val="00627749"/>
    <w:rsid w:val="00631DEB"/>
    <w:rsid w:val="00632D49"/>
    <w:rsid w:val="00633689"/>
    <w:rsid w:val="00633A54"/>
    <w:rsid w:val="00635533"/>
    <w:rsid w:val="0064363D"/>
    <w:rsid w:val="00644E18"/>
    <w:rsid w:val="00645516"/>
    <w:rsid w:val="00645636"/>
    <w:rsid w:val="00647228"/>
    <w:rsid w:val="00647B1C"/>
    <w:rsid w:val="006504AA"/>
    <w:rsid w:val="00653203"/>
    <w:rsid w:val="00653AD5"/>
    <w:rsid w:val="00653B7B"/>
    <w:rsid w:val="00653C8A"/>
    <w:rsid w:val="0065458E"/>
    <w:rsid w:val="006569D5"/>
    <w:rsid w:val="00664737"/>
    <w:rsid w:val="006650AE"/>
    <w:rsid w:val="00665512"/>
    <w:rsid w:val="0066562C"/>
    <w:rsid w:val="00666420"/>
    <w:rsid w:val="006664A8"/>
    <w:rsid w:val="00667DAC"/>
    <w:rsid w:val="00667E96"/>
    <w:rsid w:val="006702FD"/>
    <w:rsid w:val="00672BAE"/>
    <w:rsid w:val="00677413"/>
    <w:rsid w:val="00677950"/>
    <w:rsid w:val="0068272A"/>
    <w:rsid w:val="0068342E"/>
    <w:rsid w:val="00683B5A"/>
    <w:rsid w:val="00686189"/>
    <w:rsid w:val="00686BEA"/>
    <w:rsid w:val="006876FE"/>
    <w:rsid w:val="006879CA"/>
    <w:rsid w:val="00690CC1"/>
    <w:rsid w:val="00692C77"/>
    <w:rsid w:val="0069322E"/>
    <w:rsid w:val="006961A0"/>
    <w:rsid w:val="00696C1F"/>
    <w:rsid w:val="0069729F"/>
    <w:rsid w:val="006A0DF1"/>
    <w:rsid w:val="006A1BE7"/>
    <w:rsid w:val="006A1EBE"/>
    <w:rsid w:val="006A2DAB"/>
    <w:rsid w:val="006A41AF"/>
    <w:rsid w:val="006A4632"/>
    <w:rsid w:val="006A742F"/>
    <w:rsid w:val="006A7E0B"/>
    <w:rsid w:val="006B23C2"/>
    <w:rsid w:val="006B3688"/>
    <w:rsid w:val="006B4442"/>
    <w:rsid w:val="006B45B1"/>
    <w:rsid w:val="006B73B0"/>
    <w:rsid w:val="006C1655"/>
    <w:rsid w:val="006C1DCD"/>
    <w:rsid w:val="006C2EA9"/>
    <w:rsid w:val="006C435B"/>
    <w:rsid w:val="006C58C0"/>
    <w:rsid w:val="006C5AC8"/>
    <w:rsid w:val="006C72D3"/>
    <w:rsid w:val="006D4578"/>
    <w:rsid w:val="006D65C9"/>
    <w:rsid w:val="006D66F9"/>
    <w:rsid w:val="006D794F"/>
    <w:rsid w:val="006E3C23"/>
    <w:rsid w:val="006E5425"/>
    <w:rsid w:val="006E65F4"/>
    <w:rsid w:val="006E7295"/>
    <w:rsid w:val="006E7D1A"/>
    <w:rsid w:val="006F35E1"/>
    <w:rsid w:val="006F44D3"/>
    <w:rsid w:val="006F4C31"/>
    <w:rsid w:val="006F5D16"/>
    <w:rsid w:val="006F5E2B"/>
    <w:rsid w:val="006F5FAC"/>
    <w:rsid w:val="006F6A30"/>
    <w:rsid w:val="006F6BE0"/>
    <w:rsid w:val="006F74F6"/>
    <w:rsid w:val="006F7F4E"/>
    <w:rsid w:val="0070113B"/>
    <w:rsid w:val="007015D5"/>
    <w:rsid w:val="00701945"/>
    <w:rsid w:val="007027F3"/>
    <w:rsid w:val="007044FA"/>
    <w:rsid w:val="0070546F"/>
    <w:rsid w:val="007057BC"/>
    <w:rsid w:val="00705D35"/>
    <w:rsid w:val="0070661E"/>
    <w:rsid w:val="007066C4"/>
    <w:rsid w:val="00706D02"/>
    <w:rsid w:val="007070FA"/>
    <w:rsid w:val="00711510"/>
    <w:rsid w:val="0071246D"/>
    <w:rsid w:val="00712969"/>
    <w:rsid w:val="0071325D"/>
    <w:rsid w:val="007133AA"/>
    <w:rsid w:val="00715BAA"/>
    <w:rsid w:val="00717A06"/>
    <w:rsid w:val="00723279"/>
    <w:rsid w:val="00724459"/>
    <w:rsid w:val="007255C9"/>
    <w:rsid w:val="007307E0"/>
    <w:rsid w:val="00732F25"/>
    <w:rsid w:val="00734912"/>
    <w:rsid w:val="00734D54"/>
    <w:rsid w:val="00740267"/>
    <w:rsid w:val="00742DE6"/>
    <w:rsid w:val="00745ACA"/>
    <w:rsid w:val="00745E84"/>
    <w:rsid w:val="007500B1"/>
    <w:rsid w:val="007515CA"/>
    <w:rsid w:val="00751A4A"/>
    <w:rsid w:val="00754BF9"/>
    <w:rsid w:val="00754F7E"/>
    <w:rsid w:val="007600E0"/>
    <w:rsid w:val="00763D09"/>
    <w:rsid w:val="00763F0B"/>
    <w:rsid w:val="007652E4"/>
    <w:rsid w:val="00766992"/>
    <w:rsid w:val="007677F4"/>
    <w:rsid w:val="00767839"/>
    <w:rsid w:val="00771244"/>
    <w:rsid w:val="007729B6"/>
    <w:rsid w:val="00772B73"/>
    <w:rsid w:val="00776F5E"/>
    <w:rsid w:val="00777FA1"/>
    <w:rsid w:val="00781C2C"/>
    <w:rsid w:val="00782039"/>
    <w:rsid w:val="00782276"/>
    <w:rsid w:val="00784136"/>
    <w:rsid w:val="00784B34"/>
    <w:rsid w:val="00785C2F"/>
    <w:rsid w:val="00790330"/>
    <w:rsid w:val="00790CCD"/>
    <w:rsid w:val="0079259D"/>
    <w:rsid w:val="00792BF5"/>
    <w:rsid w:val="00793F99"/>
    <w:rsid w:val="00795F33"/>
    <w:rsid w:val="0079719E"/>
    <w:rsid w:val="007A0ACF"/>
    <w:rsid w:val="007A13FB"/>
    <w:rsid w:val="007A23FF"/>
    <w:rsid w:val="007A2487"/>
    <w:rsid w:val="007A2A48"/>
    <w:rsid w:val="007A3933"/>
    <w:rsid w:val="007A3C09"/>
    <w:rsid w:val="007A42B1"/>
    <w:rsid w:val="007A5082"/>
    <w:rsid w:val="007A7F85"/>
    <w:rsid w:val="007B0452"/>
    <w:rsid w:val="007B19FB"/>
    <w:rsid w:val="007B2656"/>
    <w:rsid w:val="007B29DB"/>
    <w:rsid w:val="007B2DFC"/>
    <w:rsid w:val="007B36B8"/>
    <w:rsid w:val="007B4766"/>
    <w:rsid w:val="007B5209"/>
    <w:rsid w:val="007B6FE3"/>
    <w:rsid w:val="007B7451"/>
    <w:rsid w:val="007B7828"/>
    <w:rsid w:val="007C0988"/>
    <w:rsid w:val="007C380B"/>
    <w:rsid w:val="007C39E9"/>
    <w:rsid w:val="007C5579"/>
    <w:rsid w:val="007C7EE8"/>
    <w:rsid w:val="007D3C44"/>
    <w:rsid w:val="007E07CA"/>
    <w:rsid w:val="007E16BD"/>
    <w:rsid w:val="007E2CCE"/>
    <w:rsid w:val="007E74C9"/>
    <w:rsid w:val="007F04FC"/>
    <w:rsid w:val="007F0D92"/>
    <w:rsid w:val="007F272A"/>
    <w:rsid w:val="007F32C1"/>
    <w:rsid w:val="007F4168"/>
    <w:rsid w:val="007F63CF"/>
    <w:rsid w:val="007F680F"/>
    <w:rsid w:val="007F6C6A"/>
    <w:rsid w:val="007F6FB2"/>
    <w:rsid w:val="0080423B"/>
    <w:rsid w:val="00804ABB"/>
    <w:rsid w:val="008057AF"/>
    <w:rsid w:val="00810A6F"/>
    <w:rsid w:val="00810BE0"/>
    <w:rsid w:val="0081128F"/>
    <w:rsid w:val="00817367"/>
    <w:rsid w:val="00823A50"/>
    <w:rsid w:val="00824AC1"/>
    <w:rsid w:val="0082661C"/>
    <w:rsid w:val="00831380"/>
    <w:rsid w:val="00831580"/>
    <w:rsid w:val="00837B3D"/>
    <w:rsid w:val="00837D32"/>
    <w:rsid w:val="00837FE7"/>
    <w:rsid w:val="0084169E"/>
    <w:rsid w:val="008427AD"/>
    <w:rsid w:val="00845E25"/>
    <w:rsid w:val="008464E8"/>
    <w:rsid w:val="00850039"/>
    <w:rsid w:val="00850EA4"/>
    <w:rsid w:val="00851F34"/>
    <w:rsid w:val="00852004"/>
    <w:rsid w:val="00854D85"/>
    <w:rsid w:val="00856952"/>
    <w:rsid w:val="00857F78"/>
    <w:rsid w:val="0086150A"/>
    <w:rsid w:val="00861BF0"/>
    <w:rsid w:val="00863304"/>
    <w:rsid w:val="00864F12"/>
    <w:rsid w:val="0086655C"/>
    <w:rsid w:val="00871DAC"/>
    <w:rsid w:val="00872CFE"/>
    <w:rsid w:val="00873D35"/>
    <w:rsid w:val="00873DFC"/>
    <w:rsid w:val="00877006"/>
    <w:rsid w:val="008825A5"/>
    <w:rsid w:val="008831D6"/>
    <w:rsid w:val="008833E4"/>
    <w:rsid w:val="008848CF"/>
    <w:rsid w:val="008857F3"/>
    <w:rsid w:val="0088632F"/>
    <w:rsid w:val="00886D96"/>
    <w:rsid w:val="008873AC"/>
    <w:rsid w:val="00890848"/>
    <w:rsid w:val="00892541"/>
    <w:rsid w:val="00892EA9"/>
    <w:rsid w:val="00896AF6"/>
    <w:rsid w:val="008A1D41"/>
    <w:rsid w:val="008A34A5"/>
    <w:rsid w:val="008A4C39"/>
    <w:rsid w:val="008B123F"/>
    <w:rsid w:val="008B2B67"/>
    <w:rsid w:val="008B31F1"/>
    <w:rsid w:val="008B43AF"/>
    <w:rsid w:val="008B5AFC"/>
    <w:rsid w:val="008B7EF2"/>
    <w:rsid w:val="008C0445"/>
    <w:rsid w:val="008C0A2E"/>
    <w:rsid w:val="008C1598"/>
    <w:rsid w:val="008C7E58"/>
    <w:rsid w:val="008D01D0"/>
    <w:rsid w:val="008D0E6A"/>
    <w:rsid w:val="008D4DE2"/>
    <w:rsid w:val="008D5958"/>
    <w:rsid w:val="008D6BF2"/>
    <w:rsid w:val="008E0E77"/>
    <w:rsid w:val="008E109E"/>
    <w:rsid w:val="008E1C81"/>
    <w:rsid w:val="008E1CEC"/>
    <w:rsid w:val="008E244E"/>
    <w:rsid w:val="008E3616"/>
    <w:rsid w:val="008E43BA"/>
    <w:rsid w:val="008E43F8"/>
    <w:rsid w:val="008E5084"/>
    <w:rsid w:val="008E6068"/>
    <w:rsid w:val="008F13DA"/>
    <w:rsid w:val="008F1681"/>
    <w:rsid w:val="008F2753"/>
    <w:rsid w:val="008F3BC4"/>
    <w:rsid w:val="008F42DB"/>
    <w:rsid w:val="008F4722"/>
    <w:rsid w:val="008F5FF1"/>
    <w:rsid w:val="008F61CB"/>
    <w:rsid w:val="008F63E0"/>
    <w:rsid w:val="008F79AA"/>
    <w:rsid w:val="00903469"/>
    <w:rsid w:val="00903DAF"/>
    <w:rsid w:val="009061B6"/>
    <w:rsid w:val="00906D40"/>
    <w:rsid w:val="00907879"/>
    <w:rsid w:val="009139E0"/>
    <w:rsid w:val="00913B51"/>
    <w:rsid w:val="009141BA"/>
    <w:rsid w:val="00914713"/>
    <w:rsid w:val="00914E3B"/>
    <w:rsid w:val="00915773"/>
    <w:rsid w:val="00915E22"/>
    <w:rsid w:val="009204BE"/>
    <w:rsid w:val="00921297"/>
    <w:rsid w:val="00921892"/>
    <w:rsid w:val="009260D5"/>
    <w:rsid w:val="00926FB3"/>
    <w:rsid w:val="00930235"/>
    <w:rsid w:val="009309B0"/>
    <w:rsid w:val="009313BB"/>
    <w:rsid w:val="00932EF1"/>
    <w:rsid w:val="00932FBF"/>
    <w:rsid w:val="00935C86"/>
    <w:rsid w:val="00940345"/>
    <w:rsid w:val="00942E19"/>
    <w:rsid w:val="00944E4E"/>
    <w:rsid w:val="00945EA5"/>
    <w:rsid w:val="009464DD"/>
    <w:rsid w:val="00946EC4"/>
    <w:rsid w:val="009511AA"/>
    <w:rsid w:val="00952865"/>
    <w:rsid w:val="00952997"/>
    <w:rsid w:val="00955EEB"/>
    <w:rsid w:val="00957CC3"/>
    <w:rsid w:val="0096050C"/>
    <w:rsid w:val="00964170"/>
    <w:rsid w:val="00964AFC"/>
    <w:rsid w:val="0096598C"/>
    <w:rsid w:val="009665EE"/>
    <w:rsid w:val="00967214"/>
    <w:rsid w:val="0096792D"/>
    <w:rsid w:val="00967DF5"/>
    <w:rsid w:val="00971466"/>
    <w:rsid w:val="00972137"/>
    <w:rsid w:val="00974871"/>
    <w:rsid w:val="00975400"/>
    <w:rsid w:val="0097566B"/>
    <w:rsid w:val="00977849"/>
    <w:rsid w:val="00983860"/>
    <w:rsid w:val="00983FEB"/>
    <w:rsid w:val="0098678F"/>
    <w:rsid w:val="0098712D"/>
    <w:rsid w:val="009875B2"/>
    <w:rsid w:val="00987689"/>
    <w:rsid w:val="00990691"/>
    <w:rsid w:val="00990BA9"/>
    <w:rsid w:val="0099126C"/>
    <w:rsid w:val="009914CE"/>
    <w:rsid w:val="00991755"/>
    <w:rsid w:val="009919AA"/>
    <w:rsid w:val="0099211D"/>
    <w:rsid w:val="0099235C"/>
    <w:rsid w:val="0099261F"/>
    <w:rsid w:val="00992894"/>
    <w:rsid w:val="00992E9B"/>
    <w:rsid w:val="009942A1"/>
    <w:rsid w:val="00994407"/>
    <w:rsid w:val="009A2F0D"/>
    <w:rsid w:val="009A34F5"/>
    <w:rsid w:val="009A371A"/>
    <w:rsid w:val="009A6E54"/>
    <w:rsid w:val="009B367C"/>
    <w:rsid w:val="009B4C90"/>
    <w:rsid w:val="009B4DC6"/>
    <w:rsid w:val="009B5867"/>
    <w:rsid w:val="009B5948"/>
    <w:rsid w:val="009B66A3"/>
    <w:rsid w:val="009B6E9D"/>
    <w:rsid w:val="009C0922"/>
    <w:rsid w:val="009C1101"/>
    <w:rsid w:val="009C205C"/>
    <w:rsid w:val="009C3AB0"/>
    <w:rsid w:val="009C77A2"/>
    <w:rsid w:val="009C77E8"/>
    <w:rsid w:val="009D0EFC"/>
    <w:rsid w:val="009D19DF"/>
    <w:rsid w:val="009D4129"/>
    <w:rsid w:val="009D43D6"/>
    <w:rsid w:val="009D542A"/>
    <w:rsid w:val="009D6385"/>
    <w:rsid w:val="009D746A"/>
    <w:rsid w:val="009E0462"/>
    <w:rsid w:val="009E0BDF"/>
    <w:rsid w:val="009E213C"/>
    <w:rsid w:val="009E238F"/>
    <w:rsid w:val="009E420D"/>
    <w:rsid w:val="009E55AD"/>
    <w:rsid w:val="009E781A"/>
    <w:rsid w:val="009F226C"/>
    <w:rsid w:val="009F39F6"/>
    <w:rsid w:val="009F3CD5"/>
    <w:rsid w:val="009F4E6C"/>
    <w:rsid w:val="009F6922"/>
    <w:rsid w:val="00A02607"/>
    <w:rsid w:val="00A03FB0"/>
    <w:rsid w:val="00A043D3"/>
    <w:rsid w:val="00A0792D"/>
    <w:rsid w:val="00A103F9"/>
    <w:rsid w:val="00A108EF"/>
    <w:rsid w:val="00A1223D"/>
    <w:rsid w:val="00A12DAA"/>
    <w:rsid w:val="00A159D4"/>
    <w:rsid w:val="00A16310"/>
    <w:rsid w:val="00A16E3C"/>
    <w:rsid w:val="00A2284E"/>
    <w:rsid w:val="00A26B8B"/>
    <w:rsid w:val="00A31ED3"/>
    <w:rsid w:val="00A322F1"/>
    <w:rsid w:val="00A32EC9"/>
    <w:rsid w:val="00A358D0"/>
    <w:rsid w:val="00A35A42"/>
    <w:rsid w:val="00A35D20"/>
    <w:rsid w:val="00A3687A"/>
    <w:rsid w:val="00A40CEE"/>
    <w:rsid w:val="00A462B1"/>
    <w:rsid w:val="00A47D44"/>
    <w:rsid w:val="00A508F1"/>
    <w:rsid w:val="00A528EC"/>
    <w:rsid w:val="00A533B1"/>
    <w:rsid w:val="00A54537"/>
    <w:rsid w:val="00A5551C"/>
    <w:rsid w:val="00A570DA"/>
    <w:rsid w:val="00A57D83"/>
    <w:rsid w:val="00A61336"/>
    <w:rsid w:val="00A61DCA"/>
    <w:rsid w:val="00A62772"/>
    <w:rsid w:val="00A628CA"/>
    <w:rsid w:val="00A62EF5"/>
    <w:rsid w:val="00A64906"/>
    <w:rsid w:val="00A64A8F"/>
    <w:rsid w:val="00A65790"/>
    <w:rsid w:val="00A65ECD"/>
    <w:rsid w:val="00A66493"/>
    <w:rsid w:val="00A66AFA"/>
    <w:rsid w:val="00A66F38"/>
    <w:rsid w:val="00A71C28"/>
    <w:rsid w:val="00A71DB9"/>
    <w:rsid w:val="00A743ED"/>
    <w:rsid w:val="00A74B6D"/>
    <w:rsid w:val="00A761A6"/>
    <w:rsid w:val="00A7645D"/>
    <w:rsid w:val="00A76D34"/>
    <w:rsid w:val="00A77349"/>
    <w:rsid w:val="00A776B6"/>
    <w:rsid w:val="00A806FF"/>
    <w:rsid w:val="00A808C6"/>
    <w:rsid w:val="00A816DD"/>
    <w:rsid w:val="00A83271"/>
    <w:rsid w:val="00A8351D"/>
    <w:rsid w:val="00A8369F"/>
    <w:rsid w:val="00A85AF3"/>
    <w:rsid w:val="00A86B8F"/>
    <w:rsid w:val="00A86C60"/>
    <w:rsid w:val="00A9032E"/>
    <w:rsid w:val="00A91FD0"/>
    <w:rsid w:val="00A92E0A"/>
    <w:rsid w:val="00A92F32"/>
    <w:rsid w:val="00A95EE6"/>
    <w:rsid w:val="00A96C65"/>
    <w:rsid w:val="00AA1AF5"/>
    <w:rsid w:val="00AA388D"/>
    <w:rsid w:val="00AA4332"/>
    <w:rsid w:val="00AA5BAF"/>
    <w:rsid w:val="00AB0718"/>
    <w:rsid w:val="00AB1720"/>
    <w:rsid w:val="00AB1C36"/>
    <w:rsid w:val="00AB3656"/>
    <w:rsid w:val="00AB42F5"/>
    <w:rsid w:val="00AB4316"/>
    <w:rsid w:val="00AB5E18"/>
    <w:rsid w:val="00AB65F2"/>
    <w:rsid w:val="00AB73CB"/>
    <w:rsid w:val="00AC3A42"/>
    <w:rsid w:val="00AC7A99"/>
    <w:rsid w:val="00AC7D0D"/>
    <w:rsid w:val="00AD05A6"/>
    <w:rsid w:val="00AD1CAD"/>
    <w:rsid w:val="00AD1E05"/>
    <w:rsid w:val="00AD202C"/>
    <w:rsid w:val="00AD2EAA"/>
    <w:rsid w:val="00AD65AD"/>
    <w:rsid w:val="00AD6888"/>
    <w:rsid w:val="00AE0419"/>
    <w:rsid w:val="00AE0D34"/>
    <w:rsid w:val="00AE4655"/>
    <w:rsid w:val="00AE6A47"/>
    <w:rsid w:val="00AF0B4D"/>
    <w:rsid w:val="00AF0D0E"/>
    <w:rsid w:val="00AF1CA4"/>
    <w:rsid w:val="00AF373D"/>
    <w:rsid w:val="00AF480F"/>
    <w:rsid w:val="00B01A0B"/>
    <w:rsid w:val="00B01A7E"/>
    <w:rsid w:val="00B0257F"/>
    <w:rsid w:val="00B02A1A"/>
    <w:rsid w:val="00B045A5"/>
    <w:rsid w:val="00B04C50"/>
    <w:rsid w:val="00B115B2"/>
    <w:rsid w:val="00B16D94"/>
    <w:rsid w:val="00B179D8"/>
    <w:rsid w:val="00B20AE7"/>
    <w:rsid w:val="00B22722"/>
    <w:rsid w:val="00B23469"/>
    <w:rsid w:val="00B23544"/>
    <w:rsid w:val="00B23DE7"/>
    <w:rsid w:val="00B25837"/>
    <w:rsid w:val="00B26C9A"/>
    <w:rsid w:val="00B27224"/>
    <w:rsid w:val="00B32574"/>
    <w:rsid w:val="00B32E0A"/>
    <w:rsid w:val="00B3379F"/>
    <w:rsid w:val="00B3498D"/>
    <w:rsid w:val="00B36AA3"/>
    <w:rsid w:val="00B37AA5"/>
    <w:rsid w:val="00B41604"/>
    <w:rsid w:val="00B41CF5"/>
    <w:rsid w:val="00B41E83"/>
    <w:rsid w:val="00B4354A"/>
    <w:rsid w:val="00B45888"/>
    <w:rsid w:val="00B473DF"/>
    <w:rsid w:val="00B4758B"/>
    <w:rsid w:val="00B524DA"/>
    <w:rsid w:val="00B53940"/>
    <w:rsid w:val="00B6019C"/>
    <w:rsid w:val="00B60C3C"/>
    <w:rsid w:val="00B61158"/>
    <w:rsid w:val="00B6124A"/>
    <w:rsid w:val="00B62443"/>
    <w:rsid w:val="00B62754"/>
    <w:rsid w:val="00B63C20"/>
    <w:rsid w:val="00B64DBA"/>
    <w:rsid w:val="00B7392B"/>
    <w:rsid w:val="00B80733"/>
    <w:rsid w:val="00B80A08"/>
    <w:rsid w:val="00B81122"/>
    <w:rsid w:val="00B81297"/>
    <w:rsid w:val="00B81F61"/>
    <w:rsid w:val="00B820D2"/>
    <w:rsid w:val="00B820F6"/>
    <w:rsid w:val="00B826B6"/>
    <w:rsid w:val="00B82CE4"/>
    <w:rsid w:val="00B84BCE"/>
    <w:rsid w:val="00B91632"/>
    <w:rsid w:val="00B91DDA"/>
    <w:rsid w:val="00B94919"/>
    <w:rsid w:val="00B95729"/>
    <w:rsid w:val="00BA0D15"/>
    <w:rsid w:val="00BA1AF7"/>
    <w:rsid w:val="00BA1D07"/>
    <w:rsid w:val="00BA1F50"/>
    <w:rsid w:val="00BA36DC"/>
    <w:rsid w:val="00BA4B8F"/>
    <w:rsid w:val="00BA53BE"/>
    <w:rsid w:val="00BA5502"/>
    <w:rsid w:val="00BA582A"/>
    <w:rsid w:val="00BA5C21"/>
    <w:rsid w:val="00BA63C2"/>
    <w:rsid w:val="00BB02CC"/>
    <w:rsid w:val="00BB04C5"/>
    <w:rsid w:val="00BB0CDE"/>
    <w:rsid w:val="00BB1228"/>
    <w:rsid w:val="00BB225F"/>
    <w:rsid w:val="00BB342F"/>
    <w:rsid w:val="00BB464E"/>
    <w:rsid w:val="00BB56FA"/>
    <w:rsid w:val="00BB69FE"/>
    <w:rsid w:val="00BB6FA5"/>
    <w:rsid w:val="00BB7ADB"/>
    <w:rsid w:val="00BC0317"/>
    <w:rsid w:val="00BC116D"/>
    <w:rsid w:val="00BC30B5"/>
    <w:rsid w:val="00BC454A"/>
    <w:rsid w:val="00BC5113"/>
    <w:rsid w:val="00BC60C0"/>
    <w:rsid w:val="00BD1065"/>
    <w:rsid w:val="00BD2E76"/>
    <w:rsid w:val="00BD3151"/>
    <w:rsid w:val="00BE0641"/>
    <w:rsid w:val="00BE2321"/>
    <w:rsid w:val="00BE2337"/>
    <w:rsid w:val="00BE2ED3"/>
    <w:rsid w:val="00BE2FF0"/>
    <w:rsid w:val="00BE3FD0"/>
    <w:rsid w:val="00BE53AE"/>
    <w:rsid w:val="00BF154D"/>
    <w:rsid w:val="00BF1914"/>
    <w:rsid w:val="00BF2014"/>
    <w:rsid w:val="00BF229A"/>
    <w:rsid w:val="00BF3622"/>
    <w:rsid w:val="00BF420D"/>
    <w:rsid w:val="00BF60F1"/>
    <w:rsid w:val="00C001B1"/>
    <w:rsid w:val="00C00561"/>
    <w:rsid w:val="00C0085F"/>
    <w:rsid w:val="00C01597"/>
    <w:rsid w:val="00C030AF"/>
    <w:rsid w:val="00C057D0"/>
    <w:rsid w:val="00C05F0B"/>
    <w:rsid w:val="00C0682C"/>
    <w:rsid w:val="00C100E4"/>
    <w:rsid w:val="00C130D1"/>
    <w:rsid w:val="00C14E31"/>
    <w:rsid w:val="00C15560"/>
    <w:rsid w:val="00C15B1F"/>
    <w:rsid w:val="00C21DF7"/>
    <w:rsid w:val="00C237C3"/>
    <w:rsid w:val="00C24818"/>
    <w:rsid w:val="00C26C99"/>
    <w:rsid w:val="00C27055"/>
    <w:rsid w:val="00C2707D"/>
    <w:rsid w:val="00C2787E"/>
    <w:rsid w:val="00C307C8"/>
    <w:rsid w:val="00C30AC4"/>
    <w:rsid w:val="00C332F0"/>
    <w:rsid w:val="00C33DE8"/>
    <w:rsid w:val="00C34633"/>
    <w:rsid w:val="00C35DC5"/>
    <w:rsid w:val="00C36D48"/>
    <w:rsid w:val="00C37738"/>
    <w:rsid w:val="00C43769"/>
    <w:rsid w:val="00C45C33"/>
    <w:rsid w:val="00C4637A"/>
    <w:rsid w:val="00C46475"/>
    <w:rsid w:val="00C47616"/>
    <w:rsid w:val="00C47BBF"/>
    <w:rsid w:val="00C47CE2"/>
    <w:rsid w:val="00C51EE0"/>
    <w:rsid w:val="00C528E5"/>
    <w:rsid w:val="00C537CC"/>
    <w:rsid w:val="00C55571"/>
    <w:rsid w:val="00C57090"/>
    <w:rsid w:val="00C57850"/>
    <w:rsid w:val="00C610E5"/>
    <w:rsid w:val="00C61206"/>
    <w:rsid w:val="00C615B6"/>
    <w:rsid w:val="00C62FF5"/>
    <w:rsid w:val="00C6319A"/>
    <w:rsid w:val="00C63463"/>
    <w:rsid w:val="00C64602"/>
    <w:rsid w:val="00C66161"/>
    <w:rsid w:val="00C67C89"/>
    <w:rsid w:val="00C71208"/>
    <w:rsid w:val="00C72270"/>
    <w:rsid w:val="00C72B99"/>
    <w:rsid w:val="00C733CE"/>
    <w:rsid w:val="00C736DF"/>
    <w:rsid w:val="00C77101"/>
    <w:rsid w:val="00C778B5"/>
    <w:rsid w:val="00C8118D"/>
    <w:rsid w:val="00C8164F"/>
    <w:rsid w:val="00C833D7"/>
    <w:rsid w:val="00C8605D"/>
    <w:rsid w:val="00C866FE"/>
    <w:rsid w:val="00C86CB4"/>
    <w:rsid w:val="00C87A5E"/>
    <w:rsid w:val="00C911C1"/>
    <w:rsid w:val="00C94381"/>
    <w:rsid w:val="00C94F5B"/>
    <w:rsid w:val="00C95072"/>
    <w:rsid w:val="00C96863"/>
    <w:rsid w:val="00C978F2"/>
    <w:rsid w:val="00CA1E78"/>
    <w:rsid w:val="00CA20D0"/>
    <w:rsid w:val="00CA533E"/>
    <w:rsid w:val="00CA7719"/>
    <w:rsid w:val="00CB15E3"/>
    <w:rsid w:val="00CB191F"/>
    <w:rsid w:val="00CB7368"/>
    <w:rsid w:val="00CB7D11"/>
    <w:rsid w:val="00CC1D29"/>
    <w:rsid w:val="00CC3D7D"/>
    <w:rsid w:val="00CC52D4"/>
    <w:rsid w:val="00CD0B41"/>
    <w:rsid w:val="00CD693D"/>
    <w:rsid w:val="00CD7EFE"/>
    <w:rsid w:val="00CE02B3"/>
    <w:rsid w:val="00CE108B"/>
    <w:rsid w:val="00CE18A7"/>
    <w:rsid w:val="00CE2556"/>
    <w:rsid w:val="00CE53D1"/>
    <w:rsid w:val="00CE7A3E"/>
    <w:rsid w:val="00CF2A13"/>
    <w:rsid w:val="00CF3333"/>
    <w:rsid w:val="00CF3738"/>
    <w:rsid w:val="00CF382D"/>
    <w:rsid w:val="00CF4352"/>
    <w:rsid w:val="00CF475F"/>
    <w:rsid w:val="00D0119C"/>
    <w:rsid w:val="00D01AAA"/>
    <w:rsid w:val="00D0494D"/>
    <w:rsid w:val="00D057FD"/>
    <w:rsid w:val="00D07C7D"/>
    <w:rsid w:val="00D10771"/>
    <w:rsid w:val="00D113E4"/>
    <w:rsid w:val="00D12083"/>
    <w:rsid w:val="00D14FD1"/>
    <w:rsid w:val="00D150E3"/>
    <w:rsid w:val="00D15717"/>
    <w:rsid w:val="00D166D7"/>
    <w:rsid w:val="00D17BB2"/>
    <w:rsid w:val="00D17FE8"/>
    <w:rsid w:val="00D258F3"/>
    <w:rsid w:val="00D26EBE"/>
    <w:rsid w:val="00D3230E"/>
    <w:rsid w:val="00D33990"/>
    <w:rsid w:val="00D340E7"/>
    <w:rsid w:val="00D3567E"/>
    <w:rsid w:val="00D3595B"/>
    <w:rsid w:val="00D35A8B"/>
    <w:rsid w:val="00D435A7"/>
    <w:rsid w:val="00D43690"/>
    <w:rsid w:val="00D440BE"/>
    <w:rsid w:val="00D44261"/>
    <w:rsid w:val="00D447EF"/>
    <w:rsid w:val="00D44F36"/>
    <w:rsid w:val="00D47920"/>
    <w:rsid w:val="00D51581"/>
    <w:rsid w:val="00D53FC5"/>
    <w:rsid w:val="00D545AE"/>
    <w:rsid w:val="00D54E33"/>
    <w:rsid w:val="00D5608B"/>
    <w:rsid w:val="00D57206"/>
    <w:rsid w:val="00D5762D"/>
    <w:rsid w:val="00D57AFD"/>
    <w:rsid w:val="00D57FDA"/>
    <w:rsid w:val="00D62163"/>
    <w:rsid w:val="00D62E95"/>
    <w:rsid w:val="00D63BBA"/>
    <w:rsid w:val="00D64095"/>
    <w:rsid w:val="00D6436D"/>
    <w:rsid w:val="00D662B1"/>
    <w:rsid w:val="00D66A46"/>
    <w:rsid w:val="00D66CF4"/>
    <w:rsid w:val="00D67DBC"/>
    <w:rsid w:val="00D70715"/>
    <w:rsid w:val="00D7119E"/>
    <w:rsid w:val="00D754FB"/>
    <w:rsid w:val="00D758BB"/>
    <w:rsid w:val="00D75E5C"/>
    <w:rsid w:val="00D763CE"/>
    <w:rsid w:val="00D80970"/>
    <w:rsid w:val="00D834B0"/>
    <w:rsid w:val="00D841E1"/>
    <w:rsid w:val="00D844A5"/>
    <w:rsid w:val="00D84951"/>
    <w:rsid w:val="00D84ACF"/>
    <w:rsid w:val="00D84D5D"/>
    <w:rsid w:val="00D850B1"/>
    <w:rsid w:val="00D87CB1"/>
    <w:rsid w:val="00D92714"/>
    <w:rsid w:val="00D93A52"/>
    <w:rsid w:val="00D95581"/>
    <w:rsid w:val="00D95F7B"/>
    <w:rsid w:val="00DA0342"/>
    <w:rsid w:val="00DA1EE5"/>
    <w:rsid w:val="00DA260A"/>
    <w:rsid w:val="00DA3B14"/>
    <w:rsid w:val="00DA4614"/>
    <w:rsid w:val="00DA6136"/>
    <w:rsid w:val="00DA752A"/>
    <w:rsid w:val="00DA7ACE"/>
    <w:rsid w:val="00DB045B"/>
    <w:rsid w:val="00DB07D5"/>
    <w:rsid w:val="00DB39EF"/>
    <w:rsid w:val="00DB6E39"/>
    <w:rsid w:val="00DB7BFF"/>
    <w:rsid w:val="00DB7E92"/>
    <w:rsid w:val="00DC0166"/>
    <w:rsid w:val="00DC4783"/>
    <w:rsid w:val="00DC5206"/>
    <w:rsid w:val="00DC618D"/>
    <w:rsid w:val="00DC7286"/>
    <w:rsid w:val="00DD2025"/>
    <w:rsid w:val="00DD526C"/>
    <w:rsid w:val="00DD5F7C"/>
    <w:rsid w:val="00DD7111"/>
    <w:rsid w:val="00DE06B6"/>
    <w:rsid w:val="00DE1E47"/>
    <w:rsid w:val="00DE2FC7"/>
    <w:rsid w:val="00DE40D4"/>
    <w:rsid w:val="00DE4C11"/>
    <w:rsid w:val="00DF0EDF"/>
    <w:rsid w:val="00DF15E6"/>
    <w:rsid w:val="00DF2B6A"/>
    <w:rsid w:val="00DF2DE0"/>
    <w:rsid w:val="00DF3A5D"/>
    <w:rsid w:val="00DF55A0"/>
    <w:rsid w:val="00E0053A"/>
    <w:rsid w:val="00E01023"/>
    <w:rsid w:val="00E017F1"/>
    <w:rsid w:val="00E05DB3"/>
    <w:rsid w:val="00E05EEB"/>
    <w:rsid w:val="00E0689B"/>
    <w:rsid w:val="00E06D2A"/>
    <w:rsid w:val="00E102FD"/>
    <w:rsid w:val="00E12F78"/>
    <w:rsid w:val="00E13892"/>
    <w:rsid w:val="00E13CE6"/>
    <w:rsid w:val="00E169DF"/>
    <w:rsid w:val="00E21BBF"/>
    <w:rsid w:val="00E221E4"/>
    <w:rsid w:val="00E223BB"/>
    <w:rsid w:val="00E26C44"/>
    <w:rsid w:val="00E30F65"/>
    <w:rsid w:val="00E32AD2"/>
    <w:rsid w:val="00E32E9C"/>
    <w:rsid w:val="00E3346E"/>
    <w:rsid w:val="00E33741"/>
    <w:rsid w:val="00E33AF6"/>
    <w:rsid w:val="00E33C26"/>
    <w:rsid w:val="00E33C33"/>
    <w:rsid w:val="00E34876"/>
    <w:rsid w:val="00E34D67"/>
    <w:rsid w:val="00E363F6"/>
    <w:rsid w:val="00E37542"/>
    <w:rsid w:val="00E37846"/>
    <w:rsid w:val="00E4186F"/>
    <w:rsid w:val="00E45079"/>
    <w:rsid w:val="00E45A6A"/>
    <w:rsid w:val="00E51B9B"/>
    <w:rsid w:val="00E533A9"/>
    <w:rsid w:val="00E54F4E"/>
    <w:rsid w:val="00E55404"/>
    <w:rsid w:val="00E55B88"/>
    <w:rsid w:val="00E60401"/>
    <w:rsid w:val="00E61C26"/>
    <w:rsid w:val="00E6241F"/>
    <w:rsid w:val="00E721ED"/>
    <w:rsid w:val="00E72656"/>
    <w:rsid w:val="00E7565C"/>
    <w:rsid w:val="00E765C8"/>
    <w:rsid w:val="00E818A8"/>
    <w:rsid w:val="00E82139"/>
    <w:rsid w:val="00E839FC"/>
    <w:rsid w:val="00E83D65"/>
    <w:rsid w:val="00E84D90"/>
    <w:rsid w:val="00E8752A"/>
    <w:rsid w:val="00E90955"/>
    <w:rsid w:val="00E9104A"/>
    <w:rsid w:val="00E9308F"/>
    <w:rsid w:val="00E95A3B"/>
    <w:rsid w:val="00E9625B"/>
    <w:rsid w:val="00EA1624"/>
    <w:rsid w:val="00EA1DEE"/>
    <w:rsid w:val="00EA2597"/>
    <w:rsid w:val="00EA5661"/>
    <w:rsid w:val="00EA71CF"/>
    <w:rsid w:val="00EB0B9D"/>
    <w:rsid w:val="00EB10CB"/>
    <w:rsid w:val="00EB1B33"/>
    <w:rsid w:val="00EB2F7B"/>
    <w:rsid w:val="00EB4BB8"/>
    <w:rsid w:val="00EB5264"/>
    <w:rsid w:val="00EB545B"/>
    <w:rsid w:val="00EB6EB5"/>
    <w:rsid w:val="00EB7ACA"/>
    <w:rsid w:val="00EC012E"/>
    <w:rsid w:val="00EC0C53"/>
    <w:rsid w:val="00EC49BA"/>
    <w:rsid w:val="00EC5074"/>
    <w:rsid w:val="00EC57EB"/>
    <w:rsid w:val="00ED0273"/>
    <w:rsid w:val="00ED3A60"/>
    <w:rsid w:val="00ED5171"/>
    <w:rsid w:val="00ED5711"/>
    <w:rsid w:val="00ED5E61"/>
    <w:rsid w:val="00EE0737"/>
    <w:rsid w:val="00EE0F4C"/>
    <w:rsid w:val="00EE1832"/>
    <w:rsid w:val="00EE25F3"/>
    <w:rsid w:val="00EE2E27"/>
    <w:rsid w:val="00EE445E"/>
    <w:rsid w:val="00EE566E"/>
    <w:rsid w:val="00EE7DDD"/>
    <w:rsid w:val="00EF305F"/>
    <w:rsid w:val="00EF447D"/>
    <w:rsid w:val="00EF485C"/>
    <w:rsid w:val="00EF5EFF"/>
    <w:rsid w:val="00EF7A8D"/>
    <w:rsid w:val="00EF7E69"/>
    <w:rsid w:val="00EF7FFC"/>
    <w:rsid w:val="00F022B6"/>
    <w:rsid w:val="00F03B11"/>
    <w:rsid w:val="00F03DBE"/>
    <w:rsid w:val="00F03FF1"/>
    <w:rsid w:val="00F06825"/>
    <w:rsid w:val="00F06BC7"/>
    <w:rsid w:val="00F06C53"/>
    <w:rsid w:val="00F10BF6"/>
    <w:rsid w:val="00F112F9"/>
    <w:rsid w:val="00F13687"/>
    <w:rsid w:val="00F14C39"/>
    <w:rsid w:val="00F17675"/>
    <w:rsid w:val="00F17BAE"/>
    <w:rsid w:val="00F2211A"/>
    <w:rsid w:val="00F23D1D"/>
    <w:rsid w:val="00F240B8"/>
    <w:rsid w:val="00F26016"/>
    <w:rsid w:val="00F261EB"/>
    <w:rsid w:val="00F26E2A"/>
    <w:rsid w:val="00F33F8C"/>
    <w:rsid w:val="00F34BF1"/>
    <w:rsid w:val="00F35D43"/>
    <w:rsid w:val="00F3635E"/>
    <w:rsid w:val="00F37B4F"/>
    <w:rsid w:val="00F40171"/>
    <w:rsid w:val="00F40556"/>
    <w:rsid w:val="00F41CBA"/>
    <w:rsid w:val="00F42E58"/>
    <w:rsid w:val="00F43C4B"/>
    <w:rsid w:val="00F43FCD"/>
    <w:rsid w:val="00F44061"/>
    <w:rsid w:val="00F446FA"/>
    <w:rsid w:val="00F454C3"/>
    <w:rsid w:val="00F4614F"/>
    <w:rsid w:val="00F4638F"/>
    <w:rsid w:val="00F5047D"/>
    <w:rsid w:val="00F5127F"/>
    <w:rsid w:val="00F51DE4"/>
    <w:rsid w:val="00F51FB3"/>
    <w:rsid w:val="00F537BB"/>
    <w:rsid w:val="00F563AA"/>
    <w:rsid w:val="00F6154E"/>
    <w:rsid w:val="00F61A2D"/>
    <w:rsid w:val="00F628D9"/>
    <w:rsid w:val="00F6426A"/>
    <w:rsid w:val="00F645A9"/>
    <w:rsid w:val="00F646C6"/>
    <w:rsid w:val="00F655B8"/>
    <w:rsid w:val="00F67170"/>
    <w:rsid w:val="00F6730F"/>
    <w:rsid w:val="00F70B1A"/>
    <w:rsid w:val="00F7386D"/>
    <w:rsid w:val="00F73E1E"/>
    <w:rsid w:val="00F74330"/>
    <w:rsid w:val="00F761AF"/>
    <w:rsid w:val="00F76E23"/>
    <w:rsid w:val="00F77C8B"/>
    <w:rsid w:val="00F80C9D"/>
    <w:rsid w:val="00F823B8"/>
    <w:rsid w:val="00F8270A"/>
    <w:rsid w:val="00F83526"/>
    <w:rsid w:val="00F83571"/>
    <w:rsid w:val="00F846A6"/>
    <w:rsid w:val="00F85679"/>
    <w:rsid w:val="00F86C23"/>
    <w:rsid w:val="00F86D31"/>
    <w:rsid w:val="00F91F54"/>
    <w:rsid w:val="00F93A38"/>
    <w:rsid w:val="00F95D6A"/>
    <w:rsid w:val="00F960F1"/>
    <w:rsid w:val="00F97A9F"/>
    <w:rsid w:val="00FA0ADB"/>
    <w:rsid w:val="00FA0DA2"/>
    <w:rsid w:val="00FA285D"/>
    <w:rsid w:val="00FA30C9"/>
    <w:rsid w:val="00FA349C"/>
    <w:rsid w:val="00FA7DAF"/>
    <w:rsid w:val="00FB027F"/>
    <w:rsid w:val="00FB0338"/>
    <w:rsid w:val="00FB2875"/>
    <w:rsid w:val="00FB3902"/>
    <w:rsid w:val="00FB3AB0"/>
    <w:rsid w:val="00FB5A86"/>
    <w:rsid w:val="00FB6A7C"/>
    <w:rsid w:val="00FB6BBB"/>
    <w:rsid w:val="00FB7EA5"/>
    <w:rsid w:val="00FC15F1"/>
    <w:rsid w:val="00FC335C"/>
    <w:rsid w:val="00FC37CB"/>
    <w:rsid w:val="00FC51F5"/>
    <w:rsid w:val="00FC56BE"/>
    <w:rsid w:val="00FC685B"/>
    <w:rsid w:val="00FC71F2"/>
    <w:rsid w:val="00FD019B"/>
    <w:rsid w:val="00FD06C2"/>
    <w:rsid w:val="00FD2294"/>
    <w:rsid w:val="00FD25EF"/>
    <w:rsid w:val="00FD4E0F"/>
    <w:rsid w:val="00FD655D"/>
    <w:rsid w:val="00FD671B"/>
    <w:rsid w:val="00FD7A52"/>
    <w:rsid w:val="00FE148F"/>
    <w:rsid w:val="00FE1889"/>
    <w:rsid w:val="00FE515B"/>
    <w:rsid w:val="00FE558D"/>
    <w:rsid w:val="00FE645C"/>
    <w:rsid w:val="00FE75BD"/>
    <w:rsid w:val="00FF0CEC"/>
    <w:rsid w:val="00FF0E68"/>
    <w:rsid w:val="00FF53FD"/>
    <w:rsid w:val="00FF5BBC"/>
    <w:rsid w:val="00FF5F95"/>
    <w:rsid w:val="00FF7C42"/>
    <w:rsid w:val="00FF7D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9F0BD"/>
  <w15:chartTrackingRefBased/>
  <w15:docId w15:val="{AA1D1D9F-7AF2-40ED-83E6-3047EA4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ECC"/>
    <w:pPr>
      <w:spacing w:before="120"/>
    </w:pPr>
    <w:rPr>
      <w:rFonts w:ascii="Times New Roman" w:eastAsia="Times New Roman" w:hAnsi="Times New Roman"/>
      <w:lang w:val="es-ES_tradnl" w:eastAsia="es-ES"/>
    </w:rPr>
  </w:style>
  <w:style w:type="paragraph" w:styleId="Ttulo2">
    <w:name w:val="heading 2"/>
    <w:basedOn w:val="Normal"/>
    <w:next w:val="Normal"/>
    <w:link w:val="Ttulo2Car"/>
    <w:qFormat/>
    <w:rsid w:val="00454ECC"/>
    <w:pPr>
      <w:spacing w:before="240"/>
      <w:outlineLvl w:val="1"/>
    </w:pPr>
    <w:rPr>
      <w:rFonts w:ascii="Arial" w:hAnsi="Arial"/>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54ECC"/>
    <w:rPr>
      <w:rFonts w:ascii="Arial" w:eastAsia="Times New Roman" w:hAnsi="Arial" w:cs="Times New Roman"/>
      <w:b/>
      <w:color w:val="000000"/>
      <w:sz w:val="28"/>
      <w:szCs w:val="20"/>
      <w:lang w:val="es-ES_tradnl" w:eastAsia="es-ES"/>
    </w:rPr>
  </w:style>
  <w:style w:type="paragraph" w:styleId="Encabezado">
    <w:name w:val="header"/>
    <w:basedOn w:val="Normal"/>
    <w:link w:val="EncabezadoCar"/>
    <w:rsid w:val="00454ECC"/>
    <w:pPr>
      <w:tabs>
        <w:tab w:val="center" w:pos="4419"/>
        <w:tab w:val="right" w:pos="8838"/>
      </w:tabs>
    </w:pPr>
  </w:style>
  <w:style w:type="character" w:customStyle="1" w:styleId="EncabezadoCar">
    <w:name w:val="Encabezado Car"/>
    <w:link w:val="Encabezado"/>
    <w:rsid w:val="00454ECC"/>
    <w:rPr>
      <w:rFonts w:ascii="Times New Roman" w:eastAsia="Times New Roman" w:hAnsi="Times New Roman" w:cs="Times New Roman"/>
      <w:sz w:val="20"/>
      <w:szCs w:val="20"/>
      <w:lang w:val="es-ES_tradnl" w:eastAsia="es-ES"/>
    </w:rPr>
  </w:style>
  <w:style w:type="paragraph" w:customStyle="1" w:styleId="bullet">
    <w:name w:val="bullet"/>
    <w:basedOn w:val="Normal"/>
    <w:rsid w:val="00454ECC"/>
    <w:pPr>
      <w:ind w:left="2790" w:right="1440" w:hanging="274"/>
    </w:pPr>
    <w:rPr>
      <w:rFonts w:ascii="Univers (W1)" w:hAnsi="Univers (W1)"/>
      <w:b/>
      <w:color w:val="000080"/>
    </w:rPr>
  </w:style>
  <w:style w:type="paragraph" w:customStyle="1" w:styleId="p0">
    <w:name w:val="p0"/>
    <w:basedOn w:val="Normal"/>
    <w:rsid w:val="00454ECC"/>
    <w:pPr>
      <w:spacing w:before="240"/>
      <w:jc w:val="both"/>
    </w:pPr>
    <w:rPr>
      <w:rFonts w:ascii="Arial" w:hAnsi="Arial"/>
      <w:color w:val="0000FF"/>
      <w:sz w:val="24"/>
    </w:rPr>
  </w:style>
  <w:style w:type="paragraph" w:customStyle="1" w:styleId="parrafo1">
    <w:name w:val="parrafo1"/>
    <w:basedOn w:val="p0"/>
    <w:link w:val="parrafo1Car"/>
    <w:rsid w:val="00454ECC"/>
    <w:pPr>
      <w:spacing w:before="480"/>
      <w:ind w:left="426" w:right="443"/>
    </w:pPr>
    <w:rPr>
      <w:color w:val="auto"/>
    </w:rPr>
  </w:style>
  <w:style w:type="paragraph" w:customStyle="1" w:styleId="parr2">
    <w:name w:val="parr2"/>
    <w:basedOn w:val="parrafo1"/>
    <w:rsid w:val="00454ECC"/>
    <w:pPr>
      <w:spacing w:before="600"/>
      <w:ind w:left="567" w:right="15"/>
    </w:pPr>
  </w:style>
  <w:style w:type="character" w:styleId="Refdenotaalpie">
    <w:name w:val="footnote reference"/>
    <w:uiPriority w:val="99"/>
    <w:rsid w:val="00454ECC"/>
    <w:rPr>
      <w:rFonts w:cs="Arial"/>
      <w:b/>
      <w:smallCaps/>
      <w:sz w:val="22"/>
      <w:vertAlign w:val="superscript"/>
      <w:lang w:val="es-MX"/>
    </w:rPr>
  </w:style>
  <w:style w:type="character" w:styleId="Hipervnculo">
    <w:name w:val="Hyperlink"/>
    <w:rsid w:val="00454ECC"/>
    <w:rPr>
      <w:color w:val="0000FF"/>
      <w:u w:val="single"/>
    </w:rPr>
  </w:style>
  <w:style w:type="paragraph" w:styleId="Textodeglobo">
    <w:name w:val="Balloon Text"/>
    <w:basedOn w:val="Normal"/>
    <w:link w:val="TextodegloboCar"/>
    <w:uiPriority w:val="99"/>
    <w:semiHidden/>
    <w:unhideWhenUsed/>
    <w:rsid w:val="00454ECC"/>
    <w:pPr>
      <w:spacing w:before="0"/>
    </w:pPr>
    <w:rPr>
      <w:rFonts w:ascii="Tahoma" w:hAnsi="Tahoma"/>
      <w:sz w:val="16"/>
      <w:szCs w:val="16"/>
    </w:rPr>
  </w:style>
  <w:style w:type="character" w:customStyle="1" w:styleId="TextodegloboCar">
    <w:name w:val="Texto de globo Car"/>
    <w:link w:val="Textodeglobo"/>
    <w:uiPriority w:val="99"/>
    <w:semiHidden/>
    <w:rsid w:val="00454ECC"/>
    <w:rPr>
      <w:rFonts w:ascii="Tahoma" w:eastAsia="Times New Roman" w:hAnsi="Tahoma" w:cs="Tahoma"/>
      <w:sz w:val="16"/>
      <w:szCs w:val="16"/>
      <w:lang w:val="es-ES_tradnl" w:eastAsia="es-ES"/>
    </w:rPr>
  </w:style>
  <w:style w:type="paragraph" w:styleId="Piedepgina">
    <w:name w:val="footer"/>
    <w:basedOn w:val="Normal"/>
    <w:link w:val="PiedepginaCar"/>
    <w:uiPriority w:val="99"/>
    <w:unhideWhenUsed/>
    <w:rsid w:val="00282248"/>
    <w:pPr>
      <w:tabs>
        <w:tab w:val="center" w:pos="4419"/>
        <w:tab w:val="right" w:pos="8838"/>
      </w:tabs>
      <w:spacing w:before="0"/>
    </w:pPr>
  </w:style>
  <w:style w:type="character" w:customStyle="1" w:styleId="PiedepginaCar">
    <w:name w:val="Pie de página Car"/>
    <w:link w:val="Piedepgina"/>
    <w:uiPriority w:val="99"/>
    <w:rsid w:val="00282248"/>
    <w:rPr>
      <w:rFonts w:ascii="Times New Roman" w:eastAsia="Times New Roman" w:hAnsi="Times New Roman"/>
      <w:lang w:val="es-ES_tradnl" w:eastAsia="es-ES"/>
    </w:rPr>
  </w:style>
  <w:style w:type="paragraph" w:customStyle="1" w:styleId="parrafo">
    <w:name w:val="parrafo"/>
    <w:basedOn w:val="Normal"/>
    <w:rsid w:val="000E3686"/>
    <w:pPr>
      <w:spacing w:before="240"/>
      <w:jc w:val="both"/>
    </w:pPr>
    <w:rPr>
      <w:rFonts w:ascii="Arial" w:hAnsi="Arial"/>
      <w:sz w:val="24"/>
    </w:rPr>
  </w:style>
  <w:style w:type="paragraph" w:customStyle="1" w:styleId="Textodebloque1">
    <w:name w:val="Texto de bloque1"/>
    <w:basedOn w:val="Normal"/>
    <w:rsid w:val="00FA285D"/>
    <w:pPr>
      <w:spacing w:before="240"/>
      <w:ind w:left="1843" w:right="1361" w:hanging="273"/>
      <w:jc w:val="both"/>
    </w:pPr>
    <w:rPr>
      <w:rFonts w:ascii="Arial" w:hAnsi="Arial"/>
      <w:b/>
      <w:sz w:val="22"/>
    </w:rPr>
  </w:style>
  <w:style w:type="paragraph" w:styleId="Textonotapie">
    <w:name w:val="footnote text"/>
    <w:basedOn w:val="Normal"/>
    <w:link w:val="TextonotapieCar"/>
    <w:uiPriority w:val="99"/>
    <w:rsid w:val="00FA285D"/>
    <w:pPr>
      <w:spacing w:before="0"/>
    </w:pPr>
    <w:rPr>
      <w:lang w:val="x-none" w:eastAsia="x-none"/>
    </w:rPr>
  </w:style>
  <w:style w:type="character" w:customStyle="1" w:styleId="TextonotapieCar">
    <w:name w:val="Texto nota pie Car"/>
    <w:link w:val="Textonotapie"/>
    <w:uiPriority w:val="99"/>
    <w:rsid w:val="00FA285D"/>
    <w:rPr>
      <w:rFonts w:ascii="Times New Roman" w:eastAsia="Times New Roman" w:hAnsi="Times New Roman"/>
    </w:rPr>
  </w:style>
  <w:style w:type="paragraph" w:styleId="Textoindependiente2">
    <w:name w:val="Body Text 2"/>
    <w:basedOn w:val="Normal"/>
    <w:link w:val="Textoindependiente2Car"/>
    <w:rsid w:val="00FA285D"/>
    <w:pPr>
      <w:spacing w:before="480"/>
      <w:jc w:val="both"/>
    </w:pPr>
    <w:rPr>
      <w:rFonts w:ascii="Arial" w:hAnsi="Arial"/>
      <w:color w:val="FF0000"/>
      <w:sz w:val="24"/>
      <w:lang w:val="x-none"/>
    </w:rPr>
  </w:style>
  <w:style w:type="character" w:customStyle="1" w:styleId="Textoindependiente2Car">
    <w:name w:val="Texto independiente 2 Car"/>
    <w:link w:val="Textoindependiente2"/>
    <w:rsid w:val="00FA285D"/>
    <w:rPr>
      <w:rFonts w:ascii="Arial" w:eastAsia="Times New Roman" w:hAnsi="Arial"/>
      <w:color w:val="FF0000"/>
      <w:sz w:val="24"/>
      <w:lang w:eastAsia="es-ES"/>
    </w:rPr>
  </w:style>
  <w:style w:type="paragraph" w:styleId="Textoindependiente">
    <w:name w:val="Body Text"/>
    <w:basedOn w:val="Normal"/>
    <w:link w:val="TextoindependienteCar"/>
    <w:rsid w:val="00FA285D"/>
    <w:pPr>
      <w:spacing w:before="0"/>
      <w:jc w:val="both"/>
    </w:pPr>
    <w:rPr>
      <w:rFonts w:ascii="Arial" w:hAnsi="Arial"/>
      <w:sz w:val="24"/>
      <w:szCs w:val="24"/>
      <w:lang w:val="x-none" w:eastAsia="x-none"/>
    </w:rPr>
  </w:style>
  <w:style w:type="character" w:customStyle="1" w:styleId="TextoindependienteCar">
    <w:name w:val="Texto independiente Car"/>
    <w:link w:val="Textoindependiente"/>
    <w:rsid w:val="00FA285D"/>
    <w:rPr>
      <w:rFonts w:ascii="Arial" w:eastAsia="Times New Roman" w:hAnsi="Arial" w:cs="Arial"/>
      <w:sz w:val="24"/>
      <w:szCs w:val="24"/>
    </w:rPr>
  </w:style>
  <w:style w:type="paragraph" w:styleId="Prrafodelista">
    <w:name w:val="List Paragraph"/>
    <w:basedOn w:val="Normal"/>
    <w:uiPriority w:val="34"/>
    <w:qFormat/>
    <w:rsid w:val="00AA4332"/>
    <w:pPr>
      <w:ind w:left="720"/>
      <w:contextualSpacing/>
    </w:pPr>
  </w:style>
  <w:style w:type="table" w:styleId="Tabladelista3-nfasis6">
    <w:name w:val="List Table 3 Accent 6"/>
    <w:basedOn w:val="Tablanormal"/>
    <w:uiPriority w:val="48"/>
    <w:rsid w:val="00FE645C"/>
    <w:pPr>
      <w:jc w:val="both"/>
    </w:pPr>
    <w:rPr>
      <w:rFonts w:asciiTheme="minorHAnsi" w:eastAsiaTheme="minorHAnsi" w:hAnsiTheme="minorHAnsi" w:cstheme="minorBidi"/>
      <w:sz w:val="22"/>
      <w:szCs w:val="22"/>
      <w:lang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ipervnculovisitado">
    <w:name w:val="FollowedHyperlink"/>
    <w:basedOn w:val="Fuentedeprrafopredeter"/>
    <w:uiPriority w:val="99"/>
    <w:semiHidden/>
    <w:unhideWhenUsed/>
    <w:rsid w:val="00392765"/>
    <w:rPr>
      <w:color w:val="954F72" w:themeColor="followedHyperlink"/>
      <w:u w:val="single"/>
    </w:rPr>
  </w:style>
  <w:style w:type="paragraph" w:customStyle="1" w:styleId="p01">
    <w:name w:val="p01"/>
    <w:basedOn w:val="Normal"/>
    <w:next w:val="p0"/>
    <w:rsid w:val="008F5FF1"/>
    <w:pPr>
      <w:keepLines/>
      <w:spacing w:before="240"/>
      <w:jc w:val="both"/>
    </w:pPr>
    <w:rPr>
      <w:rFonts w:ascii="Univers" w:hAnsi="Univers"/>
      <w:color w:val="0000FF"/>
      <w:sz w:val="24"/>
    </w:rPr>
  </w:style>
  <w:style w:type="paragraph" w:styleId="NormalWeb">
    <w:name w:val="Normal (Web)"/>
    <w:basedOn w:val="Normal"/>
    <w:uiPriority w:val="99"/>
    <w:rsid w:val="008F5FF1"/>
    <w:pPr>
      <w:spacing w:before="100" w:beforeAutospacing="1" w:after="100" w:afterAutospacing="1"/>
    </w:pPr>
    <w:rPr>
      <w:sz w:val="24"/>
      <w:szCs w:val="24"/>
      <w:lang w:val="es-ES"/>
    </w:rPr>
  </w:style>
  <w:style w:type="character" w:customStyle="1" w:styleId="parrafo1Car">
    <w:name w:val="parrafo1 Car"/>
    <w:basedOn w:val="Fuentedeprrafopredeter"/>
    <w:link w:val="parrafo1"/>
    <w:rsid w:val="008F5FF1"/>
    <w:rPr>
      <w:rFonts w:ascii="Arial" w:eastAsia="Times New Roman" w:hAnsi="Arial"/>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74309">
      <w:bodyDiv w:val="1"/>
      <w:marLeft w:val="0"/>
      <w:marRight w:val="0"/>
      <w:marTop w:val="0"/>
      <w:marBottom w:val="0"/>
      <w:divBdr>
        <w:top w:val="none" w:sz="0" w:space="0" w:color="auto"/>
        <w:left w:val="none" w:sz="0" w:space="0" w:color="auto"/>
        <w:bottom w:val="none" w:sz="0" w:space="0" w:color="auto"/>
        <w:right w:val="none" w:sz="0" w:space="0" w:color="auto"/>
      </w:divBdr>
    </w:div>
    <w:div w:id="363991535">
      <w:bodyDiv w:val="1"/>
      <w:marLeft w:val="0"/>
      <w:marRight w:val="0"/>
      <w:marTop w:val="0"/>
      <w:marBottom w:val="0"/>
      <w:divBdr>
        <w:top w:val="none" w:sz="0" w:space="0" w:color="auto"/>
        <w:left w:val="none" w:sz="0" w:space="0" w:color="auto"/>
        <w:bottom w:val="none" w:sz="0" w:space="0" w:color="auto"/>
        <w:right w:val="none" w:sz="0" w:space="0" w:color="auto"/>
      </w:divBdr>
    </w:div>
    <w:div w:id="836920835">
      <w:bodyDiv w:val="1"/>
      <w:marLeft w:val="0"/>
      <w:marRight w:val="0"/>
      <w:marTop w:val="0"/>
      <w:marBottom w:val="0"/>
      <w:divBdr>
        <w:top w:val="none" w:sz="0" w:space="0" w:color="auto"/>
        <w:left w:val="none" w:sz="0" w:space="0" w:color="auto"/>
        <w:bottom w:val="none" w:sz="0" w:space="0" w:color="auto"/>
        <w:right w:val="none" w:sz="0" w:space="0" w:color="auto"/>
      </w:divBdr>
    </w:div>
    <w:div w:id="862324109">
      <w:bodyDiv w:val="1"/>
      <w:marLeft w:val="0"/>
      <w:marRight w:val="0"/>
      <w:marTop w:val="0"/>
      <w:marBottom w:val="0"/>
      <w:divBdr>
        <w:top w:val="none" w:sz="0" w:space="0" w:color="auto"/>
        <w:left w:val="none" w:sz="0" w:space="0" w:color="auto"/>
        <w:bottom w:val="none" w:sz="0" w:space="0" w:color="auto"/>
        <w:right w:val="none" w:sz="0" w:space="0" w:color="auto"/>
      </w:divBdr>
    </w:div>
    <w:div w:id="1063287421">
      <w:bodyDiv w:val="1"/>
      <w:marLeft w:val="0"/>
      <w:marRight w:val="0"/>
      <w:marTop w:val="0"/>
      <w:marBottom w:val="0"/>
      <w:divBdr>
        <w:top w:val="none" w:sz="0" w:space="0" w:color="auto"/>
        <w:left w:val="none" w:sz="0" w:space="0" w:color="auto"/>
        <w:bottom w:val="none" w:sz="0" w:space="0" w:color="auto"/>
        <w:right w:val="none" w:sz="0" w:space="0" w:color="auto"/>
      </w:divBdr>
    </w:div>
    <w:div w:id="151692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inegi.org.m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nstagram.com/inegi_informa/"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user/INEGIInforma" TargetMode="External"/><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yperlink" Target="https://www.inegi.org.mx/temas/viviendasat/" TargetMode="External"/><Relationship Id="rId10" Type="http://schemas.openxmlformats.org/officeDocument/2006/relationships/hyperlink" Target="https://www.facebook.com/INEGIInforma/"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4" Type="http://schemas.openxmlformats.org/officeDocument/2006/relationships/hyperlink" Target="https://twitter.com/INEGI_INFORMA" TargetMode="External"/><Relationship Id="rId22" Type="http://schemas.openxmlformats.org/officeDocument/2006/relationships/footer" Target="footer1.xml"/><Relationship Id="rId27" Type="http://schemas.openxmlformats.org/officeDocument/2006/relationships/image" Target="media/image9.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8BF9E-3CAC-43F2-A446-7B970972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2607</Words>
  <Characters>14341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Comunicado de Prensa. Cuenta Satélite de Vivienda de México 2018</vt:lpstr>
    </vt:vector>
  </TitlesOfParts>
  <Company>INEGI</Company>
  <LinksUpToDate>false</LinksUpToDate>
  <CharactersWithSpaces>16915</CharactersWithSpaces>
  <SharedDoc>false</SharedDoc>
  <HLinks>
    <vt:vector size="6" baseType="variant">
      <vt:variant>
        <vt:i4>393296</vt:i4>
      </vt:variant>
      <vt:variant>
        <vt:i4>0</vt:i4>
      </vt:variant>
      <vt:variant>
        <vt:i4>0</vt:i4>
      </vt:variant>
      <vt:variant>
        <vt:i4>5</vt:i4>
      </vt:variant>
      <vt:variant>
        <vt:lpwstr>http://www.inegi.org.mx/est/contenidos/proyectos/cn/isfl/default.aspx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Cuenta Satélite de Vivienda de México 2018</dc:title>
  <dc:subject/>
  <dc:creator>Luffi</dc:creator>
  <cp:keywords/>
  <cp:lastModifiedBy>SALA DE PRENSA</cp:lastModifiedBy>
  <cp:revision>20</cp:revision>
  <cp:lastPrinted>2019-12-18T20:05:00Z</cp:lastPrinted>
  <dcterms:created xsi:type="dcterms:W3CDTF">2019-12-18T19:12:00Z</dcterms:created>
  <dcterms:modified xsi:type="dcterms:W3CDTF">2019-12-20T00:11:00Z</dcterms:modified>
</cp:coreProperties>
</file>